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CE5DB" w14:textId="77777777" w:rsidR="00A67421" w:rsidRPr="00803780" w:rsidRDefault="00A67421" w:rsidP="00A67421">
      <w:pPr>
        <w:spacing w:line="480" w:lineRule="auto"/>
        <w:jc w:val="both"/>
        <w:rPr>
          <w:rFonts w:asciiTheme="minorBidi" w:hAnsiTheme="minorBidi" w:cstheme="minorBidi"/>
          <w:b/>
          <w:color w:val="000000"/>
        </w:rPr>
      </w:pPr>
      <w:r w:rsidRPr="00DD1BF0">
        <w:rPr>
          <w:rFonts w:asciiTheme="minorBidi" w:hAnsiTheme="minorBidi" w:cstheme="minorBidi"/>
          <w:b/>
          <w:color w:val="000000"/>
        </w:rPr>
        <w:t>Outcome definition (s)</w:t>
      </w:r>
    </w:p>
    <w:p w14:paraId="6B2AD294" w14:textId="77777777" w:rsidR="00A67421" w:rsidRPr="00803780" w:rsidRDefault="00A67421" w:rsidP="00A67421">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hAnsiTheme="minorBidi" w:cstheme="minorBidi"/>
          <w:color w:val="000000"/>
        </w:rPr>
        <w:t>The 30-day mortality was defined as a death occurring for any cause within 30 days of the admission date during hospital stay; patients who were discharged from the hospital alive were presumed to be survived. All patients were followed until they were discharged from the hospital or died during the in-hospital stay, whichever occurred first.</w:t>
      </w:r>
    </w:p>
    <w:p w14:paraId="64DD77AB" w14:textId="77777777" w:rsidR="00A67421" w:rsidRPr="00803780" w:rsidRDefault="00A67421" w:rsidP="00A67421">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eastAsia="Gungsuh" w:hAnsiTheme="minorBidi" w:cstheme="minorBidi"/>
          <w:color w:val="000000"/>
        </w:rPr>
        <w:t>Ventilator-free days (VFDs) at 30 days were calculated as the following: if the patients die within 30 days of MV then the VFDs=0, if the patient survived and was successfully liberated from MV then VFDs = 30 − days after MV initiation, and VFDs=0 if the patient is on MV for &gt;30 days.</w:t>
      </w:r>
    </w:p>
    <w:p w14:paraId="1F44B75C" w14:textId="77777777" w:rsidR="00A67421" w:rsidRPr="00803780" w:rsidRDefault="00A67421" w:rsidP="00A67421">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hAnsiTheme="minorBidi" w:cstheme="minorBidi"/>
        </w:rPr>
        <w:t>Oxygenation index is used to assess severity of hypoxic respiratory failure. Oxygenation index = (FiO2 x PAW) / PaO2; where variables are as follows: FiO2 = fraction of inhaled oxygen, %, PAW = mean airway pressure, mm Hg and PaO2 = Partial pressure of arterial oxygen, mm Hg. A lower oxygenation index is better.</w:t>
      </w:r>
    </w:p>
    <w:p w14:paraId="2A3B0EE7" w14:textId="77777777" w:rsidR="00A67421" w:rsidRPr="00803780" w:rsidRDefault="00A67421" w:rsidP="00A67421">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eastAsia="Cardo" w:hAnsiTheme="minorBidi" w:cstheme="minorBidi"/>
          <w:color w:val="000000"/>
        </w:rPr>
        <w:t>Acute kidney injury (AKI) was defined as a sudden decrease of renal function within 48 hours, defined by an increase in absolute SCr of at least 26.5 μmol/L (0.3 mg/dL) or by a percentage increase in SCr ≥ 50% (1.5× baseline value) during ICU stay.</w:t>
      </w:r>
      <w:r w:rsidRPr="00803780">
        <w:rPr>
          <w:rFonts w:asciiTheme="minorBidi" w:hAnsiTheme="minorBidi" w:cstheme="minorBidi"/>
          <w:color w:val="000000"/>
          <w:vertAlign w:val="subscript"/>
        </w:rPr>
        <w:t>.</w:t>
      </w:r>
    </w:p>
    <w:p w14:paraId="36B77C86" w14:textId="77777777" w:rsidR="00A67421" w:rsidRPr="00803780" w:rsidRDefault="00A67421" w:rsidP="00A67421">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hAnsiTheme="minorBidi" w:cstheme="minorBidi"/>
          <w:color w:val="000000"/>
        </w:rPr>
        <w:t>Acute liver injury was defined as alanine aminotransferase (ALT) exceeding three times the upper limit of normal or double in patients with elevated baseline ALT during the ICU stay.</w:t>
      </w:r>
      <w:r w:rsidRPr="00803780">
        <w:rPr>
          <w:rFonts w:asciiTheme="minorBidi" w:hAnsiTheme="minorBidi" w:cstheme="minorBidi"/>
          <w:color w:val="000000"/>
        </w:rPr>
        <w:fldChar w:fldCharType="begin" w:fldLock="1"/>
      </w:r>
      <w:r w:rsidRPr="00803780">
        <w:rPr>
          <w:rFonts w:asciiTheme="minorBidi" w:hAnsiTheme="minorBidi" w:cstheme="minorBidi"/>
          <w:color w:val="000000"/>
        </w:rPr>
        <w:instrText>ADDIN CSL_CITATION {"citationItems":[{"id":"ITEM-1","itemData":{"DOI":"10.5492/wjccm.v1.i2.40","ISSN":"2220-3141 (Print)","PMID":"24701400","abstract":"Acute kidney injury (AKI) is a common and serious complication in critically ill  patients. The mortality rate remains high despite improved renal replacement techniques. A possible cause of the high mortality rate is that intensive care unit patients tend to be older and more debilitated than before. Pathophysiological factors associated with AKI are also implicated in the failure of other organs, indicating that AKI is often part of a multiple organ failure syndrome. Until recently, there was a lack of consensus as to the best definition, characterization, and evaluation of acute renal failure. This lack of a standard definition has been a major impediment to progress in clinical and basic research. The introduction of the risk, injury, failure, loss, and end-stage kidney disease criteria and the modified version proposed by the Acute Kidney Injury Network have increased the conceptual understanding of AKI syndrome, and these criteria have been successfully tested in clinical studies. This article reviews current findings concerning the application of these criteria for assessing epidemiology and predicting outcome in specific homogeneous critically ill patient groups.","author":[{"dropping-particle":"","family":"Lin","given":"Chan-Yu","non-dropping-particle":"","parse-names":false,"suffix":""},{"dropping-particle":"","family":"Chen","given":"Yung-Chang","non-dropping-particle":"","parse-names":false,"suffix":""}],"container-title":"World journal of critical care medicine","id":"ITEM-1","issue":"2","issued":{"date-parts":[["2012","4"]]},"language":"eng","page":"40-45","title":"Acute kidney injury classification: AKIN and RIFLE criteria in critical patients.","type":"article-journal","volume":"1"},"uris":["http://www.mendeley.com/documents/?uuid=5fa061af-5078-4755-9e14-3a3081a73369"]}],"mendeley":{"formattedCitation":"(23)","plainTextFormattedCitation":"(23)","previouslyFormattedCitation":"(23)"},"properties":{"noteIndex":0},"schema":"https://github.com/citation-style-language/schema/raw/master/csl-citation.json"}</w:instrText>
      </w:r>
      <w:r w:rsidRPr="00803780">
        <w:rPr>
          <w:rFonts w:asciiTheme="minorBidi" w:hAnsiTheme="minorBidi" w:cstheme="minorBidi"/>
          <w:color w:val="000000"/>
        </w:rPr>
        <w:fldChar w:fldCharType="separate"/>
      </w:r>
      <w:r w:rsidRPr="00803780">
        <w:rPr>
          <w:rFonts w:asciiTheme="minorBidi" w:hAnsiTheme="minorBidi" w:cstheme="minorBidi"/>
          <w:noProof/>
          <w:color w:val="000000"/>
        </w:rPr>
        <w:t>(23)</w:t>
      </w:r>
      <w:r w:rsidRPr="00803780">
        <w:rPr>
          <w:rFonts w:asciiTheme="minorBidi" w:hAnsiTheme="minorBidi" w:cstheme="minorBidi"/>
          <w:color w:val="000000"/>
        </w:rPr>
        <w:fldChar w:fldCharType="end"/>
      </w:r>
    </w:p>
    <w:p w14:paraId="3830FAE5" w14:textId="77777777" w:rsidR="00A67421" w:rsidRPr="00803780" w:rsidRDefault="00A67421" w:rsidP="00A67421">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eastAsia="Gungsuh" w:hAnsiTheme="minorBidi" w:cstheme="minorBidi"/>
          <w:color w:val="0E101A"/>
        </w:rPr>
        <w:t xml:space="preserve">Secondary fungal infection was identified through the blood, urine, wound, drainage, cerebrospinal fluid, and/or respiratory cultures. Cultures were excluded if the laboratory reported them as a "contaminant sample."The fungal </w:t>
      </w:r>
      <w:r w:rsidRPr="00803780">
        <w:rPr>
          <w:rFonts w:asciiTheme="minorBidi" w:eastAsia="Gungsuh" w:hAnsiTheme="minorBidi" w:cstheme="minorBidi"/>
          <w:color w:val="0E101A"/>
        </w:rPr>
        <w:lastRenderedPageBreak/>
        <w:t>growth was considered significant if the growth was ≥ 100,000 colony forming units (CFUs)/ml in sputum or endotracheal aspiration, ≥10,000 CFUs of single organism/ml in bronchoalveolar lavage or ≥ 1000 CFUs of single organism/ml in protected specimen brushes. Additionally, urinary cultures were considered significant if showing a growth ≥100,000 CFUs/ml of no more than two species of microorganisms.</w:t>
      </w:r>
      <w:r w:rsidRPr="00803780">
        <w:rPr>
          <w:rFonts w:asciiTheme="minorBidi" w:eastAsia="Gungsuh" w:hAnsiTheme="minorBidi" w:cstheme="minorBidi"/>
          <w:color w:val="0E101A"/>
        </w:rPr>
        <w:fldChar w:fldCharType="begin" w:fldLock="1"/>
      </w:r>
      <w:r w:rsidRPr="00803780">
        <w:rPr>
          <w:rFonts w:asciiTheme="minorBidi" w:eastAsia="Gungsuh" w:hAnsiTheme="minorBidi" w:cstheme="minorBidi"/>
          <w:color w:val="0E101A"/>
        </w:rPr>
        <w:instrText>ADDIN CSL_CITATION {"citationItems":[{"id":"ITEM-1","itemData":{"DOI":"10.1080/14787210.2020.1822736","ISSN":"1744-8336 (Electronic)","PMID":"32930620","abstract":"BACKGROUND: Carbapenem-resistant Enterobacteriaceae (CRE) infection is associated  with intensive care admissions, morbidity, and mortality. Our study aimed to determine the incidence, risk factors, and patient outcomes of CRE in the ICU units. METHODS: This was a retrospective matched case-control study of patients admitted to ICUs. Patients who have positive cultures of CRE and carbapenem-susceptible Enterobacteriaceae (CSE) were included in the study. Patients were randomly selected from a pool of CSE subjects in a ratio of 1:1 of CRE to CSE as control patients. RESULTS: The infection rate with CRE among all patients admitted to ICUs was 7.6% and the incidence of CRE infection was 5.6 per 1,000 person-day. The risk factors independently associated with CRE infection were: Higher Sequential Organ Failure Assessment (SOFA) and Nutrition Risk in Critically ill (NUTRIC) scores, prolonged ICU length of stay (LOS), previous surgery, dialysis and mechanical ventilation during ICU stay, and previous use of aminoglycoside and carbapenems. CONCLUSION: In this retrospective study, the incidence of CRE infection was relatively elevated in patients admitted to ICU. Patients with high SOFA and NUTRIC scores, prolonged ICU LOS, previous surgery, dialysis and mechanical ventilation, and prior aminoglycosides and carbapenems use, may have an increased risk of CRE infection.","author":[{"dropping-particle":"","family":"Aleidan","given":"Fahad A S","non-dropping-particle":"","parse-names":false,"suffix":""},{"dropping-particle":"","family":"Alkhelaifi","given":"Hind","non-dropping-particle":"","parse-names":false,"suffix":""},{"dropping-particle":"","family":"Alsenaid","given":"Aljouharah","non-dropping-particle":"","parse-names":false,"suffix":""},{"dropping-particle":"","family":"Alromaizan","given":"Haya","non-dropping-particle":"","parse-names":false,"suffix":""},{"dropping-particle":"","family":"Alsalham","given":"Fajer","non-dropping-particle":"","parse-names":false,"suffix":""},{"dropping-particle":"","family":"Almutairi","given":"Alhanouf","non-dropping-particle":"","parse-names":false,"suffix":""},{"dropping-particle":"","family":"Alsulaiman","given":"Khalid","non-dropping-particle":"","parse-names":false,"suffix":""},{"dropping-particle":"","family":"Abdel Gadir","given":"Abdel Galil","non-dropping-particle":"","parse-names":false,"suffix":""}],"container-title":"Expert review of anti-infective therapy","id":"ITEM-1","issue":"3","issued":{"date-parts":[["2021","3"]]},"language":"eng","page":"393-398","publisher-place":"England","title":"Incidence and risk factors of carbapenem-resistant Enterobacteriaceae infection in  intensive care units: a matched case-control study.","type":"article-journal","volume":"19"},"uris":["http://www.mendeley.com/documents/?uuid=05edc508-1233-4281-8439-0c98929427f2"]}],"mendeley":{"formattedCitation":"(24)","plainTextFormattedCitation":"(24)","previouslyFormattedCitation":"(24)"},"properties":{"noteIndex":0},"schema":"https://github.com/citation-style-language/schema/raw/master/csl-citation.json"}</w:instrText>
      </w:r>
      <w:r w:rsidRPr="00803780">
        <w:rPr>
          <w:rFonts w:asciiTheme="minorBidi" w:eastAsia="Gungsuh" w:hAnsiTheme="minorBidi" w:cstheme="minorBidi"/>
          <w:color w:val="0E101A"/>
        </w:rPr>
        <w:fldChar w:fldCharType="separate"/>
      </w:r>
      <w:r w:rsidRPr="00803780">
        <w:rPr>
          <w:rFonts w:asciiTheme="minorBidi" w:eastAsia="Gungsuh" w:hAnsiTheme="minorBidi" w:cstheme="minorBidi"/>
          <w:noProof/>
          <w:color w:val="0E101A"/>
        </w:rPr>
        <w:t>(24)</w:t>
      </w:r>
      <w:r w:rsidRPr="00803780">
        <w:rPr>
          <w:rFonts w:asciiTheme="minorBidi" w:eastAsia="Gungsuh" w:hAnsiTheme="minorBidi" w:cstheme="minorBidi"/>
          <w:color w:val="0E101A"/>
        </w:rPr>
        <w:fldChar w:fldCharType="end"/>
      </w:r>
    </w:p>
    <w:p w14:paraId="46D881C1" w14:textId="38F1128E" w:rsidR="00A67421" w:rsidRDefault="00A67421" w:rsidP="00844C30">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803780">
        <w:rPr>
          <w:rFonts w:asciiTheme="minorBidi" w:hAnsiTheme="minorBidi" w:cstheme="minorBidi"/>
          <w:color w:val="000000"/>
        </w:rPr>
        <w:t>Respiratory failure was defined as either low arterial carbon dioxide tension (PaCO</w:t>
      </w:r>
      <w:r w:rsidRPr="00803780">
        <w:rPr>
          <w:rFonts w:asciiTheme="minorBidi" w:hAnsiTheme="minorBidi" w:cstheme="minorBidi"/>
          <w:color w:val="000000"/>
          <w:vertAlign w:val="subscript"/>
        </w:rPr>
        <w:t>2</w:t>
      </w:r>
      <w:r w:rsidRPr="00803780">
        <w:rPr>
          <w:rFonts w:asciiTheme="minorBidi" w:hAnsiTheme="minorBidi" w:cstheme="minorBidi"/>
          <w:color w:val="000000"/>
        </w:rPr>
        <w:t>) or hypoxemic respiratory failure (PaO</w:t>
      </w:r>
      <w:r w:rsidRPr="00803780">
        <w:rPr>
          <w:rFonts w:asciiTheme="minorBidi" w:hAnsiTheme="minorBidi" w:cstheme="minorBidi"/>
          <w:color w:val="000000"/>
          <w:vertAlign w:val="subscript"/>
        </w:rPr>
        <w:t>2</w:t>
      </w:r>
      <w:r w:rsidRPr="00803780">
        <w:rPr>
          <w:rFonts w:asciiTheme="minorBidi" w:hAnsiTheme="minorBidi" w:cstheme="minorBidi"/>
          <w:color w:val="000000"/>
        </w:rPr>
        <w:t xml:space="preserve"> &lt; 60 mm Hg with a normal or hypercapnic respiratory failure (PaCO</w:t>
      </w:r>
      <w:r w:rsidRPr="00803780">
        <w:rPr>
          <w:rFonts w:asciiTheme="minorBidi" w:hAnsiTheme="minorBidi" w:cstheme="minorBidi"/>
          <w:color w:val="000000"/>
          <w:vertAlign w:val="subscript"/>
        </w:rPr>
        <w:t>2</w:t>
      </w:r>
      <w:r w:rsidRPr="00803780">
        <w:rPr>
          <w:rFonts w:asciiTheme="minorBidi" w:hAnsiTheme="minorBidi" w:cstheme="minorBidi"/>
          <w:color w:val="000000"/>
        </w:rPr>
        <w:t> &gt; 50 mm Hg) that requires mechanical ventilation.</w:t>
      </w:r>
      <w:r w:rsidRPr="00803780">
        <w:rPr>
          <w:rFonts w:asciiTheme="minorBidi" w:hAnsiTheme="minorBidi" w:cstheme="minorBidi"/>
          <w:color w:val="000000"/>
        </w:rPr>
        <w:fldChar w:fldCharType="begin" w:fldLock="1"/>
      </w:r>
      <w:r w:rsidRPr="00803780">
        <w:rPr>
          <w:rFonts w:asciiTheme="minorBidi" w:hAnsiTheme="minorBidi" w:cstheme="minorBidi"/>
          <w:color w:val="000000"/>
        </w:rPr>
        <w:instrText>ADDIN CSL_CITATION {"citationItems":[{"id":"ITEM-1","itemData":{"ISSN":"0265-0215 (Print)","PMID":"8143714","abstract":"The principal function of the lung is to facilitate the exchange of the respiratory  gases, oxygen (O2) and carbon dioxide (CO2). When the lung fails as a gas exchanger respiratory failure ensues. Clinically, it is generally accepted that an arterial oxygen tension (PaO2) of less than 60 mmHg or a PaCO2 of greater than 50 mmHg, or both, whilst breathing room air are values consistent with the concept of respiratory failure. This article will deal, firstly, with some basic aspects of the physiology of pulmonary gas exchange and more specifically on the measurement of ventilation-perfusion (VA/Q) relationships, the most influential factor determining hypoxaemia. The second part highlights the most important findings on pulmonary gas exchange in the adult respiratory distress syndrome (ARDS) and other common acute respiratory failure conditions, such as pneumonia, acute exacerbation of chronic obstructive pulmonary disease (COPD) and status asthmaticus, based on the data obtained by means of the multiple inert gas elimination approach, a technique which gives a detailed picture of VA/Q ratio distributions.","author":[{"dropping-particle":"","family":"Rodriguez-Roisin","given":"R","non-dropping-particle":"","parse-names":false,"suffix":""}],"container-title":"European journal of anaesthesiology","id":"ITEM-1","issue":"1","issued":{"date-parts":[["1994","1"]]},"language":"eng","page":"5-13","publisher-place":"England","title":"Pulmonary gas exchange in acute respiratory failure.","type":"article-journal","volume":"11"},"uris":["http://www.mendeley.com/documents/?uuid=3ead0151-9b98-4710-8792-469391752f7d"]}],"mendeley":{"formattedCitation":"(25)","plainTextFormattedCitation":"(25)","previouslyFormattedCitation":"(25)"},"properties":{"noteIndex":0},"schema":"https://github.com/citation-style-language/schema/raw/master/csl-citation.json"}</w:instrText>
      </w:r>
      <w:r w:rsidRPr="00803780">
        <w:rPr>
          <w:rFonts w:asciiTheme="minorBidi" w:hAnsiTheme="minorBidi" w:cstheme="minorBidi"/>
          <w:color w:val="000000"/>
        </w:rPr>
        <w:fldChar w:fldCharType="separate"/>
      </w:r>
      <w:r w:rsidRPr="00803780">
        <w:rPr>
          <w:rFonts w:asciiTheme="minorBidi" w:hAnsiTheme="minorBidi" w:cstheme="minorBidi"/>
          <w:noProof/>
          <w:color w:val="000000"/>
        </w:rPr>
        <w:t>(25)</w:t>
      </w:r>
      <w:r w:rsidRPr="00803780">
        <w:rPr>
          <w:rFonts w:asciiTheme="minorBidi" w:hAnsiTheme="minorBidi" w:cstheme="minorBidi"/>
          <w:color w:val="000000"/>
        </w:rPr>
        <w:fldChar w:fldCharType="end"/>
      </w:r>
    </w:p>
    <w:p w14:paraId="1361A97B" w14:textId="3418C7F8" w:rsidR="00CC1EDF" w:rsidRPr="00CC1EDF" w:rsidRDefault="00CC1EDF" w:rsidP="00844C30">
      <w:pPr>
        <w:numPr>
          <w:ilvl w:val="0"/>
          <w:numId w:val="1"/>
        </w:numPr>
        <w:pBdr>
          <w:top w:val="nil"/>
          <w:left w:val="nil"/>
          <w:bottom w:val="nil"/>
          <w:right w:val="nil"/>
          <w:between w:val="nil"/>
        </w:pBdr>
        <w:spacing w:line="480" w:lineRule="auto"/>
        <w:jc w:val="both"/>
        <w:rPr>
          <w:rFonts w:asciiTheme="minorBidi" w:hAnsiTheme="minorBidi" w:cstheme="minorBidi"/>
          <w:color w:val="000000"/>
        </w:rPr>
      </w:pPr>
      <w:r w:rsidRPr="00CC1EDF">
        <w:rPr>
          <w:rFonts w:asciiTheme="minorBidi" w:hAnsiTheme="minorBidi" w:cstheme="minorBidi"/>
          <w:color w:val="000000"/>
        </w:rPr>
        <w:t xml:space="preserve">Inhaled nitric oxide responder defined as </w:t>
      </w:r>
      <w:r w:rsidRPr="00CC1EDF">
        <w:rPr>
          <w:rFonts w:ascii="Helvetica Neue" w:eastAsia="Helvetica Neue" w:hAnsi="Helvetica Neue" w:cs="Helvetica Neue"/>
          <w:color w:val="000000"/>
        </w:rPr>
        <w:t>20% increase</w:t>
      </w:r>
      <w:r w:rsidR="00027032">
        <w:rPr>
          <w:rFonts w:ascii="Helvetica Neue" w:eastAsia="Helvetica Neue" w:hAnsi="Helvetica Neue" w:cs="Helvetica Neue"/>
          <w:color w:val="000000"/>
        </w:rPr>
        <w:t xml:space="preserve"> or more</w:t>
      </w:r>
      <w:r w:rsidRPr="00CC1EDF">
        <w:rPr>
          <w:rFonts w:ascii="Helvetica Neue" w:eastAsia="Helvetica Neue" w:hAnsi="Helvetica Neue" w:cs="Helvetica Neue"/>
          <w:color w:val="000000"/>
        </w:rPr>
        <w:t xml:space="preserve"> of arterial PaO2</w:t>
      </w:r>
      <w:r w:rsidRPr="00CC1EDF">
        <w:rPr>
          <w:rFonts w:ascii="Helvetica Neue" w:eastAsia="Helvetica Neue" w:hAnsi="Helvetica Neue" w:cs="Helvetica Neue"/>
          <w:color w:val="000000"/>
        </w:rPr>
        <w:t xml:space="preserve"> within 24 hours of iNO initiation. </w:t>
      </w:r>
    </w:p>
    <w:p w14:paraId="62D437AC" w14:textId="77777777" w:rsidR="00844C30" w:rsidRPr="00844C30" w:rsidRDefault="00844C30" w:rsidP="00844C30">
      <w:pPr>
        <w:pBdr>
          <w:top w:val="nil"/>
          <w:left w:val="nil"/>
          <w:bottom w:val="nil"/>
          <w:right w:val="nil"/>
          <w:between w:val="nil"/>
        </w:pBdr>
        <w:spacing w:line="480" w:lineRule="auto"/>
        <w:ind w:left="360"/>
        <w:jc w:val="both"/>
        <w:rPr>
          <w:rFonts w:asciiTheme="minorBidi" w:hAnsiTheme="minorBidi" w:cstheme="minorBidi"/>
          <w:color w:val="000000"/>
          <w:sz w:val="10"/>
          <w:szCs w:val="10"/>
        </w:rPr>
      </w:pPr>
    </w:p>
    <w:p w14:paraId="0949B167" w14:textId="77777777" w:rsidR="00844C30" w:rsidRPr="00844C30" w:rsidRDefault="00844C30" w:rsidP="00844C30">
      <w:pPr>
        <w:pBdr>
          <w:top w:val="nil"/>
          <w:left w:val="nil"/>
          <w:bottom w:val="nil"/>
          <w:right w:val="nil"/>
          <w:between w:val="nil"/>
        </w:pBdr>
        <w:spacing w:line="480" w:lineRule="auto"/>
        <w:ind w:firstLine="720"/>
        <w:jc w:val="both"/>
        <w:rPr>
          <w:rFonts w:asciiTheme="minorBidi" w:hAnsiTheme="minorBidi" w:cstheme="minorBidi"/>
          <w:color w:val="000000"/>
          <w:sz w:val="10"/>
          <w:szCs w:val="10"/>
        </w:rPr>
      </w:pPr>
    </w:p>
    <w:p w14:paraId="6468C4DE" w14:textId="018FE9D7" w:rsidR="00844C30" w:rsidRPr="00844C30" w:rsidRDefault="00844C30" w:rsidP="00897591">
      <w:pPr>
        <w:spacing w:line="480" w:lineRule="auto"/>
        <w:rPr>
          <w:rFonts w:asciiTheme="minorBidi" w:hAnsiTheme="minorBidi" w:cstheme="minorBidi"/>
          <w:b/>
          <w:color w:val="000000"/>
        </w:rPr>
      </w:pPr>
    </w:p>
    <w:p w14:paraId="12EAEB5F" w14:textId="77777777" w:rsidR="00844C30" w:rsidRDefault="00844C30"/>
    <w:sectPr w:rsidR="00844C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altName w:val="Gungsuh"/>
    <w:charset w:val="81"/>
    <w:family w:val="roman"/>
    <w:pitch w:val="variable"/>
    <w:sig w:usb0="B00002AF" w:usb1="69D77CFB" w:usb2="00000030" w:usb3="00000000" w:csb0="0008009F" w:csb1="00000000"/>
  </w:font>
  <w:font w:name="Cardo">
    <w:charset w:val="00"/>
    <w:family w:val="auto"/>
    <w:pitch w:val="default"/>
  </w:font>
  <w:font w:name="Helvetica 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14D34"/>
    <w:multiLevelType w:val="multilevel"/>
    <w:tmpl w:val="F07C4B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228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559"/>
    <w:rsid w:val="00003748"/>
    <w:rsid w:val="00027032"/>
    <w:rsid w:val="00615483"/>
    <w:rsid w:val="00844C30"/>
    <w:rsid w:val="00897591"/>
    <w:rsid w:val="00A67421"/>
    <w:rsid w:val="00CC1EDF"/>
    <w:rsid w:val="00F81559"/>
    <w:rsid w:val="00FC72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61C6"/>
  <w15:docId w15:val="{AF22EB42-16CE-4CAC-BB18-78BFE405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42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1468</Words>
  <Characters>8370</Characters>
  <Application>Microsoft Office Word</Application>
  <DocSecurity>0</DocSecurity>
  <Lines>69</Lines>
  <Paragraphs>19</Paragraphs>
  <ScaleCrop>false</ScaleCrop>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altebainawi</dc:creator>
  <cp:keywords/>
  <dc:description/>
  <cp:lastModifiedBy>ohoud aljuhani</cp:lastModifiedBy>
  <cp:revision>4</cp:revision>
  <dcterms:created xsi:type="dcterms:W3CDTF">2022-04-24T18:47:00Z</dcterms:created>
  <dcterms:modified xsi:type="dcterms:W3CDTF">2022-04-24T19:25:00Z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e85c31-d8af-4a94-a5cf-115a51516016_Enabled">
    <vt:lpwstr>true</vt:lpwstr>
  </property>
  <property fmtid="{D5CDD505-2E9C-101B-9397-08002B2CF9AE}" pid="3" name="MSIP_Label_8ee85c31-d8af-4a94-a5cf-115a51516016_SetDate">
    <vt:lpwstr>2022-02-18T09:30:37Z</vt:lpwstr>
  </property>
  <property fmtid="{D5CDD505-2E9C-101B-9397-08002B2CF9AE}" pid="4" name="MSIP_Label_8ee85c31-d8af-4a94-a5cf-115a51516016_Method">
    <vt:lpwstr>Standard</vt:lpwstr>
  </property>
  <property fmtid="{D5CDD505-2E9C-101B-9397-08002B2CF9AE}" pid="5" name="MSIP_Label_8ee85c31-d8af-4a94-a5cf-115a51516016_Name">
    <vt:lpwstr>General</vt:lpwstr>
  </property>
  <property fmtid="{D5CDD505-2E9C-101B-9397-08002B2CF9AE}" pid="6" name="MSIP_Label_8ee85c31-d8af-4a94-a5cf-115a51516016_SiteId">
    <vt:lpwstr>3a77092f-a518-4180-9ff7-8066031987d7</vt:lpwstr>
  </property>
  <property fmtid="{D5CDD505-2E9C-101B-9397-08002B2CF9AE}" pid="7" name="MSIP_Label_8ee85c31-d8af-4a94-a5cf-115a51516016_ActionId">
    <vt:lpwstr>f5aede04-8021-45a4-9c1a-0567ba382706</vt:lpwstr>
  </property>
  <property fmtid="{D5CDD505-2E9C-101B-9397-08002B2CF9AE}" pid="8" name="MSIP_Label_8ee85c31-d8af-4a94-a5cf-115a51516016_ContentBits">
    <vt:lpwstr>0</vt:lpwstr>
  </property>
</Properties>
</file>