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79C46" w14:textId="77777777" w:rsidR="005F4CC0" w:rsidRDefault="005F4CC0" w:rsidP="00C21AC5">
      <w:pPr>
        <w:spacing w:line="360" w:lineRule="auto"/>
        <w:jc w:val="both"/>
        <w:rPr>
          <w:rFonts w:cstheme="minorHAnsi"/>
          <w:color w:val="000000" w:themeColor="text1"/>
          <w:sz w:val="22"/>
          <w:szCs w:val="22"/>
        </w:rPr>
      </w:pPr>
      <w:bookmarkStart w:id="0" w:name="_GoBack"/>
      <w:bookmarkEnd w:id="0"/>
    </w:p>
    <w:p w14:paraId="76781027" w14:textId="0E3CF6D7" w:rsidR="00C21AC5" w:rsidRDefault="00C21AC5" w:rsidP="00C21AC5">
      <w:pPr>
        <w:spacing w:line="360" w:lineRule="auto"/>
        <w:jc w:val="both"/>
        <w:rPr>
          <w:rFonts w:cstheme="minorHAnsi"/>
          <w:b/>
          <w:bCs/>
          <w:color w:val="000000" w:themeColor="text1"/>
          <w:sz w:val="22"/>
          <w:szCs w:val="22"/>
          <w:u w:val="single"/>
        </w:rPr>
      </w:pPr>
      <w:r w:rsidRPr="00C21AC5">
        <w:rPr>
          <w:rFonts w:cstheme="minorHAnsi"/>
          <w:b/>
          <w:bCs/>
          <w:color w:val="000000" w:themeColor="text1"/>
          <w:sz w:val="22"/>
          <w:szCs w:val="22"/>
          <w:u w:val="single"/>
        </w:rPr>
        <w:t>Supplementary Data</w:t>
      </w:r>
    </w:p>
    <w:tbl>
      <w:tblPr>
        <w:tblW w:w="778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14"/>
        <w:gridCol w:w="1591"/>
        <w:gridCol w:w="1714"/>
        <w:gridCol w:w="2268"/>
      </w:tblGrid>
      <w:tr w:rsidR="001B0BAA" w:rsidRPr="001B0BAA" w14:paraId="7401A0AD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5962D8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Antigen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31AA26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PNP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594332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Cryoprecipitate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7386A8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Fibrinogen concentrate</w:t>
            </w:r>
          </w:p>
        </w:tc>
      </w:tr>
      <w:tr w:rsidR="001B0BAA" w:rsidRPr="001B0BAA" w14:paraId="0DE79E5E" w14:textId="77777777" w:rsidTr="00CD2521">
        <w:trPr>
          <w:trHeight w:val="20"/>
        </w:trPr>
        <w:tc>
          <w:tcPr>
            <w:tcW w:w="221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7DF389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Fibrinogen (mg/ml)</w:t>
            </w:r>
          </w:p>
        </w:tc>
        <w:tc>
          <w:tcPr>
            <w:tcW w:w="159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F4B98A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4.2 ± 0.6</w:t>
            </w:r>
          </w:p>
        </w:tc>
        <w:tc>
          <w:tcPr>
            <w:tcW w:w="171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7EDD31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7.4 ± 0.7</w:t>
            </w:r>
          </w:p>
        </w:tc>
        <w:tc>
          <w:tcPr>
            <w:tcW w:w="22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F87685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21.6 ± 0.1</w:t>
            </w:r>
          </w:p>
        </w:tc>
      </w:tr>
      <w:tr w:rsidR="001B0BAA" w:rsidRPr="001B0BAA" w14:paraId="087AF9C5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B32BA8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  <w:lang w:val="el-GR"/>
              </w:rPr>
              <w:t>α</w:t>
            </w: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2AP (µg/ml)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9E85A7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69.6 ± 27.2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7A254C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59.2 ± 3.3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F58EFB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  <w:tr w:rsidR="001B0BAA" w:rsidRPr="001B0BAA" w14:paraId="4645207A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CCB216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FXIII (µg/ml)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D8E6AE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39 ± 19.5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16A89B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57.7 ± 28.8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4F24D8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0.4 ± 0.02</w:t>
            </w:r>
          </w:p>
        </w:tc>
      </w:tr>
      <w:tr w:rsidR="001B0BAA" w:rsidRPr="001B0BAA" w14:paraId="4A90B9E0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FBB006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PAI-1 (ng/ml)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CCFDD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9.6 ± 8.3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DF2A86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8.2 ± 0.2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6F3D55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1 ± 0.1</w:t>
            </w:r>
          </w:p>
        </w:tc>
      </w:tr>
      <w:tr w:rsidR="001B0BAA" w:rsidRPr="001B0BAA" w14:paraId="2A102FA6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37919B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TAFI (µg/ml)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D9A8DF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8.1 ± 2.0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304A62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15.0 ± 6.4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A23D22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0.3 ± 0.3</w:t>
            </w:r>
          </w:p>
        </w:tc>
      </w:tr>
      <w:tr w:rsidR="001B0BAA" w:rsidRPr="001B0BAA" w14:paraId="439876D4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00B52B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TM (ng/ml)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32FF80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7.3 ± 1.7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8092E9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10.7 ± 2.2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90E471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1.0 ± 0.9</w:t>
            </w:r>
          </w:p>
        </w:tc>
      </w:tr>
      <w:tr w:rsidR="001B0BAA" w:rsidRPr="001B0BAA" w14:paraId="60E7DF9C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36A32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Syndecan-1 (ng/ml)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DDEF6F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 xml:space="preserve">40.1 ± 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37450C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66.8 ± 26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60C163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  <w:tr w:rsidR="001B0BAA" w:rsidRPr="001B0BAA" w14:paraId="59E52B6F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7A4C33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tPA (ng/ml)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CA02EB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1.1 ± 0.5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DEA24C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3.4 ± 0.3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052EE7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0.3 ± 0.2</w:t>
            </w:r>
          </w:p>
        </w:tc>
      </w:tr>
      <w:tr w:rsidR="001B0BAA" w:rsidRPr="001B0BAA" w14:paraId="7B9BAF81" w14:textId="77777777" w:rsidTr="00CD2521">
        <w:trPr>
          <w:trHeight w:val="20"/>
        </w:trPr>
        <w:tc>
          <w:tcPr>
            <w:tcW w:w="22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C02128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uPA</w:t>
            </w:r>
            <w:proofErr w:type="spellEnd"/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 xml:space="preserve"> (ng/ml)</w:t>
            </w:r>
          </w:p>
        </w:tc>
        <w:tc>
          <w:tcPr>
            <w:tcW w:w="1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C4E196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1.3 ± 0.01</w:t>
            </w:r>
          </w:p>
        </w:tc>
        <w:tc>
          <w:tcPr>
            <w:tcW w:w="17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0EFA1B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0.6 ± 0.1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9DA3A5" w14:textId="77777777" w:rsidR="001B0BAA" w:rsidRPr="00CD2521" w:rsidRDefault="001B0BAA" w:rsidP="001B0BAA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2521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4633BCB5" w14:textId="7A631CE6" w:rsidR="005F4CC0" w:rsidRDefault="00BE22D9" w:rsidP="00BE22D9">
      <w:pPr>
        <w:spacing w:line="360" w:lineRule="auto"/>
        <w:jc w:val="both"/>
        <w:rPr>
          <w:rFonts w:cstheme="minorHAnsi"/>
          <w:sz w:val="22"/>
          <w:szCs w:val="22"/>
        </w:rPr>
      </w:pPr>
      <w:r w:rsidRPr="00CF0887">
        <w:rPr>
          <w:rFonts w:cstheme="minorHAnsi"/>
          <w:b/>
          <w:bCs/>
          <w:i/>
          <w:iCs/>
          <w:sz w:val="22"/>
          <w:szCs w:val="22"/>
        </w:rPr>
        <w:t>Table S1. Concentrations of fibrinolytic proteins in cryoprecipitate and fibrinogen concentrate.</w:t>
      </w:r>
      <w:r>
        <w:rPr>
          <w:rFonts w:cstheme="minorHAnsi"/>
          <w:sz w:val="22"/>
          <w:szCs w:val="22"/>
        </w:rPr>
        <w:t xml:space="preserve"> Plasma antigen levels for a panel of fibrinolytic proteins were measured in pooled normal plasma (PNP), cryoprecipitate and </w:t>
      </w:r>
      <w:proofErr w:type="spellStart"/>
      <w:r>
        <w:rPr>
          <w:rFonts w:cstheme="minorHAnsi"/>
          <w:sz w:val="22"/>
          <w:szCs w:val="22"/>
        </w:rPr>
        <w:t>Fg</w:t>
      </w:r>
      <w:proofErr w:type="spellEnd"/>
      <w:r>
        <w:rPr>
          <w:rFonts w:cstheme="minorHAnsi"/>
          <w:sz w:val="22"/>
          <w:szCs w:val="22"/>
        </w:rPr>
        <w:t>-C. Data expressed at mean ± SD.</w:t>
      </w:r>
    </w:p>
    <w:p w14:paraId="47589B4A" w14:textId="77777777" w:rsidR="005F4CC0" w:rsidRDefault="005F4CC0" w:rsidP="00BE22D9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6E72CA4A" w14:textId="77777777" w:rsidR="005F4CC0" w:rsidRDefault="005F4CC0" w:rsidP="00BE22D9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04625B8D" w14:textId="2342D2B3" w:rsidR="00756DEA" w:rsidRPr="00F55778" w:rsidRDefault="00756DEA" w:rsidP="00BE22D9">
      <w:pPr>
        <w:spacing w:line="360" w:lineRule="auto"/>
        <w:jc w:val="both"/>
        <w:rPr>
          <w:rFonts w:cstheme="minorHAnsi"/>
          <w:sz w:val="22"/>
          <w:szCs w:val="22"/>
        </w:rPr>
      </w:pPr>
      <w:r>
        <w:object w:dxaOrig="12154" w:dyaOrig="8739" w14:anchorId="0C8100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24.4pt" o:ole="">
            <v:imagedata r:id="rId4" o:title=""/>
          </v:shape>
          <o:OLEObject Type="Embed" ProgID="Prism9.Document" ShapeID="_x0000_i1025" DrawAspect="Content" ObjectID="_1722863592" r:id="rId5"/>
        </w:object>
      </w:r>
    </w:p>
    <w:p w14:paraId="25BD7AF1" w14:textId="66A53890" w:rsidR="00BE22D9" w:rsidRPr="005F4CC0" w:rsidRDefault="00CD2521">
      <w:pPr>
        <w:rPr>
          <w:sz w:val="22"/>
          <w:szCs w:val="22"/>
        </w:rPr>
      </w:pPr>
      <w:r w:rsidRPr="005F4CC0">
        <w:rPr>
          <w:b/>
          <w:bCs/>
          <w:i/>
          <w:iCs/>
          <w:sz w:val="22"/>
          <w:szCs w:val="22"/>
        </w:rPr>
        <w:t>Figure S</w:t>
      </w:r>
      <w:r w:rsidR="005F4CC0">
        <w:rPr>
          <w:b/>
          <w:bCs/>
          <w:i/>
          <w:iCs/>
          <w:sz w:val="22"/>
          <w:szCs w:val="22"/>
        </w:rPr>
        <w:t>1.</w:t>
      </w:r>
      <w:r w:rsidRPr="005F4CC0">
        <w:rPr>
          <w:b/>
          <w:bCs/>
          <w:i/>
          <w:iCs/>
          <w:sz w:val="22"/>
          <w:szCs w:val="22"/>
        </w:rPr>
        <w:t xml:space="preserve"> FIBTEM, but not EXTEM, measures of clot firmness are increased post-fibrinogen transfusion.</w:t>
      </w:r>
      <w:r w:rsidRPr="005F4CC0">
        <w:rPr>
          <w:sz w:val="22"/>
          <w:szCs w:val="22"/>
        </w:rPr>
        <w:t xml:space="preserve"> ROTEM was performed on whole blood samples from FEISTY trauma patients pre- and post- transfusion with cryoprecipitate (</w:t>
      </w:r>
      <w:proofErr w:type="spellStart"/>
      <w:r w:rsidRPr="005F4CC0">
        <w:rPr>
          <w:sz w:val="22"/>
          <w:szCs w:val="22"/>
        </w:rPr>
        <w:t>cryo</w:t>
      </w:r>
      <w:proofErr w:type="spellEnd"/>
      <w:r w:rsidRPr="005F4CC0">
        <w:rPr>
          <w:sz w:val="22"/>
          <w:szCs w:val="22"/>
        </w:rPr>
        <w:t>) or fibrinogen concentrate (</w:t>
      </w:r>
      <w:proofErr w:type="spellStart"/>
      <w:r w:rsidRPr="005F4CC0">
        <w:rPr>
          <w:sz w:val="22"/>
          <w:szCs w:val="22"/>
        </w:rPr>
        <w:t>Fg</w:t>
      </w:r>
      <w:proofErr w:type="spellEnd"/>
      <w:r w:rsidRPr="005F4CC0">
        <w:rPr>
          <w:sz w:val="22"/>
          <w:szCs w:val="22"/>
        </w:rPr>
        <w:t>-C). The (A) clot amplitude at 5 minutes (CA5) and (B) maximum clot firmness (MCF) for FIBTEM; which measures the contribution of fibrinogen to the clot. The (C) CA5 and (D) MCF were also obtained for EXTEM; which determines the contribution of the extrinsic pathway. *</w:t>
      </w:r>
      <w:r w:rsidRPr="005F4CC0">
        <w:rPr>
          <w:i/>
          <w:iCs/>
          <w:sz w:val="22"/>
          <w:szCs w:val="22"/>
        </w:rPr>
        <w:t xml:space="preserve"> p</w:t>
      </w:r>
      <w:r w:rsidRPr="005F4CC0">
        <w:rPr>
          <w:sz w:val="22"/>
          <w:szCs w:val="22"/>
        </w:rPr>
        <w:t xml:space="preserve"> &lt; 0.05, ** </w:t>
      </w:r>
      <w:r w:rsidRPr="005F4CC0">
        <w:rPr>
          <w:i/>
          <w:iCs/>
          <w:sz w:val="22"/>
          <w:szCs w:val="22"/>
        </w:rPr>
        <w:t>p</w:t>
      </w:r>
      <w:r w:rsidRPr="005F4CC0">
        <w:rPr>
          <w:sz w:val="22"/>
          <w:szCs w:val="22"/>
        </w:rPr>
        <w:t xml:space="preserve"> &lt; 0.01, ***</w:t>
      </w:r>
      <w:r w:rsidRPr="005F4CC0">
        <w:rPr>
          <w:i/>
          <w:iCs/>
          <w:sz w:val="22"/>
          <w:szCs w:val="22"/>
        </w:rPr>
        <w:t xml:space="preserve"> p </w:t>
      </w:r>
      <w:r w:rsidRPr="005F4CC0">
        <w:rPr>
          <w:sz w:val="22"/>
          <w:szCs w:val="22"/>
        </w:rPr>
        <w:t>&lt; 0.001.</w:t>
      </w:r>
    </w:p>
    <w:p w14:paraId="4CB68110" w14:textId="2D4A49EA" w:rsidR="005F4CC0" w:rsidRDefault="005F4CC0"/>
    <w:p w14:paraId="16025C4B" w14:textId="739B6B41" w:rsidR="005F4CC0" w:rsidRDefault="005F4CC0"/>
    <w:p w14:paraId="10F65A8E" w14:textId="77777777" w:rsidR="005F4CC0" w:rsidRDefault="005F4CC0"/>
    <w:p w14:paraId="1355CB5E" w14:textId="77777777" w:rsidR="005F4CC0" w:rsidRDefault="005F4CC0" w:rsidP="005F4CC0">
      <w:pPr>
        <w:spacing w:line="360" w:lineRule="auto"/>
        <w:jc w:val="both"/>
        <w:rPr>
          <w:rFonts w:cstheme="minorHAnsi"/>
          <w:sz w:val="22"/>
          <w:szCs w:val="22"/>
        </w:rPr>
      </w:pPr>
      <w:r>
        <w:object w:dxaOrig="15571" w:dyaOrig="8779" w14:anchorId="301C5132">
          <v:shape id="_x0000_i1026" type="#_x0000_t75" style="width:450.75pt;height:254.25pt" o:ole="">
            <v:imagedata r:id="rId6" o:title=""/>
          </v:shape>
          <o:OLEObject Type="Embed" ProgID="Prism9.Document" ShapeID="_x0000_i1026" DrawAspect="Content" ObjectID="_1722863593" r:id="rId7"/>
        </w:object>
      </w:r>
    </w:p>
    <w:p w14:paraId="5D6785A0" w14:textId="58855C1F" w:rsidR="005F4CC0" w:rsidRDefault="005F4CC0" w:rsidP="005F4CC0">
      <w:pPr>
        <w:spacing w:line="360" w:lineRule="auto"/>
        <w:jc w:val="both"/>
        <w:rPr>
          <w:rFonts w:cstheme="minorHAnsi"/>
          <w:sz w:val="22"/>
          <w:szCs w:val="22"/>
        </w:rPr>
      </w:pPr>
      <w:r w:rsidRPr="00CF0887">
        <w:rPr>
          <w:rFonts w:cstheme="minorHAnsi"/>
          <w:b/>
          <w:bCs/>
          <w:i/>
          <w:iCs/>
          <w:sz w:val="22"/>
          <w:szCs w:val="22"/>
        </w:rPr>
        <w:t>Figure S</w:t>
      </w:r>
      <w:r>
        <w:rPr>
          <w:rFonts w:cstheme="minorHAnsi"/>
          <w:b/>
          <w:bCs/>
          <w:i/>
          <w:iCs/>
          <w:sz w:val="22"/>
          <w:szCs w:val="22"/>
        </w:rPr>
        <w:t>2</w:t>
      </w:r>
      <w:r w:rsidRPr="00CF0887">
        <w:rPr>
          <w:rFonts w:cstheme="minorHAnsi"/>
          <w:b/>
          <w:bCs/>
          <w:i/>
          <w:iCs/>
          <w:sz w:val="22"/>
          <w:szCs w:val="22"/>
        </w:rPr>
        <w:t>.</w:t>
      </w:r>
      <w:r>
        <w:rPr>
          <w:rFonts w:cstheme="minorHAnsi"/>
          <w:sz w:val="22"/>
          <w:szCs w:val="22"/>
        </w:rPr>
        <w:t xml:space="preserve"> </w:t>
      </w:r>
      <w:r w:rsidRPr="00CF0887">
        <w:rPr>
          <w:rFonts w:cstheme="minorHAnsi"/>
          <w:b/>
          <w:bCs/>
          <w:i/>
          <w:iCs/>
          <w:sz w:val="22"/>
          <w:szCs w:val="22"/>
        </w:rPr>
        <w:t>Inflammatory and endothelial markers are elevated in trauma patients.</w:t>
      </w:r>
      <w:r>
        <w:rPr>
          <w:rFonts w:cstheme="minorHAnsi"/>
          <w:sz w:val="22"/>
          <w:szCs w:val="22"/>
        </w:rPr>
        <w:t xml:space="preserve"> </w:t>
      </w:r>
      <w:r w:rsidRPr="00F55778">
        <w:rPr>
          <w:rFonts w:cstheme="minorHAnsi"/>
          <w:sz w:val="22"/>
          <w:szCs w:val="22"/>
        </w:rPr>
        <w:t xml:space="preserve">(A) </w:t>
      </w:r>
      <w:r>
        <w:rPr>
          <w:rFonts w:cstheme="minorHAnsi"/>
          <w:sz w:val="22"/>
          <w:szCs w:val="22"/>
        </w:rPr>
        <w:t>CRP</w:t>
      </w:r>
      <w:r w:rsidRPr="00F55778">
        <w:rPr>
          <w:rFonts w:cstheme="minorHAnsi"/>
          <w:sz w:val="22"/>
          <w:szCs w:val="22"/>
        </w:rPr>
        <w:t xml:space="preserve">, (B) </w:t>
      </w:r>
      <w:r>
        <w:rPr>
          <w:rFonts w:cstheme="minorHAnsi"/>
          <w:sz w:val="22"/>
          <w:szCs w:val="22"/>
        </w:rPr>
        <w:t>D-Dimer</w:t>
      </w:r>
      <w:r w:rsidRPr="00F55778">
        <w:rPr>
          <w:rFonts w:cstheme="minorHAnsi"/>
          <w:sz w:val="22"/>
          <w:szCs w:val="22"/>
        </w:rPr>
        <w:t xml:space="preserve">, (C) </w:t>
      </w:r>
      <w:proofErr w:type="spellStart"/>
      <w:r>
        <w:rPr>
          <w:rFonts w:cstheme="minorHAnsi"/>
          <w:sz w:val="22"/>
          <w:szCs w:val="22"/>
        </w:rPr>
        <w:t>uPA</w:t>
      </w:r>
      <w:proofErr w:type="spellEnd"/>
      <w:r>
        <w:rPr>
          <w:rFonts w:cstheme="minorHAnsi"/>
          <w:sz w:val="22"/>
          <w:szCs w:val="22"/>
        </w:rPr>
        <w:t xml:space="preserve"> and</w:t>
      </w:r>
      <w:r w:rsidRPr="00F55778">
        <w:rPr>
          <w:rFonts w:cstheme="minorHAnsi"/>
          <w:sz w:val="22"/>
          <w:szCs w:val="22"/>
        </w:rPr>
        <w:t xml:space="preserve"> (D) </w:t>
      </w:r>
      <w:r>
        <w:rPr>
          <w:rFonts w:cstheme="minorHAnsi"/>
          <w:sz w:val="22"/>
          <w:szCs w:val="22"/>
        </w:rPr>
        <w:t>Syndecan-1</w:t>
      </w:r>
      <w:r w:rsidRPr="00F55778">
        <w:rPr>
          <w:rFonts w:cstheme="minorHAnsi"/>
          <w:sz w:val="22"/>
          <w:szCs w:val="22"/>
        </w:rPr>
        <w:t xml:space="preserve"> antigen concentration were measured in plasma samples pre- and post- </w:t>
      </w:r>
      <w:r>
        <w:rPr>
          <w:rFonts w:cstheme="minorHAnsi"/>
          <w:sz w:val="22"/>
          <w:szCs w:val="22"/>
        </w:rPr>
        <w:t>cryoprecipitate</w:t>
      </w:r>
      <w:r w:rsidRPr="00F55778">
        <w:rPr>
          <w:rFonts w:cstheme="minorHAnsi"/>
          <w:sz w:val="22"/>
          <w:szCs w:val="22"/>
        </w:rPr>
        <w:t xml:space="preserve"> (</w:t>
      </w:r>
      <w:proofErr w:type="spellStart"/>
      <w:r w:rsidRPr="00F55778">
        <w:rPr>
          <w:rFonts w:cstheme="minorHAnsi"/>
          <w:sz w:val="22"/>
          <w:szCs w:val="22"/>
        </w:rPr>
        <w:t>cryo</w:t>
      </w:r>
      <w:proofErr w:type="spellEnd"/>
      <w:r w:rsidRPr="00F55778">
        <w:rPr>
          <w:rFonts w:cstheme="minorHAnsi"/>
          <w:sz w:val="22"/>
          <w:szCs w:val="22"/>
        </w:rPr>
        <w:t>) and fibrinogen concentrate (</w:t>
      </w:r>
      <w:proofErr w:type="spellStart"/>
      <w:r w:rsidRPr="00F55778">
        <w:rPr>
          <w:rFonts w:cstheme="minorHAnsi"/>
          <w:sz w:val="22"/>
          <w:szCs w:val="22"/>
        </w:rPr>
        <w:t>Fg</w:t>
      </w:r>
      <w:proofErr w:type="spellEnd"/>
      <w:r w:rsidRPr="00F55778">
        <w:rPr>
          <w:rFonts w:cstheme="minorHAnsi"/>
          <w:sz w:val="22"/>
          <w:szCs w:val="22"/>
        </w:rPr>
        <w:t xml:space="preserve">-C) transfusion. Grey dotted lines indicate the normal range from </w:t>
      </w:r>
      <w:r>
        <w:rPr>
          <w:rFonts w:cstheme="minorHAnsi"/>
          <w:sz w:val="22"/>
          <w:szCs w:val="22"/>
        </w:rPr>
        <w:t xml:space="preserve">16 </w:t>
      </w:r>
      <w:r w:rsidRPr="00F55778">
        <w:rPr>
          <w:rFonts w:cstheme="minorHAnsi"/>
          <w:sz w:val="22"/>
          <w:szCs w:val="22"/>
        </w:rPr>
        <w:t xml:space="preserve">healthy volunteers. </w:t>
      </w:r>
      <w:r>
        <w:rPr>
          <w:rFonts w:cstheme="minorHAnsi"/>
          <w:sz w:val="22"/>
          <w:szCs w:val="22"/>
        </w:rPr>
        <w:t xml:space="preserve">* </w:t>
      </w:r>
      <w:r w:rsidRPr="00C416C4">
        <w:rPr>
          <w:rFonts w:cstheme="minorHAnsi"/>
          <w:i/>
          <w:iCs/>
          <w:sz w:val="22"/>
          <w:szCs w:val="22"/>
        </w:rPr>
        <w:t>p</w:t>
      </w:r>
      <w:r>
        <w:rPr>
          <w:rFonts w:cstheme="minorHAnsi"/>
          <w:sz w:val="22"/>
          <w:szCs w:val="22"/>
        </w:rPr>
        <w:t xml:space="preserve"> &lt; 0.05. ** </w:t>
      </w:r>
      <w:r w:rsidRPr="00C416C4">
        <w:rPr>
          <w:rFonts w:cstheme="minorHAnsi"/>
          <w:i/>
          <w:iCs/>
          <w:sz w:val="22"/>
          <w:szCs w:val="22"/>
        </w:rPr>
        <w:t>p</w:t>
      </w:r>
      <w:r>
        <w:rPr>
          <w:rFonts w:cstheme="minorHAnsi"/>
          <w:sz w:val="22"/>
          <w:szCs w:val="22"/>
        </w:rPr>
        <w:t xml:space="preserve"> &lt; 0.01 </w:t>
      </w:r>
      <w:r w:rsidRPr="00C416C4">
        <w:rPr>
          <w:rFonts w:cstheme="minorHAnsi"/>
          <w:i/>
          <w:iCs/>
          <w:sz w:val="22"/>
          <w:szCs w:val="22"/>
        </w:rPr>
        <w:t>vs.</w:t>
      </w:r>
      <w:r>
        <w:rPr>
          <w:rFonts w:cstheme="minorHAnsi"/>
          <w:sz w:val="22"/>
          <w:szCs w:val="22"/>
        </w:rPr>
        <w:t xml:space="preserve"> healthy controls.</w:t>
      </w:r>
    </w:p>
    <w:p w14:paraId="677E38F8" w14:textId="0F2C0448" w:rsidR="005F4CC0" w:rsidRDefault="005F4CC0" w:rsidP="005F4CC0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26ACEAAA" w14:textId="52B3518D" w:rsidR="005F4CC0" w:rsidRDefault="005F4CC0" w:rsidP="005F4CC0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444C673D" w14:textId="422160E8" w:rsidR="005F4CC0" w:rsidRDefault="005F4CC0" w:rsidP="005F4CC0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158F84A4" w14:textId="77777777" w:rsidR="005F4CC0" w:rsidRDefault="005F4CC0" w:rsidP="005F4CC0">
      <w:pPr>
        <w:spacing w:line="360" w:lineRule="auto"/>
        <w:jc w:val="both"/>
        <w:rPr>
          <w:rFonts w:cstheme="minorHAnsi"/>
          <w:sz w:val="22"/>
          <w:szCs w:val="22"/>
        </w:rPr>
      </w:pPr>
    </w:p>
    <w:p w14:paraId="69BA6E09" w14:textId="51C44C37" w:rsidR="005F4CC0" w:rsidRDefault="005F4CC0" w:rsidP="005F4CC0"/>
    <w:sectPr w:rsidR="005F4C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2D9"/>
    <w:rsid w:val="00084B13"/>
    <w:rsid w:val="001B0BAA"/>
    <w:rsid w:val="00381BCF"/>
    <w:rsid w:val="003C5BFF"/>
    <w:rsid w:val="00547E31"/>
    <w:rsid w:val="00570010"/>
    <w:rsid w:val="005F4CC0"/>
    <w:rsid w:val="00613BBC"/>
    <w:rsid w:val="00756DEA"/>
    <w:rsid w:val="0082266B"/>
    <w:rsid w:val="00AC0FE1"/>
    <w:rsid w:val="00BE22D9"/>
    <w:rsid w:val="00C21AC5"/>
    <w:rsid w:val="00C416C4"/>
    <w:rsid w:val="00CD2521"/>
    <w:rsid w:val="00E0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ADC5935"/>
  <w15:chartTrackingRefBased/>
  <w15:docId w15:val="{D7198121-991C-4CAF-9E3C-76274B3A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22D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C5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5BF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C5BF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0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Morrow, Gael</dc:creator>
  <cp:keywords/>
  <dc:description/>
  <cp:lastModifiedBy>Morrow, Gael</cp:lastModifiedBy>
  <cp:revision>13</cp:revision>
  <dcterms:created xsi:type="dcterms:W3CDTF">2022-05-13T08:16:00Z</dcterms:created>
  <dcterms:modified xsi:type="dcterms:W3CDTF">2022-08-24T15:27:00Z</dcterms:modified>
</cp:coreProperties>
</file>