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485" w:rsidRPr="00A25E5C" w:rsidRDefault="00106644" w:rsidP="00D67702">
      <w:pPr>
        <w:spacing w:line="360" w:lineRule="auto"/>
        <w:rPr>
          <w:color w:val="000000" w:themeColor="text1"/>
        </w:rPr>
      </w:pPr>
      <w:r w:rsidRPr="00A25E5C">
        <w:rPr>
          <w:noProof/>
          <w:color w:val="000000" w:themeColor="text1"/>
          <w:lang w:val="en-IN" w:eastAsia="en-IN"/>
        </w:rPr>
        <w:drawing>
          <wp:inline distT="0" distB="0" distL="0" distR="0">
            <wp:extent cx="5274310" cy="22059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6644" w:rsidRPr="00A25E5C" w:rsidRDefault="00106644" w:rsidP="00106644">
      <w:pPr>
        <w:spacing w:line="360" w:lineRule="auto"/>
        <w:jc w:val="center"/>
        <w:rPr>
          <w:color w:val="000000" w:themeColor="text1"/>
        </w:rPr>
      </w:pPr>
      <w:r w:rsidRPr="00A25E5C">
        <w:rPr>
          <w:color w:val="000000" w:themeColor="text1"/>
        </w:rPr>
        <w:t>Figure S1. Scatterplot of polymyxin B AUC</w:t>
      </w:r>
      <w:r w:rsidRPr="00A25E5C">
        <w:rPr>
          <w:color w:val="000000" w:themeColor="text1"/>
          <w:vertAlign w:val="subscript"/>
        </w:rPr>
        <w:t>ss,24h</w:t>
      </w:r>
      <w:r w:rsidRPr="00A25E5C">
        <w:rPr>
          <w:color w:val="000000" w:themeColor="text1"/>
        </w:rPr>
        <w:t xml:space="preserve"> versus </w:t>
      </w:r>
      <w:r w:rsidRPr="00A25E5C">
        <w:rPr>
          <w:rFonts w:hint="eastAsia"/>
          <w:color w:val="000000" w:themeColor="text1"/>
        </w:rPr>
        <w:t>dosage</w:t>
      </w:r>
      <w:r w:rsidRPr="00A25E5C">
        <w:rPr>
          <w:color w:val="000000" w:themeColor="text1"/>
        </w:rPr>
        <w:t>.</w:t>
      </w:r>
      <w:r w:rsidR="00FC354B" w:rsidRPr="00A25E5C">
        <w:rPr>
          <w:color w:val="000000" w:themeColor="text1"/>
        </w:rPr>
        <w:t xml:space="preserve"> AUC</w:t>
      </w:r>
      <w:r w:rsidR="00FC354B" w:rsidRPr="00A25E5C">
        <w:rPr>
          <w:color w:val="000000" w:themeColor="text1"/>
          <w:vertAlign w:val="subscript"/>
        </w:rPr>
        <w:t>ss,24h</w:t>
      </w:r>
      <w:r w:rsidR="00FC354B" w:rsidRPr="00A25E5C">
        <w:rPr>
          <w:color w:val="000000" w:themeColor="text1"/>
        </w:rPr>
        <w:t>, the area under the plasma concentration-time curve across 24 hours at steady state.</w:t>
      </w:r>
    </w:p>
    <w:p w:rsidR="00D67702" w:rsidRPr="00A25E5C" w:rsidRDefault="00D67702" w:rsidP="00D67702">
      <w:pPr>
        <w:spacing w:line="360" w:lineRule="auto"/>
        <w:rPr>
          <w:color w:val="000000" w:themeColor="text1"/>
        </w:rPr>
      </w:pPr>
      <w:r w:rsidRPr="00A25E5C">
        <w:rPr>
          <w:noProof/>
          <w:color w:val="000000" w:themeColor="text1"/>
          <w:lang w:val="en-IN" w:eastAsia="en-IN"/>
        </w:rPr>
        <w:drawing>
          <wp:inline distT="0" distB="0" distL="0" distR="0">
            <wp:extent cx="5274945" cy="2832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702" w:rsidRPr="00A25E5C" w:rsidRDefault="00D67702" w:rsidP="00D67702">
      <w:pPr>
        <w:jc w:val="center"/>
        <w:rPr>
          <w:color w:val="000000" w:themeColor="text1"/>
        </w:rPr>
      </w:pPr>
      <w:r w:rsidRPr="00A25E5C">
        <w:rPr>
          <w:color w:val="000000" w:themeColor="text1"/>
        </w:rPr>
        <w:t>Figure S</w:t>
      </w:r>
      <w:r w:rsidR="00106644" w:rsidRPr="00A25E5C">
        <w:rPr>
          <w:color w:val="000000" w:themeColor="text1"/>
        </w:rPr>
        <w:t>2</w:t>
      </w:r>
      <w:r w:rsidRPr="00A25E5C">
        <w:rPr>
          <w:color w:val="000000" w:themeColor="text1"/>
        </w:rPr>
        <w:t>. Scatterplot of polymyxin B AUC</w:t>
      </w:r>
      <w:r w:rsidRPr="00A25E5C">
        <w:rPr>
          <w:color w:val="000000" w:themeColor="text1"/>
          <w:vertAlign w:val="subscript"/>
        </w:rPr>
        <w:t>ss,24h</w:t>
      </w:r>
      <w:r w:rsidRPr="00A25E5C">
        <w:rPr>
          <w:color w:val="000000" w:themeColor="text1"/>
        </w:rPr>
        <w:t xml:space="preserve"> (a) and C</w:t>
      </w:r>
      <w:r w:rsidRPr="00A25E5C">
        <w:rPr>
          <w:color w:val="000000" w:themeColor="text1"/>
          <w:vertAlign w:val="subscript"/>
        </w:rPr>
        <w:t>0h</w:t>
      </w:r>
      <w:r w:rsidRPr="00A25E5C">
        <w:rPr>
          <w:color w:val="000000" w:themeColor="text1"/>
        </w:rPr>
        <w:t xml:space="preserve"> (b)</w:t>
      </w:r>
      <w:bookmarkStart w:id="1" w:name="OLE_LINK1"/>
      <w:bookmarkStart w:id="2" w:name="OLE_LINK2"/>
      <w:r w:rsidRPr="00A25E5C">
        <w:rPr>
          <w:color w:val="000000" w:themeColor="text1"/>
        </w:rPr>
        <w:t xml:space="preserve"> stratified for different s</w:t>
      </w:r>
      <w:bookmarkEnd w:id="1"/>
      <w:bookmarkEnd w:id="2"/>
      <w:r w:rsidRPr="00A25E5C">
        <w:rPr>
          <w:color w:val="000000" w:themeColor="text1"/>
        </w:rPr>
        <w:t xml:space="preserve">tages of acute kidney injury. </w:t>
      </w:r>
      <w:r w:rsidR="00FC354B" w:rsidRPr="00A25E5C">
        <w:rPr>
          <w:color w:val="000000" w:themeColor="text1"/>
        </w:rPr>
        <w:t>AUC</w:t>
      </w:r>
      <w:r w:rsidR="00FC354B" w:rsidRPr="00A25E5C">
        <w:rPr>
          <w:color w:val="000000" w:themeColor="text1"/>
          <w:vertAlign w:val="subscript"/>
        </w:rPr>
        <w:t>ss,24h</w:t>
      </w:r>
      <w:r w:rsidR="00FC354B" w:rsidRPr="00A25E5C">
        <w:rPr>
          <w:color w:val="000000" w:themeColor="text1"/>
        </w:rPr>
        <w:t>, the area under the plasma concentration-time curve across 24 hours at steady state; C</w:t>
      </w:r>
      <w:r w:rsidR="00FC354B" w:rsidRPr="00A25E5C">
        <w:rPr>
          <w:color w:val="000000" w:themeColor="text1"/>
          <w:vertAlign w:val="subscript"/>
        </w:rPr>
        <w:t>0h</w:t>
      </w:r>
      <w:r w:rsidR="00FC354B" w:rsidRPr="00A25E5C">
        <w:rPr>
          <w:color w:val="000000" w:themeColor="text1"/>
        </w:rPr>
        <w:t>, trough concentration.</w:t>
      </w:r>
    </w:p>
    <w:p w:rsidR="00D67702" w:rsidRPr="00A25E5C" w:rsidRDefault="00D67702" w:rsidP="00D67702">
      <w:pPr>
        <w:rPr>
          <w:color w:val="000000" w:themeColor="text1"/>
        </w:rPr>
      </w:pPr>
    </w:p>
    <w:p w:rsidR="00D67702" w:rsidRPr="00A25E5C" w:rsidRDefault="006072FA" w:rsidP="00D67702">
      <w:pPr>
        <w:rPr>
          <w:color w:val="000000" w:themeColor="text1"/>
        </w:rPr>
      </w:pPr>
      <w:r w:rsidRPr="00A25E5C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>
            <wp:extent cx="5274310" cy="22631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702" w:rsidRPr="00A25E5C" w:rsidRDefault="00D67702" w:rsidP="00D67702">
      <w:pPr>
        <w:jc w:val="center"/>
        <w:rPr>
          <w:color w:val="000000" w:themeColor="text1"/>
        </w:rPr>
      </w:pPr>
      <w:r w:rsidRPr="00A25E5C">
        <w:rPr>
          <w:color w:val="000000" w:themeColor="text1"/>
        </w:rPr>
        <w:t>Figure S</w:t>
      </w:r>
      <w:r w:rsidR="00106644" w:rsidRPr="00A25E5C">
        <w:rPr>
          <w:color w:val="000000" w:themeColor="text1"/>
        </w:rPr>
        <w:t>3</w:t>
      </w:r>
      <w:r w:rsidRPr="00A25E5C">
        <w:rPr>
          <w:color w:val="000000" w:themeColor="text1"/>
        </w:rPr>
        <w:t>. Kaplan-Meier estimates of survival to 30 days after administration of polymyxin B. Stratified by AUC</w:t>
      </w:r>
      <w:r w:rsidRPr="00A25E5C">
        <w:rPr>
          <w:color w:val="000000" w:themeColor="text1"/>
          <w:vertAlign w:val="subscript"/>
        </w:rPr>
        <w:t>ss,24h</w:t>
      </w:r>
      <w:r w:rsidRPr="00A25E5C">
        <w:rPr>
          <w:color w:val="000000" w:themeColor="text1"/>
        </w:rPr>
        <w:t xml:space="preserve"> (a) and C</w:t>
      </w:r>
      <w:r w:rsidRPr="00A25E5C">
        <w:rPr>
          <w:color w:val="000000" w:themeColor="text1"/>
          <w:vertAlign w:val="subscript"/>
        </w:rPr>
        <w:t>0h</w:t>
      </w:r>
      <w:r w:rsidRPr="00A25E5C">
        <w:rPr>
          <w:color w:val="000000" w:themeColor="text1"/>
        </w:rPr>
        <w:t xml:space="preserve"> (b)</w:t>
      </w:r>
      <w:r w:rsidRPr="00A25E5C">
        <w:rPr>
          <w:rFonts w:hint="eastAsia"/>
          <w:color w:val="000000" w:themeColor="text1"/>
        </w:rPr>
        <w:t>.</w:t>
      </w:r>
      <w:r w:rsidRPr="00A25E5C">
        <w:rPr>
          <w:color w:val="000000" w:themeColor="text1"/>
        </w:rPr>
        <w:t xml:space="preserve"> AUC</w:t>
      </w:r>
      <w:r w:rsidRPr="00A25E5C">
        <w:rPr>
          <w:color w:val="000000" w:themeColor="text1"/>
          <w:vertAlign w:val="subscript"/>
        </w:rPr>
        <w:t>ss,24h</w:t>
      </w:r>
      <w:r w:rsidRPr="00A25E5C">
        <w:rPr>
          <w:color w:val="000000" w:themeColor="text1"/>
        </w:rPr>
        <w:t>, the area under the plasma concentration-time curve across 24 hours at steady state; C</w:t>
      </w:r>
      <w:r w:rsidRPr="00A25E5C">
        <w:rPr>
          <w:color w:val="000000" w:themeColor="text1"/>
          <w:vertAlign w:val="subscript"/>
        </w:rPr>
        <w:t>0h</w:t>
      </w:r>
      <w:r w:rsidRPr="00A25E5C">
        <w:rPr>
          <w:color w:val="000000" w:themeColor="text1"/>
        </w:rPr>
        <w:t>, trough concentration.</w:t>
      </w:r>
    </w:p>
    <w:p w:rsidR="008A4D27" w:rsidRPr="00A25E5C" w:rsidRDefault="008A4D27">
      <w:pPr>
        <w:rPr>
          <w:color w:val="000000" w:themeColor="text1"/>
        </w:rPr>
      </w:pPr>
    </w:p>
    <w:sectPr w:rsidR="008A4D27" w:rsidRPr="00A25E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4E1" w:rsidRDefault="00B754E1" w:rsidP="00D67702">
      <w:r>
        <w:separator/>
      </w:r>
    </w:p>
  </w:endnote>
  <w:endnote w:type="continuationSeparator" w:id="0">
    <w:p w:rsidR="00B754E1" w:rsidRDefault="00B754E1" w:rsidP="00D6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4E1" w:rsidRDefault="00B754E1" w:rsidP="00D67702">
      <w:r>
        <w:separator/>
      </w:r>
    </w:p>
  </w:footnote>
  <w:footnote w:type="continuationSeparator" w:id="0">
    <w:p w:rsidR="00B754E1" w:rsidRDefault="00B754E1" w:rsidP="00D67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CCB"/>
    <w:rsid w:val="00106644"/>
    <w:rsid w:val="001B1901"/>
    <w:rsid w:val="00216485"/>
    <w:rsid w:val="00342CCB"/>
    <w:rsid w:val="00451435"/>
    <w:rsid w:val="00465C92"/>
    <w:rsid w:val="006072FA"/>
    <w:rsid w:val="006D7D97"/>
    <w:rsid w:val="00787E03"/>
    <w:rsid w:val="008A4D27"/>
    <w:rsid w:val="00A25E5C"/>
    <w:rsid w:val="00A40D10"/>
    <w:rsid w:val="00AA0BA7"/>
    <w:rsid w:val="00B22340"/>
    <w:rsid w:val="00B4231F"/>
    <w:rsid w:val="00B754E1"/>
    <w:rsid w:val="00BE0C76"/>
    <w:rsid w:val="00D3374B"/>
    <w:rsid w:val="00D475CF"/>
    <w:rsid w:val="00D67702"/>
    <w:rsid w:val="00FC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0353534-6B4B-4C7D-8973-7EE81C05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702"/>
    <w:pPr>
      <w:widowControl w:val="0"/>
      <w:jc w:val="both"/>
    </w:pPr>
    <w:rPr>
      <w:rFonts w:ascii="Times New Roman"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7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6770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677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677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11</cp:revision>
  <dcterms:created xsi:type="dcterms:W3CDTF">2022-08-09T07:45:00Z</dcterms:created>
  <dcterms:modified xsi:type="dcterms:W3CDTF">2022-10-17T10:47:00Z</dcterms:modified>
</cp:coreProperties>
</file>