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C8719" w14:textId="4A3E0F25" w:rsidR="00CA1222" w:rsidRPr="00BE2BFC" w:rsidRDefault="00CA1222" w:rsidP="00BE2B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Effects of an Asymmetrical</w:t>
      </w:r>
      <w:r w:rsidRPr="005B5477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High Flow Nasal Cannula Interface</w:t>
      </w:r>
      <w:r w:rsidRPr="005B5477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i</w:t>
      </w:r>
      <w:r w:rsidRPr="005B5477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n 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Hypoxemic P</w:t>
      </w:r>
      <w:r w:rsidRPr="005B5477">
        <w:rPr>
          <w:rFonts w:ascii="Times New Roman" w:hAnsi="Times New Roman" w:cs="Times New Roman"/>
          <w:b/>
          <w:bCs/>
          <w:sz w:val="24"/>
          <w:szCs w:val="24"/>
          <w:lang w:val="en-CA"/>
        </w:rPr>
        <w:t>atients</w:t>
      </w:r>
      <w:r w:rsidR="00BE2BFC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: </w:t>
      </w:r>
      <w:r w:rsidR="00BE2BFC" w:rsidRPr="00CA1222">
        <w:rPr>
          <w:rFonts w:ascii="Times New Roman" w:hAnsi="Times New Roman" w:cs="Times New Roman"/>
          <w:b/>
          <w:bCs/>
          <w:sz w:val="24"/>
          <w:szCs w:val="24"/>
        </w:rPr>
        <w:t>Online Supplement</w:t>
      </w:r>
    </w:p>
    <w:p w14:paraId="0747A8F2" w14:textId="6D02849F" w:rsidR="00CA1222" w:rsidRPr="00FE7C0D" w:rsidRDefault="00CA1222" w:rsidP="00CA12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E7C0D">
        <w:rPr>
          <w:rFonts w:ascii="Times New Roman" w:hAnsi="Times New Roman" w:cs="Times New Roman"/>
          <w:sz w:val="24"/>
          <w:szCs w:val="24"/>
          <w:lang w:val="it-IT"/>
        </w:rPr>
        <w:t xml:space="preserve">Douglas Slobod,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Elena Spinelli, Stefania Crotti, Alfredo Lissoni, Alessandro Galazzi, </w:t>
      </w:r>
      <w:r w:rsidRPr="006F0445">
        <w:rPr>
          <w:rFonts w:ascii="Times New Roman" w:hAnsi="Times New Roman" w:cs="Times New Roman"/>
          <w:sz w:val="24"/>
          <w:szCs w:val="24"/>
          <w:lang w:val="it-IT"/>
        </w:rPr>
        <w:t>Giacomo Grasselli</w:t>
      </w:r>
      <w:r>
        <w:rPr>
          <w:rFonts w:ascii="Times New Roman" w:hAnsi="Times New Roman" w:cs="Times New Roman"/>
          <w:sz w:val="24"/>
          <w:szCs w:val="24"/>
          <w:lang w:val="it-IT"/>
        </w:rPr>
        <w:t>, Tommaso Mauri</w:t>
      </w:r>
    </w:p>
    <w:p w14:paraId="436CDEF7" w14:textId="6C5CCF15" w:rsidR="00F10950" w:rsidRDefault="00F10950"/>
    <w:p w14:paraId="3917CFE0" w14:textId="498094CF" w:rsidR="00CA1222" w:rsidRDefault="00CA1222">
      <w:pPr>
        <w:rPr>
          <w:rFonts w:ascii="Times New Roman" w:hAnsi="Times New Roman" w:cs="Times New Roman"/>
          <w:sz w:val="24"/>
          <w:szCs w:val="24"/>
        </w:rPr>
      </w:pPr>
    </w:p>
    <w:p w14:paraId="64D996D3" w14:textId="2E121AC8" w:rsidR="00CA1222" w:rsidRDefault="00BE2BFC" w:rsidP="00191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A1222" w:rsidRPr="00BE2BFC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BE2BF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Respiratory rate before and after application of the asymmetric high flow nasal cannula interface. The difference was not significant at each flow rate (see Table 2 in main manuscript for statistical information).</w:t>
      </w:r>
      <w:r w:rsidR="00191116">
        <w:rPr>
          <w:rFonts w:ascii="Times New Roman" w:hAnsi="Times New Roman" w:cs="Times New Roman"/>
          <w:sz w:val="24"/>
          <w:szCs w:val="24"/>
        </w:rPr>
        <w:t xml:space="preserve"> </w:t>
      </w:r>
      <w:r w:rsidR="00191116">
        <w:rPr>
          <w:rFonts w:ascii="Times New Roman" w:hAnsi="Times New Roman" w:cs="Times New Roman"/>
          <w:sz w:val="24"/>
          <w:szCs w:val="24"/>
          <w:lang w:val="en-CA"/>
        </w:rPr>
        <w:t>Horizontal bars represent median and interquartile range.</w:t>
      </w:r>
    </w:p>
    <w:p w14:paraId="357B4B1F" w14:textId="55FDB735" w:rsidR="00CA1222" w:rsidRDefault="00CA1222">
      <w:pPr>
        <w:rPr>
          <w:rFonts w:ascii="Times New Roman" w:hAnsi="Times New Roman" w:cs="Times New Roman"/>
          <w:sz w:val="24"/>
          <w:szCs w:val="24"/>
        </w:rPr>
      </w:pPr>
    </w:p>
    <w:p w14:paraId="016A4905" w14:textId="532BAF11" w:rsidR="00CA1222" w:rsidRDefault="00CA12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6B9D71" wp14:editId="2E4934F0">
            <wp:extent cx="5943600" cy="3082290"/>
            <wp:effectExtent l="0" t="0" r="0" b="3810"/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7FBF0" w14:textId="57B8FB15" w:rsidR="00CA1222" w:rsidRDefault="00CA1222">
      <w:pPr>
        <w:rPr>
          <w:rFonts w:ascii="Times New Roman" w:hAnsi="Times New Roman" w:cs="Times New Roman"/>
          <w:sz w:val="24"/>
          <w:szCs w:val="24"/>
        </w:rPr>
      </w:pPr>
    </w:p>
    <w:p w14:paraId="0CEC217F" w14:textId="77777777" w:rsidR="00CA1222" w:rsidRDefault="00CA1222">
      <w:pPr>
        <w:rPr>
          <w:rFonts w:ascii="Times New Roman" w:hAnsi="Times New Roman" w:cs="Times New Roman"/>
          <w:sz w:val="24"/>
          <w:szCs w:val="24"/>
        </w:rPr>
      </w:pPr>
    </w:p>
    <w:p w14:paraId="46FED060" w14:textId="77777777" w:rsidR="00CA1222" w:rsidRDefault="00CA1222">
      <w:pPr>
        <w:rPr>
          <w:rFonts w:ascii="Times New Roman" w:hAnsi="Times New Roman" w:cs="Times New Roman"/>
          <w:sz w:val="24"/>
          <w:szCs w:val="24"/>
        </w:rPr>
      </w:pPr>
    </w:p>
    <w:p w14:paraId="0D59D15D" w14:textId="77777777" w:rsidR="00CA1222" w:rsidRDefault="00CA1222">
      <w:pPr>
        <w:rPr>
          <w:rFonts w:ascii="Times New Roman" w:hAnsi="Times New Roman" w:cs="Times New Roman"/>
          <w:sz w:val="24"/>
          <w:szCs w:val="24"/>
        </w:rPr>
      </w:pPr>
    </w:p>
    <w:p w14:paraId="1FF680F7" w14:textId="77777777" w:rsidR="00CA1222" w:rsidRDefault="00CA1222">
      <w:pPr>
        <w:rPr>
          <w:rFonts w:ascii="Times New Roman" w:hAnsi="Times New Roman" w:cs="Times New Roman"/>
          <w:sz w:val="24"/>
          <w:szCs w:val="24"/>
        </w:rPr>
      </w:pPr>
    </w:p>
    <w:p w14:paraId="6E8526BF" w14:textId="661672E1" w:rsidR="00CA1222" w:rsidRDefault="00BE2BFC" w:rsidP="001911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CA1222" w:rsidRPr="00BE2BFC">
        <w:rPr>
          <w:rFonts w:ascii="Times New Roman" w:hAnsi="Times New Roman" w:cs="Times New Roman"/>
          <w:b/>
          <w:bCs/>
          <w:sz w:val="24"/>
          <w:szCs w:val="24"/>
        </w:rPr>
        <w:t>Figure 2</w:t>
      </w:r>
      <w:r w:rsidRPr="00BE2BF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 change in esophageal pressure (∆Pes) before and after application of the asymmetric high flow nasal cannula interface. The difference was not significant at each flow rate (see Table 2 in main manuscript for statistical information).</w:t>
      </w:r>
      <w:r w:rsidR="00191116">
        <w:rPr>
          <w:rFonts w:ascii="Times New Roman" w:hAnsi="Times New Roman" w:cs="Times New Roman"/>
          <w:sz w:val="24"/>
          <w:szCs w:val="24"/>
        </w:rPr>
        <w:t xml:space="preserve"> </w:t>
      </w:r>
      <w:r w:rsidR="00191116">
        <w:rPr>
          <w:rFonts w:ascii="Times New Roman" w:hAnsi="Times New Roman" w:cs="Times New Roman"/>
          <w:sz w:val="24"/>
          <w:szCs w:val="24"/>
          <w:lang w:val="en-CA"/>
        </w:rPr>
        <w:t>Horizontal bars represent median and interquartile range.</w:t>
      </w:r>
    </w:p>
    <w:p w14:paraId="3FE61250" w14:textId="0DCE7053" w:rsidR="00CA1222" w:rsidRPr="00CA1222" w:rsidRDefault="00CA12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5FAE4F" wp14:editId="46B1B2BB">
            <wp:extent cx="5943600" cy="3825240"/>
            <wp:effectExtent l="0" t="0" r="0" b="3810"/>
            <wp:docPr id="2" name="Picture 2" descr="A picture containing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antenn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222" w:rsidRPr="00CA12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22"/>
    <w:rsid w:val="00191116"/>
    <w:rsid w:val="008B7D00"/>
    <w:rsid w:val="00BE2BFC"/>
    <w:rsid w:val="00CA1222"/>
    <w:rsid w:val="00F1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92BB5"/>
  <w15:chartTrackingRefBased/>
  <w15:docId w15:val="{DD6BE334-F8B9-42ED-B08E-CB007F9A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222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2B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Slobod</dc:creator>
  <cp:keywords/>
  <dc:description/>
  <cp:lastModifiedBy>Douglas Slobod</cp:lastModifiedBy>
  <cp:revision>4</cp:revision>
  <dcterms:created xsi:type="dcterms:W3CDTF">2023-03-22T15:03:00Z</dcterms:created>
  <dcterms:modified xsi:type="dcterms:W3CDTF">2023-03-24T13:53:00Z</dcterms:modified>
</cp:coreProperties>
</file>