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F7DAF" w14:textId="7903D30E" w:rsidR="006C30F2" w:rsidRDefault="006C30F2" w:rsidP="00783016">
      <w:pPr>
        <w:spacing w:after="0" w:line="480" w:lineRule="auto"/>
        <w:rPr>
          <w:rFonts w:ascii="Arial" w:hAnsi="Arial" w:cs="Arial"/>
          <w:b/>
        </w:rPr>
      </w:pPr>
      <w:r>
        <w:rPr>
          <w:rFonts w:ascii="Arial" w:hAnsi="Arial" w:cs="Arial"/>
          <w:b/>
        </w:rPr>
        <w:t>SUPPLEMENTAL METHODS:</w:t>
      </w:r>
    </w:p>
    <w:p w14:paraId="641D2301" w14:textId="77777777" w:rsidR="00783016" w:rsidRPr="00783016" w:rsidRDefault="00783016" w:rsidP="00783016">
      <w:pPr>
        <w:spacing w:after="0" w:line="480" w:lineRule="auto"/>
        <w:rPr>
          <w:rFonts w:ascii="Arial" w:hAnsi="Arial" w:cs="Arial"/>
          <w:b/>
          <w:i/>
        </w:rPr>
      </w:pPr>
      <w:r>
        <w:rPr>
          <w:rFonts w:ascii="Arial" w:hAnsi="Arial" w:cs="Arial"/>
          <w:b/>
          <w:i/>
        </w:rPr>
        <w:t>Additional Original Study Details:</w:t>
      </w:r>
    </w:p>
    <w:p w14:paraId="4CD4C2E4" w14:textId="047B6DFD" w:rsidR="00783016" w:rsidRDefault="00A16775" w:rsidP="00783016">
      <w:pPr>
        <w:spacing w:after="0" w:line="480" w:lineRule="auto"/>
        <w:ind w:firstLine="720"/>
        <w:rPr>
          <w:rFonts w:ascii="Arial" w:hAnsi="Arial" w:cs="Arial"/>
        </w:rPr>
      </w:pPr>
      <w:r>
        <w:rPr>
          <w:rFonts w:ascii="Arial" w:hAnsi="Arial" w:cs="Arial"/>
        </w:rPr>
        <w:t>The original study</w:t>
      </w:r>
      <w:r w:rsidR="00E33797">
        <w:rPr>
          <w:rFonts w:ascii="Arial" w:hAnsi="Arial" w:cs="Arial"/>
        </w:rPr>
        <w:t xml:space="preserve"> is a multicenter, prospective, observational cohort study of children aged 1 week to 18 years with septic shock</w:t>
      </w:r>
      <w:r w:rsidR="006F41BA">
        <w:rPr>
          <w:rFonts w:ascii="Arial" w:hAnsi="Arial" w:cs="Arial"/>
        </w:rPr>
        <w:t xml:space="preserve"> (definition provided below)</w:t>
      </w:r>
      <w:r w:rsidR="00E33797">
        <w:rPr>
          <w:rFonts w:ascii="Arial" w:hAnsi="Arial" w:cs="Arial"/>
        </w:rPr>
        <w:t xml:space="preserve"> conducted rom 1/2015 to 12/2018. The original study</w:t>
      </w:r>
      <w:r>
        <w:rPr>
          <w:rFonts w:ascii="Arial" w:hAnsi="Arial" w:cs="Arial"/>
        </w:rPr>
        <w:t xml:space="preserve"> protocol was</w:t>
      </w:r>
      <w:r w:rsidRPr="005A3472">
        <w:rPr>
          <w:rFonts w:ascii="Arial" w:hAnsi="Arial" w:cs="Arial"/>
        </w:rPr>
        <w:t xml:space="preserve"> approved by the </w:t>
      </w:r>
      <w:r>
        <w:rPr>
          <w:rFonts w:ascii="Arial" w:hAnsi="Arial" w:cs="Arial"/>
        </w:rPr>
        <w:t>Cincinnati Children’s Hospital Medica</w:t>
      </w:r>
      <w:r w:rsidR="00EB6CDE">
        <w:rPr>
          <w:rFonts w:ascii="Arial" w:hAnsi="Arial" w:cs="Arial"/>
        </w:rPr>
        <w:t>l</w:t>
      </w:r>
      <w:r>
        <w:rPr>
          <w:rFonts w:ascii="Arial" w:hAnsi="Arial" w:cs="Arial"/>
        </w:rPr>
        <w:t xml:space="preserve"> Center Institutional Review Board </w:t>
      </w:r>
      <w:r w:rsidRPr="005A3472">
        <w:rPr>
          <w:rFonts w:ascii="Arial" w:hAnsi="Arial" w:cs="Arial"/>
        </w:rPr>
        <w:t>prior to patient enr</w:t>
      </w:r>
      <w:r>
        <w:rPr>
          <w:rFonts w:ascii="Arial" w:hAnsi="Arial" w:cs="Arial"/>
        </w:rPr>
        <w:t xml:space="preserve">ollment, and includes approval for future secondary analyses of de-identified data and </w:t>
      </w:r>
      <w:proofErr w:type="spellStart"/>
      <w:r>
        <w:rPr>
          <w:rFonts w:ascii="Arial" w:hAnsi="Arial" w:cs="Arial"/>
        </w:rPr>
        <w:t>biospecimens</w:t>
      </w:r>
      <w:proofErr w:type="spellEnd"/>
      <w:r>
        <w:rPr>
          <w:rFonts w:ascii="Arial" w:hAnsi="Arial" w:cs="Arial"/>
        </w:rPr>
        <w:t xml:space="preserve">. </w:t>
      </w:r>
      <w:r w:rsidR="00783016">
        <w:rPr>
          <w:rFonts w:ascii="Arial" w:hAnsi="Arial" w:cs="Arial"/>
        </w:rPr>
        <w:t>Patients from the original parent study (n=461) were excluded from the previous secondary analysis cohort if they were missing serum creatinine data for assessment of AKI (n=36), had history of pre-existing kidney disease (n=46), or did not have residual serum available for analysis (n=146) (</w:t>
      </w:r>
      <w:r w:rsidR="00EB6CDE" w:rsidRPr="00EB6CDE">
        <w:rPr>
          <w:rFonts w:ascii="Arial" w:hAnsi="Arial" w:cs="Arial"/>
          <w:b/>
        </w:rPr>
        <w:t>Additional File 1,</w:t>
      </w:r>
      <w:r w:rsidR="00EB6CDE">
        <w:rPr>
          <w:rFonts w:ascii="Arial" w:hAnsi="Arial" w:cs="Arial"/>
        </w:rPr>
        <w:t xml:space="preserve"> </w:t>
      </w:r>
      <w:r w:rsidR="00783016">
        <w:rPr>
          <w:rFonts w:ascii="Arial" w:hAnsi="Arial" w:cs="Arial"/>
          <w:b/>
        </w:rPr>
        <w:t xml:space="preserve">Figure </w:t>
      </w:r>
      <w:r w:rsidR="003A5B2F">
        <w:rPr>
          <w:rFonts w:ascii="Arial" w:hAnsi="Arial" w:cs="Arial"/>
          <w:b/>
        </w:rPr>
        <w:t>S</w:t>
      </w:r>
      <w:bookmarkStart w:id="0" w:name="_GoBack"/>
      <w:bookmarkEnd w:id="0"/>
      <w:r w:rsidR="00783016">
        <w:rPr>
          <w:rFonts w:ascii="Arial" w:hAnsi="Arial" w:cs="Arial"/>
          <w:b/>
        </w:rPr>
        <w:t>1</w:t>
      </w:r>
      <w:r w:rsidR="00783016">
        <w:rPr>
          <w:rFonts w:ascii="Arial" w:hAnsi="Arial" w:cs="Arial"/>
        </w:rPr>
        <w:t xml:space="preserve">). </w:t>
      </w:r>
    </w:p>
    <w:p w14:paraId="19458364" w14:textId="3B966CA7" w:rsidR="00ED1CCA" w:rsidRDefault="00783016" w:rsidP="00ED1CCA">
      <w:pPr>
        <w:spacing w:after="0" w:line="480" w:lineRule="auto"/>
        <w:ind w:firstLine="720"/>
        <w:rPr>
          <w:rFonts w:ascii="Arial" w:hAnsi="Arial" w:cs="Arial"/>
        </w:rPr>
      </w:pPr>
      <w:r>
        <w:rPr>
          <w:rFonts w:ascii="Arial" w:hAnsi="Arial" w:cs="Arial"/>
        </w:rPr>
        <w:t xml:space="preserve">All clinical and laboratory data aside from the measured RAAS components (ACE concentration, ACE activity and renin+prorenin concentrations) were measured as part of clinical care </w:t>
      </w:r>
      <w:r w:rsidRPr="005A3472">
        <w:rPr>
          <w:rFonts w:ascii="Arial" w:hAnsi="Arial" w:cs="Arial"/>
        </w:rPr>
        <w:t>and colle</w:t>
      </w:r>
      <w:r>
        <w:rPr>
          <w:rFonts w:ascii="Arial" w:hAnsi="Arial" w:cs="Arial"/>
        </w:rPr>
        <w:t>cted for up to 7 days</w:t>
      </w:r>
      <w:r w:rsidRPr="005A3472">
        <w:rPr>
          <w:rFonts w:ascii="Arial" w:hAnsi="Arial" w:cs="Arial"/>
        </w:rPr>
        <w:t xml:space="preserve"> as par</w:t>
      </w:r>
      <w:r>
        <w:rPr>
          <w:rFonts w:ascii="Arial" w:hAnsi="Arial" w:cs="Arial"/>
        </w:rPr>
        <w:t>t of the original study</w:t>
      </w:r>
      <w:r w:rsidRPr="005A3472">
        <w:rPr>
          <w:rFonts w:ascii="Arial" w:hAnsi="Arial" w:cs="Arial"/>
        </w:rPr>
        <w:t>. Mortality</w:t>
      </w:r>
      <w:r>
        <w:rPr>
          <w:rFonts w:ascii="Arial" w:hAnsi="Arial" w:cs="Arial"/>
        </w:rPr>
        <w:t xml:space="preserve"> and length of stay were</w:t>
      </w:r>
      <w:r w:rsidRPr="005A3472">
        <w:rPr>
          <w:rFonts w:ascii="Arial" w:hAnsi="Arial" w:cs="Arial"/>
        </w:rPr>
        <w:t xml:space="preserve"> tracked for 28 days after enrollmen</w:t>
      </w:r>
      <w:r w:rsidR="00EB6CDE">
        <w:rPr>
          <w:rFonts w:ascii="Arial" w:hAnsi="Arial" w:cs="Arial"/>
        </w:rPr>
        <w:t>t</w:t>
      </w:r>
      <w:r w:rsidRPr="005A3472">
        <w:rPr>
          <w:rFonts w:ascii="Arial" w:hAnsi="Arial" w:cs="Arial"/>
        </w:rPr>
        <w:t xml:space="preserve">. </w:t>
      </w:r>
    </w:p>
    <w:p w14:paraId="3CDDD38F" w14:textId="77777777" w:rsidR="006F41BA" w:rsidRDefault="006F41BA" w:rsidP="006F41BA">
      <w:pPr>
        <w:spacing w:after="0" w:line="480" w:lineRule="auto"/>
        <w:rPr>
          <w:rFonts w:ascii="Arial" w:hAnsi="Arial" w:cs="Arial"/>
        </w:rPr>
      </w:pPr>
    </w:p>
    <w:p w14:paraId="1ACE4FA6" w14:textId="1CFDBB62" w:rsidR="00ED1CCA" w:rsidRPr="008F55FF" w:rsidRDefault="006F41BA" w:rsidP="006F41BA">
      <w:pPr>
        <w:spacing w:after="0" w:line="480" w:lineRule="auto"/>
        <w:rPr>
          <w:rFonts w:ascii="Arial" w:hAnsi="Arial" w:cs="Arial"/>
          <w:b/>
          <w:i/>
        </w:rPr>
      </w:pPr>
      <w:r w:rsidRPr="008F55FF">
        <w:rPr>
          <w:rFonts w:ascii="Arial" w:hAnsi="Arial" w:cs="Arial"/>
          <w:b/>
          <w:i/>
        </w:rPr>
        <w:t>Septic Shock Criteria for Original Study</w:t>
      </w:r>
      <w:r w:rsidR="007A3C63" w:rsidRPr="008F55FF">
        <w:rPr>
          <w:rFonts w:ascii="Arial" w:hAnsi="Arial" w:cs="Arial"/>
          <w:b/>
          <w:i/>
        </w:rPr>
        <w:t xml:space="preserve"> </w:t>
      </w:r>
      <w:r w:rsidR="007A3C63" w:rsidRPr="008F55FF">
        <w:rPr>
          <w:rFonts w:ascii="Arial" w:hAnsi="Arial" w:cs="Arial"/>
          <w:b/>
          <w:i/>
        </w:rPr>
        <w:fldChar w:fldCharType="begin"/>
      </w:r>
      <w:r w:rsidR="007A3C63" w:rsidRPr="008F55FF">
        <w:rPr>
          <w:rFonts w:ascii="Arial" w:hAnsi="Arial" w:cs="Arial"/>
          <w:b/>
          <w:i/>
        </w:rPr>
        <w:instrText xml:space="preserve"> ADDIN ZOTERO_ITEM CSL_CITATION {"citationID":"DSsZvns7","properties":{"formattedCitation":"[1]","plainCitation":"[1]","noteIndex":0},"citationItems":[{"id":217,"uris":["http://zotero.org/users/6667663/items/2WA9ADT8"],"itemData":{"id":217,"type":"article-journal","abstract":"Persevering in the face of sepsis\nDespite modern therapies, sepsis remains a major clinical problem with a high risk of mortality. Wong et al. validated a tool called PERSEVERE for predicting mortality in the setting of pediatric sepsis and then built on it to compare therapeutic strategies. To enable the use of this approach in experimental models, the authors developed an adapted version of the tool and validated it in a mouse model of sepsis. They then used mice to compare two potential therapeutic strategies, targeting inflammation or focusing on killing bacteria with high-dose antibiotics. The latter approach was much more effective in animals at high risk of death from sepsis.\nSepsis remains a major public health problem with no major therapeutic advances over the last several decades. The clinical and biological heterogeneity of sepsis have limited success of potential new therapies. Accordingly, there is considerable interest in developing a precision medicine approach to inform more rational development, testing, and targeting of new therapies. We previously developed the Pediatric Sepsis Biomarker Risk Model (PERSEVERE) to estimate mortality risk and proposed its use as a prognostic enrichment tool in sepsis clinical trials; prognostic enrichment selects patients based on mortality risk independent of treatment. Here, we show that PERSEVERE has excellent performance in a diverse cohort of children with septic shock with potential for use as a predictive enrichment strategy; predictive enrichment selects patients based on likely response to treatment. We demonstrate that the PERSEVERE biomarkers are reliably associated with mortality in mice challenged with experimental sepsis, thus providing an opportunity to test precision medicine strategies in the preclinical setting. Using this model, we tested two clinically feasible therapeutic strategies, guided by the PERSEVERE-based enrichment, and found that mice identified as high risk for mortality had a greater bacterial burden and could be rescued by higher doses of antibiotics. The association between higher pathogen burden and higher mortality risk was corroborated among critically ill children with septic shock. This bedside to bench to bedside approach provides proof of principle for PERSEVERE-guided application of precision medicine in sepsis.\nPrognostic biomarkers for pediatric septic shock are conserved in a murine model of sepsis and accelerate testing of precision medicine strategies.\nPrognostic biomarkers for pediatric septic shock are conserved in a murine model of sepsis and accelerate testing of precision medicine strategies.","container-title":"Science Translational Medicine","DOI":"10.1126/scitranslmed.aax9000","ISSN":"1946-6234, 1946-6242","issue":"518","language":"en","license":"Copyright © 2019 The Authors, some rights reserved; exclusive licensee American Association for the Advancement of Science. No claim to original U.S. Government Works. http://www.sciencemag.org/about/science-licenses-journal-article-reuseThis is an article distributed under the terms of the Science Journals Default License.","source":"stm.sciencemag.org","title":"Prospective clinical testing and experimental validation of the Pediatric Sepsis Biomarker Risk Model","URL":"https://stm.sciencemag.org/content/11/518/eaax9000","volume":"11","author":[{"family":"Wong","given":"Hector R."},{"family":"Caldwell","given":"J. Timothy"},{"family":"Cvijanovich","given":"Natalie Z."},{"family":"Weiss","given":"Scott L."},{"family":"Fitzgerald","given":"Julie C."},{"family":"Bigham","given":"Michael T."},{"family":"Jain","given":"Parag N."},{"family":"Schwarz","given":"Adam"},{"family":"Lutfi","given":"Riad"},{"family":"Nowak","given":"Jeffrey"},{"family":"Allen","given":"Geoffrey L."},{"family":"Thomas","given":"Neal J."},{"family":"Grunwell","given":"Jocelyn R."},{"family":"Baines","given":"Torrey"},{"family":"Quasney","given":"Michael"},{"family":"Haileselassie","given":"Bereketeab"},{"family":"Lindsell","given":"Christopher J."}],"accessed":{"date-parts":[["2019",11,13]]},"issued":{"date-parts":[["2019",11,13]]}}}],"schema":"https://github.com/citation-style-language/schema/raw/master/csl-citation.json"} </w:instrText>
      </w:r>
      <w:r w:rsidR="007A3C63" w:rsidRPr="008F55FF">
        <w:rPr>
          <w:rFonts w:ascii="Arial" w:hAnsi="Arial" w:cs="Arial"/>
          <w:b/>
          <w:i/>
        </w:rPr>
        <w:fldChar w:fldCharType="separate"/>
      </w:r>
      <w:r w:rsidR="007A3C63" w:rsidRPr="008F55FF">
        <w:rPr>
          <w:rFonts w:ascii="Arial" w:hAnsi="Arial" w:cs="Arial"/>
        </w:rPr>
        <w:t>[1]</w:t>
      </w:r>
      <w:r w:rsidR="007A3C63" w:rsidRPr="008F55FF">
        <w:rPr>
          <w:rFonts w:ascii="Arial" w:hAnsi="Arial" w:cs="Arial"/>
          <w:b/>
          <w:i/>
        </w:rPr>
        <w:fldChar w:fldCharType="end"/>
      </w:r>
      <w:r w:rsidRPr="008F55FF">
        <w:rPr>
          <w:rFonts w:ascii="Arial" w:hAnsi="Arial" w:cs="Arial"/>
          <w:b/>
          <w:i/>
        </w:rPr>
        <w:t>:</w:t>
      </w:r>
    </w:p>
    <w:p w14:paraId="468E0E66" w14:textId="058C58C5" w:rsidR="006F41BA" w:rsidRPr="008F55FF" w:rsidRDefault="006F41BA" w:rsidP="006F41BA">
      <w:pPr>
        <w:pStyle w:val="PlainText"/>
        <w:numPr>
          <w:ilvl w:val="0"/>
          <w:numId w:val="2"/>
        </w:numPr>
        <w:spacing w:line="480" w:lineRule="auto"/>
        <w:rPr>
          <w:rFonts w:ascii="Arial" w:hAnsi="Arial" w:cs="Arial"/>
          <w:szCs w:val="22"/>
        </w:rPr>
      </w:pPr>
      <w:r w:rsidRPr="008F55FF">
        <w:rPr>
          <w:rFonts w:ascii="Arial" w:hAnsi="Arial" w:cs="Arial"/>
          <w:szCs w:val="22"/>
        </w:rPr>
        <w:t xml:space="preserve">At least 2 systemic inflammatory response syndrome (SIRS) criteria (see below) secondary to proven or suspected infection, PLUS </w:t>
      </w:r>
    </w:p>
    <w:p w14:paraId="2BBFA0BB" w14:textId="77777777" w:rsidR="006F41BA" w:rsidRPr="008F55FF" w:rsidRDefault="006F41BA" w:rsidP="006F41BA">
      <w:pPr>
        <w:pStyle w:val="PlainText"/>
        <w:numPr>
          <w:ilvl w:val="1"/>
          <w:numId w:val="7"/>
        </w:numPr>
        <w:spacing w:line="480" w:lineRule="auto"/>
        <w:rPr>
          <w:rFonts w:ascii="Arial" w:hAnsi="Arial" w:cs="Arial"/>
          <w:szCs w:val="22"/>
        </w:rPr>
      </w:pPr>
      <w:r w:rsidRPr="008F55FF">
        <w:rPr>
          <w:rFonts w:ascii="Arial" w:hAnsi="Arial" w:cs="Arial"/>
          <w:szCs w:val="22"/>
        </w:rPr>
        <w:t>Temperature &gt;38 or &lt;36 degrees Celsius</w:t>
      </w:r>
    </w:p>
    <w:p w14:paraId="38AD0EE7" w14:textId="77777777" w:rsidR="006F41BA" w:rsidRPr="008F55FF" w:rsidRDefault="006F41BA" w:rsidP="006F41BA">
      <w:pPr>
        <w:pStyle w:val="PlainText"/>
        <w:numPr>
          <w:ilvl w:val="1"/>
          <w:numId w:val="7"/>
        </w:numPr>
        <w:spacing w:line="480" w:lineRule="auto"/>
        <w:rPr>
          <w:rFonts w:ascii="Arial" w:hAnsi="Arial" w:cs="Arial"/>
          <w:szCs w:val="22"/>
        </w:rPr>
      </w:pPr>
      <w:r w:rsidRPr="008F55FF">
        <w:rPr>
          <w:rFonts w:ascii="Arial" w:hAnsi="Arial" w:cs="Arial"/>
          <w:szCs w:val="22"/>
        </w:rPr>
        <w:t>Heart rate &gt;90</w:t>
      </w:r>
      <w:r w:rsidRPr="008F55FF">
        <w:rPr>
          <w:rFonts w:ascii="Arial" w:hAnsi="Arial" w:cs="Arial"/>
          <w:szCs w:val="22"/>
          <w:vertAlign w:val="superscript"/>
        </w:rPr>
        <w:t>th</w:t>
      </w:r>
      <w:r w:rsidRPr="008F55FF">
        <w:rPr>
          <w:rFonts w:ascii="Arial" w:hAnsi="Arial" w:cs="Arial"/>
          <w:szCs w:val="22"/>
        </w:rPr>
        <w:t xml:space="preserve"> percentile for age</w:t>
      </w:r>
    </w:p>
    <w:p w14:paraId="5F759B3F" w14:textId="77777777" w:rsidR="006F41BA" w:rsidRPr="008F55FF" w:rsidRDefault="006F41BA" w:rsidP="006F41BA">
      <w:pPr>
        <w:pStyle w:val="PlainText"/>
        <w:numPr>
          <w:ilvl w:val="1"/>
          <w:numId w:val="7"/>
        </w:numPr>
        <w:spacing w:line="480" w:lineRule="auto"/>
        <w:rPr>
          <w:rFonts w:ascii="Arial" w:hAnsi="Arial" w:cs="Arial"/>
          <w:szCs w:val="22"/>
        </w:rPr>
      </w:pPr>
      <w:r w:rsidRPr="008F55FF">
        <w:rPr>
          <w:rFonts w:ascii="Arial" w:hAnsi="Arial" w:cs="Arial"/>
          <w:szCs w:val="22"/>
        </w:rPr>
        <w:t>Respiratory rate &gt;90</w:t>
      </w:r>
      <w:r w:rsidRPr="008F55FF">
        <w:rPr>
          <w:rFonts w:ascii="Arial" w:hAnsi="Arial" w:cs="Arial"/>
          <w:szCs w:val="22"/>
          <w:vertAlign w:val="superscript"/>
        </w:rPr>
        <w:t>th</w:t>
      </w:r>
      <w:r w:rsidRPr="008F55FF">
        <w:rPr>
          <w:rFonts w:ascii="Arial" w:hAnsi="Arial" w:cs="Arial"/>
          <w:szCs w:val="22"/>
        </w:rPr>
        <w:t xml:space="preserve"> percentile for age, or hyperventilation to PaCO2 &lt;32 </w:t>
      </w:r>
      <w:proofErr w:type="spellStart"/>
      <w:r w:rsidRPr="008F55FF">
        <w:rPr>
          <w:rFonts w:ascii="Arial" w:hAnsi="Arial" w:cs="Arial"/>
          <w:szCs w:val="22"/>
        </w:rPr>
        <w:t>Torr</w:t>
      </w:r>
      <w:proofErr w:type="spellEnd"/>
    </w:p>
    <w:p w14:paraId="3DD196CE" w14:textId="77777777" w:rsidR="006F41BA" w:rsidRPr="008F55FF" w:rsidRDefault="006F41BA" w:rsidP="006F41BA">
      <w:pPr>
        <w:pStyle w:val="PlainText"/>
        <w:numPr>
          <w:ilvl w:val="1"/>
          <w:numId w:val="7"/>
        </w:numPr>
        <w:spacing w:line="480" w:lineRule="auto"/>
        <w:rPr>
          <w:rFonts w:ascii="Arial" w:hAnsi="Arial" w:cs="Arial"/>
          <w:szCs w:val="22"/>
        </w:rPr>
      </w:pPr>
      <w:r w:rsidRPr="008F55FF">
        <w:rPr>
          <w:rFonts w:ascii="Arial" w:hAnsi="Arial" w:cs="Arial"/>
          <w:szCs w:val="22"/>
        </w:rPr>
        <w:t>White blood cell count &gt;12,000 or &lt;4,000</w:t>
      </w:r>
    </w:p>
    <w:p w14:paraId="3AF56315" w14:textId="77777777" w:rsidR="006F41BA" w:rsidRPr="008F55FF" w:rsidRDefault="006F41BA" w:rsidP="006F41BA">
      <w:pPr>
        <w:pStyle w:val="PlainText"/>
        <w:numPr>
          <w:ilvl w:val="0"/>
          <w:numId w:val="2"/>
        </w:numPr>
        <w:spacing w:line="480" w:lineRule="auto"/>
        <w:rPr>
          <w:rFonts w:ascii="Arial" w:hAnsi="Arial" w:cs="Arial"/>
          <w:szCs w:val="22"/>
        </w:rPr>
      </w:pPr>
      <w:r w:rsidRPr="008F55FF">
        <w:rPr>
          <w:rFonts w:ascii="Arial" w:hAnsi="Arial" w:cs="Arial"/>
          <w:szCs w:val="22"/>
        </w:rPr>
        <w:t xml:space="preserve">Cultures either pending or positive, PLUS </w:t>
      </w:r>
    </w:p>
    <w:p w14:paraId="72E6E070" w14:textId="77777777" w:rsidR="006F41BA" w:rsidRPr="008F55FF" w:rsidRDefault="006F41BA" w:rsidP="006F41BA">
      <w:pPr>
        <w:pStyle w:val="PlainText"/>
        <w:numPr>
          <w:ilvl w:val="0"/>
          <w:numId w:val="2"/>
        </w:numPr>
        <w:spacing w:line="480" w:lineRule="auto"/>
        <w:rPr>
          <w:rFonts w:ascii="Arial" w:hAnsi="Arial" w:cs="Arial"/>
          <w:szCs w:val="22"/>
        </w:rPr>
      </w:pPr>
      <w:r w:rsidRPr="008F55FF">
        <w:rPr>
          <w:rFonts w:ascii="Arial" w:hAnsi="Arial" w:cs="Arial"/>
          <w:szCs w:val="22"/>
        </w:rPr>
        <w:t>Two distinct measurements of hypotension (mean arterial pressure or systolic blood pressure &lt;3</w:t>
      </w:r>
      <w:r w:rsidRPr="008F55FF">
        <w:rPr>
          <w:rFonts w:ascii="Arial" w:hAnsi="Arial" w:cs="Arial"/>
          <w:szCs w:val="22"/>
          <w:vertAlign w:val="superscript"/>
        </w:rPr>
        <w:t>rd</w:t>
      </w:r>
      <w:r w:rsidRPr="008F55FF">
        <w:rPr>
          <w:rFonts w:ascii="Arial" w:hAnsi="Arial" w:cs="Arial"/>
          <w:szCs w:val="22"/>
        </w:rPr>
        <w:t xml:space="preserve"> percentile for age) after 20 ml/kg of crystalloid or colloid, PLUS</w:t>
      </w:r>
    </w:p>
    <w:p w14:paraId="1E3D114A" w14:textId="77777777" w:rsidR="006F41BA" w:rsidRPr="008F55FF" w:rsidRDefault="006F41BA" w:rsidP="006F41BA">
      <w:pPr>
        <w:pStyle w:val="PlainText"/>
        <w:numPr>
          <w:ilvl w:val="0"/>
          <w:numId w:val="2"/>
        </w:numPr>
        <w:spacing w:line="480" w:lineRule="auto"/>
        <w:rPr>
          <w:rFonts w:ascii="Arial" w:hAnsi="Arial" w:cs="Arial"/>
          <w:szCs w:val="22"/>
        </w:rPr>
      </w:pPr>
      <w:r w:rsidRPr="008F55FF">
        <w:rPr>
          <w:rFonts w:ascii="Arial" w:hAnsi="Arial" w:cs="Arial"/>
          <w:szCs w:val="22"/>
        </w:rPr>
        <w:lastRenderedPageBreak/>
        <w:t>At least one of the following:</w:t>
      </w:r>
    </w:p>
    <w:p w14:paraId="27CD0D3D" w14:textId="77777777" w:rsidR="006F41BA" w:rsidRPr="008F55FF" w:rsidRDefault="006F41BA" w:rsidP="006F41BA">
      <w:pPr>
        <w:pStyle w:val="PlainText"/>
        <w:numPr>
          <w:ilvl w:val="1"/>
          <w:numId w:val="1"/>
        </w:numPr>
        <w:spacing w:line="480" w:lineRule="auto"/>
        <w:rPr>
          <w:rFonts w:ascii="Arial" w:hAnsi="Arial" w:cs="Arial"/>
          <w:szCs w:val="22"/>
        </w:rPr>
      </w:pPr>
      <w:r w:rsidRPr="008F55FF">
        <w:rPr>
          <w:rFonts w:ascii="Arial" w:hAnsi="Arial" w:cs="Arial"/>
          <w:szCs w:val="22"/>
        </w:rPr>
        <w:t>Requirement of vasoactive support, OR</w:t>
      </w:r>
    </w:p>
    <w:p w14:paraId="0081B056" w14:textId="77777777" w:rsidR="006F41BA" w:rsidRPr="008F55FF" w:rsidRDefault="006F41BA" w:rsidP="006F41BA">
      <w:pPr>
        <w:pStyle w:val="PlainText"/>
        <w:numPr>
          <w:ilvl w:val="1"/>
          <w:numId w:val="1"/>
        </w:numPr>
        <w:spacing w:line="480" w:lineRule="auto"/>
        <w:rPr>
          <w:rFonts w:ascii="Arial" w:hAnsi="Arial" w:cs="Arial"/>
          <w:szCs w:val="22"/>
        </w:rPr>
      </w:pPr>
      <w:r w:rsidRPr="008F55FF">
        <w:rPr>
          <w:rFonts w:ascii="Arial" w:hAnsi="Arial" w:cs="Arial"/>
          <w:szCs w:val="22"/>
        </w:rPr>
        <w:t>GCS &lt;15 (in the absence of CNS disease), OR</w:t>
      </w:r>
    </w:p>
    <w:p w14:paraId="0A56782F" w14:textId="77777777" w:rsidR="006F41BA" w:rsidRPr="008F55FF" w:rsidRDefault="006F41BA" w:rsidP="006F41BA">
      <w:pPr>
        <w:pStyle w:val="PlainText"/>
        <w:numPr>
          <w:ilvl w:val="1"/>
          <w:numId w:val="1"/>
        </w:numPr>
        <w:spacing w:line="480" w:lineRule="auto"/>
        <w:rPr>
          <w:rFonts w:ascii="Arial" w:hAnsi="Arial" w:cs="Arial"/>
          <w:szCs w:val="22"/>
        </w:rPr>
      </w:pPr>
      <w:r w:rsidRPr="008F55FF">
        <w:rPr>
          <w:rFonts w:ascii="Arial" w:hAnsi="Arial" w:cs="Arial"/>
          <w:szCs w:val="22"/>
        </w:rPr>
        <w:t xml:space="preserve">Blood lactic acid level &gt;1.6 </w:t>
      </w:r>
      <w:proofErr w:type="spellStart"/>
      <w:r w:rsidRPr="008F55FF">
        <w:rPr>
          <w:rFonts w:ascii="Arial" w:hAnsi="Arial" w:cs="Arial"/>
          <w:szCs w:val="22"/>
        </w:rPr>
        <w:t>mmol</w:t>
      </w:r>
      <w:proofErr w:type="spellEnd"/>
      <w:r w:rsidRPr="008F55FF">
        <w:rPr>
          <w:rFonts w:ascii="Arial" w:hAnsi="Arial" w:cs="Arial"/>
          <w:szCs w:val="22"/>
        </w:rPr>
        <w:t>/L, OR</w:t>
      </w:r>
    </w:p>
    <w:p w14:paraId="0A350ADF" w14:textId="57AAE576" w:rsidR="006F41BA" w:rsidRPr="008F55FF" w:rsidRDefault="006F41BA" w:rsidP="006F41BA">
      <w:pPr>
        <w:pStyle w:val="PlainText"/>
        <w:numPr>
          <w:ilvl w:val="1"/>
          <w:numId w:val="1"/>
        </w:numPr>
        <w:spacing w:line="480" w:lineRule="auto"/>
        <w:rPr>
          <w:rFonts w:ascii="Arial" w:hAnsi="Arial" w:cs="Arial"/>
          <w:szCs w:val="22"/>
        </w:rPr>
      </w:pPr>
      <w:r w:rsidRPr="008F55FF">
        <w:rPr>
          <w:rFonts w:ascii="Arial" w:hAnsi="Arial" w:cs="Arial"/>
          <w:szCs w:val="22"/>
        </w:rPr>
        <w:t>Urine output &lt;1 ml/kg/</w:t>
      </w:r>
      <w:proofErr w:type="spellStart"/>
      <w:r w:rsidRPr="008F55FF">
        <w:rPr>
          <w:rFonts w:ascii="Arial" w:hAnsi="Arial" w:cs="Arial"/>
          <w:szCs w:val="22"/>
        </w:rPr>
        <w:t>hr</w:t>
      </w:r>
      <w:proofErr w:type="spellEnd"/>
    </w:p>
    <w:p w14:paraId="5231B788" w14:textId="77777777" w:rsidR="006F41BA" w:rsidRPr="008F55FF" w:rsidRDefault="006F41BA" w:rsidP="006F41BA">
      <w:pPr>
        <w:pStyle w:val="PlainText"/>
        <w:ind w:left="1440"/>
        <w:rPr>
          <w:rFonts w:ascii="Arial" w:hAnsi="Arial" w:cs="Arial"/>
          <w:szCs w:val="22"/>
        </w:rPr>
      </w:pPr>
    </w:p>
    <w:p w14:paraId="77D24F3F" w14:textId="77777777" w:rsidR="00ED1CCA" w:rsidRPr="008F55FF" w:rsidRDefault="00ED1CCA" w:rsidP="00ED1CCA">
      <w:pPr>
        <w:spacing w:after="0" w:line="480" w:lineRule="auto"/>
        <w:rPr>
          <w:rFonts w:ascii="Arial" w:hAnsi="Arial" w:cs="Arial"/>
          <w:b/>
          <w:i/>
        </w:rPr>
      </w:pPr>
      <w:r w:rsidRPr="008F55FF">
        <w:rPr>
          <w:rFonts w:ascii="Arial" w:hAnsi="Arial" w:cs="Arial"/>
          <w:b/>
          <w:i/>
        </w:rPr>
        <w:t>Serum Samples and Assay Information:</w:t>
      </w:r>
    </w:p>
    <w:p w14:paraId="5A3709B7" w14:textId="03B7C834" w:rsidR="00ED1CCA" w:rsidRPr="008F55FF" w:rsidRDefault="00ED1CCA" w:rsidP="00ED1CCA">
      <w:pPr>
        <w:spacing w:after="0" w:line="480" w:lineRule="auto"/>
        <w:ind w:firstLine="720"/>
        <w:rPr>
          <w:rFonts w:ascii="Arial" w:hAnsi="Arial" w:cs="Arial"/>
          <w:i/>
        </w:rPr>
      </w:pPr>
      <w:r w:rsidRPr="008F55FF">
        <w:rPr>
          <w:rFonts w:ascii="Arial" w:hAnsi="Arial" w:cs="Arial"/>
        </w:rPr>
        <w:t>Serum samples from Day 1 of septic shock</w:t>
      </w:r>
      <w:r w:rsidR="00DC602B" w:rsidRPr="008F55FF">
        <w:rPr>
          <w:rFonts w:ascii="Arial" w:hAnsi="Arial" w:cs="Arial"/>
        </w:rPr>
        <w:t xml:space="preserve"> (within 24 hours of presentation)</w:t>
      </w:r>
      <w:r w:rsidRPr="008F55FF">
        <w:rPr>
          <w:rFonts w:ascii="Arial" w:hAnsi="Arial" w:cs="Arial"/>
        </w:rPr>
        <w:t xml:space="preserve"> were collected as part of the original study and stored at -80 degrees Celsius. </w:t>
      </w:r>
      <w:r w:rsidR="00901ADD" w:rsidRPr="008F55FF">
        <w:rPr>
          <w:rFonts w:ascii="Arial" w:hAnsi="Arial" w:cs="Arial"/>
        </w:rPr>
        <w:t xml:space="preserve">Samples were analyzed for ACE concentrations using a human ACE </w:t>
      </w:r>
      <w:proofErr w:type="spellStart"/>
      <w:r w:rsidR="00901ADD" w:rsidRPr="008F55FF">
        <w:rPr>
          <w:rFonts w:ascii="Arial" w:hAnsi="Arial" w:cs="Arial"/>
        </w:rPr>
        <w:t>Quantikine</w:t>
      </w:r>
      <w:proofErr w:type="spellEnd"/>
      <w:r w:rsidR="00901ADD" w:rsidRPr="008F55FF">
        <w:rPr>
          <w:rFonts w:ascii="Arial" w:hAnsi="Arial" w:cs="Arial"/>
        </w:rPr>
        <w:t xml:space="preserve"> ELISA Kit (R&amp;D Systems Inc., Minneapolis, MN, USA), and ACE activity using a high sensitivity enzymatic assay (</w:t>
      </w:r>
      <w:proofErr w:type="spellStart"/>
      <w:r w:rsidR="00901ADD" w:rsidRPr="008F55FF">
        <w:rPr>
          <w:rFonts w:ascii="Arial" w:hAnsi="Arial" w:cs="Arial"/>
        </w:rPr>
        <w:t>Bulhmann</w:t>
      </w:r>
      <w:proofErr w:type="spellEnd"/>
      <w:r w:rsidR="00901ADD" w:rsidRPr="008F55FF">
        <w:rPr>
          <w:rFonts w:ascii="Arial" w:hAnsi="Arial" w:cs="Arial"/>
        </w:rPr>
        <w:t xml:space="preserve"> Diagnostics Corp, Amherst, NH, USA</w:t>
      </w:r>
      <w:r w:rsidR="00FD4777" w:rsidRPr="008F55FF">
        <w:rPr>
          <w:rFonts w:ascii="Arial" w:hAnsi="Arial" w:cs="Arial"/>
        </w:rPr>
        <w:t>). A</w:t>
      </w:r>
      <w:r w:rsidRPr="008F55FF">
        <w:rPr>
          <w:rFonts w:ascii="Arial" w:hAnsi="Arial" w:cs="Arial"/>
        </w:rPr>
        <w:t>s part of a previous secondary analysis</w:t>
      </w:r>
      <w:r w:rsidR="00FD4777" w:rsidRPr="008F55FF">
        <w:rPr>
          <w:rFonts w:ascii="Arial" w:hAnsi="Arial" w:cs="Arial"/>
        </w:rPr>
        <w:fldChar w:fldCharType="begin"/>
      </w:r>
      <w:r w:rsidR="007A3C63" w:rsidRPr="008F55FF">
        <w:rPr>
          <w:rFonts w:ascii="Arial" w:hAnsi="Arial" w:cs="Arial"/>
        </w:rPr>
        <w:instrText xml:space="preserve"> ADDIN ZOTERO_ITEM CSL_CITATION {"citationID":"d5z61oXG","properties":{"formattedCitation":"[2]","plainCitation":"[2]","noteIndex":0},"citationItems":[{"id":1294,"uris":["http://zotero.org/users/6667663/items/VZ95M2PW"],"itemData":{"id":1294,"type":"article-journal","abstract":"Studies in critically ill adults demonstrate associations between serum renin concentrations (a proposed surrogate for renin–angiotensin–aldosterone system dysregulation) and poor outcomes, but data in critically ill children are lacking. We assessed serum renin + prorenin concentrations in children with septic shock to determine their predictive ability for acute kidney injury (AKI) and mortality.","container-title":"Pediatric Nephrology","DOI":"10.1007/s00467-023-05930-0","ISSN":"1432-198X","journalAbbreviation":"Pediatr Nephrol","language":"en","source":"Springer Link","title":"Serum renin and prorenin concentrations predict severe persistent acute kidney injury and mortality in pediatric septic shock","URL":"https://doi.org/10.1007/s00467-023-05930-0","author":[{"family":"Stanski","given":"Natalja L."},{"family":"Shakked","given":"Naomi Pode"},{"family":"Zhang","given":"Bin"},{"family":"Cvijanovich","given":"Natalie Z."},{"family":"Fitzgerald","given":"Julie C."},{"family":"Jain","given":"Parag N."},{"family":"Schwarz","given":"Adam J."},{"family":"Nowak","given":"Jeffrey"},{"family":"Weiss","given":"Scott L."},{"family":"Allen","given":"Geoffrey L."},{"family":"Thomas","given":"Neal J."},{"family":"Haileselassie","given":"Bereketeab"},{"family":"Goldstein","given":"Stuart L."}],"accessed":{"date-parts":[["2023",3,27]]},"issued":{"date-parts":[["2023",3,20]]}}}],"schema":"https://github.com/citation-style-language/schema/raw/master/csl-citation.json"} </w:instrText>
      </w:r>
      <w:r w:rsidR="00FD4777" w:rsidRPr="008F55FF">
        <w:rPr>
          <w:rFonts w:ascii="Arial" w:hAnsi="Arial" w:cs="Arial"/>
        </w:rPr>
        <w:fldChar w:fldCharType="separate"/>
      </w:r>
      <w:r w:rsidR="007A3C63" w:rsidRPr="008F55FF">
        <w:rPr>
          <w:rFonts w:ascii="Arial" w:hAnsi="Arial" w:cs="Arial"/>
        </w:rPr>
        <w:t>[2]</w:t>
      </w:r>
      <w:r w:rsidR="00FD4777" w:rsidRPr="008F55FF">
        <w:rPr>
          <w:rFonts w:ascii="Arial" w:hAnsi="Arial" w:cs="Arial"/>
        </w:rPr>
        <w:fldChar w:fldCharType="end"/>
      </w:r>
      <w:r w:rsidRPr="008F55FF">
        <w:rPr>
          <w:rFonts w:ascii="Arial" w:hAnsi="Arial" w:cs="Arial"/>
        </w:rPr>
        <w:t xml:space="preserve">, serum renin concentrations were quantified using a human renin </w:t>
      </w:r>
      <w:proofErr w:type="spellStart"/>
      <w:r w:rsidRPr="008F55FF">
        <w:rPr>
          <w:rFonts w:ascii="Arial" w:hAnsi="Arial" w:cs="Arial"/>
        </w:rPr>
        <w:t>Luminex</w:t>
      </w:r>
      <w:proofErr w:type="spellEnd"/>
      <w:r w:rsidRPr="008F55FF">
        <w:rPr>
          <w:rFonts w:ascii="Arial" w:hAnsi="Arial" w:cs="Arial"/>
        </w:rPr>
        <w:t xml:space="preserve">® assay (R&amp;D Systems Inc., Minneapolis, MN, USA). This assay was selected due to small volume of residual serum available, however, may also measure </w:t>
      </w:r>
      <w:proofErr w:type="spellStart"/>
      <w:r w:rsidRPr="008F55FF">
        <w:rPr>
          <w:rFonts w:ascii="Arial" w:hAnsi="Arial" w:cs="Arial"/>
        </w:rPr>
        <w:t>prorenin</w:t>
      </w:r>
      <w:proofErr w:type="spellEnd"/>
      <w:r w:rsidRPr="008F55FF">
        <w:rPr>
          <w:rFonts w:ascii="Arial" w:hAnsi="Arial" w:cs="Arial"/>
        </w:rPr>
        <w:t xml:space="preserve">, the inactive proenzyme form of renin (typically 5- to 10-fold higher than renin) </w:t>
      </w:r>
      <w:r w:rsidRPr="008F55FF">
        <w:rPr>
          <w:rFonts w:ascii="Arial" w:hAnsi="Arial" w:cs="Arial"/>
        </w:rPr>
        <w:fldChar w:fldCharType="begin"/>
      </w:r>
      <w:r w:rsidR="007A3C63" w:rsidRPr="008F55FF">
        <w:rPr>
          <w:rFonts w:ascii="Arial" w:hAnsi="Arial" w:cs="Arial"/>
        </w:rPr>
        <w:instrText xml:space="preserve"> ADDIN ZOTERO_ITEM CSL_CITATION {"citationID":"pfbHS61S","properties":{"formattedCitation":"[3]","plainCitation":"[3]","noteIndex":0},"citationItems":[{"id":1215,"uris":["http://zotero.org/users/6667663/items/TAU6F9C4"],"itemData":{"id":1215,"type":"article-journal","abstract":"The renin-angiotensin-aldosterone-system (RAAS) plays a central role in the pathophysiology of heart failure and cardiorenal interaction. Drugs interfering in the RAAS form the pillars in treatment of heart failure and cardiorenal syndrome. Although RAAS inhibitors improve prognosis, heart failure–associated morbidity and mortality remain high, especially in the presence of kidney disease. The effect of RAAS blockade may be limited due to the loss of an inhibitory feedback of angiotensin II on renin production. The subsequent increase in prorenin and renin may activate several alternative pathways. These include the recently discovered (pro-) renin receptor, angiotensin II escape via chymase and cathepsin, and the formation of various angiotensin subforms upstream from the blockade, including angiotensin 1–7, angiotensin III, and angiotensin IV. Recently, the direct renin inhibitor aliskiren has been proven effective in reducing plasma renin activity (PRA) and appears to provide additional (tissue) RAAS blockade on top of angiotensin-converting enzyme and angiotensin receptor blockers, underscoring the important role of renin, even (or more so) under adequate RAAS blockade. Reducing PRA however occurs at the expense of an increase plasma renin concentration (PRC). PRC may exert direct effects independent of PRA through the recently discovered (pro-) renin receptor. Additional novel possibilities to interfere in the RAAS, for instance using vitamin D receptor activation, as well as the increased knowledge on alternative pathways, have revived the question on how ideal RAAS-guided therapy should be implemented. Renin and prorenin are pivotal since these are at the base of all of these pathways.","container-title":"Heart Failure Reviews","DOI":"10.1007/s10741-011-9262-2","ISSN":"1573-7322","issue":"2","journalAbbreviation":"Heart Fail Rev","language":"en","page":"191-201","source":"Springer Link","title":"New roles for renin and prorenin in heart failure and cardiorenal crosstalk","volume":"17","author":[{"family":"Schroten","given":"Nicolas F."},{"family":"Gaillard","given":"Carlo A. J. M."},{"family":"Veldhuisen","given":"Dirk J.","non-dropping-particle":"van"},{"family":"Szymanski","given":"Mariusz K."},{"family":"Hillege","given":"Hans L."},{"family":"Boer","given":"Rudolf A.","non-dropping-particle":"de"}],"issued":{"date-parts":[["2012",3,1]]}}}],"schema":"https://github.com/citation-style-language/schema/raw/master/csl-citation.json"} </w:instrText>
      </w:r>
      <w:r w:rsidRPr="008F55FF">
        <w:rPr>
          <w:rFonts w:ascii="Arial" w:hAnsi="Arial" w:cs="Arial"/>
        </w:rPr>
        <w:fldChar w:fldCharType="separate"/>
      </w:r>
      <w:r w:rsidR="007A3C63" w:rsidRPr="008F55FF">
        <w:rPr>
          <w:rFonts w:ascii="Arial" w:hAnsi="Arial" w:cs="Arial"/>
        </w:rPr>
        <w:t>[3]</w:t>
      </w:r>
      <w:r w:rsidRPr="008F55FF">
        <w:rPr>
          <w:rFonts w:ascii="Arial" w:hAnsi="Arial" w:cs="Arial"/>
        </w:rPr>
        <w:fldChar w:fldCharType="end"/>
      </w:r>
      <w:r w:rsidR="00957FD3" w:rsidRPr="008F55FF">
        <w:rPr>
          <w:rFonts w:ascii="Arial" w:hAnsi="Arial" w:cs="Arial"/>
        </w:rPr>
        <w:t>, and thus are denoted renin+prorenin concentrations</w:t>
      </w:r>
      <w:r w:rsidRPr="008F55FF">
        <w:rPr>
          <w:rFonts w:ascii="Arial" w:hAnsi="Arial" w:cs="Arial"/>
        </w:rPr>
        <w:t>.</w:t>
      </w:r>
    </w:p>
    <w:p w14:paraId="0C7C85A1" w14:textId="77777777" w:rsidR="002F79D7" w:rsidRPr="008F55FF" w:rsidRDefault="002F79D7" w:rsidP="002F79D7">
      <w:pPr>
        <w:spacing w:after="0" w:line="480" w:lineRule="auto"/>
        <w:ind w:firstLine="720"/>
        <w:rPr>
          <w:rFonts w:ascii="Arial" w:hAnsi="Arial" w:cs="Arial"/>
        </w:rPr>
      </w:pPr>
    </w:p>
    <w:p w14:paraId="201F244B" w14:textId="77777777" w:rsidR="002F79D7" w:rsidRPr="008F55FF" w:rsidRDefault="002F79D7" w:rsidP="002F79D7">
      <w:pPr>
        <w:spacing w:after="0" w:line="480" w:lineRule="auto"/>
        <w:rPr>
          <w:rFonts w:ascii="Arial" w:hAnsi="Arial" w:cs="Arial"/>
          <w:b/>
          <w:i/>
        </w:rPr>
      </w:pPr>
      <w:r w:rsidRPr="008F55FF">
        <w:rPr>
          <w:rFonts w:ascii="Arial" w:hAnsi="Arial" w:cs="Arial"/>
          <w:b/>
          <w:i/>
        </w:rPr>
        <w:t>Outcomes and Definitions:</w:t>
      </w:r>
    </w:p>
    <w:p w14:paraId="12D41692" w14:textId="29A1BEA3" w:rsidR="0095302F" w:rsidRPr="007B1BF5" w:rsidRDefault="002F79D7" w:rsidP="007B1BF5">
      <w:pPr>
        <w:spacing w:after="0" w:line="480" w:lineRule="auto"/>
        <w:ind w:firstLine="720"/>
        <w:rPr>
          <w:rFonts w:ascii="Arial" w:hAnsi="Arial" w:cs="Arial"/>
        </w:rPr>
      </w:pPr>
      <w:r w:rsidRPr="008F55FF">
        <w:rPr>
          <w:rFonts w:ascii="Arial" w:hAnsi="Arial" w:cs="Arial"/>
        </w:rPr>
        <w:t>Secondary outcomes assessed included the individual components of the composite outcome</w:t>
      </w:r>
      <w:r w:rsidR="00ED1CCA" w:rsidRPr="008F55FF">
        <w:rPr>
          <w:rFonts w:ascii="Arial" w:hAnsi="Arial" w:cs="Arial"/>
        </w:rPr>
        <w:t xml:space="preserve"> (Day 1-7 severe persistent AKI, Day 1-7 KRT use, 28-day mortality)</w:t>
      </w:r>
      <w:r w:rsidRPr="008F55FF">
        <w:rPr>
          <w:rFonts w:ascii="Arial" w:hAnsi="Arial" w:cs="Arial"/>
        </w:rPr>
        <w:t>, 28-day PICU-free days (</w:t>
      </w:r>
      <w:r w:rsidR="00783016" w:rsidRPr="008F55FF">
        <w:rPr>
          <w:rFonts w:ascii="Arial" w:hAnsi="Arial" w:cs="Arial"/>
        </w:rPr>
        <w:t xml:space="preserve">calculated by subtracting the number of days in </w:t>
      </w:r>
      <w:r w:rsidR="00783016" w:rsidRPr="005A3472">
        <w:rPr>
          <w:rFonts w:ascii="Arial" w:hAnsi="Arial" w:cs="Arial"/>
        </w:rPr>
        <w:t>th</w:t>
      </w:r>
      <w:r w:rsidR="00783016">
        <w:rPr>
          <w:rFonts w:ascii="Arial" w:hAnsi="Arial" w:cs="Arial"/>
        </w:rPr>
        <w:t>e PICU from a maximum of 28 days</w:t>
      </w:r>
      <w:r>
        <w:rPr>
          <w:rFonts w:ascii="Arial" w:hAnsi="Arial" w:cs="Arial"/>
        </w:rPr>
        <w:t>; patients who died in PICU before Day 28 were assigned “0”), 7-day vasoactive-free days (</w:t>
      </w:r>
      <w:r w:rsidR="00783016" w:rsidRPr="005A3472">
        <w:rPr>
          <w:rFonts w:ascii="Arial" w:hAnsi="Arial" w:cs="Arial"/>
        </w:rPr>
        <w:t>calculated by subtracting th</w:t>
      </w:r>
      <w:r>
        <w:rPr>
          <w:rFonts w:ascii="Arial" w:hAnsi="Arial" w:cs="Arial"/>
        </w:rPr>
        <w:t xml:space="preserve">e number of days on </w:t>
      </w:r>
      <w:proofErr w:type="spellStart"/>
      <w:r>
        <w:rPr>
          <w:rFonts w:ascii="Arial" w:hAnsi="Arial" w:cs="Arial"/>
        </w:rPr>
        <w:t>vasoactives</w:t>
      </w:r>
      <w:proofErr w:type="spellEnd"/>
      <w:r w:rsidR="00783016" w:rsidRPr="005A3472">
        <w:rPr>
          <w:rFonts w:ascii="Arial" w:hAnsi="Arial" w:cs="Arial"/>
        </w:rPr>
        <w:t xml:space="preserve"> from a maximum of 7 days</w:t>
      </w:r>
      <w:r>
        <w:rPr>
          <w:rFonts w:ascii="Arial" w:hAnsi="Arial" w:cs="Arial"/>
        </w:rPr>
        <w:t xml:space="preserve">; those who died on </w:t>
      </w:r>
      <w:proofErr w:type="spellStart"/>
      <w:r>
        <w:rPr>
          <w:rFonts w:ascii="Arial" w:hAnsi="Arial" w:cs="Arial"/>
        </w:rPr>
        <w:t>vasoactives</w:t>
      </w:r>
      <w:proofErr w:type="spellEnd"/>
      <w:r>
        <w:rPr>
          <w:rFonts w:ascii="Arial" w:hAnsi="Arial" w:cs="Arial"/>
        </w:rPr>
        <w:t xml:space="preserve"> before Day 7 were assigned “0”)</w:t>
      </w:r>
      <w:r w:rsidR="00783016">
        <w:rPr>
          <w:rFonts w:ascii="Arial" w:hAnsi="Arial" w:cs="Arial"/>
        </w:rPr>
        <w:t xml:space="preserve">. </w:t>
      </w:r>
    </w:p>
    <w:p w14:paraId="33DEB581" w14:textId="77777777" w:rsidR="007B1BF5" w:rsidRDefault="007B1BF5" w:rsidP="00783016">
      <w:pPr>
        <w:spacing w:after="0" w:line="240" w:lineRule="auto"/>
        <w:rPr>
          <w:rFonts w:ascii="Arial" w:hAnsi="Arial" w:cs="Arial"/>
          <w:b/>
        </w:rPr>
      </w:pPr>
    </w:p>
    <w:p w14:paraId="22E36CA8" w14:textId="77777777" w:rsidR="00691456" w:rsidRDefault="00691456" w:rsidP="00783016">
      <w:pPr>
        <w:spacing w:after="0" w:line="240" w:lineRule="auto"/>
        <w:rPr>
          <w:rFonts w:ascii="Arial" w:hAnsi="Arial" w:cs="Arial"/>
          <w:b/>
        </w:rPr>
      </w:pPr>
    </w:p>
    <w:p w14:paraId="09CC232E" w14:textId="77777777" w:rsidR="00691456" w:rsidRDefault="00691456" w:rsidP="00783016">
      <w:pPr>
        <w:spacing w:after="0" w:line="240" w:lineRule="auto"/>
        <w:rPr>
          <w:rFonts w:ascii="Arial" w:hAnsi="Arial" w:cs="Arial"/>
          <w:b/>
        </w:rPr>
      </w:pPr>
    </w:p>
    <w:p w14:paraId="776E4D63" w14:textId="77777777" w:rsidR="00691456" w:rsidRDefault="00691456" w:rsidP="00783016">
      <w:pPr>
        <w:spacing w:after="0" w:line="240" w:lineRule="auto"/>
        <w:rPr>
          <w:rFonts w:ascii="Arial" w:hAnsi="Arial" w:cs="Arial"/>
          <w:b/>
        </w:rPr>
      </w:pPr>
    </w:p>
    <w:p w14:paraId="39901A9A" w14:textId="5A84CDF9" w:rsidR="00783016" w:rsidRDefault="00ED1CCA" w:rsidP="00783016">
      <w:pPr>
        <w:spacing w:after="0" w:line="240" w:lineRule="auto"/>
        <w:rPr>
          <w:rFonts w:ascii="Arial" w:hAnsi="Arial" w:cs="Arial"/>
          <w:b/>
        </w:rPr>
      </w:pPr>
      <w:r>
        <w:rPr>
          <w:rFonts w:ascii="Arial" w:hAnsi="Arial" w:cs="Arial"/>
          <w:b/>
        </w:rPr>
        <w:lastRenderedPageBreak/>
        <w:t>References:</w:t>
      </w:r>
    </w:p>
    <w:p w14:paraId="01E5ECDC" w14:textId="77777777" w:rsidR="007B1BF5" w:rsidRDefault="007B1BF5" w:rsidP="00783016">
      <w:pPr>
        <w:spacing w:after="0" w:line="240" w:lineRule="auto"/>
        <w:rPr>
          <w:rFonts w:ascii="Arial" w:hAnsi="Arial" w:cs="Arial"/>
          <w:b/>
        </w:rPr>
      </w:pPr>
    </w:p>
    <w:p w14:paraId="1D8F8956" w14:textId="77777777" w:rsidR="007A3C63" w:rsidRPr="007A3C63" w:rsidRDefault="00ED1CCA" w:rsidP="007A3C63">
      <w:pPr>
        <w:pStyle w:val="Bibliography"/>
        <w:rPr>
          <w:rFonts w:ascii="Arial" w:hAnsi="Arial" w:cs="Arial"/>
        </w:rPr>
      </w:pPr>
      <w:r>
        <w:rPr>
          <w:rFonts w:ascii="Arial" w:hAnsi="Arial" w:cs="Arial"/>
        </w:rPr>
        <w:fldChar w:fldCharType="begin"/>
      </w:r>
      <w:r>
        <w:rPr>
          <w:rFonts w:ascii="Arial" w:hAnsi="Arial" w:cs="Arial"/>
        </w:rPr>
        <w:instrText xml:space="preserve"> ADDIN ZOTERO_BIBL {"uncited":[],"omitted":[],"custom":[]} CSL_BIBLIOGRAPHY </w:instrText>
      </w:r>
      <w:r>
        <w:rPr>
          <w:rFonts w:ascii="Arial" w:hAnsi="Arial" w:cs="Arial"/>
        </w:rPr>
        <w:fldChar w:fldCharType="separate"/>
      </w:r>
      <w:r w:rsidR="007A3C63" w:rsidRPr="007A3C63">
        <w:rPr>
          <w:rFonts w:ascii="Arial" w:hAnsi="Arial" w:cs="Arial"/>
        </w:rPr>
        <w:t>1. Wong HR, Caldwell JT, Cvijanovich NZ, Weiss SL, Fitzgerald JC, Bigham MT, et al. Prospective clinical testing and experimental validation of the Pediatric Sepsis Biomarker Risk Model. Science Translational Medicine [Internet]. 2019 [cited 2019 Nov 13];11. Available from: https://stm.sciencemag.org/content/11/518/eaax9000</w:t>
      </w:r>
    </w:p>
    <w:p w14:paraId="26945E0B" w14:textId="77777777" w:rsidR="007A3C63" w:rsidRPr="007A3C63" w:rsidRDefault="007A3C63" w:rsidP="007A3C63">
      <w:pPr>
        <w:pStyle w:val="Bibliography"/>
        <w:rPr>
          <w:rFonts w:ascii="Arial" w:hAnsi="Arial" w:cs="Arial"/>
        </w:rPr>
      </w:pPr>
      <w:r w:rsidRPr="007A3C63">
        <w:rPr>
          <w:rFonts w:ascii="Arial" w:hAnsi="Arial" w:cs="Arial"/>
        </w:rPr>
        <w:t>2. Stanski NL, Shakked NP, Zhang B, Cvijanovich NZ, Fitzgerald JC, Jain PN, et al. Serum renin and prorenin concentrations predict severe persistent acute kidney injury and mortality in pediatric septic shock. Pediatr Nephrol [Internet]. 2023 [cited 2023 Mar 27]; Available from: https://doi.org/10.1007/s00467-023-05930-0</w:t>
      </w:r>
    </w:p>
    <w:p w14:paraId="24E88F82" w14:textId="77777777" w:rsidR="007A3C63" w:rsidRPr="007A3C63" w:rsidRDefault="007A3C63" w:rsidP="007A3C63">
      <w:pPr>
        <w:pStyle w:val="Bibliography"/>
        <w:rPr>
          <w:rFonts w:ascii="Arial" w:hAnsi="Arial" w:cs="Arial"/>
        </w:rPr>
      </w:pPr>
      <w:r w:rsidRPr="007A3C63">
        <w:rPr>
          <w:rFonts w:ascii="Arial" w:hAnsi="Arial" w:cs="Arial"/>
        </w:rPr>
        <w:t xml:space="preserve">3. Schroten NF, Gaillard CAJM, van Veldhuisen DJ, Szymanski MK, Hillege HL, de Boer RA. New roles for renin and prorenin in heart failure and cardiorenal crosstalk. Heart Fail Rev. 2012;17:191–201. </w:t>
      </w:r>
    </w:p>
    <w:p w14:paraId="44A03784" w14:textId="1DA07C7B" w:rsidR="00ED1CCA" w:rsidRPr="00ED1CCA" w:rsidRDefault="00ED1CCA" w:rsidP="00783016">
      <w:pPr>
        <w:spacing w:after="0" w:line="240" w:lineRule="auto"/>
        <w:rPr>
          <w:rFonts w:ascii="Arial" w:hAnsi="Arial" w:cs="Arial"/>
        </w:rPr>
      </w:pPr>
      <w:r>
        <w:rPr>
          <w:rFonts w:ascii="Arial" w:hAnsi="Arial" w:cs="Arial"/>
        </w:rPr>
        <w:fldChar w:fldCharType="end"/>
      </w:r>
    </w:p>
    <w:sectPr w:rsidR="00ED1CCA" w:rsidRPr="00ED1C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B1349"/>
    <w:multiLevelType w:val="hybridMultilevel"/>
    <w:tmpl w:val="76342616"/>
    <w:lvl w:ilvl="0" w:tplc="AF7489BC">
      <w:start w:val="1"/>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4109F2"/>
    <w:multiLevelType w:val="hybridMultilevel"/>
    <w:tmpl w:val="9AE4A778"/>
    <w:lvl w:ilvl="0" w:tplc="B4800C1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3D66DF"/>
    <w:multiLevelType w:val="hybridMultilevel"/>
    <w:tmpl w:val="CF5A6AAE"/>
    <w:lvl w:ilvl="0" w:tplc="6804DD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DB5758"/>
    <w:multiLevelType w:val="hybridMultilevel"/>
    <w:tmpl w:val="FE5E0A20"/>
    <w:lvl w:ilvl="0" w:tplc="29341A7A">
      <w:start w:val="1"/>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E2136B4"/>
    <w:multiLevelType w:val="hybridMultilevel"/>
    <w:tmpl w:val="9446A45E"/>
    <w:lvl w:ilvl="0" w:tplc="B4800C14">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27485C"/>
    <w:multiLevelType w:val="hybridMultilevel"/>
    <w:tmpl w:val="F55C8C8C"/>
    <w:lvl w:ilvl="0" w:tplc="B9B04A1E">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363AA7"/>
    <w:multiLevelType w:val="hybridMultilevel"/>
    <w:tmpl w:val="4316FD2E"/>
    <w:lvl w:ilvl="0" w:tplc="F2FC3394">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016"/>
    <w:rsid w:val="00222122"/>
    <w:rsid w:val="002F79D7"/>
    <w:rsid w:val="003A5B2F"/>
    <w:rsid w:val="003E7DB2"/>
    <w:rsid w:val="00473CB4"/>
    <w:rsid w:val="00691456"/>
    <w:rsid w:val="006C30F2"/>
    <w:rsid w:val="006F41BA"/>
    <w:rsid w:val="00783016"/>
    <w:rsid w:val="007A3C63"/>
    <w:rsid w:val="007B1BF5"/>
    <w:rsid w:val="008F55FF"/>
    <w:rsid w:val="00901ADD"/>
    <w:rsid w:val="0095302F"/>
    <w:rsid w:val="00957FD3"/>
    <w:rsid w:val="009E4E77"/>
    <w:rsid w:val="00A16775"/>
    <w:rsid w:val="00DC602B"/>
    <w:rsid w:val="00E33797"/>
    <w:rsid w:val="00EB6CDE"/>
    <w:rsid w:val="00ED1CCA"/>
    <w:rsid w:val="00F21AF6"/>
    <w:rsid w:val="00FD4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08FFC"/>
  <w15:chartTrackingRefBased/>
  <w15:docId w15:val="{107F0B66-FD54-4A13-9FD4-507FCB6D7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D1CCA"/>
    <w:rPr>
      <w:sz w:val="16"/>
      <w:szCs w:val="16"/>
    </w:rPr>
  </w:style>
  <w:style w:type="paragraph" w:styleId="CommentText">
    <w:name w:val="annotation text"/>
    <w:basedOn w:val="Normal"/>
    <w:link w:val="CommentTextChar"/>
    <w:uiPriority w:val="99"/>
    <w:semiHidden/>
    <w:unhideWhenUsed/>
    <w:rsid w:val="00ED1CCA"/>
    <w:pPr>
      <w:spacing w:line="240" w:lineRule="auto"/>
    </w:pPr>
    <w:rPr>
      <w:sz w:val="20"/>
      <w:szCs w:val="20"/>
    </w:rPr>
  </w:style>
  <w:style w:type="character" w:customStyle="1" w:styleId="CommentTextChar">
    <w:name w:val="Comment Text Char"/>
    <w:basedOn w:val="DefaultParagraphFont"/>
    <w:link w:val="CommentText"/>
    <w:uiPriority w:val="99"/>
    <w:semiHidden/>
    <w:rsid w:val="00ED1CCA"/>
    <w:rPr>
      <w:sz w:val="20"/>
      <w:szCs w:val="20"/>
    </w:rPr>
  </w:style>
  <w:style w:type="paragraph" w:styleId="BalloonText">
    <w:name w:val="Balloon Text"/>
    <w:basedOn w:val="Normal"/>
    <w:link w:val="BalloonTextChar"/>
    <w:uiPriority w:val="99"/>
    <w:semiHidden/>
    <w:unhideWhenUsed/>
    <w:rsid w:val="00ED1C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CCA"/>
    <w:rPr>
      <w:rFonts w:ascii="Segoe UI" w:hAnsi="Segoe UI" w:cs="Segoe UI"/>
      <w:sz w:val="18"/>
      <w:szCs w:val="18"/>
    </w:rPr>
  </w:style>
  <w:style w:type="paragraph" w:styleId="Bibliography">
    <w:name w:val="Bibliography"/>
    <w:basedOn w:val="Normal"/>
    <w:next w:val="Normal"/>
    <w:uiPriority w:val="37"/>
    <w:unhideWhenUsed/>
    <w:rsid w:val="00ED1CCA"/>
    <w:pPr>
      <w:spacing w:after="240" w:line="240" w:lineRule="auto"/>
    </w:pPr>
  </w:style>
  <w:style w:type="paragraph" w:styleId="PlainText">
    <w:name w:val="Plain Text"/>
    <w:basedOn w:val="Normal"/>
    <w:link w:val="PlainTextChar"/>
    <w:uiPriority w:val="99"/>
    <w:unhideWhenUsed/>
    <w:rsid w:val="006F41B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F41BA"/>
    <w:rPr>
      <w:rFonts w:ascii="Calibri" w:hAnsi="Calibri"/>
      <w:szCs w:val="21"/>
    </w:rPr>
  </w:style>
  <w:style w:type="paragraph" w:styleId="ListParagraph">
    <w:name w:val="List Paragraph"/>
    <w:basedOn w:val="Normal"/>
    <w:uiPriority w:val="34"/>
    <w:qFormat/>
    <w:rsid w:val="006F41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1934</Words>
  <Characters>11295</Characters>
  <Application>Microsoft Office Word</Application>
  <DocSecurity>0</DocSecurity>
  <Lines>342</Lines>
  <Paragraphs>203</Paragraphs>
  <ScaleCrop>false</ScaleCrop>
  <HeadingPairs>
    <vt:vector size="2" baseType="variant">
      <vt:variant>
        <vt:lpstr>Title</vt:lpstr>
      </vt:variant>
      <vt:variant>
        <vt:i4>1</vt:i4>
      </vt:variant>
    </vt:vector>
  </HeadingPairs>
  <TitlesOfParts>
    <vt:vector size="1" baseType="lpstr">
      <vt:lpstr/>
    </vt:vector>
  </TitlesOfParts>
  <Company>Cincinnati Children's Hospital</Company>
  <LinksUpToDate>false</LinksUpToDate>
  <CharactersWithSpaces>13026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Natalja Stanski</dc:creator>
  <cp:keywords/>
  <dc:description/>
  <cp:lastModifiedBy>Natalja Stanski</cp:lastModifiedBy>
  <cp:revision>3</cp:revision>
  <dcterms:created xsi:type="dcterms:W3CDTF">2023-05-30T00:28:00Z</dcterms:created>
  <dcterms:modified xsi:type="dcterms:W3CDTF">2023-05-30T00:29:00Z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id="uOlIOt0e"/&gt;&lt;style id="http://www.zotero.org/styles/critical-care" hasBibliography="1" bibliographyStyleHasBeenSet="1"/&gt;&lt;prefs&gt;&lt;pref name="fieldType" value="Field"/&gt;&lt;/prefs&gt;&lt;/data&gt;</vt:lpwstr>
  </property>
</Properties>
</file>