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39D97" w14:textId="4CAFA302" w:rsidR="00D90A0A" w:rsidRPr="00947CD7" w:rsidRDefault="0098340A" w:rsidP="00D90A0A">
      <w:pPr>
        <w:spacing w:line="276" w:lineRule="auto"/>
        <w:rPr>
          <w:rFonts w:ascii="Calibri" w:hAnsi="Calibri" w:cs="Calibri"/>
          <w:b/>
          <w:bCs/>
          <w:sz w:val="22"/>
          <w:szCs w:val="22"/>
          <w:lang w:val="en-US"/>
        </w:rPr>
      </w:pPr>
      <w:r>
        <w:rPr>
          <w:rFonts w:ascii="Calibri" w:hAnsi="Calibri" w:cs="Calibri"/>
          <w:b/>
          <w:bCs/>
          <w:sz w:val="22"/>
          <w:szCs w:val="22"/>
          <w:lang w:val="en-US"/>
        </w:rPr>
        <w:t>A</w:t>
      </w:r>
      <w:r w:rsidR="004A0BEA">
        <w:rPr>
          <w:rFonts w:ascii="Calibri" w:hAnsi="Calibri" w:cs="Calibri"/>
          <w:b/>
          <w:bCs/>
          <w:sz w:val="22"/>
          <w:szCs w:val="22"/>
          <w:lang w:val="en-US"/>
        </w:rPr>
        <w:t>ppendix Table</w:t>
      </w:r>
      <w:r w:rsidR="00D90A0A" w:rsidRPr="00947CD7">
        <w:rPr>
          <w:rFonts w:ascii="Calibri" w:hAnsi="Calibri" w:cs="Calibri"/>
          <w:b/>
          <w:bCs/>
          <w:sz w:val="22"/>
          <w:szCs w:val="22"/>
          <w:lang w:val="en-US"/>
        </w:rPr>
        <w:t xml:space="preserve"> </w:t>
      </w:r>
      <w:r w:rsidR="0056243B">
        <w:rPr>
          <w:rFonts w:ascii="Calibri" w:hAnsi="Calibri" w:cs="Calibri"/>
          <w:b/>
          <w:bCs/>
          <w:sz w:val="22"/>
          <w:szCs w:val="22"/>
          <w:lang w:val="en-US"/>
        </w:rPr>
        <w:t>4</w:t>
      </w:r>
      <w:r w:rsidR="00D90A0A" w:rsidRPr="00947CD7">
        <w:rPr>
          <w:rFonts w:ascii="Calibri" w:hAnsi="Calibri" w:cs="Calibri"/>
          <w:b/>
          <w:bCs/>
          <w:sz w:val="22"/>
          <w:szCs w:val="22"/>
          <w:lang w:val="en-US"/>
        </w:rPr>
        <w:t>. Characteristics of novel AKI biomarkers</w:t>
      </w:r>
    </w:p>
    <w:tbl>
      <w:tblPr>
        <w:tblStyle w:val="Tabellenraster"/>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1521"/>
        <w:gridCol w:w="1417"/>
        <w:gridCol w:w="2977"/>
        <w:gridCol w:w="4111"/>
      </w:tblGrid>
      <w:tr w:rsidR="00D90A0A" w:rsidRPr="00947CD7" w14:paraId="63AEC302" w14:textId="77777777" w:rsidTr="003F6121">
        <w:tc>
          <w:tcPr>
            <w:tcW w:w="2165" w:type="dxa"/>
            <w:tcBorders>
              <w:top w:val="single" w:sz="4" w:space="0" w:color="auto"/>
              <w:bottom w:val="single" w:sz="4" w:space="0" w:color="auto"/>
            </w:tcBorders>
          </w:tcPr>
          <w:p w14:paraId="12917EC1"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Biomarker</w:t>
            </w:r>
          </w:p>
        </w:tc>
        <w:tc>
          <w:tcPr>
            <w:tcW w:w="1521" w:type="dxa"/>
            <w:tcBorders>
              <w:top w:val="single" w:sz="4" w:space="0" w:color="auto"/>
              <w:bottom w:val="single" w:sz="4" w:space="0" w:color="auto"/>
            </w:tcBorders>
          </w:tcPr>
          <w:p w14:paraId="72B85DDE"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Type</w:t>
            </w:r>
          </w:p>
        </w:tc>
        <w:tc>
          <w:tcPr>
            <w:tcW w:w="1417" w:type="dxa"/>
            <w:tcBorders>
              <w:top w:val="single" w:sz="4" w:space="0" w:color="auto"/>
              <w:bottom w:val="single" w:sz="4" w:space="0" w:color="auto"/>
            </w:tcBorders>
          </w:tcPr>
          <w:p w14:paraId="25F610DA"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Sample</w:t>
            </w:r>
          </w:p>
        </w:tc>
        <w:tc>
          <w:tcPr>
            <w:tcW w:w="2977" w:type="dxa"/>
            <w:tcBorders>
              <w:top w:val="single" w:sz="4" w:space="0" w:color="auto"/>
              <w:bottom w:val="single" w:sz="4" w:space="0" w:color="auto"/>
            </w:tcBorders>
          </w:tcPr>
          <w:p w14:paraId="6BF130C4"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Function</w:t>
            </w:r>
          </w:p>
        </w:tc>
        <w:tc>
          <w:tcPr>
            <w:tcW w:w="4111" w:type="dxa"/>
            <w:tcBorders>
              <w:top w:val="single" w:sz="4" w:space="0" w:color="auto"/>
              <w:bottom w:val="single" w:sz="4" w:space="0" w:color="auto"/>
            </w:tcBorders>
          </w:tcPr>
          <w:p w14:paraId="1EE8CA8A"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Clinical utility</w:t>
            </w:r>
          </w:p>
        </w:tc>
      </w:tr>
      <w:tr w:rsidR="00D90A0A" w:rsidRPr="00B7102F" w14:paraId="7E38E164" w14:textId="77777777" w:rsidTr="003F6121">
        <w:tc>
          <w:tcPr>
            <w:tcW w:w="2165" w:type="dxa"/>
            <w:tcBorders>
              <w:top w:val="single" w:sz="4" w:space="0" w:color="auto"/>
              <w:bottom w:val="single" w:sz="4" w:space="0" w:color="auto"/>
            </w:tcBorders>
          </w:tcPr>
          <w:p w14:paraId="427C0A61"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color w:val="212121"/>
                <w:sz w:val="22"/>
                <w:szCs w:val="22"/>
                <w:shd w:val="clear" w:color="auto" w:fill="FFFFFF"/>
                <w:lang w:val="en-US"/>
              </w:rPr>
              <w:t>[TIMP-2]</w:t>
            </w:r>
            <w:r w:rsidRPr="00947CD7">
              <w:rPr>
                <w:rFonts w:ascii="Calibri" w:hAnsi="Calibri" w:cs="Calibri"/>
                <w:b/>
                <w:bCs/>
                <w:sz w:val="22"/>
                <w:szCs w:val="22"/>
                <w:lang w:val="en-US"/>
              </w:rPr>
              <w:t>•</w:t>
            </w:r>
            <w:r w:rsidRPr="00947CD7">
              <w:rPr>
                <w:rFonts w:ascii="Calibri" w:hAnsi="Calibri" w:cs="Calibri"/>
                <w:b/>
                <w:bCs/>
                <w:color w:val="212121"/>
                <w:sz w:val="22"/>
                <w:szCs w:val="22"/>
                <w:shd w:val="clear" w:color="auto" w:fill="FFFFFF"/>
                <w:lang w:val="en-US"/>
              </w:rPr>
              <w:t>[IGFBP7]</w:t>
            </w:r>
          </w:p>
        </w:tc>
        <w:tc>
          <w:tcPr>
            <w:tcW w:w="1521" w:type="dxa"/>
            <w:tcBorders>
              <w:top w:val="single" w:sz="4" w:space="0" w:color="auto"/>
              <w:bottom w:val="single" w:sz="4" w:space="0" w:color="auto"/>
            </w:tcBorders>
          </w:tcPr>
          <w:p w14:paraId="2BA6FF3C"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Stress</w:t>
            </w:r>
          </w:p>
        </w:tc>
        <w:tc>
          <w:tcPr>
            <w:tcW w:w="1417" w:type="dxa"/>
            <w:tcBorders>
              <w:top w:val="single" w:sz="4" w:space="0" w:color="auto"/>
              <w:bottom w:val="single" w:sz="4" w:space="0" w:color="auto"/>
            </w:tcBorders>
          </w:tcPr>
          <w:p w14:paraId="409A6C06"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Urine</w:t>
            </w:r>
          </w:p>
        </w:tc>
        <w:tc>
          <w:tcPr>
            <w:tcW w:w="2977" w:type="dxa"/>
            <w:tcBorders>
              <w:top w:val="single" w:sz="4" w:space="0" w:color="auto"/>
              <w:bottom w:val="single" w:sz="4" w:space="0" w:color="auto"/>
            </w:tcBorders>
          </w:tcPr>
          <w:p w14:paraId="7F2F0A1A"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21- and 25-kDa proteins, respectively, implicated in G1 cell cycle arrest, which is thought to be a protective mechanism</w:t>
            </w:r>
          </w:p>
        </w:tc>
        <w:tc>
          <w:tcPr>
            <w:tcW w:w="4111" w:type="dxa"/>
            <w:tcBorders>
              <w:top w:val="single" w:sz="4" w:space="0" w:color="auto"/>
              <w:bottom w:val="single" w:sz="4" w:space="0" w:color="auto"/>
            </w:tcBorders>
          </w:tcPr>
          <w:p w14:paraId="4AA3852D" w14:textId="2313F0E5"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 xml:space="preserve">Increases immediately after cardiac surgery, and peaks at 4–24 h </w:t>
            </w:r>
            <w:r w:rsidRPr="00947CD7">
              <w:rPr>
                <w:rFonts w:ascii="Calibri" w:hAnsi="Calibri" w:cs="Calibri"/>
                <w:sz w:val="22"/>
                <w:szCs w:val="22"/>
                <w:lang w:val="en-US"/>
              </w:rPr>
              <w:fldChar w:fldCharType="begin"/>
            </w:r>
            <w:r w:rsidR="00F20995">
              <w:rPr>
                <w:rFonts w:ascii="Calibri" w:hAnsi="Calibri" w:cs="Calibri"/>
                <w:sz w:val="22"/>
                <w:szCs w:val="22"/>
                <w:lang w:val="en-US"/>
              </w:rPr>
              <w:instrText xml:space="preserve"> ADDIN EN.CITE &lt;EndNote&gt;&lt;Cite&gt;&lt;Author&gt;Ronco&lt;/Author&gt;&lt;Year&gt;2019&lt;/Year&gt;&lt;RecNum&gt;3784&lt;/RecNum&gt;&lt;DisplayText&gt;[1]&lt;/DisplayText&gt;&lt;record&gt;&lt;rec-number&gt;3784&lt;/rec-number&gt;&lt;foreign-keys&gt;&lt;key app="EN" db-id="p0wdf2zdjwt2r4edfflv5ppizx2etzzv9dzw" timestamp="1613245299"&gt;3784&lt;/key&gt;&lt;/foreign-keys&gt;&lt;ref-type name="Journal Article"&gt;17&lt;/ref-type&gt;&lt;contributors&gt;&lt;authors&gt;&lt;author&gt;Ronco, C.&lt;/author&gt;&lt;author&gt;Bellomo, R.&lt;/author&gt;&lt;author&gt;Kellum, J. A.&lt;/author&gt;&lt;/authors&gt;&lt;/contributors&gt;&lt;auth-address&gt;Department of Medicine, University of Padova, Padova, Italy; International Renal Research Institute of Vicenza, Vicenza, Italy; Department of Nephrology, San Bortolo Hospital, Vicenza, Italy. Electronic address: cronco@goldnet.it.&amp;#xD;Critical Care Department, Austin Hospital, Melbourne, VIC, Australia.&amp;#xD;Center for Critical Care Nephrology, Department of Critical Care Medicine, University of Pittsburgh, Pittsburgh, PA, USA.&lt;/auth-address&gt;&lt;titles&gt;&lt;title&gt;Acute kidney injury&lt;/title&gt;&lt;secondary-title&gt;Lancet&lt;/secondary-title&gt;&lt;/titles&gt;&lt;periodical&gt;&lt;full-title&gt;Lancet&lt;/full-title&gt;&lt;abbr-1&gt;Lancet&lt;/abbr-1&gt;&lt;/periodical&gt;&lt;pages&gt;1949-1964&lt;/pages&gt;&lt;volume&gt;394&lt;/volume&gt;&lt;number&gt;10212&lt;/number&gt;&lt;edition&gt;2019/11/30&lt;/edition&gt;&lt;keywords&gt;&lt;keyword&gt;*Acute Kidney Injury/diagnosis/epidemiology/physiopathology/therapy&lt;/keyword&gt;&lt;keyword&gt;Biomarkers/blood&lt;/keyword&gt;&lt;keyword&gt;Creatinine/blood&lt;/keyword&gt;&lt;keyword&gt;Humans&lt;/keyword&gt;&lt;keyword&gt;Incidence&lt;/keyword&gt;&lt;keyword&gt;Risk Assessment&lt;/keyword&gt;&lt;keyword&gt;Sepsis/complications&lt;/keyword&gt;&lt;/keywords&gt;&lt;dates&gt;&lt;year&gt;2019&lt;/year&gt;&lt;pub-dates&gt;&lt;date&gt;Nov 23&lt;/date&gt;&lt;/pub-dates&gt;&lt;/dates&gt;&lt;isbn&gt;1474-547X (Electronic)&amp;#xD;0140-6736 (Linking)&lt;/isbn&gt;&lt;accession-num&gt;31777389&lt;/accession-num&gt;&lt;urls&gt;&lt;related-urls&gt;&lt;url&gt;https://www.ncbi.nlm.nih.gov/pubmed/31777389&lt;/url&gt;&lt;/related-urls&gt;&lt;/urls&gt;&lt;electronic-resource-num&gt;10.1016/S0140-6736(19)32563-2&lt;/electronic-resource-num&gt;&lt;/record&gt;&lt;/Cite&gt;&lt;/EndNote&gt;</w:instrText>
            </w:r>
            <w:r w:rsidRPr="00947CD7">
              <w:rPr>
                <w:rFonts w:ascii="Calibri" w:hAnsi="Calibri" w:cs="Calibri"/>
                <w:sz w:val="22"/>
                <w:szCs w:val="22"/>
                <w:lang w:val="en-US"/>
              </w:rPr>
              <w:fldChar w:fldCharType="separate"/>
            </w:r>
            <w:r w:rsidR="00F20995">
              <w:rPr>
                <w:rFonts w:ascii="Calibri" w:hAnsi="Calibri" w:cs="Calibri"/>
                <w:noProof/>
                <w:sz w:val="22"/>
                <w:szCs w:val="22"/>
                <w:lang w:val="en-US"/>
              </w:rPr>
              <w:t>[1]</w:t>
            </w:r>
            <w:r w:rsidRPr="00947CD7">
              <w:rPr>
                <w:rFonts w:ascii="Calibri" w:hAnsi="Calibri" w:cs="Calibri"/>
                <w:sz w:val="22"/>
                <w:szCs w:val="22"/>
                <w:lang w:val="en-US"/>
              </w:rPr>
              <w:fldChar w:fldCharType="end"/>
            </w:r>
            <w:r w:rsidRPr="00947CD7">
              <w:rPr>
                <w:rFonts w:ascii="Calibri" w:hAnsi="Calibri" w:cs="Calibri"/>
                <w:sz w:val="22"/>
                <w:szCs w:val="22"/>
                <w:lang w:val="en-US"/>
              </w:rPr>
              <w:t>; FDA-approved and CE-marked for clinical use</w:t>
            </w:r>
          </w:p>
        </w:tc>
      </w:tr>
      <w:tr w:rsidR="00D90A0A" w:rsidRPr="00B7102F" w14:paraId="2F9C6C9C" w14:textId="77777777" w:rsidTr="003F6121">
        <w:tc>
          <w:tcPr>
            <w:tcW w:w="2165" w:type="dxa"/>
            <w:tcBorders>
              <w:top w:val="single" w:sz="4" w:space="0" w:color="auto"/>
              <w:bottom w:val="single" w:sz="4" w:space="0" w:color="auto"/>
            </w:tcBorders>
          </w:tcPr>
          <w:p w14:paraId="672BB58F"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KIM-1</w:t>
            </w:r>
          </w:p>
        </w:tc>
        <w:tc>
          <w:tcPr>
            <w:tcW w:w="1521" w:type="dxa"/>
            <w:tcBorders>
              <w:top w:val="single" w:sz="4" w:space="0" w:color="auto"/>
              <w:bottom w:val="single" w:sz="4" w:space="0" w:color="auto"/>
            </w:tcBorders>
          </w:tcPr>
          <w:p w14:paraId="12E10F16"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Damage</w:t>
            </w:r>
          </w:p>
        </w:tc>
        <w:tc>
          <w:tcPr>
            <w:tcW w:w="1417" w:type="dxa"/>
            <w:tcBorders>
              <w:top w:val="single" w:sz="4" w:space="0" w:color="auto"/>
              <w:bottom w:val="single" w:sz="4" w:space="0" w:color="auto"/>
            </w:tcBorders>
          </w:tcPr>
          <w:p w14:paraId="5F0C7431"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Urine</w:t>
            </w:r>
          </w:p>
        </w:tc>
        <w:tc>
          <w:tcPr>
            <w:tcW w:w="2977" w:type="dxa"/>
            <w:tcBorders>
              <w:top w:val="single" w:sz="4" w:space="0" w:color="auto"/>
              <w:bottom w:val="single" w:sz="4" w:space="0" w:color="auto"/>
            </w:tcBorders>
          </w:tcPr>
          <w:p w14:paraId="7BD2544A"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39-kDa transmembrane glycoprotein produced by proximal tubular cells; it is released in response to tubular damage and functions in clearing apoptotic cells, and has anti-inflammatory properties</w:t>
            </w:r>
          </w:p>
        </w:tc>
        <w:tc>
          <w:tcPr>
            <w:tcW w:w="4111" w:type="dxa"/>
            <w:tcBorders>
              <w:top w:val="single" w:sz="4" w:space="0" w:color="auto"/>
              <w:bottom w:val="single" w:sz="4" w:space="0" w:color="auto"/>
            </w:tcBorders>
          </w:tcPr>
          <w:p w14:paraId="4EF88894" w14:textId="2D60DCF8"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 xml:space="preserve">Increases 12–24 h after tubular injury, peaking at 2–3 days </w:t>
            </w:r>
            <w:r w:rsidRPr="00947CD7">
              <w:rPr>
                <w:rFonts w:ascii="Calibri" w:hAnsi="Calibri" w:cs="Calibri"/>
                <w:sz w:val="22"/>
                <w:szCs w:val="22"/>
                <w:lang w:val="en-US"/>
              </w:rPr>
              <w:fldChar w:fldCharType="begin"/>
            </w:r>
            <w:r w:rsidR="00F20995">
              <w:rPr>
                <w:rFonts w:ascii="Calibri" w:hAnsi="Calibri" w:cs="Calibri"/>
                <w:sz w:val="22"/>
                <w:szCs w:val="22"/>
                <w:lang w:val="en-US"/>
              </w:rPr>
              <w:instrText xml:space="preserve"> ADDIN EN.CITE &lt;EndNote&gt;&lt;Cite&gt;&lt;Author&gt;Ronco&lt;/Author&gt;&lt;Year&gt;2019&lt;/Year&gt;&lt;RecNum&gt;3784&lt;/RecNum&gt;&lt;DisplayText&gt;[1]&lt;/DisplayText&gt;&lt;record&gt;&lt;rec-number&gt;3784&lt;/rec-number&gt;&lt;foreign-keys&gt;&lt;key app="EN" db-id="p0wdf2zdjwt2r4edfflv5ppizx2etzzv9dzw" timestamp="1613245299"&gt;3784&lt;/key&gt;&lt;/foreign-keys&gt;&lt;ref-type name="Journal Article"&gt;17&lt;/ref-type&gt;&lt;contributors&gt;&lt;authors&gt;&lt;author&gt;Ronco, C.&lt;/author&gt;&lt;author&gt;Bellomo, R.&lt;/author&gt;&lt;author&gt;Kellum, J. A.&lt;/author&gt;&lt;/authors&gt;&lt;/contributors&gt;&lt;auth-address&gt;Department of Medicine, University of Padova, Padova, Italy; International Renal Research Institute of Vicenza, Vicenza, Italy; Department of Nephrology, San Bortolo Hospital, Vicenza, Italy. Electronic address: cronco@goldnet.it.&amp;#xD;Critical Care Department, Austin Hospital, Melbourne, VIC, Australia.&amp;#xD;Center for Critical Care Nephrology, Department of Critical Care Medicine, University of Pittsburgh, Pittsburgh, PA, USA.&lt;/auth-address&gt;&lt;titles&gt;&lt;title&gt;Acute kidney injury&lt;/title&gt;&lt;secondary-title&gt;Lancet&lt;/secondary-title&gt;&lt;/titles&gt;&lt;periodical&gt;&lt;full-title&gt;Lancet&lt;/full-title&gt;&lt;abbr-1&gt;Lancet&lt;/abbr-1&gt;&lt;/periodical&gt;&lt;pages&gt;1949-1964&lt;/pages&gt;&lt;volume&gt;394&lt;/volume&gt;&lt;number&gt;10212&lt;/number&gt;&lt;edition&gt;2019/11/30&lt;/edition&gt;&lt;keywords&gt;&lt;keyword&gt;*Acute Kidney Injury/diagnosis/epidemiology/physiopathology/therapy&lt;/keyword&gt;&lt;keyword&gt;Biomarkers/blood&lt;/keyword&gt;&lt;keyword&gt;Creatinine/blood&lt;/keyword&gt;&lt;keyword&gt;Humans&lt;/keyword&gt;&lt;keyword&gt;Incidence&lt;/keyword&gt;&lt;keyword&gt;Risk Assessment&lt;/keyword&gt;&lt;keyword&gt;Sepsis/complications&lt;/keyword&gt;&lt;/keywords&gt;&lt;dates&gt;&lt;year&gt;2019&lt;/year&gt;&lt;pub-dates&gt;&lt;date&gt;Nov 23&lt;/date&gt;&lt;/pub-dates&gt;&lt;/dates&gt;&lt;isbn&gt;1474-547X (Electronic)&amp;#xD;0140-6736 (Linking)&lt;/isbn&gt;&lt;accession-num&gt;31777389&lt;/accession-num&gt;&lt;urls&gt;&lt;related-urls&gt;&lt;url&gt;https://www.ncbi.nlm.nih.gov/pubmed/31777389&lt;/url&gt;&lt;/related-urls&gt;&lt;/urls&gt;&lt;electronic-resource-num&gt;10.1016/S0140-6736(19)32563-2&lt;/electronic-resource-num&gt;&lt;/record&gt;&lt;/Cite&gt;&lt;/EndNote&gt;</w:instrText>
            </w:r>
            <w:r w:rsidRPr="00947CD7">
              <w:rPr>
                <w:rFonts w:ascii="Calibri" w:hAnsi="Calibri" w:cs="Calibri"/>
                <w:sz w:val="22"/>
                <w:szCs w:val="22"/>
                <w:lang w:val="en-US"/>
              </w:rPr>
              <w:fldChar w:fldCharType="separate"/>
            </w:r>
            <w:r w:rsidR="00F20995">
              <w:rPr>
                <w:rFonts w:ascii="Calibri" w:hAnsi="Calibri" w:cs="Calibri"/>
                <w:noProof/>
                <w:sz w:val="22"/>
                <w:szCs w:val="22"/>
                <w:lang w:val="en-US"/>
              </w:rPr>
              <w:t>[1]</w:t>
            </w:r>
            <w:r w:rsidRPr="00947CD7">
              <w:rPr>
                <w:rFonts w:ascii="Calibri" w:hAnsi="Calibri" w:cs="Calibri"/>
                <w:sz w:val="22"/>
                <w:szCs w:val="22"/>
                <w:lang w:val="en-US"/>
              </w:rPr>
              <w:fldChar w:fldCharType="end"/>
            </w:r>
            <w:r w:rsidRPr="00947CD7">
              <w:rPr>
                <w:rFonts w:ascii="Calibri" w:hAnsi="Calibri" w:cs="Calibri"/>
                <w:sz w:val="22"/>
                <w:szCs w:val="22"/>
                <w:lang w:val="en-US"/>
              </w:rPr>
              <w:t>; unreliable in the setting of severe inflammation; FDA-approved and CE-marked for preclinical drug development</w:t>
            </w:r>
          </w:p>
        </w:tc>
      </w:tr>
      <w:tr w:rsidR="00D90A0A" w:rsidRPr="00B7102F" w14:paraId="3110D835" w14:textId="77777777" w:rsidTr="003F6121">
        <w:tc>
          <w:tcPr>
            <w:tcW w:w="2165" w:type="dxa"/>
            <w:tcBorders>
              <w:top w:val="single" w:sz="4" w:space="0" w:color="auto"/>
              <w:bottom w:val="single" w:sz="4" w:space="0" w:color="auto"/>
            </w:tcBorders>
          </w:tcPr>
          <w:p w14:paraId="1EFF6428"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L-FABP</w:t>
            </w:r>
          </w:p>
        </w:tc>
        <w:tc>
          <w:tcPr>
            <w:tcW w:w="1521" w:type="dxa"/>
            <w:tcBorders>
              <w:top w:val="single" w:sz="4" w:space="0" w:color="auto"/>
              <w:bottom w:val="single" w:sz="4" w:space="0" w:color="auto"/>
            </w:tcBorders>
          </w:tcPr>
          <w:p w14:paraId="46B210F2"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Damage</w:t>
            </w:r>
          </w:p>
        </w:tc>
        <w:tc>
          <w:tcPr>
            <w:tcW w:w="1417" w:type="dxa"/>
            <w:tcBorders>
              <w:top w:val="single" w:sz="4" w:space="0" w:color="auto"/>
              <w:bottom w:val="single" w:sz="4" w:space="0" w:color="auto"/>
            </w:tcBorders>
          </w:tcPr>
          <w:p w14:paraId="3840F985"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Urine</w:t>
            </w:r>
          </w:p>
        </w:tc>
        <w:tc>
          <w:tcPr>
            <w:tcW w:w="2977" w:type="dxa"/>
            <w:tcBorders>
              <w:top w:val="single" w:sz="4" w:space="0" w:color="auto"/>
              <w:bottom w:val="single" w:sz="4" w:space="0" w:color="auto"/>
            </w:tcBorders>
          </w:tcPr>
          <w:p w14:paraId="2FB1227B"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14-kDa intracellular lipid chaperone; secreted by proximal tubular epithelial cells during ischemic and hypoxic injury</w:t>
            </w:r>
          </w:p>
        </w:tc>
        <w:tc>
          <w:tcPr>
            <w:tcW w:w="4111" w:type="dxa"/>
            <w:tcBorders>
              <w:top w:val="single" w:sz="4" w:space="0" w:color="auto"/>
              <w:bottom w:val="single" w:sz="4" w:space="0" w:color="auto"/>
            </w:tcBorders>
          </w:tcPr>
          <w:p w14:paraId="3984A73E" w14:textId="77777777" w:rsidR="00D90A0A" w:rsidRPr="00947CD7" w:rsidRDefault="00D90A0A" w:rsidP="003F6121">
            <w:pPr>
              <w:pStyle w:val="StandardWeb"/>
              <w:spacing w:before="0" w:beforeAutospacing="0" w:after="0" w:afterAutospacing="0" w:line="276" w:lineRule="auto"/>
              <w:rPr>
                <w:rFonts w:ascii="Calibri" w:hAnsi="Calibri" w:cs="Calibri"/>
                <w:sz w:val="22"/>
                <w:szCs w:val="22"/>
              </w:rPr>
            </w:pPr>
            <w:r w:rsidRPr="00947CD7">
              <w:rPr>
                <w:rFonts w:ascii="Calibri" w:hAnsi="Calibri" w:cs="Calibri"/>
                <w:sz w:val="22"/>
                <w:szCs w:val="22"/>
              </w:rPr>
              <w:t xml:space="preserve">Specific times from injury to detection of L-FABP unknown; </w:t>
            </w:r>
            <w:r w:rsidRPr="00947CD7">
              <w:rPr>
                <w:rFonts w:ascii="Calibri" w:hAnsi="Calibri" w:cs="Calibri"/>
                <w:color w:val="000000" w:themeColor="text1"/>
                <w:sz w:val="22"/>
                <w:szCs w:val="22"/>
                <w:shd w:val="clear" w:color="auto" w:fill="FFFFFF"/>
              </w:rPr>
              <w:t xml:space="preserve">Japanese Ministry of Health, </w:t>
            </w:r>
            <w:proofErr w:type="spellStart"/>
            <w:r w:rsidRPr="00947CD7">
              <w:rPr>
                <w:rFonts w:ascii="Calibri" w:hAnsi="Calibri" w:cs="Calibri"/>
                <w:color w:val="000000" w:themeColor="text1"/>
                <w:sz w:val="22"/>
                <w:szCs w:val="22"/>
                <w:shd w:val="clear" w:color="auto" w:fill="FFFFFF"/>
              </w:rPr>
              <w:t>Labour</w:t>
            </w:r>
            <w:proofErr w:type="spellEnd"/>
            <w:r w:rsidRPr="00947CD7">
              <w:rPr>
                <w:rFonts w:ascii="Calibri" w:hAnsi="Calibri" w:cs="Calibri"/>
                <w:color w:val="000000" w:themeColor="text1"/>
                <w:sz w:val="22"/>
                <w:szCs w:val="22"/>
                <w:shd w:val="clear" w:color="auto" w:fill="FFFFFF"/>
              </w:rPr>
              <w:t xml:space="preserve"> and Welfare-approved for clinical use (early diagnostic of kidney disease or predicting kidney prognosis) </w:t>
            </w:r>
          </w:p>
        </w:tc>
      </w:tr>
      <w:tr w:rsidR="00D90A0A" w:rsidRPr="00B7102F" w14:paraId="3520BAC2" w14:textId="77777777" w:rsidTr="003F6121">
        <w:tc>
          <w:tcPr>
            <w:tcW w:w="2165" w:type="dxa"/>
            <w:tcBorders>
              <w:top w:val="single" w:sz="4" w:space="0" w:color="auto"/>
              <w:bottom w:val="single" w:sz="4" w:space="0" w:color="auto"/>
            </w:tcBorders>
          </w:tcPr>
          <w:p w14:paraId="6E432532"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NGAL</w:t>
            </w:r>
          </w:p>
        </w:tc>
        <w:tc>
          <w:tcPr>
            <w:tcW w:w="1521" w:type="dxa"/>
            <w:tcBorders>
              <w:top w:val="single" w:sz="4" w:space="0" w:color="auto"/>
              <w:bottom w:val="single" w:sz="4" w:space="0" w:color="auto"/>
            </w:tcBorders>
          </w:tcPr>
          <w:p w14:paraId="20F6D4FE"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Damage</w:t>
            </w:r>
          </w:p>
        </w:tc>
        <w:tc>
          <w:tcPr>
            <w:tcW w:w="1417" w:type="dxa"/>
            <w:tcBorders>
              <w:top w:val="single" w:sz="4" w:space="0" w:color="auto"/>
              <w:bottom w:val="single" w:sz="4" w:space="0" w:color="auto"/>
            </w:tcBorders>
          </w:tcPr>
          <w:p w14:paraId="3855E86B"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Urine or plasma</w:t>
            </w:r>
          </w:p>
        </w:tc>
        <w:tc>
          <w:tcPr>
            <w:tcW w:w="2977" w:type="dxa"/>
            <w:tcBorders>
              <w:top w:val="single" w:sz="4" w:space="0" w:color="auto"/>
              <w:bottom w:val="single" w:sz="4" w:space="0" w:color="auto"/>
            </w:tcBorders>
          </w:tcPr>
          <w:p w14:paraId="52C22A09"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25-kDa protein that binds to iron–siderophore complexes that act as chelators/transporters in several diseases</w:t>
            </w:r>
          </w:p>
        </w:tc>
        <w:tc>
          <w:tcPr>
            <w:tcW w:w="4111" w:type="dxa"/>
            <w:tcBorders>
              <w:top w:val="single" w:sz="4" w:space="0" w:color="auto"/>
              <w:bottom w:val="single" w:sz="4" w:space="0" w:color="auto"/>
            </w:tcBorders>
          </w:tcPr>
          <w:p w14:paraId="7DD37AF3" w14:textId="77119355" w:rsidR="00D90A0A" w:rsidRPr="00947CD7" w:rsidRDefault="00D90A0A" w:rsidP="003F6121">
            <w:pPr>
              <w:pStyle w:val="StandardWeb"/>
              <w:spacing w:before="0" w:beforeAutospacing="0" w:after="0" w:afterAutospacing="0" w:line="276" w:lineRule="auto"/>
              <w:rPr>
                <w:rFonts w:ascii="Calibri" w:hAnsi="Calibri" w:cs="Calibri"/>
                <w:sz w:val="22"/>
                <w:szCs w:val="22"/>
              </w:rPr>
            </w:pPr>
            <w:r w:rsidRPr="00947CD7">
              <w:rPr>
                <w:rFonts w:ascii="Calibri" w:hAnsi="Calibri" w:cs="Calibri"/>
                <w:sz w:val="22"/>
                <w:szCs w:val="22"/>
              </w:rPr>
              <w:t xml:space="preserve">Peaks at 4–6 h after tubular injury </w:t>
            </w:r>
            <w:r w:rsidRPr="00947CD7">
              <w:rPr>
                <w:rFonts w:ascii="Calibri" w:hAnsi="Calibri" w:cs="Calibri"/>
                <w:sz w:val="22"/>
                <w:szCs w:val="22"/>
              </w:rPr>
              <w:fldChar w:fldCharType="begin"/>
            </w:r>
            <w:r w:rsidR="00F20995">
              <w:rPr>
                <w:rFonts w:ascii="Calibri" w:hAnsi="Calibri" w:cs="Calibri"/>
                <w:sz w:val="22"/>
                <w:szCs w:val="22"/>
              </w:rPr>
              <w:instrText xml:space="preserve"> ADDIN EN.CITE &lt;EndNote&gt;&lt;Cite&gt;&lt;Author&gt;Ronco&lt;/Author&gt;&lt;Year&gt;2019&lt;/Year&gt;&lt;RecNum&gt;3784&lt;/RecNum&gt;&lt;DisplayText&gt;[1]&lt;/DisplayText&gt;&lt;record&gt;&lt;rec-number&gt;3784&lt;/rec-number&gt;&lt;foreign-keys&gt;&lt;key app="EN" db-id="p0wdf2zdjwt2r4edfflv5ppizx2etzzv9dzw" timestamp="1613245299"&gt;3784&lt;/key&gt;&lt;/foreign-keys&gt;&lt;ref-type name="Journal Article"&gt;17&lt;/ref-type&gt;&lt;contributors&gt;&lt;authors&gt;&lt;author&gt;Ronco, C.&lt;/author&gt;&lt;author&gt;Bellomo, R.&lt;/author&gt;&lt;author&gt;Kellum, J. A.&lt;/author&gt;&lt;/authors&gt;&lt;/contributors&gt;&lt;auth-address&gt;Department of Medicine, University of Padova, Padova, Italy; International Renal Research Institute of Vicenza, Vicenza, Italy; Department of Nephrology, San Bortolo Hospital, Vicenza, Italy. Electronic address: cronco@goldnet.it.&amp;#xD;Critical Care Department, Austin Hospital, Melbourne, VIC, Australia.&amp;#xD;Center for Critical Care Nephrology, Department of Critical Care Medicine, University of Pittsburgh, Pittsburgh, PA, USA.&lt;/auth-address&gt;&lt;titles&gt;&lt;title&gt;Acute kidney injury&lt;/title&gt;&lt;secondary-title&gt;Lancet&lt;/secondary-title&gt;&lt;/titles&gt;&lt;periodical&gt;&lt;full-title&gt;Lancet&lt;/full-title&gt;&lt;abbr-1&gt;Lancet&lt;/abbr-1&gt;&lt;/periodical&gt;&lt;pages&gt;1949-1964&lt;/pages&gt;&lt;volume&gt;394&lt;/volume&gt;&lt;number&gt;10212&lt;/number&gt;&lt;edition&gt;2019/11/30&lt;/edition&gt;&lt;keywords&gt;&lt;keyword&gt;*Acute Kidney Injury/diagnosis/epidemiology/physiopathology/therapy&lt;/keyword&gt;&lt;keyword&gt;Biomarkers/blood&lt;/keyword&gt;&lt;keyword&gt;Creatinine/blood&lt;/keyword&gt;&lt;keyword&gt;Humans&lt;/keyword&gt;&lt;keyword&gt;Incidence&lt;/keyword&gt;&lt;keyword&gt;Risk Assessment&lt;/keyword&gt;&lt;keyword&gt;Sepsis/complications&lt;/keyword&gt;&lt;/keywords&gt;&lt;dates&gt;&lt;year&gt;2019&lt;/year&gt;&lt;pub-dates&gt;&lt;date&gt;Nov 23&lt;/date&gt;&lt;/pub-dates&gt;&lt;/dates&gt;&lt;isbn&gt;1474-547X (Electronic)&amp;#xD;0140-6736 (Linking)&lt;/isbn&gt;&lt;accession-num&gt;31777389&lt;/accession-num&gt;&lt;urls&gt;&lt;related-urls&gt;&lt;url&gt;https://www.ncbi.nlm.nih.gov/pubmed/31777389&lt;/url&gt;&lt;/related-urls&gt;&lt;/urls&gt;&lt;electronic-resource-num&gt;10.1016/S0140-6736(19)32563-2&lt;/electronic-resource-num&gt;&lt;/record&gt;&lt;/Cite&gt;&lt;/EndNote&gt;</w:instrText>
            </w:r>
            <w:r w:rsidRPr="00947CD7">
              <w:rPr>
                <w:rFonts w:ascii="Calibri" w:hAnsi="Calibri" w:cs="Calibri"/>
                <w:sz w:val="22"/>
                <w:szCs w:val="22"/>
              </w:rPr>
              <w:fldChar w:fldCharType="separate"/>
            </w:r>
            <w:r w:rsidR="00F20995">
              <w:rPr>
                <w:rFonts w:ascii="Calibri" w:hAnsi="Calibri" w:cs="Calibri"/>
                <w:noProof/>
                <w:sz w:val="22"/>
                <w:szCs w:val="22"/>
              </w:rPr>
              <w:t>[1]</w:t>
            </w:r>
            <w:r w:rsidRPr="00947CD7">
              <w:rPr>
                <w:rFonts w:ascii="Calibri" w:hAnsi="Calibri" w:cs="Calibri"/>
                <w:sz w:val="22"/>
                <w:szCs w:val="22"/>
              </w:rPr>
              <w:fldChar w:fldCharType="end"/>
            </w:r>
            <w:r w:rsidRPr="00947CD7">
              <w:rPr>
                <w:rFonts w:ascii="Calibri" w:hAnsi="Calibri" w:cs="Calibri"/>
                <w:sz w:val="22"/>
                <w:szCs w:val="22"/>
              </w:rPr>
              <w:t>; systemic levels are elevated in sepsis and severe inflammation, thus clinical use is limited in the ICU setting; CE-marked for diagnostic use in Europe since 2009 but not FDA-approved for clinical use in the USA</w:t>
            </w:r>
          </w:p>
        </w:tc>
      </w:tr>
      <w:tr w:rsidR="00D90A0A" w:rsidRPr="00B7102F" w14:paraId="56331CB4" w14:textId="77777777" w:rsidTr="003F6121">
        <w:tc>
          <w:tcPr>
            <w:tcW w:w="2165" w:type="dxa"/>
            <w:tcBorders>
              <w:top w:val="single" w:sz="4" w:space="0" w:color="auto"/>
              <w:bottom w:val="single" w:sz="4" w:space="0" w:color="auto"/>
            </w:tcBorders>
          </w:tcPr>
          <w:p w14:paraId="43A96F54"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t>Cystatin C</w:t>
            </w:r>
          </w:p>
        </w:tc>
        <w:tc>
          <w:tcPr>
            <w:tcW w:w="1521" w:type="dxa"/>
            <w:tcBorders>
              <w:top w:val="single" w:sz="4" w:space="0" w:color="auto"/>
              <w:bottom w:val="single" w:sz="4" w:space="0" w:color="auto"/>
            </w:tcBorders>
          </w:tcPr>
          <w:p w14:paraId="5620D4F6"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Dysfunction</w:t>
            </w:r>
          </w:p>
        </w:tc>
        <w:tc>
          <w:tcPr>
            <w:tcW w:w="1417" w:type="dxa"/>
            <w:tcBorders>
              <w:top w:val="single" w:sz="4" w:space="0" w:color="auto"/>
              <w:bottom w:val="single" w:sz="4" w:space="0" w:color="auto"/>
            </w:tcBorders>
          </w:tcPr>
          <w:p w14:paraId="4496CD57"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Plasma</w:t>
            </w:r>
          </w:p>
        </w:tc>
        <w:tc>
          <w:tcPr>
            <w:tcW w:w="2977" w:type="dxa"/>
            <w:tcBorders>
              <w:top w:val="single" w:sz="4" w:space="0" w:color="auto"/>
              <w:bottom w:val="single" w:sz="4" w:space="0" w:color="auto"/>
            </w:tcBorders>
          </w:tcPr>
          <w:p w14:paraId="685052A0"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 xml:space="preserve">13.3-kDa protein produced in all nucleated cells throughout </w:t>
            </w:r>
            <w:r w:rsidRPr="00947CD7">
              <w:rPr>
                <w:rFonts w:ascii="Calibri" w:hAnsi="Calibri" w:cs="Calibri"/>
                <w:sz w:val="22"/>
                <w:szCs w:val="22"/>
                <w:lang w:val="en-US"/>
              </w:rPr>
              <w:lastRenderedPageBreak/>
              <w:t>the body; its function is unknown</w:t>
            </w:r>
          </w:p>
        </w:tc>
        <w:tc>
          <w:tcPr>
            <w:tcW w:w="4111" w:type="dxa"/>
            <w:tcBorders>
              <w:top w:val="single" w:sz="4" w:space="0" w:color="auto"/>
              <w:bottom w:val="single" w:sz="4" w:space="0" w:color="auto"/>
            </w:tcBorders>
          </w:tcPr>
          <w:p w14:paraId="6C7EC406" w14:textId="3B451F4C"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lastRenderedPageBreak/>
              <w:t xml:space="preserve">Freely filtered at the glomerulus, reabsorbed, and catabolized by the proximal tubule cells, thus plasma levels </w:t>
            </w:r>
            <w:r w:rsidRPr="00947CD7">
              <w:rPr>
                <w:rFonts w:ascii="Calibri" w:hAnsi="Calibri" w:cs="Calibri"/>
                <w:sz w:val="22"/>
                <w:szCs w:val="22"/>
                <w:lang w:val="en-US"/>
              </w:rPr>
              <w:lastRenderedPageBreak/>
              <w:t xml:space="preserve">are indicative of GFR </w:t>
            </w:r>
            <w:r w:rsidRPr="00947CD7">
              <w:rPr>
                <w:rFonts w:ascii="Calibri" w:hAnsi="Calibri" w:cs="Calibri"/>
                <w:sz w:val="22"/>
                <w:szCs w:val="22"/>
                <w:lang w:val="en-US"/>
              </w:rPr>
              <w:fldChar w:fldCharType="begin">
                <w:fldData xml:space="preserve">PEVuZE5vdGU+PENpdGU+PEF1dGhvcj5MZXZleTwvQXV0aG9yPjxZZWFyPjIwMjA8L1llYXI+PFJl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</w:fldData>
              </w:fldChar>
            </w:r>
            <w:r w:rsidR="00F20995">
              <w:rPr>
                <w:rFonts w:ascii="Calibri" w:hAnsi="Calibri" w:cs="Calibri"/>
                <w:sz w:val="22"/>
                <w:szCs w:val="22"/>
                <w:lang w:val="en-US"/>
              </w:rPr>
              <w:instrText xml:space="preserve"> ADDIN EN.CITE </w:instrText>
            </w:r>
            <w:r w:rsidR="00F20995">
              <w:rPr>
                <w:rFonts w:ascii="Calibri" w:hAnsi="Calibri" w:cs="Calibri"/>
                <w:sz w:val="22"/>
                <w:szCs w:val="22"/>
                <w:lang w:val="en-US"/>
              </w:rPr>
              <w:fldChar w:fldCharType="begin">
                <w:fldData xml:space="preserve">PEVuZE5vdGU+PENpdGU+PEF1dGhvcj5MZXZleTwvQXV0aG9yPjxZZWFyPjIwMjA8L1llYXI+PFJl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</w:fldData>
              </w:fldChar>
            </w:r>
            <w:r w:rsidR="00F20995">
              <w:rPr>
                <w:rFonts w:ascii="Calibri" w:hAnsi="Calibri" w:cs="Calibri"/>
                <w:sz w:val="22"/>
                <w:szCs w:val="22"/>
                <w:lang w:val="en-US"/>
              </w:rPr>
              <w:instrText xml:space="preserve"> ADDIN EN.CITE.DATA </w:instrText>
            </w:r>
            <w:r w:rsidR="00F20995">
              <w:rPr>
                <w:rFonts w:ascii="Calibri" w:hAnsi="Calibri" w:cs="Calibri"/>
                <w:sz w:val="22"/>
                <w:szCs w:val="22"/>
                <w:lang w:val="en-US"/>
              </w:rPr>
            </w:r>
            <w:r w:rsidR="00F20995">
              <w:rPr>
                <w:rFonts w:ascii="Calibri" w:hAnsi="Calibri" w:cs="Calibri"/>
                <w:sz w:val="22"/>
                <w:szCs w:val="22"/>
                <w:lang w:val="en-US"/>
              </w:rPr>
              <w:fldChar w:fldCharType="end"/>
            </w:r>
            <w:r w:rsidRPr="00947CD7">
              <w:rPr>
                <w:rFonts w:ascii="Calibri" w:hAnsi="Calibri" w:cs="Calibri"/>
                <w:sz w:val="22"/>
                <w:szCs w:val="22"/>
                <w:lang w:val="en-US"/>
              </w:rPr>
            </w:r>
            <w:r w:rsidRPr="00947CD7">
              <w:rPr>
                <w:rFonts w:ascii="Calibri" w:hAnsi="Calibri" w:cs="Calibri"/>
                <w:sz w:val="22"/>
                <w:szCs w:val="22"/>
                <w:lang w:val="en-US"/>
              </w:rPr>
              <w:fldChar w:fldCharType="separate"/>
            </w:r>
            <w:r w:rsidR="00F20995">
              <w:rPr>
                <w:rFonts w:ascii="Calibri" w:hAnsi="Calibri" w:cs="Calibri"/>
                <w:noProof/>
                <w:sz w:val="22"/>
                <w:szCs w:val="22"/>
                <w:lang w:val="en-US"/>
              </w:rPr>
              <w:t>[2]</w:t>
            </w:r>
            <w:r w:rsidRPr="00947CD7">
              <w:rPr>
                <w:rFonts w:ascii="Calibri" w:hAnsi="Calibri" w:cs="Calibri"/>
                <w:sz w:val="22"/>
                <w:szCs w:val="22"/>
                <w:lang w:val="en-US"/>
              </w:rPr>
              <w:fldChar w:fldCharType="end"/>
            </w:r>
            <w:r w:rsidRPr="00947CD7">
              <w:rPr>
                <w:rFonts w:ascii="Calibri" w:hAnsi="Calibri" w:cs="Calibri"/>
                <w:sz w:val="22"/>
                <w:szCs w:val="22"/>
                <w:lang w:val="en-US"/>
              </w:rPr>
              <w:t>*; FDA-approved and CE-marked for clinical use</w:t>
            </w:r>
          </w:p>
        </w:tc>
      </w:tr>
      <w:tr w:rsidR="00D90A0A" w:rsidRPr="00B7102F" w14:paraId="1FEB02DA" w14:textId="77777777" w:rsidTr="003F6121">
        <w:tc>
          <w:tcPr>
            <w:tcW w:w="2165" w:type="dxa"/>
            <w:tcBorders>
              <w:top w:val="single" w:sz="4" w:space="0" w:color="auto"/>
              <w:bottom w:val="single" w:sz="4" w:space="0" w:color="auto"/>
            </w:tcBorders>
          </w:tcPr>
          <w:p w14:paraId="01E10F6B" w14:textId="77777777" w:rsidR="00D90A0A" w:rsidRPr="00947CD7" w:rsidRDefault="00D90A0A" w:rsidP="003F6121">
            <w:pPr>
              <w:spacing w:line="276" w:lineRule="auto"/>
              <w:rPr>
                <w:rFonts w:ascii="Calibri" w:hAnsi="Calibri" w:cs="Calibri"/>
                <w:b/>
                <w:bCs/>
                <w:sz w:val="22"/>
                <w:szCs w:val="22"/>
                <w:lang w:val="en-US"/>
              </w:rPr>
            </w:pPr>
            <w:r w:rsidRPr="00947CD7">
              <w:rPr>
                <w:rFonts w:ascii="Calibri" w:hAnsi="Calibri" w:cs="Calibri"/>
                <w:b/>
                <w:bCs/>
                <w:sz w:val="22"/>
                <w:szCs w:val="22"/>
                <w:lang w:val="en-US"/>
              </w:rPr>
              <w:lastRenderedPageBreak/>
              <w:t>Proenkephalin A</w:t>
            </w:r>
          </w:p>
        </w:tc>
        <w:tc>
          <w:tcPr>
            <w:tcW w:w="1521" w:type="dxa"/>
            <w:tcBorders>
              <w:top w:val="single" w:sz="4" w:space="0" w:color="auto"/>
              <w:bottom w:val="single" w:sz="4" w:space="0" w:color="auto"/>
            </w:tcBorders>
          </w:tcPr>
          <w:p w14:paraId="3219302C"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Dysfunction</w:t>
            </w:r>
          </w:p>
        </w:tc>
        <w:tc>
          <w:tcPr>
            <w:tcW w:w="1417" w:type="dxa"/>
            <w:tcBorders>
              <w:top w:val="single" w:sz="4" w:space="0" w:color="auto"/>
              <w:bottom w:val="single" w:sz="4" w:space="0" w:color="auto"/>
            </w:tcBorders>
          </w:tcPr>
          <w:p w14:paraId="0B59D996"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Plasma</w:t>
            </w:r>
          </w:p>
        </w:tc>
        <w:tc>
          <w:tcPr>
            <w:tcW w:w="2977" w:type="dxa"/>
            <w:tcBorders>
              <w:top w:val="single" w:sz="4" w:space="0" w:color="auto"/>
              <w:bottom w:val="single" w:sz="4" w:space="0" w:color="auto"/>
            </w:tcBorders>
          </w:tcPr>
          <w:p w14:paraId="10FD128E" w14:textId="77777777" w:rsidR="00D90A0A" w:rsidRPr="00947CD7" w:rsidRDefault="00D90A0A" w:rsidP="003F6121">
            <w:pPr>
              <w:spacing w:line="276" w:lineRule="auto"/>
              <w:rPr>
                <w:rFonts w:ascii="Calibri" w:hAnsi="Calibri" w:cs="Calibri"/>
                <w:sz w:val="22"/>
                <w:szCs w:val="22"/>
                <w:lang w:val="en-US"/>
              </w:rPr>
            </w:pPr>
            <w:r w:rsidRPr="00947CD7">
              <w:rPr>
                <w:rFonts w:ascii="Calibri" w:hAnsi="Calibri" w:cs="Calibri"/>
                <w:sz w:val="22"/>
                <w:szCs w:val="22"/>
                <w:lang w:val="en-US"/>
              </w:rPr>
              <w:t>4.5-kDa protein derived from the precursor enkephalin, a small endogenous opioid peptide produced in the central nervous system, heart, kidney, intestine, lung, skeletal muscle, and immune cells</w:t>
            </w:r>
          </w:p>
        </w:tc>
        <w:tc>
          <w:tcPr>
            <w:tcW w:w="4111" w:type="dxa"/>
            <w:tcBorders>
              <w:top w:val="single" w:sz="4" w:space="0" w:color="auto"/>
              <w:bottom w:val="single" w:sz="4" w:space="0" w:color="auto"/>
            </w:tcBorders>
          </w:tcPr>
          <w:p w14:paraId="57BD9ADD" w14:textId="56F7B40B" w:rsidR="00D90A0A" w:rsidRPr="00947CD7" w:rsidRDefault="00D90A0A" w:rsidP="003F6121">
            <w:pPr>
              <w:pStyle w:val="StandardWeb"/>
              <w:spacing w:before="0" w:beforeAutospacing="0" w:after="0" w:afterAutospacing="0" w:line="276" w:lineRule="auto"/>
              <w:rPr>
                <w:rFonts w:ascii="Calibri" w:hAnsi="Calibri" w:cs="Calibri"/>
                <w:sz w:val="22"/>
                <w:szCs w:val="22"/>
              </w:rPr>
            </w:pPr>
            <w:r w:rsidRPr="00947CD7">
              <w:rPr>
                <w:rFonts w:ascii="Calibri" w:hAnsi="Calibri" w:cs="Calibri"/>
                <w:sz w:val="22"/>
                <w:szCs w:val="22"/>
              </w:rPr>
              <w:t xml:space="preserve">Freely filtered at the glomerulus, thus plasma levels are indicative of GFR </w:t>
            </w:r>
            <w:r w:rsidRPr="00947CD7">
              <w:rPr>
                <w:rFonts w:ascii="Calibri" w:hAnsi="Calibri" w:cs="Calibri"/>
                <w:sz w:val="22"/>
                <w:szCs w:val="22"/>
              </w:rPr>
              <w:fldChar w:fldCharType="begin"/>
            </w:r>
            <w:r w:rsidR="00F20995">
              <w:rPr>
                <w:rFonts w:ascii="Calibri" w:hAnsi="Calibri" w:cs="Calibri"/>
                <w:sz w:val="22"/>
                <w:szCs w:val="22"/>
              </w:rPr>
              <w:instrText xml:space="preserve"> ADDIN EN.CITE &lt;EndNote&gt;&lt;Cite&gt;&lt;Author&gt;Ronco&lt;/Author&gt;&lt;Year&gt;2019&lt;/Year&gt;&lt;RecNum&gt;3784&lt;/RecNum&gt;&lt;DisplayText&gt;[1]&lt;/DisplayText&gt;&lt;record&gt;&lt;rec-number&gt;3784&lt;/rec-number&gt;&lt;foreign-keys&gt;&lt;key app="EN" db-id="p0wdf2zdjwt2r4edfflv5ppizx2etzzv9dzw" timestamp="1613245299"&gt;3784&lt;/key&gt;&lt;/foreign-keys&gt;&lt;ref-type name="Journal Article"&gt;17&lt;/ref-type&gt;&lt;contributors&gt;&lt;authors&gt;&lt;author&gt;Ronco, C.&lt;/author&gt;&lt;author&gt;Bellomo, R.&lt;/author&gt;&lt;author&gt;Kellum, J. A.&lt;/author&gt;&lt;/authors&gt;&lt;/contributors&gt;&lt;auth-address&gt;Department of Medicine, University of Padova, Padova, Italy; International Renal Research Institute of Vicenza, Vicenza, Italy; Department of Nephrology, San Bortolo Hospital, Vicenza, Italy. Electronic address: cronco@goldnet.it.&amp;#xD;Critical Care Department, Austin Hospital, Melbourne, VIC, Australia.&amp;#xD;Center for Critical Care Nephrology, Department of Critical Care Medicine, University of Pittsburgh, Pittsburgh, PA, USA.&lt;/auth-address&gt;&lt;titles&gt;&lt;title&gt;Acute kidney injury&lt;/title&gt;&lt;secondary-title&gt;Lancet&lt;/secondary-title&gt;&lt;/titles&gt;&lt;periodical&gt;&lt;full-title&gt;Lancet&lt;/full-title&gt;&lt;abbr-1&gt;Lancet&lt;/abbr-1&gt;&lt;/periodical&gt;&lt;pages&gt;1949-1964&lt;/pages&gt;&lt;volume&gt;394&lt;/volume&gt;&lt;number&gt;10212&lt;/number&gt;&lt;edition&gt;2019/11/30&lt;/edition&gt;&lt;keywords&gt;&lt;keyword&gt;*Acute Kidney Injury/diagnosis/epidemiology/physiopathology/therapy&lt;/keyword&gt;&lt;keyword&gt;Biomarkers/blood&lt;/keyword&gt;&lt;keyword&gt;Creatinine/blood&lt;/keyword&gt;&lt;keyword&gt;Humans&lt;/keyword&gt;&lt;keyword&gt;Incidence&lt;/keyword&gt;&lt;keyword&gt;Risk Assessment&lt;/keyword&gt;&lt;keyword&gt;Sepsis/complications&lt;/keyword&gt;&lt;/keywords&gt;&lt;dates&gt;&lt;year&gt;2019&lt;/year&gt;&lt;pub-dates&gt;&lt;date&gt;Nov 23&lt;/date&gt;&lt;/pub-dates&gt;&lt;/dates&gt;&lt;isbn&gt;1474-547X (Electronic)&amp;#xD;0140-6736 (Linking)&lt;/isbn&gt;&lt;accession-num&gt;31777389&lt;/accession-num&gt;&lt;urls&gt;&lt;related-urls&gt;&lt;url&gt;https://www.ncbi.nlm.nih.gov/pubmed/31777389&lt;/url&gt;&lt;/related-urls&gt;&lt;/urls&gt;&lt;electronic-resource-num&gt;10.1016/S0140-6736(19)32563-2&lt;/electronic-resource-num&gt;&lt;/record&gt;&lt;/Cite&gt;&lt;/EndNote&gt;</w:instrText>
            </w:r>
            <w:r w:rsidRPr="00947CD7">
              <w:rPr>
                <w:rFonts w:ascii="Calibri" w:hAnsi="Calibri" w:cs="Calibri"/>
                <w:sz w:val="22"/>
                <w:szCs w:val="22"/>
              </w:rPr>
              <w:fldChar w:fldCharType="separate"/>
            </w:r>
            <w:r w:rsidR="00F20995">
              <w:rPr>
                <w:rFonts w:ascii="Calibri" w:hAnsi="Calibri" w:cs="Calibri"/>
                <w:noProof/>
                <w:sz w:val="22"/>
                <w:szCs w:val="22"/>
              </w:rPr>
              <w:t>[1]</w:t>
            </w:r>
            <w:r w:rsidRPr="00947CD7">
              <w:rPr>
                <w:rFonts w:ascii="Calibri" w:hAnsi="Calibri" w:cs="Calibri"/>
                <w:sz w:val="22"/>
                <w:szCs w:val="22"/>
              </w:rPr>
              <w:fldChar w:fldCharType="end"/>
            </w:r>
            <w:r w:rsidRPr="00947CD7">
              <w:rPr>
                <w:rFonts w:ascii="Calibri" w:hAnsi="Calibri" w:cs="Calibri"/>
                <w:sz w:val="22"/>
                <w:szCs w:val="22"/>
              </w:rPr>
              <w:t>*; CE-marked for clinical use but not FDA-approved for clinical use in the USA</w:t>
            </w:r>
          </w:p>
        </w:tc>
      </w:tr>
    </w:tbl>
    <w:p w14:paraId="15D9349F" w14:textId="77777777" w:rsidR="00D90A0A" w:rsidRPr="00947CD7" w:rsidRDefault="00D90A0A" w:rsidP="00173795">
      <w:pPr>
        <w:spacing w:before="120" w:line="276" w:lineRule="auto"/>
        <w:jc w:val="both"/>
        <w:rPr>
          <w:rFonts w:ascii="Calibri" w:hAnsi="Calibri" w:cs="Calibri"/>
          <w:sz w:val="22"/>
          <w:szCs w:val="22"/>
          <w:lang w:val="en-US"/>
        </w:rPr>
      </w:pPr>
      <w:r w:rsidRPr="00947CD7">
        <w:rPr>
          <w:rFonts w:ascii="Calibri" w:hAnsi="Calibri" w:cs="Calibri"/>
          <w:sz w:val="22"/>
          <w:szCs w:val="22"/>
          <w:lang w:val="en-US"/>
        </w:rPr>
        <w:t>*Filtration markers have a variable relationship to injury, thus specific times from injury to detection of the markers are not possible to establish.</w:t>
      </w:r>
    </w:p>
    <w:p w14:paraId="48C47FEB" w14:textId="624F63E3" w:rsidR="00D90A0A" w:rsidRPr="00947CD7" w:rsidRDefault="00D870D2" w:rsidP="00B7102F">
      <w:pPr>
        <w:spacing w:before="120" w:line="276" w:lineRule="auto"/>
        <w:jc w:val="both"/>
        <w:rPr>
          <w:rFonts w:ascii="Calibri" w:hAnsi="Calibri" w:cs="Calibri"/>
          <w:sz w:val="22"/>
          <w:szCs w:val="22"/>
          <w:lang w:val="en-US"/>
        </w:rPr>
      </w:pPr>
      <w:r>
        <w:rPr>
          <w:rFonts w:ascii="Calibri" w:hAnsi="Calibri" w:cs="Calibri"/>
          <w:sz w:val="22"/>
          <w:szCs w:val="22"/>
          <w:lang w:val="en-US"/>
        </w:rPr>
        <w:t xml:space="preserve">Appendix </w:t>
      </w:r>
      <w:r w:rsidR="00D90A0A" w:rsidRPr="00947CD7">
        <w:rPr>
          <w:rFonts w:ascii="Calibri" w:hAnsi="Calibri" w:cs="Calibri"/>
          <w:sz w:val="22"/>
          <w:szCs w:val="22"/>
          <w:lang w:val="en-US"/>
        </w:rPr>
        <w:t xml:space="preserve">Table </w:t>
      </w:r>
      <w:r w:rsidR="00BF014B">
        <w:rPr>
          <w:rFonts w:ascii="Calibri" w:hAnsi="Calibri" w:cs="Calibri"/>
          <w:sz w:val="22"/>
          <w:szCs w:val="22"/>
          <w:lang w:val="en-US"/>
        </w:rPr>
        <w:t>4</w:t>
      </w:r>
      <w:r w:rsidR="00D90A0A" w:rsidRPr="00947CD7">
        <w:rPr>
          <w:rFonts w:ascii="Calibri" w:hAnsi="Calibri" w:cs="Calibri"/>
          <w:sz w:val="22"/>
          <w:szCs w:val="22"/>
          <w:lang w:val="en-US"/>
        </w:rPr>
        <w:t xml:space="preserve"> only summarizes few of the currently available AKI biomarkers. Research is needed to establish which biomarkers will be qualified for augmenting AKI classification. Furthermore, it remains unclear when these biomarkers should be measured and what the cutoffs should be; further investigation is needed.</w:t>
      </w:r>
    </w:p>
    <w:p w14:paraId="356C3124" w14:textId="77777777" w:rsidR="00D90A0A" w:rsidRPr="00947CD7" w:rsidRDefault="00D90A0A" w:rsidP="00173795">
      <w:pPr>
        <w:spacing w:before="120" w:line="276" w:lineRule="auto"/>
        <w:jc w:val="both"/>
        <w:rPr>
          <w:rFonts w:ascii="Calibri" w:hAnsi="Calibri" w:cs="Calibri"/>
          <w:color w:val="212121"/>
          <w:sz w:val="22"/>
          <w:szCs w:val="22"/>
          <w:shd w:val="clear" w:color="auto" w:fill="FFFFFF"/>
          <w:lang w:val="en-US"/>
        </w:rPr>
      </w:pPr>
      <w:r w:rsidRPr="00947CD7">
        <w:rPr>
          <w:rFonts w:ascii="Calibri" w:hAnsi="Calibri" w:cs="Calibri"/>
          <w:color w:val="000000" w:themeColor="text1"/>
          <w:sz w:val="22"/>
          <w:szCs w:val="22"/>
          <w:lang w:val="en-US"/>
        </w:rPr>
        <w:t xml:space="preserve">CE, </w:t>
      </w:r>
      <w:proofErr w:type="spellStart"/>
      <w:r w:rsidRPr="00947CD7">
        <w:rPr>
          <w:rFonts w:ascii="Calibri" w:hAnsi="Calibri" w:cs="Calibri"/>
          <w:sz w:val="22"/>
          <w:szCs w:val="22"/>
          <w:lang w:val="en-US"/>
        </w:rPr>
        <w:t>Conformite</w:t>
      </w:r>
      <w:proofErr w:type="spellEnd"/>
      <w:r w:rsidRPr="00947CD7">
        <w:rPr>
          <w:rFonts w:ascii="Calibri" w:hAnsi="Calibri" w:cs="Calibri"/>
          <w:sz w:val="22"/>
          <w:szCs w:val="22"/>
          <w:lang w:val="en-US"/>
        </w:rPr>
        <w:t xml:space="preserve">́ </w:t>
      </w:r>
      <w:proofErr w:type="spellStart"/>
      <w:r w:rsidRPr="00947CD7">
        <w:rPr>
          <w:rFonts w:ascii="Calibri" w:hAnsi="Calibri" w:cs="Calibri"/>
          <w:sz w:val="22"/>
          <w:szCs w:val="22"/>
          <w:lang w:val="en-US"/>
        </w:rPr>
        <w:t>Européenne</w:t>
      </w:r>
      <w:proofErr w:type="spellEnd"/>
      <w:r w:rsidRPr="00947CD7">
        <w:rPr>
          <w:rFonts w:ascii="Calibri" w:hAnsi="Calibri" w:cs="Calibri"/>
          <w:sz w:val="22"/>
          <w:szCs w:val="22"/>
          <w:lang w:val="en-US"/>
        </w:rPr>
        <w:t xml:space="preserve">; </w:t>
      </w:r>
      <w:r w:rsidRPr="00947CD7">
        <w:rPr>
          <w:rFonts w:ascii="Calibri" w:hAnsi="Calibri" w:cs="Calibri"/>
          <w:color w:val="212121"/>
          <w:sz w:val="22"/>
          <w:szCs w:val="22"/>
          <w:shd w:val="clear" w:color="auto" w:fill="FFFFFF"/>
          <w:lang w:val="en-US"/>
        </w:rPr>
        <w:t xml:space="preserve">FDA, US Food and Drug Administration; GFR; glomerular filtration rate; </w:t>
      </w:r>
      <w:r w:rsidRPr="00947CD7">
        <w:rPr>
          <w:rFonts w:ascii="Calibri" w:hAnsi="Calibri" w:cs="Calibri"/>
          <w:color w:val="000000" w:themeColor="text1"/>
          <w:sz w:val="22"/>
          <w:szCs w:val="22"/>
          <w:lang w:val="en-US"/>
        </w:rPr>
        <w:t xml:space="preserve">IGFBP7, </w:t>
      </w:r>
      <w:r w:rsidRPr="00947CD7">
        <w:rPr>
          <w:rFonts w:ascii="Calibri" w:hAnsi="Calibri" w:cs="Calibri"/>
          <w:color w:val="000000" w:themeColor="text1"/>
          <w:sz w:val="22"/>
          <w:szCs w:val="22"/>
          <w:shd w:val="clear" w:color="auto" w:fill="FFFFFF"/>
          <w:lang w:val="en-US"/>
        </w:rPr>
        <w:t>insulin-like growth factor binding protein</w:t>
      </w:r>
      <w:r w:rsidRPr="00947CD7">
        <w:rPr>
          <w:rFonts w:ascii="Calibri" w:hAnsi="Calibri" w:cs="Calibri"/>
          <w:color w:val="000000" w:themeColor="text1"/>
          <w:sz w:val="22"/>
          <w:szCs w:val="22"/>
          <w:lang w:val="en-US"/>
        </w:rPr>
        <w:t xml:space="preserve">; </w:t>
      </w:r>
      <w:r w:rsidRPr="00947CD7">
        <w:rPr>
          <w:rFonts w:ascii="Calibri" w:hAnsi="Calibri" w:cs="Calibri"/>
          <w:sz w:val="22"/>
          <w:szCs w:val="22"/>
          <w:lang w:val="en-US"/>
        </w:rPr>
        <w:t xml:space="preserve">KIM-1, </w:t>
      </w:r>
      <w:r w:rsidRPr="00947CD7">
        <w:rPr>
          <w:rFonts w:ascii="Calibri" w:hAnsi="Calibri" w:cs="Calibri"/>
          <w:color w:val="212121"/>
          <w:sz w:val="22"/>
          <w:szCs w:val="22"/>
          <w:shd w:val="clear" w:color="auto" w:fill="FFFFFF"/>
          <w:lang w:val="en-US"/>
        </w:rPr>
        <w:t xml:space="preserve">kidney injury molecule 1; L-FABP, liver-type fatty acid-binding protein; </w:t>
      </w:r>
      <w:r w:rsidRPr="00947CD7">
        <w:rPr>
          <w:rFonts w:ascii="Calibri" w:hAnsi="Calibri" w:cs="Calibri"/>
          <w:color w:val="000000" w:themeColor="text1"/>
          <w:sz w:val="22"/>
          <w:szCs w:val="22"/>
          <w:lang w:val="en-US"/>
        </w:rPr>
        <w:t xml:space="preserve">NGAL, </w:t>
      </w:r>
      <w:r w:rsidRPr="00947CD7">
        <w:rPr>
          <w:rFonts w:ascii="Calibri" w:hAnsi="Calibri" w:cs="Calibri"/>
          <w:color w:val="212121"/>
          <w:sz w:val="22"/>
          <w:szCs w:val="22"/>
          <w:shd w:val="clear" w:color="auto" w:fill="FFFFFF"/>
          <w:lang w:val="en-US"/>
        </w:rPr>
        <w:t xml:space="preserve">neutrophil gelatinase-associated lipocalin; </w:t>
      </w:r>
      <w:r w:rsidRPr="00947CD7">
        <w:rPr>
          <w:rFonts w:ascii="Calibri" w:hAnsi="Calibri" w:cs="Calibri"/>
          <w:color w:val="000000" w:themeColor="text1"/>
          <w:sz w:val="22"/>
          <w:szCs w:val="22"/>
          <w:lang w:val="en-US"/>
        </w:rPr>
        <w:t xml:space="preserve">TIMP-2, </w:t>
      </w:r>
      <w:r w:rsidRPr="00947CD7">
        <w:rPr>
          <w:rFonts w:ascii="Calibri" w:hAnsi="Calibri" w:cs="Calibri"/>
          <w:color w:val="000000" w:themeColor="text1"/>
          <w:sz w:val="22"/>
          <w:szCs w:val="22"/>
          <w:shd w:val="clear" w:color="auto" w:fill="FFFFFF"/>
          <w:lang w:val="en-US"/>
        </w:rPr>
        <w:t>tissue inhibitor of metalloproteinases-2</w:t>
      </w:r>
      <w:r w:rsidRPr="00947CD7">
        <w:rPr>
          <w:rFonts w:ascii="Calibri" w:hAnsi="Calibri" w:cs="Calibri"/>
          <w:color w:val="212121"/>
          <w:sz w:val="22"/>
          <w:szCs w:val="22"/>
          <w:shd w:val="clear" w:color="auto" w:fill="FFFFFF"/>
          <w:lang w:val="en-US"/>
        </w:rPr>
        <w:t>.</w:t>
      </w:r>
    </w:p>
    <w:p w14:paraId="12A5F298" w14:textId="77777777" w:rsidR="00D90A0A" w:rsidRPr="00947CD7" w:rsidRDefault="00D90A0A" w:rsidP="00173795">
      <w:pPr>
        <w:spacing w:line="276" w:lineRule="auto"/>
        <w:jc w:val="both"/>
        <w:rPr>
          <w:sz w:val="22"/>
          <w:szCs w:val="22"/>
          <w:lang w:val="en-US"/>
        </w:rPr>
      </w:pPr>
    </w:p>
    <w:p w14:paraId="0BFE8B28" w14:textId="77777777" w:rsidR="00F20995" w:rsidRDefault="00F20995" w:rsidP="008A02E8">
      <w:pPr>
        <w:spacing w:line="276" w:lineRule="auto"/>
        <w:jc w:val="both"/>
        <w:rPr>
          <w:sz w:val="22"/>
          <w:szCs w:val="22"/>
          <w:lang w:val="en-US"/>
        </w:rPr>
      </w:pPr>
    </w:p>
    <w:p w14:paraId="7E787D22" w14:textId="77777777" w:rsidR="00F20995" w:rsidRDefault="00F20995" w:rsidP="008A02E8">
      <w:pPr>
        <w:spacing w:line="276" w:lineRule="auto"/>
        <w:jc w:val="both"/>
        <w:rPr>
          <w:sz w:val="22"/>
          <w:szCs w:val="22"/>
          <w:lang w:val="en-US"/>
        </w:rPr>
      </w:pPr>
    </w:p>
    <w:p w14:paraId="2580E6D1" w14:textId="77777777" w:rsidR="00F20995" w:rsidRDefault="00F20995" w:rsidP="008A02E8">
      <w:pPr>
        <w:spacing w:line="276" w:lineRule="auto"/>
        <w:jc w:val="both"/>
        <w:rPr>
          <w:sz w:val="22"/>
          <w:szCs w:val="22"/>
          <w:lang w:val="en-US"/>
        </w:rPr>
      </w:pPr>
    </w:p>
    <w:p w14:paraId="190B1EC0" w14:textId="77777777" w:rsidR="009348E5" w:rsidRDefault="009348E5" w:rsidP="008A02E8">
      <w:pPr>
        <w:spacing w:line="276" w:lineRule="auto"/>
        <w:jc w:val="both"/>
        <w:rPr>
          <w:rFonts w:ascii="Calibri" w:hAnsi="Calibri" w:cs="Calibri"/>
          <w:b/>
          <w:bCs/>
          <w:sz w:val="22"/>
          <w:szCs w:val="22"/>
          <w:lang w:val="en-US"/>
        </w:rPr>
        <w:sectPr w:rsidR="009348E5" w:rsidSect="005267CC">
          <w:pgSz w:w="16838" w:h="11906" w:orient="landscape"/>
          <w:pgMar w:top="1417" w:right="1134" w:bottom="1417" w:left="1417" w:header="708" w:footer="708" w:gutter="0"/>
          <w:cols w:space="708"/>
          <w:docGrid w:linePitch="360"/>
        </w:sectPr>
      </w:pPr>
    </w:p>
    <w:p w14:paraId="4589D6B5" w14:textId="6A7E1753" w:rsidR="00F20995" w:rsidRPr="00F20995" w:rsidRDefault="00F20995" w:rsidP="008A02E8">
      <w:pPr>
        <w:spacing w:line="276" w:lineRule="auto"/>
        <w:jc w:val="both"/>
        <w:rPr>
          <w:rFonts w:ascii="Calibri" w:hAnsi="Calibri" w:cs="Calibri"/>
          <w:b/>
          <w:bCs/>
          <w:sz w:val="22"/>
          <w:szCs w:val="22"/>
          <w:lang w:val="en-US"/>
        </w:rPr>
      </w:pPr>
      <w:r w:rsidRPr="00F20995">
        <w:rPr>
          <w:rFonts w:ascii="Calibri" w:hAnsi="Calibri" w:cs="Calibri"/>
          <w:b/>
          <w:bCs/>
          <w:sz w:val="22"/>
          <w:szCs w:val="22"/>
          <w:lang w:val="en-US"/>
        </w:rPr>
        <w:lastRenderedPageBreak/>
        <w:t>References</w:t>
      </w:r>
    </w:p>
    <w:p w14:paraId="7853E42D" w14:textId="59ADAF3A" w:rsidR="00F20995" w:rsidRPr="006008D2" w:rsidRDefault="00F20995" w:rsidP="00F20995">
      <w:pPr>
        <w:pStyle w:val="EndNoteBibliography"/>
        <w:ind w:left="720" w:hanging="720"/>
        <w:rPr>
          <w:rFonts w:ascii="Calibri" w:hAnsi="Calibri" w:cs="Calibri"/>
          <w:noProof/>
          <w:sz w:val="22"/>
          <w:szCs w:val="22"/>
          <w:lang w:val="en-US"/>
        </w:rPr>
      </w:pPr>
      <w:r w:rsidRPr="006008D2">
        <w:rPr>
          <w:rFonts w:ascii="Calibri" w:hAnsi="Calibri" w:cs="Calibri"/>
          <w:sz w:val="22"/>
          <w:szCs w:val="22"/>
          <w:lang w:val="en-US"/>
        </w:rPr>
        <w:fldChar w:fldCharType="begin"/>
      </w:r>
      <w:r w:rsidRPr="000F2D05">
        <w:rPr>
          <w:rFonts w:ascii="Calibri" w:hAnsi="Calibri" w:cs="Calibri"/>
          <w:sz w:val="22"/>
          <w:szCs w:val="22"/>
          <w:lang w:val="en-US"/>
        </w:rPr>
        <w:instrText xml:space="preserve"> ADDIN EN.REFLIST </w:instrText>
      </w:r>
      <w:r w:rsidRPr="006008D2">
        <w:rPr>
          <w:rFonts w:ascii="Calibri" w:hAnsi="Calibri" w:cs="Calibri"/>
          <w:sz w:val="22"/>
          <w:szCs w:val="22"/>
          <w:lang w:val="en-US"/>
        </w:rPr>
        <w:fldChar w:fldCharType="separate"/>
      </w:r>
      <w:r w:rsidRPr="000F2D05">
        <w:rPr>
          <w:rFonts w:ascii="Calibri" w:hAnsi="Calibri" w:cs="Calibri"/>
          <w:noProof/>
          <w:sz w:val="22"/>
          <w:szCs w:val="22"/>
          <w:lang w:val="en-US"/>
        </w:rPr>
        <w:t>1.</w:t>
      </w:r>
      <w:r w:rsidRPr="000F2D05">
        <w:rPr>
          <w:rFonts w:ascii="Calibri" w:hAnsi="Calibri" w:cs="Calibri"/>
          <w:noProof/>
          <w:sz w:val="22"/>
          <w:szCs w:val="22"/>
          <w:lang w:val="en-US"/>
        </w:rPr>
        <w:tab/>
        <w:t>Ronco C, Bellomo R, Kellum JA</w:t>
      </w:r>
      <w:r w:rsidR="006008D2" w:rsidRPr="000F2D05">
        <w:rPr>
          <w:rFonts w:ascii="Calibri" w:hAnsi="Calibri" w:cs="Calibri"/>
          <w:noProof/>
          <w:sz w:val="22"/>
          <w:szCs w:val="22"/>
          <w:lang w:val="en-US"/>
        </w:rPr>
        <w:t>.</w:t>
      </w:r>
      <w:r w:rsidRPr="000F2D05">
        <w:rPr>
          <w:rFonts w:ascii="Calibri" w:hAnsi="Calibri" w:cs="Calibri"/>
          <w:noProof/>
          <w:sz w:val="22"/>
          <w:szCs w:val="22"/>
          <w:lang w:val="en-US"/>
        </w:rPr>
        <w:t xml:space="preserve"> </w:t>
      </w:r>
      <w:r w:rsidRPr="006008D2">
        <w:rPr>
          <w:rFonts w:ascii="Calibri" w:hAnsi="Calibri" w:cs="Calibri"/>
          <w:noProof/>
          <w:sz w:val="22"/>
          <w:szCs w:val="22"/>
          <w:lang w:val="en-US"/>
        </w:rPr>
        <w:t>Acute kidney injury. Lancet</w:t>
      </w:r>
      <w:r w:rsidR="006008D2">
        <w:rPr>
          <w:rFonts w:ascii="Calibri" w:hAnsi="Calibri" w:cs="Calibri"/>
          <w:noProof/>
          <w:sz w:val="22"/>
          <w:szCs w:val="22"/>
          <w:lang w:val="en-US"/>
        </w:rPr>
        <w:t>.</w:t>
      </w:r>
      <w:r w:rsidRPr="006008D2">
        <w:rPr>
          <w:rFonts w:ascii="Calibri" w:hAnsi="Calibri" w:cs="Calibri"/>
          <w:noProof/>
          <w:sz w:val="22"/>
          <w:szCs w:val="22"/>
          <w:lang w:val="en-US"/>
        </w:rPr>
        <w:t xml:space="preserve"> 2019</w:t>
      </w:r>
      <w:r w:rsidR="006008D2">
        <w:rPr>
          <w:rFonts w:ascii="Calibri" w:hAnsi="Calibri" w:cs="Calibri"/>
          <w:noProof/>
          <w:sz w:val="22"/>
          <w:szCs w:val="22"/>
          <w:lang w:val="en-US"/>
        </w:rPr>
        <w:t>;</w:t>
      </w:r>
      <w:r w:rsidRPr="006008D2">
        <w:rPr>
          <w:rFonts w:ascii="Calibri" w:hAnsi="Calibri" w:cs="Calibri"/>
          <w:noProof/>
          <w:sz w:val="22"/>
          <w:szCs w:val="22"/>
          <w:lang w:val="en-US"/>
        </w:rPr>
        <w:t>394(10212):1949-1964.</w:t>
      </w:r>
    </w:p>
    <w:p w14:paraId="58E772EB" w14:textId="30B1604A" w:rsidR="00F20995" w:rsidRPr="006008D2" w:rsidRDefault="00F20995" w:rsidP="00F20995">
      <w:pPr>
        <w:pStyle w:val="EndNoteBibliography"/>
        <w:ind w:left="720" w:hanging="720"/>
        <w:rPr>
          <w:rFonts w:ascii="Calibri" w:hAnsi="Calibri" w:cs="Calibri"/>
          <w:noProof/>
          <w:sz w:val="22"/>
          <w:szCs w:val="22"/>
        </w:rPr>
      </w:pPr>
      <w:r w:rsidRPr="006008D2">
        <w:rPr>
          <w:rFonts w:ascii="Calibri" w:hAnsi="Calibri" w:cs="Calibri"/>
          <w:noProof/>
          <w:sz w:val="22"/>
          <w:szCs w:val="22"/>
          <w:lang w:val="en-US"/>
        </w:rPr>
        <w:t>2.</w:t>
      </w:r>
      <w:r w:rsidRPr="006008D2">
        <w:rPr>
          <w:rFonts w:ascii="Calibri" w:hAnsi="Calibri" w:cs="Calibri"/>
          <w:noProof/>
          <w:sz w:val="22"/>
          <w:szCs w:val="22"/>
          <w:lang w:val="en-US"/>
        </w:rPr>
        <w:tab/>
        <w:t>Levey AS, Coresh J, Tighiouart H, Greene T, Inker LA</w:t>
      </w:r>
      <w:r w:rsidR="006008D2">
        <w:rPr>
          <w:rFonts w:ascii="Calibri" w:hAnsi="Calibri" w:cs="Calibri"/>
          <w:noProof/>
          <w:sz w:val="22"/>
          <w:szCs w:val="22"/>
          <w:lang w:val="en-US"/>
        </w:rPr>
        <w:t>.</w:t>
      </w:r>
      <w:r w:rsidRPr="006008D2">
        <w:rPr>
          <w:rFonts w:ascii="Calibri" w:hAnsi="Calibri" w:cs="Calibri"/>
          <w:noProof/>
          <w:sz w:val="22"/>
          <w:szCs w:val="22"/>
          <w:lang w:val="en-US"/>
        </w:rPr>
        <w:t xml:space="preserve"> Measured and estimated glomerular filtration rate: current status and future directions. </w:t>
      </w:r>
      <w:r w:rsidRPr="006008D2">
        <w:rPr>
          <w:rFonts w:ascii="Calibri" w:hAnsi="Calibri" w:cs="Calibri"/>
          <w:noProof/>
          <w:sz w:val="22"/>
          <w:szCs w:val="22"/>
        </w:rPr>
        <w:t xml:space="preserve">Nat </w:t>
      </w:r>
      <w:r w:rsidR="006008D2">
        <w:rPr>
          <w:rFonts w:ascii="Calibri" w:hAnsi="Calibri" w:cs="Calibri"/>
          <w:noProof/>
          <w:sz w:val="22"/>
          <w:szCs w:val="22"/>
        </w:rPr>
        <w:t>R</w:t>
      </w:r>
      <w:r w:rsidRPr="006008D2">
        <w:rPr>
          <w:rFonts w:ascii="Calibri" w:hAnsi="Calibri" w:cs="Calibri"/>
          <w:noProof/>
          <w:sz w:val="22"/>
          <w:szCs w:val="22"/>
        </w:rPr>
        <w:t>ev Nephrol</w:t>
      </w:r>
      <w:r w:rsidR="006008D2">
        <w:rPr>
          <w:rFonts w:ascii="Calibri" w:hAnsi="Calibri" w:cs="Calibri"/>
          <w:noProof/>
          <w:sz w:val="22"/>
          <w:szCs w:val="22"/>
        </w:rPr>
        <w:t>.</w:t>
      </w:r>
      <w:r w:rsidRPr="006008D2">
        <w:rPr>
          <w:rFonts w:ascii="Calibri" w:hAnsi="Calibri" w:cs="Calibri"/>
          <w:noProof/>
          <w:sz w:val="22"/>
          <w:szCs w:val="22"/>
        </w:rPr>
        <w:t xml:space="preserve"> 2020</w:t>
      </w:r>
      <w:r w:rsidR="006008D2">
        <w:rPr>
          <w:rFonts w:ascii="Calibri" w:hAnsi="Calibri" w:cs="Calibri"/>
          <w:noProof/>
          <w:sz w:val="22"/>
          <w:szCs w:val="22"/>
        </w:rPr>
        <w:t>;</w:t>
      </w:r>
      <w:r w:rsidRPr="006008D2">
        <w:rPr>
          <w:rFonts w:ascii="Calibri" w:hAnsi="Calibri" w:cs="Calibri"/>
          <w:noProof/>
          <w:sz w:val="22"/>
          <w:szCs w:val="22"/>
        </w:rPr>
        <w:t>16(1):51-64.</w:t>
      </w:r>
    </w:p>
    <w:p w14:paraId="3418B964" w14:textId="60BD4AB2" w:rsidR="00D90A0A" w:rsidRPr="00947CD7" w:rsidRDefault="00F20995" w:rsidP="008A02E8">
      <w:pPr>
        <w:spacing w:line="276" w:lineRule="auto"/>
        <w:jc w:val="both"/>
        <w:rPr>
          <w:sz w:val="22"/>
          <w:szCs w:val="22"/>
          <w:lang w:val="en-US"/>
        </w:rPr>
      </w:pPr>
      <w:r w:rsidRPr="006008D2">
        <w:rPr>
          <w:rFonts w:ascii="Calibri" w:hAnsi="Calibri" w:cs="Calibri"/>
          <w:sz w:val="22"/>
          <w:szCs w:val="22"/>
          <w:lang w:val="en-US"/>
        </w:rPr>
        <w:fldChar w:fldCharType="end"/>
      </w:r>
    </w:p>
    <w:sectPr w:rsidR="00D90A0A" w:rsidRPr="00947CD7" w:rsidSect="00BF014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03CD8"/>
    <w:multiLevelType w:val="hybridMultilevel"/>
    <w:tmpl w:val="F92A4B2E"/>
    <w:lvl w:ilvl="0" w:tplc="AFE8E246">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3926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Critical Ca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E6F3C"/>
    <w:rsid w:val="00004710"/>
    <w:rsid w:val="00004C63"/>
    <w:rsid w:val="000054B8"/>
    <w:rsid w:val="00017529"/>
    <w:rsid w:val="00017C00"/>
    <w:rsid w:val="00020D5E"/>
    <w:rsid w:val="00036233"/>
    <w:rsid w:val="00040DBA"/>
    <w:rsid w:val="00040ECD"/>
    <w:rsid w:val="000472F0"/>
    <w:rsid w:val="00050B84"/>
    <w:rsid w:val="0005592B"/>
    <w:rsid w:val="00056A11"/>
    <w:rsid w:val="0006237F"/>
    <w:rsid w:val="000667A1"/>
    <w:rsid w:val="00071858"/>
    <w:rsid w:val="000924D7"/>
    <w:rsid w:val="000B2ED1"/>
    <w:rsid w:val="000B6914"/>
    <w:rsid w:val="000C6BF9"/>
    <w:rsid w:val="000D5DBA"/>
    <w:rsid w:val="000E06AE"/>
    <w:rsid w:val="000E0E96"/>
    <w:rsid w:val="000E1388"/>
    <w:rsid w:val="000E662E"/>
    <w:rsid w:val="000F2D05"/>
    <w:rsid w:val="000F60D5"/>
    <w:rsid w:val="00102535"/>
    <w:rsid w:val="001139D0"/>
    <w:rsid w:val="00120B77"/>
    <w:rsid w:val="001217EF"/>
    <w:rsid w:val="00121FC2"/>
    <w:rsid w:val="001236DA"/>
    <w:rsid w:val="0012777E"/>
    <w:rsid w:val="001321D3"/>
    <w:rsid w:val="00134E77"/>
    <w:rsid w:val="00140C72"/>
    <w:rsid w:val="00141EE7"/>
    <w:rsid w:val="00144B0F"/>
    <w:rsid w:val="00144D72"/>
    <w:rsid w:val="0016219C"/>
    <w:rsid w:val="001651C1"/>
    <w:rsid w:val="0017218D"/>
    <w:rsid w:val="00173795"/>
    <w:rsid w:val="00175045"/>
    <w:rsid w:val="00175B22"/>
    <w:rsid w:val="001778D8"/>
    <w:rsid w:val="001816AF"/>
    <w:rsid w:val="001A11CC"/>
    <w:rsid w:val="001A2C38"/>
    <w:rsid w:val="001A62D3"/>
    <w:rsid w:val="001B4BBE"/>
    <w:rsid w:val="001B7E10"/>
    <w:rsid w:val="001C1128"/>
    <w:rsid w:val="001C30A3"/>
    <w:rsid w:val="001D4007"/>
    <w:rsid w:val="001F65AE"/>
    <w:rsid w:val="001F7A8A"/>
    <w:rsid w:val="0020123E"/>
    <w:rsid w:val="002026AB"/>
    <w:rsid w:val="0020446C"/>
    <w:rsid w:val="00237421"/>
    <w:rsid w:val="00237AFA"/>
    <w:rsid w:val="0024638A"/>
    <w:rsid w:val="00260754"/>
    <w:rsid w:val="002648E1"/>
    <w:rsid w:val="00276F84"/>
    <w:rsid w:val="00293478"/>
    <w:rsid w:val="002A0A56"/>
    <w:rsid w:val="002B5DC7"/>
    <w:rsid w:val="002B78C5"/>
    <w:rsid w:val="002C1876"/>
    <w:rsid w:val="002C2BA1"/>
    <w:rsid w:val="002C613E"/>
    <w:rsid w:val="002C7D1F"/>
    <w:rsid w:val="002D2813"/>
    <w:rsid w:val="002D2DDF"/>
    <w:rsid w:val="002D340F"/>
    <w:rsid w:val="002D5BE1"/>
    <w:rsid w:val="002F1C44"/>
    <w:rsid w:val="002F28D0"/>
    <w:rsid w:val="00301E37"/>
    <w:rsid w:val="00305F07"/>
    <w:rsid w:val="00311AFE"/>
    <w:rsid w:val="00314E70"/>
    <w:rsid w:val="00325326"/>
    <w:rsid w:val="00330257"/>
    <w:rsid w:val="0033321D"/>
    <w:rsid w:val="00354BCF"/>
    <w:rsid w:val="00356011"/>
    <w:rsid w:val="00370EAB"/>
    <w:rsid w:val="003A095C"/>
    <w:rsid w:val="003A35BE"/>
    <w:rsid w:val="003A36D0"/>
    <w:rsid w:val="003B3F16"/>
    <w:rsid w:val="003C1ED9"/>
    <w:rsid w:val="003C655D"/>
    <w:rsid w:val="003C7AD6"/>
    <w:rsid w:val="003D2ADE"/>
    <w:rsid w:val="003E51A3"/>
    <w:rsid w:val="003F0727"/>
    <w:rsid w:val="003F1F79"/>
    <w:rsid w:val="00404A0D"/>
    <w:rsid w:val="00406115"/>
    <w:rsid w:val="00421BB3"/>
    <w:rsid w:val="004242E0"/>
    <w:rsid w:val="004321EA"/>
    <w:rsid w:val="0044221A"/>
    <w:rsid w:val="00443988"/>
    <w:rsid w:val="0044733A"/>
    <w:rsid w:val="00447F39"/>
    <w:rsid w:val="0045121A"/>
    <w:rsid w:val="004551C7"/>
    <w:rsid w:val="004604C4"/>
    <w:rsid w:val="00460E41"/>
    <w:rsid w:val="00471BBB"/>
    <w:rsid w:val="004736A4"/>
    <w:rsid w:val="00477BC8"/>
    <w:rsid w:val="0048611B"/>
    <w:rsid w:val="004A0BEA"/>
    <w:rsid w:val="004A1787"/>
    <w:rsid w:val="004A6EBE"/>
    <w:rsid w:val="004B0023"/>
    <w:rsid w:val="004B5F41"/>
    <w:rsid w:val="004F0075"/>
    <w:rsid w:val="005012D3"/>
    <w:rsid w:val="00501BF3"/>
    <w:rsid w:val="00504666"/>
    <w:rsid w:val="00515788"/>
    <w:rsid w:val="005245CE"/>
    <w:rsid w:val="00524630"/>
    <w:rsid w:val="005267CC"/>
    <w:rsid w:val="00534F04"/>
    <w:rsid w:val="005350D3"/>
    <w:rsid w:val="005368B1"/>
    <w:rsid w:val="00537F10"/>
    <w:rsid w:val="00542E15"/>
    <w:rsid w:val="00545FCF"/>
    <w:rsid w:val="005461A9"/>
    <w:rsid w:val="00547A70"/>
    <w:rsid w:val="005555FB"/>
    <w:rsid w:val="005571F9"/>
    <w:rsid w:val="0056013F"/>
    <w:rsid w:val="0056243B"/>
    <w:rsid w:val="00562FA8"/>
    <w:rsid w:val="005675BD"/>
    <w:rsid w:val="00574B8F"/>
    <w:rsid w:val="00581E5C"/>
    <w:rsid w:val="00584C38"/>
    <w:rsid w:val="00585248"/>
    <w:rsid w:val="00586F88"/>
    <w:rsid w:val="00590643"/>
    <w:rsid w:val="00592BA6"/>
    <w:rsid w:val="00596F98"/>
    <w:rsid w:val="005A0AEE"/>
    <w:rsid w:val="005B0A5E"/>
    <w:rsid w:val="005B5F11"/>
    <w:rsid w:val="005D13DC"/>
    <w:rsid w:val="005D5610"/>
    <w:rsid w:val="005D6CF1"/>
    <w:rsid w:val="005E46FE"/>
    <w:rsid w:val="005F266F"/>
    <w:rsid w:val="005F4A13"/>
    <w:rsid w:val="006008D2"/>
    <w:rsid w:val="00613BFE"/>
    <w:rsid w:val="00622799"/>
    <w:rsid w:val="0062489C"/>
    <w:rsid w:val="006410D3"/>
    <w:rsid w:val="006512B4"/>
    <w:rsid w:val="006567C2"/>
    <w:rsid w:val="006643A8"/>
    <w:rsid w:val="00665ACE"/>
    <w:rsid w:val="006765AB"/>
    <w:rsid w:val="00680CFC"/>
    <w:rsid w:val="0068199E"/>
    <w:rsid w:val="00691967"/>
    <w:rsid w:val="006939FA"/>
    <w:rsid w:val="006B2EE2"/>
    <w:rsid w:val="006B5C8E"/>
    <w:rsid w:val="006C109D"/>
    <w:rsid w:val="006C63A0"/>
    <w:rsid w:val="006C754F"/>
    <w:rsid w:val="006F028D"/>
    <w:rsid w:val="006F05D6"/>
    <w:rsid w:val="00726135"/>
    <w:rsid w:val="0072629B"/>
    <w:rsid w:val="007269AF"/>
    <w:rsid w:val="007309A2"/>
    <w:rsid w:val="00755CFE"/>
    <w:rsid w:val="00766437"/>
    <w:rsid w:val="00775058"/>
    <w:rsid w:val="00777853"/>
    <w:rsid w:val="007928CF"/>
    <w:rsid w:val="007B3C48"/>
    <w:rsid w:val="007C2555"/>
    <w:rsid w:val="007C7098"/>
    <w:rsid w:val="007C78B6"/>
    <w:rsid w:val="007D011F"/>
    <w:rsid w:val="007D5D67"/>
    <w:rsid w:val="007E0576"/>
    <w:rsid w:val="007E1C35"/>
    <w:rsid w:val="007E3413"/>
    <w:rsid w:val="007F163F"/>
    <w:rsid w:val="00800653"/>
    <w:rsid w:val="00801BF6"/>
    <w:rsid w:val="00802911"/>
    <w:rsid w:val="0080721F"/>
    <w:rsid w:val="00817268"/>
    <w:rsid w:val="00822F6E"/>
    <w:rsid w:val="0082553A"/>
    <w:rsid w:val="00832798"/>
    <w:rsid w:val="00834E9F"/>
    <w:rsid w:val="00853226"/>
    <w:rsid w:val="00856C34"/>
    <w:rsid w:val="00862CBF"/>
    <w:rsid w:val="00862DE1"/>
    <w:rsid w:val="00870D46"/>
    <w:rsid w:val="00874FA3"/>
    <w:rsid w:val="008813B7"/>
    <w:rsid w:val="00892A47"/>
    <w:rsid w:val="008A02E8"/>
    <w:rsid w:val="008A6298"/>
    <w:rsid w:val="008B0654"/>
    <w:rsid w:val="008B17A0"/>
    <w:rsid w:val="008B234C"/>
    <w:rsid w:val="008B736A"/>
    <w:rsid w:val="008B7DE0"/>
    <w:rsid w:val="008D1E05"/>
    <w:rsid w:val="008D3C30"/>
    <w:rsid w:val="008E56EC"/>
    <w:rsid w:val="008F511C"/>
    <w:rsid w:val="008F7A49"/>
    <w:rsid w:val="00911C74"/>
    <w:rsid w:val="00920782"/>
    <w:rsid w:val="009347DD"/>
    <w:rsid w:val="009348E5"/>
    <w:rsid w:val="00941E96"/>
    <w:rsid w:val="00944B9A"/>
    <w:rsid w:val="009460A6"/>
    <w:rsid w:val="00947CD7"/>
    <w:rsid w:val="0095724E"/>
    <w:rsid w:val="00961987"/>
    <w:rsid w:val="009645AA"/>
    <w:rsid w:val="0098340A"/>
    <w:rsid w:val="00993E99"/>
    <w:rsid w:val="009A072D"/>
    <w:rsid w:val="009A3E65"/>
    <w:rsid w:val="009A4B96"/>
    <w:rsid w:val="009C0718"/>
    <w:rsid w:val="009C1564"/>
    <w:rsid w:val="009D196E"/>
    <w:rsid w:val="009E0941"/>
    <w:rsid w:val="009F027F"/>
    <w:rsid w:val="009F288C"/>
    <w:rsid w:val="009F76C3"/>
    <w:rsid w:val="009F79C7"/>
    <w:rsid w:val="00A00DDA"/>
    <w:rsid w:val="00A01C4E"/>
    <w:rsid w:val="00A0388B"/>
    <w:rsid w:val="00A073C9"/>
    <w:rsid w:val="00A07D14"/>
    <w:rsid w:val="00A1034E"/>
    <w:rsid w:val="00A51987"/>
    <w:rsid w:val="00A56FD7"/>
    <w:rsid w:val="00A60467"/>
    <w:rsid w:val="00A6640F"/>
    <w:rsid w:val="00A7088C"/>
    <w:rsid w:val="00A82C41"/>
    <w:rsid w:val="00A85829"/>
    <w:rsid w:val="00A8626F"/>
    <w:rsid w:val="00A87E6D"/>
    <w:rsid w:val="00AA2E15"/>
    <w:rsid w:val="00AA58BD"/>
    <w:rsid w:val="00AB4D51"/>
    <w:rsid w:val="00AC3683"/>
    <w:rsid w:val="00AC49E9"/>
    <w:rsid w:val="00AC6117"/>
    <w:rsid w:val="00AE61E4"/>
    <w:rsid w:val="00AE6F3C"/>
    <w:rsid w:val="00B507BA"/>
    <w:rsid w:val="00B54821"/>
    <w:rsid w:val="00B5483C"/>
    <w:rsid w:val="00B56C1F"/>
    <w:rsid w:val="00B60959"/>
    <w:rsid w:val="00B61F8E"/>
    <w:rsid w:val="00B64AB0"/>
    <w:rsid w:val="00B7102F"/>
    <w:rsid w:val="00B77A93"/>
    <w:rsid w:val="00B805AF"/>
    <w:rsid w:val="00B80CD3"/>
    <w:rsid w:val="00B852E3"/>
    <w:rsid w:val="00B857C4"/>
    <w:rsid w:val="00B85BC5"/>
    <w:rsid w:val="00B96E57"/>
    <w:rsid w:val="00BA498D"/>
    <w:rsid w:val="00BA5576"/>
    <w:rsid w:val="00BB400C"/>
    <w:rsid w:val="00BC3426"/>
    <w:rsid w:val="00BC4B11"/>
    <w:rsid w:val="00BD13B1"/>
    <w:rsid w:val="00BD4F49"/>
    <w:rsid w:val="00BD5F24"/>
    <w:rsid w:val="00BF014B"/>
    <w:rsid w:val="00BF0E37"/>
    <w:rsid w:val="00BF3EE3"/>
    <w:rsid w:val="00BF551F"/>
    <w:rsid w:val="00BF5AE9"/>
    <w:rsid w:val="00BF7F1B"/>
    <w:rsid w:val="00C046AC"/>
    <w:rsid w:val="00C14D81"/>
    <w:rsid w:val="00C22057"/>
    <w:rsid w:val="00C3547F"/>
    <w:rsid w:val="00C44498"/>
    <w:rsid w:val="00C47EBD"/>
    <w:rsid w:val="00C8327D"/>
    <w:rsid w:val="00C90685"/>
    <w:rsid w:val="00C90734"/>
    <w:rsid w:val="00C934D4"/>
    <w:rsid w:val="00C967F2"/>
    <w:rsid w:val="00CA2595"/>
    <w:rsid w:val="00CC388B"/>
    <w:rsid w:val="00CD625C"/>
    <w:rsid w:val="00CF147D"/>
    <w:rsid w:val="00CF495B"/>
    <w:rsid w:val="00CF5FF7"/>
    <w:rsid w:val="00D025B6"/>
    <w:rsid w:val="00D12158"/>
    <w:rsid w:val="00D12E43"/>
    <w:rsid w:val="00D1575A"/>
    <w:rsid w:val="00D16623"/>
    <w:rsid w:val="00D17087"/>
    <w:rsid w:val="00D1756B"/>
    <w:rsid w:val="00D248B2"/>
    <w:rsid w:val="00D33C2B"/>
    <w:rsid w:val="00D4032C"/>
    <w:rsid w:val="00D41EF9"/>
    <w:rsid w:val="00D44C53"/>
    <w:rsid w:val="00D516C7"/>
    <w:rsid w:val="00D618D6"/>
    <w:rsid w:val="00D62C9B"/>
    <w:rsid w:val="00D64D68"/>
    <w:rsid w:val="00D6760B"/>
    <w:rsid w:val="00D67DB5"/>
    <w:rsid w:val="00D704C3"/>
    <w:rsid w:val="00D855E9"/>
    <w:rsid w:val="00D870D2"/>
    <w:rsid w:val="00D909D1"/>
    <w:rsid w:val="00D90A0A"/>
    <w:rsid w:val="00D90CB7"/>
    <w:rsid w:val="00D90D7C"/>
    <w:rsid w:val="00D93F66"/>
    <w:rsid w:val="00DB6C4D"/>
    <w:rsid w:val="00DD6D9F"/>
    <w:rsid w:val="00DD756E"/>
    <w:rsid w:val="00DE11EB"/>
    <w:rsid w:val="00DF607B"/>
    <w:rsid w:val="00E134C7"/>
    <w:rsid w:val="00E161FE"/>
    <w:rsid w:val="00E20FED"/>
    <w:rsid w:val="00E43A31"/>
    <w:rsid w:val="00E44F94"/>
    <w:rsid w:val="00E45446"/>
    <w:rsid w:val="00E521AF"/>
    <w:rsid w:val="00E529F7"/>
    <w:rsid w:val="00E57D3F"/>
    <w:rsid w:val="00E60A35"/>
    <w:rsid w:val="00E61AEE"/>
    <w:rsid w:val="00E63C8A"/>
    <w:rsid w:val="00E6427D"/>
    <w:rsid w:val="00E67B00"/>
    <w:rsid w:val="00E74F1E"/>
    <w:rsid w:val="00E75DB5"/>
    <w:rsid w:val="00E8583B"/>
    <w:rsid w:val="00E91D32"/>
    <w:rsid w:val="00EB318F"/>
    <w:rsid w:val="00EB6D34"/>
    <w:rsid w:val="00EC269A"/>
    <w:rsid w:val="00EC538D"/>
    <w:rsid w:val="00EE7FB8"/>
    <w:rsid w:val="00EF66E1"/>
    <w:rsid w:val="00F0081E"/>
    <w:rsid w:val="00F01099"/>
    <w:rsid w:val="00F05596"/>
    <w:rsid w:val="00F101BF"/>
    <w:rsid w:val="00F10843"/>
    <w:rsid w:val="00F13AFA"/>
    <w:rsid w:val="00F20995"/>
    <w:rsid w:val="00F43595"/>
    <w:rsid w:val="00F45048"/>
    <w:rsid w:val="00F55F26"/>
    <w:rsid w:val="00F620EC"/>
    <w:rsid w:val="00F67283"/>
    <w:rsid w:val="00F67D83"/>
    <w:rsid w:val="00F7123D"/>
    <w:rsid w:val="00F96DE9"/>
    <w:rsid w:val="00FA4456"/>
    <w:rsid w:val="00FA4546"/>
    <w:rsid w:val="00FA5BBA"/>
    <w:rsid w:val="00FB088A"/>
    <w:rsid w:val="00FB3145"/>
    <w:rsid w:val="00FB51E9"/>
    <w:rsid w:val="00FC26C7"/>
    <w:rsid w:val="00FC2D1E"/>
    <w:rsid w:val="00FD160A"/>
    <w:rsid w:val="00FD293D"/>
    <w:rsid w:val="00FD39E6"/>
    <w:rsid w:val="00FD5174"/>
    <w:rsid w:val="00FE1A9A"/>
    <w:rsid w:val="00FE3E61"/>
    <w:rsid w:val="00FE3E9C"/>
    <w:rsid w:val="00FE7BFC"/>
    <w:rsid w:val="00FF0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B0B7ED1"/>
  <w15:chartTrackingRefBased/>
  <w15:docId w15:val="{3E58CECF-922D-1A43-9022-A9CC63FD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76C3"/>
    <w:rPr>
      <w:rFonts w:ascii="Times New Roman" w:eastAsia="Times New Roman" w:hAnsi="Times New Roman" w:cs="Times New Roman"/>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unhideWhenUsed/>
    <w:qFormat/>
    <w:rsid w:val="004242E0"/>
    <w:pPr>
      <w:spacing w:before="360"/>
    </w:pPr>
    <w:rPr>
      <w:rFonts w:ascii="Calibri" w:hAnsi="Calibri" w:cs="Calibri"/>
      <w:b/>
      <w:bCs/>
      <w:caps/>
      <w:sz w:val="20"/>
      <w:szCs w:val="20"/>
      <w:lang w:val="en-US"/>
    </w:rPr>
  </w:style>
  <w:style w:type="paragraph" w:styleId="StandardWeb">
    <w:name w:val="Normal (Web)"/>
    <w:basedOn w:val="Standard"/>
    <w:uiPriority w:val="99"/>
    <w:unhideWhenUsed/>
    <w:rsid w:val="009F76C3"/>
    <w:pPr>
      <w:spacing w:before="100" w:beforeAutospacing="1" w:after="100" w:afterAutospacing="1"/>
    </w:pPr>
    <w:rPr>
      <w:lang w:val="en-US" w:eastAsia="en-GB"/>
    </w:rPr>
  </w:style>
  <w:style w:type="paragraph" w:styleId="Listenabsatz">
    <w:name w:val="List Paragraph"/>
    <w:basedOn w:val="Standard"/>
    <w:uiPriority w:val="34"/>
    <w:qFormat/>
    <w:rsid w:val="009F76C3"/>
    <w:pPr>
      <w:ind w:left="720"/>
      <w:contextualSpacing/>
    </w:pPr>
    <w:rPr>
      <w:rFonts w:asciiTheme="minorHAnsi" w:eastAsiaTheme="minorHAnsi" w:hAnsiTheme="minorHAnsi" w:cstheme="minorBidi"/>
      <w:lang w:val="en-US" w:eastAsia="en-US"/>
    </w:rPr>
  </w:style>
  <w:style w:type="table" w:styleId="Tabellenraster">
    <w:name w:val="Table Grid"/>
    <w:basedOn w:val="NormaleTabelle"/>
    <w:uiPriority w:val="39"/>
    <w:rsid w:val="009F76C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9F76C3"/>
  </w:style>
  <w:style w:type="paragraph" w:customStyle="1" w:styleId="Normal">
    <w:name w:val="[Normal]"/>
    <w:rsid w:val="00856C34"/>
    <w:pPr>
      <w:widowControl w:val="0"/>
      <w:autoSpaceDE w:val="0"/>
      <w:autoSpaceDN w:val="0"/>
      <w:adjustRightInd w:val="0"/>
    </w:pPr>
    <w:rPr>
      <w:rFonts w:ascii="Arial" w:hAnsi="Arial" w:cs="Arial"/>
      <w:kern w:val="0"/>
      <w:lang w:val="x-none"/>
      <w14:ligatures w14:val="none"/>
    </w:rPr>
  </w:style>
  <w:style w:type="paragraph" w:styleId="Titel">
    <w:name w:val="Title"/>
    <w:basedOn w:val="Standard"/>
    <w:next w:val="Standard"/>
    <w:link w:val="TitelZchn"/>
    <w:uiPriority w:val="10"/>
    <w:qFormat/>
    <w:rsid w:val="00856C34"/>
    <w:pPr>
      <w:jc w:val="center"/>
    </w:pPr>
    <w:rPr>
      <w:rFonts w:eastAsiaTheme="minorHAnsi"/>
      <w:b/>
      <w:lang w:val="en-AU" w:eastAsia="en-US"/>
    </w:rPr>
  </w:style>
  <w:style w:type="character" w:customStyle="1" w:styleId="TitelZchn">
    <w:name w:val="Titel Zchn"/>
    <w:basedOn w:val="Absatz-Standardschriftart"/>
    <w:link w:val="Titel"/>
    <w:uiPriority w:val="10"/>
    <w:rsid w:val="00856C34"/>
    <w:rPr>
      <w:rFonts w:ascii="Times New Roman" w:hAnsi="Times New Roman" w:cs="Times New Roman"/>
      <w:b/>
      <w:kern w:val="0"/>
      <w:lang w:val="en-AU"/>
      <w14:ligatures w14:val="none"/>
    </w:rPr>
  </w:style>
  <w:style w:type="paragraph" w:customStyle="1" w:styleId="Normal1">
    <w:name w:val="Normal1"/>
    <w:rsid w:val="00856C34"/>
    <w:pPr>
      <w:spacing w:line="276" w:lineRule="auto"/>
    </w:pPr>
    <w:rPr>
      <w:rFonts w:ascii="Arial" w:eastAsia="Arial" w:hAnsi="Arial" w:cs="Arial"/>
      <w:color w:val="000000"/>
      <w:kern w:val="0"/>
      <w:sz w:val="20"/>
      <w:szCs w:val="22"/>
      <w:lang w:val="en-US"/>
      <w14:ligatures w14:val="none"/>
    </w:rPr>
  </w:style>
  <w:style w:type="paragraph" w:customStyle="1" w:styleId="EndNoteBibliographyTitle">
    <w:name w:val="EndNote Bibliography Title"/>
    <w:basedOn w:val="Standard"/>
    <w:link w:val="EndNoteBibliographyTitleZchn"/>
    <w:rsid w:val="00F20995"/>
    <w:pPr>
      <w:jc w:val="center"/>
    </w:pPr>
  </w:style>
  <w:style w:type="character" w:customStyle="1" w:styleId="EndNoteBibliographyTitleZchn">
    <w:name w:val="EndNote Bibliography Title Zchn"/>
    <w:basedOn w:val="Absatz-Standardschriftart"/>
    <w:link w:val="EndNoteBibliographyTitle"/>
    <w:rsid w:val="00F20995"/>
    <w:rPr>
      <w:rFonts w:ascii="Times New Roman" w:eastAsia="Times New Roman" w:hAnsi="Times New Roman" w:cs="Times New Roman"/>
      <w:kern w:val="0"/>
      <w:lang w:eastAsia="de-DE"/>
      <w14:ligatures w14:val="none"/>
    </w:rPr>
  </w:style>
  <w:style w:type="paragraph" w:customStyle="1" w:styleId="EndNoteBibliography">
    <w:name w:val="EndNote Bibliography"/>
    <w:basedOn w:val="Standard"/>
    <w:link w:val="EndNoteBibliographyZchn"/>
    <w:rsid w:val="00F20995"/>
    <w:pPr>
      <w:jc w:val="both"/>
    </w:pPr>
  </w:style>
  <w:style w:type="character" w:customStyle="1" w:styleId="EndNoteBibliographyZchn">
    <w:name w:val="EndNote Bibliography Zchn"/>
    <w:basedOn w:val="Absatz-Standardschriftart"/>
    <w:link w:val="EndNoteBibliography"/>
    <w:rsid w:val="00F20995"/>
    <w:rPr>
      <w:rFonts w:ascii="Times New Roman" w:eastAsia="Times New Roman" w:hAnsi="Times New Roman" w:cs="Times New Roman"/>
      <w:kern w:val="0"/>
      <w:lang w:eastAsia="de-DE"/>
      <w14:ligatures w14:val="none"/>
    </w:rPr>
  </w:style>
  <w:style w:type="paragraph" w:styleId="berarbeitung">
    <w:name w:val="Revision"/>
    <w:hidden/>
    <w:uiPriority w:val="99"/>
    <w:semiHidden/>
    <w:rsid w:val="00D870D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1479</Words>
  <Characters>9320</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Faeq Husain</dc:creator>
  <cp:keywords/>
  <dc:description/>
  <cp:lastModifiedBy>Faeq Husain</cp:lastModifiedBy>
  <cp:revision>8</cp:revision>
  <dcterms:created xsi:type="dcterms:W3CDTF">2023-07-09T15:02:00Z</dcterms:created>
  <dcterms:modified xsi:type="dcterms:W3CDTF">2023-08-11T18:22:00Z</dcterms:modified>
</cp:coreProperties>
</file>