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43FB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  <w:b/>
          <w:bCs/>
          <w:i/>
          <w:iCs/>
        </w:rPr>
      </w:pPr>
      <w:r w:rsidRPr="007231B1">
        <w:rPr>
          <w:rFonts w:eastAsia="Times New Roman" w:cstheme="minorHAnsi"/>
          <w:b/>
          <w:bCs/>
          <w:u w:val="single"/>
        </w:rPr>
        <w:t>Figure S1:</w:t>
      </w:r>
      <w:r w:rsidRPr="007231B1">
        <w:rPr>
          <w:rFonts w:eastAsia="Times New Roman" w:cstheme="minorHAnsi"/>
          <w:b/>
          <w:bCs/>
        </w:rPr>
        <w:t xml:space="preserve"> </w:t>
      </w:r>
      <w:r w:rsidRPr="007231B1">
        <w:rPr>
          <w:rFonts w:eastAsia="Times New Roman" w:cstheme="minorHAnsi"/>
          <w:b/>
          <w:bCs/>
          <w:i/>
        </w:rPr>
        <w:t>S</w:t>
      </w:r>
      <w:r w:rsidRPr="007231B1">
        <w:rPr>
          <w:rFonts w:eastAsia="Times New Roman" w:cstheme="minorHAnsi"/>
          <w:b/>
          <w:bCs/>
          <w:i/>
          <w:iCs/>
        </w:rPr>
        <w:t>ensitivity and specificity of CRT in individual studies</w:t>
      </w:r>
    </w:p>
    <w:p w14:paraId="7C00B67E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  <w:b/>
          <w:bCs/>
          <w:u w:val="single"/>
        </w:rPr>
      </w:pPr>
      <w:r w:rsidRPr="007231B1">
        <w:rPr>
          <w:rFonts w:cstheme="minorHAnsi"/>
          <w:noProof/>
          <w:lang w:eastAsia="fr-FR"/>
        </w:rPr>
        <w:drawing>
          <wp:inline distT="0" distB="0" distL="0" distR="0" wp14:anchorId="019EAA67" wp14:editId="3EFBE040">
            <wp:extent cx="5760720" cy="3242310"/>
            <wp:effectExtent l="0" t="0" r="0" b="0"/>
            <wp:docPr id="16" name="Image 16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5F676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</w:rPr>
      </w:pPr>
      <w:r w:rsidRPr="007231B1">
        <w:rPr>
          <w:rFonts w:eastAsia="Times New Roman" w:cstheme="minorHAnsi"/>
        </w:rPr>
        <w:t xml:space="preserve">FN: False negative, FP: False positive, Sens: sensitivity , Spec: Specificity, TP: True positive, TN: True negative. </w:t>
      </w:r>
    </w:p>
    <w:p w14:paraId="5CACDBEA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</w:rPr>
      </w:pPr>
    </w:p>
    <w:p w14:paraId="6E7D920C" w14:textId="77777777" w:rsidR="00BE74FB" w:rsidRPr="007231B1" w:rsidRDefault="00BE74FB" w:rsidP="00BE74FB">
      <w:pPr>
        <w:rPr>
          <w:rFonts w:eastAsia="Times New Roman" w:cstheme="minorHAnsi"/>
        </w:rPr>
      </w:pPr>
      <w:r w:rsidRPr="007231B1">
        <w:rPr>
          <w:rFonts w:eastAsia="Times New Roman" w:cstheme="minorHAnsi"/>
        </w:rPr>
        <w:br w:type="page"/>
      </w:r>
    </w:p>
    <w:p w14:paraId="6258C1BB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</w:rPr>
      </w:pPr>
    </w:p>
    <w:p w14:paraId="020D0804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  <w:b/>
          <w:bCs/>
          <w:i/>
          <w:iCs/>
        </w:rPr>
      </w:pPr>
      <w:r w:rsidRPr="007231B1">
        <w:rPr>
          <w:rFonts w:eastAsia="Times New Roman" w:cstheme="minorHAnsi"/>
          <w:b/>
          <w:bCs/>
          <w:u w:val="single"/>
        </w:rPr>
        <w:t>Figure S2:</w:t>
      </w:r>
      <w:r w:rsidRPr="007231B1">
        <w:rPr>
          <w:rFonts w:eastAsia="Times New Roman" w:cstheme="minorHAnsi"/>
          <w:b/>
          <w:bCs/>
        </w:rPr>
        <w:t xml:space="preserve"> </w:t>
      </w:r>
      <w:r w:rsidRPr="007231B1">
        <w:rPr>
          <w:rFonts w:eastAsia="Times New Roman" w:cstheme="minorHAnsi"/>
          <w:b/>
          <w:bCs/>
          <w:i/>
          <w:iCs/>
        </w:rPr>
        <w:t>Influence analysis; leave-one-out meta-analysis.</w:t>
      </w:r>
    </w:p>
    <w:p w14:paraId="48F93634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  <w:b/>
          <w:bCs/>
          <w:i/>
          <w:iCs/>
        </w:rPr>
      </w:pPr>
      <w:r w:rsidRPr="007231B1">
        <w:rPr>
          <w:rFonts w:eastAsia="Times New Roman" w:cstheme="minorHAnsi"/>
          <w:b/>
          <w:bCs/>
          <w:i/>
          <w:iCs/>
        </w:rPr>
        <w:t>A</w:t>
      </w:r>
    </w:p>
    <w:p w14:paraId="1BA13DF0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</w:rPr>
      </w:pPr>
      <w:r w:rsidRPr="007231B1">
        <w:rPr>
          <w:rFonts w:cstheme="minorHAnsi"/>
          <w:noProof/>
          <w:lang w:eastAsia="fr-FR"/>
        </w:rPr>
        <w:drawing>
          <wp:inline distT="0" distB="0" distL="0" distR="0" wp14:anchorId="5FD6BEE2" wp14:editId="4C65BBEB">
            <wp:extent cx="4185139" cy="2539365"/>
            <wp:effectExtent l="0" t="0" r="0" b="0"/>
            <wp:docPr id="10" name="Image 10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17" cy="253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1F0E3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</w:rPr>
      </w:pPr>
      <w:r w:rsidRPr="007231B1">
        <w:rPr>
          <w:rFonts w:eastAsia="Times New Roman" w:cstheme="minorHAnsi"/>
        </w:rPr>
        <w:t>B</w:t>
      </w:r>
    </w:p>
    <w:p w14:paraId="7812FFFD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</w:rPr>
      </w:pPr>
    </w:p>
    <w:p w14:paraId="0BF390B6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</w:rPr>
      </w:pPr>
      <w:r w:rsidRPr="007231B1">
        <w:rPr>
          <w:rFonts w:eastAsia="Times New Roman" w:cstheme="minorHAnsi"/>
          <w:noProof/>
          <w:lang w:eastAsia="fr-FR"/>
        </w:rPr>
        <w:drawing>
          <wp:inline distT="0" distB="0" distL="0" distR="0" wp14:anchorId="75E6FBB6" wp14:editId="3953710D">
            <wp:extent cx="4149970" cy="2539365"/>
            <wp:effectExtent l="0" t="0" r="0" b="0"/>
            <wp:docPr id="12" name="Image 12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55" cy="254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5D14" w14:textId="77777777" w:rsidR="00BE74FB" w:rsidRPr="007231B1" w:rsidRDefault="00BE74FB" w:rsidP="00BE74FB">
      <w:pPr>
        <w:spacing w:before="240" w:after="0" w:line="480" w:lineRule="auto"/>
        <w:jc w:val="both"/>
        <w:rPr>
          <w:rFonts w:cstheme="minorHAnsi"/>
        </w:rPr>
      </w:pPr>
      <w:r w:rsidRPr="007231B1">
        <w:rPr>
          <w:rFonts w:cstheme="minorHAnsi"/>
        </w:rPr>
        <w:lastRenderedPageBreak/>
        <w:t>In Forest plot A and B are displayed the effect size (</w:t>
      </w:r>
      <m:oMath>
        <m:acc>
          <m:accPr>
            <m:ctrlPr>
              <w:rPr>
                <w:rFonts w:ascii="Cambria Math" w:hAnsi="Cambria Math" w:cstheme="minorHAnsi"/>
                <w:i/>
                <w:iCs/>
              </w:rPr>
            </m:ctrlPr>
          </m:accPr>
          <m:e>
            <m:r>
              <w:rPr>
                <w:rFonts w:ascii="Cambria Math" w:hAnsi="Cambria Math" w:cstheme="minorHAnsi"/>
              </w:rPr>
              <m:t>θ</m:t>
            </m:r>
          </m:e>
        </m:acc>
      </m:oMath>
      <w:r w:rsidRPr="007231B1">
        <w:rPr>
          <w:rFonts w:cstheme="minorHAnsi"/>
        </w:rPr>
        <w:t>); grey squares with 95% confidence intervals (black horizontal line) and the heterogeneity (</w:t>
      </w:r>
      <w:r w:rsidRPr="007231B1">
        <w:rPr>
          <w:rFonts w:cstheme="minorHAnsi"/>
          <w:i/>
          <w:iCs/>
        </w:rPr>
        <w:t>I²</w:t>
      </w:r>
      <w:r w:rsidRPr="007231B1">
        <w:rPr>
          <w:rFonts w:cstheme="minorHAnsi"/>
        </w:rPr>
        <w:t xml:space="preserve">) with one study omitted each time. In plot (A), the meta-analyses are sorted by effect size, in plot </w:t>
      </w:r>
      <w:proofErr w:type="spellStart"/>
      <w:r w:rsidRPr="007231B1">
        <w:rPr>
          <w:rFonts w:cstheme="minorHAnsi"/>
        </w:rPr>
        <w:t>B</w:t>
      </w:r>
      <w:proofErr w:type="spellEnd"/>
      <w:r w:rsidRPr="007231B1">
        <w:rPr>
          <w:rFonts w:cstheme="minorHAnsi"/>
        </w:rPr>
        <w:t xml:space="preserve"> the meta-analyses are sorted by </w:t>
      </w:r>
      <w:r w:rsidRPr="007231B1">
        <w:rPr>
          <w:rFonts w:cstheme="minorHAnsi"/>
          <w:i/>
        </w:rPr>
        <w:t>I</w:t>
      </w:r>
      <w:r w:rsidRPr="007231B1">
        <w:rPr>
          <w:rFonts w:cstheme="minorHAnsi"/>
        </w:rPr>
        <w:t>². The dashed line and the shaded green area represent the initial effect size and the 95% confidence intervals of the pooled effect, before the leave-one-out method is applied.</w:t>
      </w:r>
    </w:p>
    <w:p w14:paraId="0E167C45" w14:textId="77777777" w:rsidR="00BE74FB" w:rsidRPr="007231B1" w:rsidRDefault="00BE74FB" w:rsidP="00BE74FB">
      <w:pPr>
        <w:spacing w:after="0" w:line="480" w:lineRule="auto"/>
        <w:jc w:val="both"/>
        <w:rPr>
          <w:rFonts w:cstheme="minorHAnsi"/>
        </w:rPr>
      </w:pPr>
      <w:r w:rsidRPr="007231B1">
        <w:rPr>
          <w:rFonts w:cstheme="minorHAnsi"/>
        </w:rPr>
        <w:br w:type="page"/>
      </w:r>
    </w:p>
    <w:p w14:paraId="0FAA18CB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  <w:b/>
          <w:bCs/>
        </w:rPr>
      </w:pPr>
      <w:r w:rsidRPr="007231B1">
        <w:rPr>
          <w:rFonts w:eastAsia="Times New Roman" w:cstheme="minorHAnsi"/>
          <w:b/>
          <w:bCs/>
          <w:u w:val="single"/>
        </w:rPr>
        <w:lastRenderedPageBreak/>
        <w:t>Figure S3:</w:t>
      </w:r>
      <w:r w:rsidRPr="007231B1">
        <w:rPr>
          <w:rFonts w:eastAsia="Times New Roman" w:cstheme="minorHAnsi"/>
          <w:b/>
          <w:bCs/>
        </w:rPr>
        <w:t xml:space="preserve"> Drapery plot</w:t>
      </w:r>
    </w:p>
    <w:p w14:paraId="0B85E04B" w14:textId="77777777" w:rsidR="00BE74FB" w:rsidRPr="007231B1" w:rsidRDefault="00BE74FB" w:rsidP="00BE74FB">
      <w:pPr>
        <w:spacing w:before="240" w:after="0" w:line="480" w:lineRule="auto"/>
        <w:jc w:val="both"/>
        <w:rPr>
          <w:rFonts w:eastAsia="Times New Roman" w:cstheme="minorHAnsi"/>
          <w:b/>
          <w:bCs/>
          <w:u w:val="single"/>
        </w:rPr>
      </w:pPr>
      <w:r w:rsidRPr="007231B1">
        <w:rPr>
          <w:rFonts w:cstheme="minorHAnsi"/>
          <w:noProof/>
          <w:lang w:eastAsia="fr-FR"/>
        </w:rPr>
        <w:drawing>
          <wp:inline distT="0" distB="0" distL="0" distR="0" wp14:anchorId="5124C3FB" wp14:editId="0A7F603C">
            <wp:extent cx="5760720" cy="184848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9755" w14:textId="29FA47BB" w:rsidR="00677303" w:rsidRDefault="00BE74FB" w:rsidP="00BE74FB">
      <w:r w:rsidRPr="007231B1">
        <w:rPr>
          <w:rFonts w:cstheme="minorHAnsi"/>
        </w:rPr>
        <w:t xml:space="preserve">Drapery plot presents the P-value function as a curve for each individual studies. The thick red line represents the P-Value function of the pooled estimates according to the random-effects model which cross the OR 1 under the threshold P-Value 0.05. The blue shaded area represents the prediction interval, which cross the OR 1 above the P-Value 0.05. </w:t>
      </w:r>
    </w:p>
    <w:sectPr w:rsidR="0067730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03"/>
    <w:rsid w:val="00677303"/>
    <w:rsid w:val="00BE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3C51D-04CF-4D19-A4EC-9BE7224C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Jacquet-Lagrèze</dc:creator>
  <cp:keywords/>
  <dc:description/>
  <cp:lastModifiedBy>Matthias Jacquet-Lagrèze</cp:lastModifiedBy>
  <cp:revision>2</cp:revision>
  <dcterms:created xsi:type="dcterms:W3CDTF">2023-11-09T19:47:00Z</dcterms:created>
  <dcterms:modified xsi:type="dcterms:W3CDTF">2023-11-09T19:48:00Z</dcterms:modified>
</cp:coreProperties>
</file>