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120" w:after="240" w:line="360" w:lineRule="auto"/>
        <w:textAlignment w:val="auto"/>
        <w:rPr>
          <w:rFonts w:hint="default" w:ascii="Times New Roman" w:hAnsi="Times New Roman" w:cs="Times New Roman" w:eastAsiaTheme="minorEastAsia"/>
          <w:b/>
          <w:bCs/>
          <w:sz w:val="24"/>
          <w:szCs w:val="32"/>
          <w:lang w:val="en-US" w:eastAsia="zh-CN"/>
        </w:rPr>
      </w:pPr>
      <w:r>
        <w:rPr>
          <w:rFonts w:hint="default" w:ascii="Times New Roman" w:hAnsi="Times New Roman" w:cs="Times New Roman" w:eastAsiaTheme="minorEastAsia"/>
          <w:b/>
          <w:bCs/>
          <w:sz w:val="24"/>
          <w:szCs w:val="32"/>
          <w:lang w:val="en-US" w:eastAsia="zh-CN"/>
        </w:rPr>
        <w:t>Microbiologic monitoring of tNGS in five patients with complicated infections</w:t>
      </w:r>
    </w:p>
    <w:p>
      <w:pPr>
        <w:keepNext w:val="0"/>
        <w:keepLines w:val="0"/>
        <w:pageBreakBefore w:val="0"/>
        <w:widowControl/>
        <w:kinsoku/>
        <w:wordWrap/>
        <w:overflowPunct/>
        <w:topLinePunct w:val="0"/>
        <w:autoSpaceDE/>
        <w:autoSpaceDN/>
        <w:bidi w:val="0"/>
        <w:adjustRightInd/>
        <w:snapToGrid/>
        <w:spacing w:before="120" w:after="240" w:line="360" w:lineRule="auto"/>
        <w:ind w:firstLine="480" w:firstLineChars="200"/>
        <w:textAlignment w:val="auto"/>
        <w:rPr>
          <w:rFonts w:ascii="Times New Roman" w:hAnsi="Times New Roman" w:eastAsia="宋体" w:cs="Times New Roman"/>
          <w:sz w:val="24"/>
          <w:szCs w:val="24"/>
          <w:lang w:val="en-US" w:eastAsia="zh-CN" w:bidi="ar-SA"/>
        </w:rPr>
      </w:pPr>
      <w:r>
        <w:rPr>
          <w:rFonts w:ascii="Times New Roman" w:hAnsi="Times New Roman" w:eastAsia="宋体" w:cs="Times New Roman"/>
          <w:sz w:val="24"/>
          <w:szCs w:val="24"/>
          <w:lang w:val="en-US" w:eastAsia="zh-CN" w:bidi="ar-SA"/>
        </w:rPr>
        <w:t xml:space="preserve">Case 1: A 78-year-old male patient received a diagnosis of IFV-A infection along with secondary bacterial infections. The suspected main pathogens were IFV-A and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On Day 2, cultures showed CR-AB (3+) and </w:t>
      </w:r>
      <w:r>
        <w:rPr>
          <w:rFonts w:ascii="Times New Roman" w:hAnsi="Times New Roman" w:eastAsia="宋体" w:cs="Times New Roman"/>
          <w:i/>
          <w:iCs/>
          <w:sz w:val="24"/>
          <w:szCs w:val="24"/>
          <w:lang w:val="en-US" w:eastAsia="zh-CN" w:bidi="ar-SA"/>
        </w:rPr>
        <w:t>Escherichia coli</w:t>
      </w:r>
      <w:r>
        <w:rPr>
          <w:rFonts w:ascii="Times New Roman" w:hAnsi="Times New Roman" w:eastAsia="宋体" w:cs="Times New Roman"/>
          <w:sz w:val="24"/>
          <w:szCs w:val="24"/>
          <w:lang w:val="en-US" w:eastAsia="zh-CN" w:bidi="ar-SA"/>
        </w:rPr>
        <w:t xml:space="preserve"> (3+). Following the administration of anti-infective medication, the culture findings on Day 8 indicated the eradication of CR-AB and the presence of additional microbes, including </w:t>
      </w:r>
      <w:r>
        <w:rPr>
          <w:rFonts w:ascii="Times New Roman" w:hAnsi="Times New Roman" w:eastAsia="宋体" w:cs="Times New Roman"/>
          <w:i/>
          <w:iCs/>
          <w:sz w:val="24"/>
          <w:szCs w:val="24"/>
          <w:lang w:val="en-US" w:eastAsia="zh-CN" w:bidi="ar-SA"/>
        </w:rPr>
        <w:t xml:space="preserve">Staphylococcus aureus </w:t>
      </w:r>
      <w:r>
        <w:rPr>
          <w:rFonts w:ascii="Times New Roman" w:hAnsi="Times New Roman" w:eastAsia="宋体" w:cs="Times New Roman"/>
          <w:sz w:val="24"/>
          <w:szCs w:val="24"/>
          <w:lang w:val="en-US" w:eastAsia="zh-CN" w:bidi="ar-SA"/>
        </w:rPr>
        <w:t xml:space="preserve">(3+), </w:t>
      </w:r>
      <w:r>
        <w:rPr>
          <w:rFonts w:ascii="Times New Roman" w:hAnsi="Times New Roman" w:eastAsia="宋体" w:cs="Times New Roman"/>
          <w:i/>
          <w:iCs/>
          <w:sz w:val="24"/>
          <w:szCs w:val="24"/>
          <w:lang w:val="en-US" w:eastAsia="zh-CN" w:bidi="ar-SA"/>
        </w:rPr>
        <w:t>Corynebacterium</w:t>
      </w:r>
      <w:r>
        <w:rPr>
          <w:rFonts w:ascii="Times New Roman" w:hAnsi="Times New Roman" w:eastAsia="宋体" w:cs="Times New Roman"/>
          <w:sz w:val="24"/>
          <w:szCs w:val="24"/>
          <w:lang w:val="en-US" w:eastAsia="zh-CN" w:bidi="ar-SA"/>
        </w:rPr>
        <w:t xml:space="preserve"> (3+), and </w:t>
      </w:r>
      <w:r>
        <w:rPr>
          <w:rFonts w:ascii="Times New Roman" w:hAnsi="Times New Roman" w:eastAsia="宋体" w:cs="Times New Roman"/>
          <w:i/>
          <w:iCs/>
          <w:sz w:val="24"/>
          <w:szCs w:val="24"/>
          <w:lang w:val="en-US" w:eastAsia="zh-CN" w:bidi="ar-SA"/>
        </w:rPr>
        <w:t>Enterobacteriaceae</w:t>
      </w:r>
      <w:r>
        <w:rPr>
          <w:rFonts w:ascii="Times New Roman" w:hAnsi="Times New Roman" w:eastAsia="宋体" w:cs="Times New Roman"/>
          <w:sz w:val="24"/>
          <w:szCs w:val="24"/>
          <w:lang w:val="en-US" w:eastAsia="zh-CN" w:bidi="ar-SA"/>
        </w:rPr>
        <w:t xml:space="preserve"> (2+). The comparison between Day 2 and Day 8 results revealed a decrease in the RPM values of IFV-A,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w:t>
      </w:r>
      <w:r>
        <w:rPr>
          <w:rFonts w:ascii="Times New Roman" w:hAnsi="Times New Roman" w:eastAsia="宋体" w:cs="Times New Roman"/>
          <w:i/>
          <w:iCs/>
          <w:sz w:val="24"/>
          <w:szCs w:val="24"/>
          <w:lang w:val="en-US" w:eastAsia="zh-CN" w:bidi="ar-SA"/>
        </w:rPr>
        <w:t>Escherichia coli</w:t>
      </w:r>
      <w:r>
        <w:rPr>
          <w:rFonts w:ascii="Times New Roman" w:hAnsi="Times New Roman" w:eastAsia="宋体" w:cs="Times New Roman"/>
          <w:sz w:val="24"/>
          <w:szCs w:val="24"/>
          <w:lang w:val="en-US" w:eastAsia="zh-CN" w:bidi="ar-SA"/>
        </w:rPr>
        <w:t xml:space="preserve">, and </w:t>
      </w:r>
      <w:r>
        <w:rPr>
          <w:rFonts w:ascii="Times New Roman" w:hAnsi="Times New Roman" w:eastAsia="宋体" w:cs="Times New Roman"/>
          <w:i/>
          <w:iCs/>
          <w:sz w:val="24"/>
          <w:szCs w:val="24"/>
          <w:lang w:val="en-US" w:eastAsia="zh-CN" w:bidi="ar-SA"/>
        </w:rPr>
        <w:t>Klebsiella pneumoniae</w:t>
      </w:r>
      <w:r>
        <w:rPr>
          <w:rFonts w:ascii="Times New Roman" w:hAnsi="Times New Roman" w:eastAsia="宋体" w:cs="Times New Roman"/>
          <w:sz w:val="24"/>
          <w:szCs w:val="24"/>
          <w:lang w:val="en-US" w:eastAsia="zh-CN" w:bidi="ar-SA"/>
        </w:rPr>
        <w:t xml:space="preserve">, while the RPM values of </w:t>
      </w:r>
      <w:r>
        <w:rPr>
          <w:rFonts w:ascii="Times New Roman" w:hAnsi="Times New Roman" w:eastAsia="宋体" w:cs="Times New Roman"/>
          <w:i/>
          <w:iCs/>
          <w:sz w:val="24"/>
          <w:szCs w:val="24"/>
          <w:lang w:val="en-US" w:eastAsia="zh-CN" w:bidi="ar-SA"/>
        </w:rPr>
        <w:t>Corynebacterium striatum</w:t>
      </w:r>
      <w:r>
        <w:rPr>
          <w:rFonts w:ascii="Times New Roman" w:hAnsi="Times New Roman" w:eastAsia="宋体" w:cs="Times New Roman"/>
          <w:sz w:val="24"/>
          <w:szCs w:val="24"/>
          <w:lang w:val="en-US" w:eastAsia="zh-CN" w:bidi="ar-SA"/>
        </w:rPr>
        <w:t xml:space="preserve"> increased. Additionally, new microorganisms such as </w:t>
      </w:r>
      <w:r>
        <w:rPr>
          <w:rFonts w:ascii="Times New Roman" w:hAnsi="Times New Roman" w:eastAsia="宋体" w:cs="Times New Roman"/>
          <w:i/>
          <w:iCs/>
          <w:sz w:val="24"/>
          <w:szCs w:val="24"/>
          <w:lang w:val="en-US" w:eastAsia="zh-CN" w:bidi="ar-SA"/>
        </w:rPr>
        <w:t>Staphylococcus aureus</w:t>
      </w:r>
      <w:r>
        <w:rPr>
          <w:rFonts w:ascii="Times New Roman" w:hAnsi="Times New Roman" w:eastAsia="宋体" w:cs="Times New Roman"/>
          <w:sz w:val="24"/>
          <w:szCs w:val="24"/>
          <w:lang w:val="en-US" w:eastAsia="zh-CN" w:bidi="ar-SA"/>
        </w:rPr>
        <w:t xml:space="preserve"> were detected. These findings indicate an accord between the tNGS and culture outcomes. Imaging revealed a progressive improvement in the exudative lesions in both lungs over time, implying improvement. The patient was eventually extubated on Day 27 and discharged from the ICU on Day 31 (</w:t>
      </w:r>
      <w:r>
        <w:rPr>
          <w:rFonts w:hint="default" w:ascii="Times New Roman" w:hAnsi="Times New Roman" w:eastAsia="宋体" w:cs="Times New Roman"/>
          <w:sz w:val="24"/>
          <w:szCs w:val="24"/>
          <w:lang w:val="en-US" w:eastAsia="zh-CN" w:bidi="ar-SA"/>
        </w:rPr>
        <w:t>Supplementa</w:t>
      </w:r>
      <w:r>
        <w:rPr>
          <w:rFonts w:hint="eastAsia" w:ascii="Times New Roman" w:hAnsi="Times New Roman" w:eastAsia="宋体" w:cs="Times New Roman"/>
          <w:sz w:val="24"/>
          <w:szCs w:val="24"/>
          <w:lang w:val="en-US" w:eastAsia="zh-CN" w:bidi="ar-SA"/>
        </w:rPr>
        <w:t>ry</w:t>
      </w:r>
      <w:r>
        <w:rPr>
          <w:rFonts w:hint="default" w:ascii="Times New Roman" w:hAnsi="Times New Roman" w:eastAsia="宋体" w:cs="Times New Roman"/>
          <w:sz w:val="24"/>
          <w:szCs w:val="24"/>
          <w:lang w:val="en-US" w:eastAsia="zh-CN" w:bidi="ar-SA"/>
        </w:rPr>
        <w:t xml:space="preserve"> Fig. </w:t>
      </w:r>
      <w:r>
        <w:rPr>
          <w:rFonts w:hint="eastAsia" w:eastAsia="宋体" w:cs="Times New Roman"/>
          <w:sz w:val="24"/>
          <w:szCs w:val="24"/>
          <w:lang w:val="en-US" w:eastAsia="zh-CN" w:bidi="ar-SA"/>
        </w:rPr>
        <w:t>3</w:t>
      </w:r>
      <w:r>
        <w:rPr>
          <w:rFonts w:ascii="Times New Roman" w:hAnsi="Times New Roman" w:eastAsia="宋体" w:cs="Times New Roman"/>
          <w:sz w:val="24"/>
          <w:szCs w:val="24"/>
          <w:lang w:val="en-US" w:eastAsia="zh-CN" w:bidi="ar-SA"/>
        </w:rPr>
        <w:t>A).</w:t>
      </w:r>
    </w:p>
    <w:p>
      <w:pPr>
        <w:keepNext w:val="0"/>
        <w:keepLines w:val="0"/>
        <w:pageBreakBefore w:val="0"/>
        <w:widowControl/>
        <w:kinsoku/>
        <w:wordWrap/>
        <w:overflowPunct/>
        <w:topLinePunct w:val="0"/>
        <w:autoSpaceDE/>
        <w:autoSpaceDN/>
        <w:bidi w:val="0"/>
        <w:adjustRightInd/>
        <w:snapToGrid/>
        <w:spacing w:before="120" w:after="240" w:line="360" w:lineRule="auto"/>
        <w:ind w:firstLine="480" w:firstLineChars="200"/>
        <w:textAlignment w:val="auto"/>
        <w:rPr>
          <w:rFonts w:ascii="Times New Roman" w:hAnsi="Times New Roman" w:eastAsia="宋体" w:cs="Times New Roman"/>
          <w:sz w:val="24"/>
          <w:szCs w:val="24"/>
          <w:lang w:val="en-US" w:eastAsia="zh-CN" w:bidi="ar-SA"/>
        </w:rPr>
      </w:pPr>
      <w:r>
        <w:rPr>
          <w:rFonts w:ascii="Times New Roman" w:hAnsi="Times New Roman" w:eastAsia="宋体" w:cs="Times New Roman"/>
          <w:sz w:val="24"/>
          <w:szCs w:val="24"/>
          <w:lang w:val="en-US" w:eastAsia="zh-CN" w:bidi="ar-SA"/>
        </w:rPr>
        <w:t xml:space="preserve">Case 2: A 78-year-old male patient received a diagnosis of COVID-19, followed by secondary bacterial infections. The primary pathogen was identified as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Culture results on Day 9, Day 15, Day 22, and Day 31 showed CR-AB (4+), CR-AB (2+), and CR-AB (1+), and</w:t>
      </w:r>
      <w:r>
        <w:rPr>
          <w:rFonts w:ascii="Times New Roman" w:hAnsi="Times New Roman" w:eastAsia="宋体" w:cs="Times New Roman"/>
          <w:i/>
          <w:iCs/>
          <w:sz w:val="24"/>
          <w:szCs w:val="24"/>
          <w:lang w:val="en-US" w:eastAsia="zh-CN" w:bidi="ar-SA"/>
        </w:rPr>
        <w:t xml:space="preserve"> Serratia marcescens</w:t>
      </w:r>
      <w:r>
        <w:rPr>
          <w:rFonts w:ascii="Times New Roman" w:hAnsi="Times New Roman" w:eastAsia="宋体" w:cs="Times New Roman"/>
          <w:sz w:val="24"/>
          <w:szCs w:val="24"/>
          <w:lang w:val="en-US" w:eastAsia="zh-CN" w:bidi="ar-SA"/>
        </w:rPr>
        <w:t xml:space="preserve">, respectively. This suggests that CR-AB vanished following the administration of anti-infective treatment to the patient. When the tNGS results were compared to the culture results, the findings were similar: microorganisms like </w:t>
      </w:r>
      <w:r>
        <w:rPr>
          <w:rFonts w:ascii="Times New Roman" w:hAnsi="Times New Roman" w:eastAsia="宋体" w:cs="Times New Roman"/>
          <w:i/>
          <w:iCs/>
          <w:sz w:val="24"/>
          <w:szCs w:val="24"/>
          <w:lang w:val="en-US" w:eastAsia="zh-CN" w:bidi="ar-SA"/>
        </w:rPr>
        <w:t>Serratia marcescens</w:t>
      </w:r>
      <w:r>
        <w:rPr>
          <w:rFonts w:ascii="Times New Roman" w:hAnsi="Times New Roman" w:eastAsia="宋体" w:cs="Times New Roman"/>
          <w:sz w:val="24"/>
          <w:szCs w:val="24"/>
          <w:lang w:val="en-US" w:eastAsia="zh-CN" w:bidi="ar-SA"/>
        </w:rPr>
        <w:t xml:space="preserve"> had emerged, and the RPM values of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w:t>
      </w:r>
      <w:r>
        <w:rPr>
          <w:rFonts w:ascii="Times New Roman" w:hAnsi="Times New Roman" w:eastAsia="宋体" w:cs="Times New Roman"/>
          <w:i/>
          <w:iCs/>
          <w:sz w:val="24"/>
          <w:szCs w:val="24"/>
          <w:lang w:val="en-US" w:eastAsia="zh-CN" w:bidi="ar-SA"/>
        </w:rPr>
        <w:t>Corynebacterium striatum</w:t>
      </w:r>
      <w:r>
        <w:rPr>
          <w:rFonts w:ascii="Times New Roman" w:hAnsi="Times New Roman" w:eastAsia="宋体" w:cs="Times New Roman"/>
          <w:sz w:val="24"/>
          <w:szCs w:val="24"/>
          <w:lang w:val="en-US" w:eastAsia="zh-CN" w:bidi="ar-SA"/>
        </w:rPr>
        <w:t xml:space="preserve">, and </w:t>
      </w:r>
      <w:r>
        <w:rPr>
          <w:rFonts w:ascii="Times New Roman" w:hAnsi="Times New Roman" w:eastAsia="宋体" w:cs="Times New Roman"/>
          <w:i/>
          <w:iCs/>
          <w:sz w:val="24"/>
          <w:szCs w:val="24"/>
          <w:lang w:val="en-US" w:eastAsia="zh-CN" w:bidi="ar-SA"/>
        </w:rPr>
        <w:t>Pseudomonas aeruginosa</w:t>
      </w:r>
      <w:r>
        <w:rPr>
          <w:rFonts w:ascii="Times New Roman" w:hAnsi="Times New Roman" w:eastAsia="宋体" w:cs="Times New Roman"/>
          <w:sz w:val="24"/>
          <w:szCs w:val="24"/>
          <w:lang w:val="en-US" w:eastAsia="zh-CN" w:bidi="ar-SA"/>
        </w:rPr>
        <w:t xml:space="preserve"> had decreased in comparison to the previous values. Imaging showed a gradual improvement of exudative lesions in the right and left upper lungs, suggesting an improvement in the patient's condition. Finally, the patient was taken off the ventilator on Day 35 and transferred out of the ICU on Day 41 (</w:t>
      </w:r>
      <w:r>
        <w:rPr>
          <w:rFonts w:hint="default" w:ascii="Times New Roman" w:hAnsi="Times New Roman" w:eastAsia="宋体" w:cs="Times New Roman"/>
          <w:sz w:val="24"/>
          <w:szCs w:val="24"/>
          <w:lang w:val="en-US" w:eastAsia="zh-CN" w:bidi="ar-SA"/>
        </w:rPr>
        <w:t>Supplementa</w:t>
      </w:r>
      <w:r>
        <w:rPr>
          <w:rFonts w:hint="eastAsia" w:ascii="Times New Roman" w:hAnsi="Times New Roman" w:eastAsia="宋体" w:cs="Times New Roman"/>
          <w:sz w:val="24"/>
          <w:szCs w:val="24"/>
          <w:lang w:val="en-US" w:eastAsia="zh-CN" w:bidi="ar-SA"/>
        </w:rPr>
        <w:t>ry</w:t>
      </w:r>
      <w:r>
        <w:rPr>
          <w:rFonts w:hint="default" w:ascii="Times New Roman" w:hAnsi="Times New Roman" w:eastAsia="宋体" w:cs="Times New Roman"/>
          <w:sz w:val="24"/>
          <w:szCs w:val="24"/>
          <w:lang w:val="en-US" w:eastAsia="zh-CN" w:bidi="ar-SA"/>
        </w:rPr>
        <w:t xml:space="preserve"> Fig. </w:t>
      </w:r>
      <w:r>
        <w:rPr>
          <w:rFonts w:hint="eastAsia" w:ascii="Times New Roman" w:hAnsi="Times New Roman" w:eastAsia="宋体" w:cs="Times New Roman"/>
          <w:sz w:val="24"/>
          <w:szCs w:val="24"/>
          <w:lang w:val="en-US" w:eastAsia="zh-CN" w:bidi="ar-SA"/>
        </w:rPr>
        <w:t>3</w:t>
      </w:r>
      <w:r>
        <w:rPr>
          <w:rFonts w:hint="eastAsia" w:eastAsia="宋体" w:cs="Times New Roman"/>
          <w:sz w:val="24"/>
          <w:szCs w:val="24"/>
          <w:lang w:val="en-US" w:eastAsia="zh-CN" w:bidi="ar-SA"/>
        </w:rPr>
        <w:t>B</w:t>
      </w:r>
      <w:r>
        <w:rPr>
          <w:rFonts w:ascii="Times New Roman" w:hAnsi="Times New Roman" w:eastAsia="宋体" w:cs="Times New Roman"/>
          <w:sz w:val="24"/>
          <w:szCs w:val="24"/>
          <w:lang w:val="en-US" w:eastAsia="zh-CN" w:bidi="ar-SA"/>
        </w:rPr>
        <w:t>).</w:t>
      </w:r>
    </w:p>
    <w:p>
      <w:pPr>
        <w:keepNext w:val="0"/>
        <w:keepLines w:val="0"/>
        <w:pageBreakBefore w:val="0"/>
        <w:widowControl/>
        <w:kinsoku/>
        <w:wordWrap/>
        <w:overflowPunct/>
        <w:topLinePunct w:val="0"/>
        <w:autoSpaceDE/>
        <w:autoSpaceDN/>
        <w:bidi w:val="0"/>
        <w:adjustRightInd/>
        <w:snapToGrid/>
        <w:spacing w:before="120" w:after="240" w:line="360" w:lineRule="auto"/>
        <w:textAlignment w:val="auto"/>
        <w:rPr>
          <w:rFonts w:ascii="Times New Roman" w:hAnsi="Times New Roman" w:eastAsia="宋体" w:cs="Times New Roman"/>
          <w:sz w:val="24"/>
          <w:szCs w:val="24"/>
          <w:lang w:val="en-US" w:eastAsia="zh-CN" w:bidi="ar-SA"/>
        </w:rPr>
      </w:pPr>
      <w:r>
        <w:rPr>
          <w:rFonts w:ascii="Times New Roman" w:hAnsi="Times New Roman" w:eastAsia="宋体" w:cs="Times New Roman"/>
          <w:sz w:val="24"/>
          <w:szCs w:val="24"/>
          <w:lang w:val="en-US" w:eastAsia="zh-CN" w:bidi="ar-SA"/>
        </w:rPr>
        <w:drawing>
          <wp:inline distT="0" distB="0" distL="114300" distR="114300">
            <wp:extent cx="6207125" cy="8075930"/>
            <wp:effectExtent l="0" t="0" r="3175" b="1270"/>
            <wp:docPr id="11" name="图片 11"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6"/>
                    <pic:cNvPicPr>
                      <a:picLocks noChangeAspect="1"/>
                    </pic:cNvPicPr>
                  </pic:nvPicPr>
                  <pic:blipFill>
                    <a:blip r:embed="rId5"/>
                    <a:stretch>
                      <a:fillRect/>
                    </a:stretch>
                  </pic:blipFill>
                  <pic:spPr>
                    <a:xfrm>
                      <a:off x="0" y="0"/>
                      <a:ext cx="6207125" cy="807593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before="240" w:line="360" w:lineRule="auto"/>
        <w:textAlignment w:val="auto"/>
        <w:outlineLvl w:val="0"/>
        <w:rPr>
          <w:rFonts w:ascii="Times New Roman" w:hAnsi="Times New Roman" w:eastAsia="宋体" w:cs="Times New Roman"/>
          <w:sz w:val="24"/>
          <w:szCs w:val="24"/>
          <w:lang w:val="en-US" w:eastAsia="zh-CN" w:bidi="ar-SA"/>
        </w:rPr>
      </w:pPr>
      <w:r>
        <w:rPr>
          <w:rFonts w:hint="default" w:eastAsia="Cambria" w:cs="Times New Roman"/>
          <w:b/>
          <w:bCs w:val="0"/>
          <w:kern w:val="36"/>
          <w:sz w:val="21"/>
          <w:szCs w:val="21"/>
          <w:highlight w:val="none"/>
          <w:lang w:val="en-US" w:eastAsia="zh-CN"/>
        </w:rPr>
        <w:t>Supplementa</w:t>
      </w:r>
      <w:r>
        <w:rPr>
          <w:rFonts w:hint="eastAsia" w:eastAsia="Cambria" w:cs="Times New Roman"/>
          <w:b/>
          <w:bCs w:val="0"/>
          <w:kern w:val="36"/>
          <w:sz w:val="21"/>
          <w:szCs w:val="21"/>
          <w:highlight w:val="none"/>
          <w:lang w:val="en-US" w:eastAsia="zh-CN"/>
        </w:rPr>
        <w:t>ry</w:t>
      </w:r>
      <w:r>
        <w:rPr>
          <w:rFonts w:hint="default" w:eastAsia="Cambria" w:cs="Times New Roman"/>
          <w:b/>
          <w:bCs w:val="0"/>
          <w:kern w:val="36"/>
          <w:sz w:val="21"/>
          <w:szCs w:val="21"/>
          <w:highlight w:val="none"/>
          <w:lang w:val="en-US" w:eastAsia="zh-CN"/>
        </w:rPr>
        <w:t xml:space="preserve"> Fig. </w:t>
      </w:r>
      <w:r>
        <w:rPr>
          <w:rFonts w:hint="eastAsia" w:eastAsia="Cambria" w:cs="Times New Roman"/>
          <w:b/>
          <w:bCs w:val="0"/>
          <w:kern w:val="36"/>
          <w:sz w:val="21"/>
          <w:szCs w:val="21"/>
          <w:highlight w:val="none"/>
          <w:lang w:val="en-US" w:eastAsia="zh-CN"/>
        </w:rPr>
        <w:t>3</w:t>
      </w:r>
      <w:r>
        <w:rPr>
          <w:rFonts w:eastAsia="Cambria" w:cs="Times New Roman"/>
          <w:b/>
          <w:bCs w:val="0"/>
          <w:kern w:val="36"/>
          <w:sz w:val="21"/>
          <w:szCs w:val="21"/>
          <w:highlight w:val="none"/>
          <w:lang w:eastAsia="zh-CN"/>
        </w:rPr>
        <w:t xml:space="preserve"> </w:t>
      </w:r>
      <w:r>
        <w:rPr>
          <w:rFonts w:eastAsia="Cambria" w:cs="Times New Roman"/>
          <w:b w:val="0"/>
          <w:bCs/>
          <w:kern w:val="36"/>
          <w:sz w:val="21"/>
          <w:szCs w:val="21"/>
          <w:highlight w:val="none"/>
          <w:lang w:eastAsia="zh-CN"/>
        </w:rPr>
        <w:t>Schematic timeline of microbiologic testing and treatment profiles of five patients with complicated infections (Case 1 and Case 2).</w:t>
      </w:r>
      <w:r>
        <w:rPr>
          <w:rFonts w:eastAsia="Cambria" w:cs="Times New Roman"/>
          <w:b w:val="0"/>
          <w:bCs/>
          <w:kern w:val="36"/>
          <w:sz w:val="21"/>
          <w:szCs w:val="21"/>
          <w:highlight w:val="none"/>
          <w:lang w:eastAsia="zh-CN"/>
        </w:rPr>
        <w:t xml:space="preserve"> (A</w:t>
      </w:r>
      <w:r>
        <w:rPr>
          <w:rFonts w:eastAsia="Cambria" w:cs="Times New Roman"/>
          <w:bCs/>
          <w:kern w:val="36"/>
          <w:sz w:val="21"/>
          <w:szCs w:val="21"/>
          <w:highlight w:val="none"/>
          <w:lang w:eastAsia="zh-CN"/>
        </w:rPr>
        <w:t xml:space="preserve">-B) Profiles of microbiologic and imaging changes during anti-infective therapy in two patients who improved with treatment. CR-AB, Carbapenem-resistant </w:t>
      </w:r>
      <w:r>
        <w:rPr>
          <w:rFonts w:eastAsia="Cambria" w:cs="Times New Roman"/>
          <w:bCs/>
          <w:i/>
          <w:iCs/>
          <w:kern w:val="36"/>
          <w:sz w:val="21"/>
          <w:szCs w:val="21"/>
          <w:highlight w:val="none"/>
          <w:lang w:eastAsia="zh-CN"/>
        </w:rPr>
        <w:t>Acinetobacter Baumannii</w:t>
      </w:r>
      <w:r>
        <w:rPr>
          <w:rFonts w:eastAsia="Cambria" w:cs="Times New Roman"/>
          <w:bCs/>
          <w:kern w:val="36"/>
          <w:sz w:val="21"/>
          <w:szCs w:val="21"/>
          <w:highlight w:val="none"/>
          <w:lang w:eastAsia="zh-CN"/>
        </w:rPr>
        <w:t>; CS/SS, Cefoperazone Sodium and Sulbactam Sodium; PS/TS, Piperacillin Sodium and Tazobactam Sodium.</w:t>
      </w:r>
    </w:p>
    <w:p>
      <w:pPr>
        <w:keepNext w:val="0"/>
        <w:keepLines w:val="0"/>
        <w:pageBreakBefore w:val="0"/>
        <w:widowControl/>
        <w:kinsoku/>
        <w:wordWrap/>
        <w:overflowPunct/>
        <w:topLinePunct w:val="0"/>
        <w:autoSpaceDE/>
        <w:autoSpaceDN/>
        <w:bidi w:val="0"/>
        <w:adjustRightInd/>
        <w:snapToGrid/>
        <w:spacing w:before="120" w:after="240" w:line="360" w:lineRule="auto"/>
        <w:ind w:firstLine="480" w:firstLineChars="200"/>
        <w:textAlignment w:val="auto"/>
        <w:rPr>
          <w:rFonts w:ascii="Times New Roman" w:hAnsi="Times New Roman" w:eastAsia="宋体" w:cs="Times New Roman"/>
          <w:sz w:val="24"/>
          <w:szCs w:val="24"/>
          <w:lang w:val="en-US" w:eastAsia="zh-CN" w:bidi="ar-SA"/>
        </w:rPr>
      </w:pPr>
      <w:r>
        <w:rPr>
          <w:rFonts w:ascii="Times New Roman" w:hAnsi="Times New Roman" w:eastAsia="宋体" w:cs="Times New Roman"/>
          <w:sz w:val="24"/>
          <w:szCs w:val="24"/>
          <w:lang w:val="en-US" w:eastAsia="zh-CN" w:bidi="ar-SA"/>
        </w:rPr>
        <w:t xml:space="preserve">Case 3: An 84-year-old man was diagnosed with a COVID-19 infection, followed by secondary bacterial infections. The primary pathogen was probably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The culture results on Day 2, Day 9, and Day 16 were CR-AB (3+), CR-AB (2+) and CR-AB (3+), respectively. The main pathogenic bacteria identified by tNGS results included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w:t>
      </w:r>
      <w:r>
        <w:rPr>
          <w:rFonts w:ascii="Times New Roman" w:hAnsi="Times New Roman" w:eastAsia="宋体" w:cs="Times New Roman"/>
          <w:i/>
          <w:iCs/>
          <w:sz w:val="24"/>
          <w:szCs w:val="24"/>
          <w:lang w:val="en-US" w:eastAsia="zh-CN" w:bidi="ar-SA"/>
        </w:rPr>
        <w:t>Corynebacterium striatum</w:t>
      </w:r>
      <w:r>
        <w:rPr>
          <w:rFonts w:ascii="Times New Roman" w:hAnsi="Times New Roman" w:eastAsia="宋体" w:cs="Times New Roman"/>
          <w:sz w:val="24"/>
          <w:szCs w:val="24"/>
          <w:lang w:val="en-US" w:eastAsia="zh-CN" w:bidi="ar-SA"/>
        </w:rPr>
        <w:t xml:space="preserve">, </w:t>
      </w:r>
      <w:r>
        <w:rPr>
          <w:rFonts w:ascii="Times New Roman" w:hAnsi="Times New Roman" w:eastAsia="宋体" w:cs="Times New Roman"/>
          <w:i/>
          <w:iCs/>
          <w:sz w:val="24"/>
          <w:szCs w:val="24"/>
          <w:lang w:val="en-US" w:eastAsia="zh-CN" w:bidi="ar-SA"/>
        </w:rPr>
        <w:t>Stenotrophomonas maltophilia</w:t>
      </w:r>
      <w:r>
        <w:rPr>
          <w:rFonts w:ascii="Times New Roman" w:hAnsi="Times New Roman" w:eastAsia="宋体" w:cs="Times New Roman"/>
          <w:sz w:val="24"/>
          <w:szCs w:val="24"/>
          <w:lang w:val="en-US" w:eastAsia="zh-CN" w:bidi="ar-SA"/>
        </w:rPr>
        <w:t xml:space="preserve"> and </w:t>
      </w:r>
      <w:r>
        <w:rPr>
          <w:rFonts w:ascii="Times New Roman" w:hAnsi="Times New Roman" w:eastAsia="宋体" w:cs="Times New Roman"/>
          <w:i/>
          <w:iCs/>
          <w:sz w:val="24"/>
          <w:szCs w:val="24"/>
          <w:lang w:val="en-US" w:eastAsia="zh-CN" w:bidi="ar-SA"/>
        </w:rPr>
        <w:t>Elizabethkingia anophelis</w:t>
      </w:r>
      <w:r>
        <w:rPr>
          <w:rFonts w:ascii="Times New Roman" w:hAnsi="Times New Roman" w:eastAsia="宋体" w:cs="Times New Roman"/>
          <w:sz w:val="24"/>
          <w:szCs w:val="24"/>
          <w:lang w:val="en-US" w:eastAsia="zh-CN" w:bidi="ar-SA"/>
        </w:rPr>
        <w:t xml:space="preserve">. After receiving anti-infection treatment, the RPM value of tNGS for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showed a decline, but COVID-19 was still detected on Day 9. Later in the treatment, the RPM value of tNGS for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increased again, aligning with the culture results. Possible factors contributing to this situation include the patient's elderly status, compromised lung function resulting from COPD, and the inadequate efficacy of the anti-infective medication. The imaging revealed substantial exudative lesions in both lungs, which did not exhibit remarkable improvement. The patient opted to discontinue medical intervention and was subsequently released from the hospital, ultimately succumbing to their condition (</w:t>
      </w:r>
      <w:r>
        <w:rPr>
          <w:rFonts w:hint="default" w:ascii="Times New Roman" w:hAnsi="Times New Roman" w:eastAsia="宋体" w:cs="Times New Roman"/>
          <w:sz w:val="24"/>
          <w:szCs w:val="24"/>
          <w:lang w:val="en-US" w:eastAsia="zh-CN" w:bidi="ar-SA"/>
        </w:rPr>
        <w:t>Supplementa</w:t>
      </w:r>
      <w:r>
        <w:rPr>
          <w:rFonts w:hint="eastAsia" w:ascii="Times New Roman" w:hAnsi="Times New Roman" w:eastAsia="宋体" w:cs="Times New Roman"/>
          <w:sz w:val="24"/>
          <w:szCs w:val="24"/>
          <w:lang w:val="en-US" w:eastAsia="zh-CN" w:bidi="ar-SA"/>
        </w:rPr>
        <w:t>ry</w:t>
      </w:r>
      <w:r>
        <w:rPr>
          <w:rFonts w:hint="default" w:ascii="Times New Roman" w:hAnsi="Times New Roman" w:eastAsia="宋体" w:cs="Times New Roman"/>
          <w:sz w:val="24"/>
          <w:szCs w:val="24"/>
          <w:lang w:val="en-US" w:eastAsia="zh-CN" w:bidi="ar-SA"/>
        </w:rPr>
        <w:t xml:space="preserve"> Fig. </w:t>
      </w:r>
      <w:r>
        <w:rPr>
          <w:rFonts w:hint="eastAsia" w:ascii="Times New Roman" w:hAnsi="Times New Roman" w:eastAsia="宋体" w:cs="Times New Roman"/>
          <w:sz w:val="24"/>
          <w:szCs w:val="24"/>
          <w:lang w:val="en-US" w:eastAsia="zh-CN" w:bidi="ar-SA"/>
        </w:rPr>
        <w:t>4</w:t>
      </w:r>
      <w:r>
        <w:rPr>
          <w:rFonts w:ascii="Times New Roman" w:hAnsi="Times New Roman" w:eastAsia="宋体" w:cs="Times New Roman"/>
          <w:sz w:val="24"/>
          <w:szCs w:val="24"/>
          <w:lang w:val="en-US" w:eastAsia="zh-CN" w:bidi="ar-SA"/>
        </w:rPr>
        <w:t>A).</w:t>
      </w:r>
    </w:p>
    <w:p>
      <w:pPr>
        <w:keepNext w:val="0"/>
        <w:keepLines w:val="0"/>
        <w:pageBreakBefore w:val="0"/>
        <w:widowControl/>
        <w:kinsoku/>
        <w:wordWrap/>
        <w:overflowPunct/>
        <w:topLinePunct w:val="0"/>
        <w:autoSpaceDE/>
        <w:autoSpaceDN/>
        <w:bidi w:val="0"/>
        <w:adjustRightInd/>
        <w:snapToGrid/>
        <w:spacing w:before="120" w:after="240" w:line="360" w:lineRule="auto"/>
        <w:ind w:firstLine="480" w:firstLineChars="200"/>
        <w:textAlignment w:val="auto"/>
        <w:rPr>
          <w:rFonts w:ascii="Times New Roman" w:hAnsi="Times New Roman" w:eastAsia="宋体" w:cs="Times New Roman"/>
          <w:sz w:val="24"/>
          <w:szCs w:val="24"/>
          <w:lang w:val="en-US" w:eastAsia="zh-CN" w:bidi="ar-SA"/>
        </w:rPr>
      </w:pPr>
      <w:r>
        <w:rPr>
          <w:rFonts w:ascii="Times New Roman" w:hAnsi="Times New Roman" w:eastAsia="宋体" w:cs="Times New Roman"/>
          <w:sz w:val="24"/>
          <w:szCs w:val="24"/>
          <w:lang w:val="en-US" w:eastAsia="zh-CN" w:bidi="ar-SA"/>
        </w:rPr>
        <w:t xml:space="preserve">Case 4: A 76-year-old male patient was diagnosed with a COVID-19 infection, which was then complicated by secondary bacterial infections. The patient had treatment with VV-ECMO. The primary pathogen was suspected to be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The culture results showed the presence of </w:t>
      </w:r>
      <w:r>
        <w:rPr>
          <w:rFonts w:ascii="Times New Roman" w:hAnsi="Times New Roman" w:eastAsia="宋体" w:cs="Times New Roman"/>
          <w:i/>
          <w:iCs/>
          <w:sz w:val="24"/>
          <w:szCs w:val="24"/>
          <w:lang w:val="en-US" w:eastAsia="zh-CN" w:bidi="ar-SA"/>
        </w:rPr>
        <w:t>Stenotrophomonas maltophilia</w:t>
      </w:r>
      <w:r>
        <w:rPr>
          <w:rFonts w:ascii="Times New Roman" w:hAnsi="Times New Roman" w:eastAsia="宋体" w:cs="Times New Roman"/>
          <w:sz w:val="24"/>
          <w:szCs w:val="24"/>
          <w:lang w:val="en-US" w:eastAsia="zh-CN" w:bidi="ar-SA"/>
        </w:rPr>
        <w:t xml:space="preserve"> (4+), </w:t>
      </w:r>
      <w:r>
        <w:rPr>
          <w:rFonts w:ascii="Times New Roman" w:hAnsi="Times New Roman" w:eastAsia="宋体" w:cs="Times New Roman"/>
          <w:i/>
          <w:iCs/>
          <w:sz w:val="24"/>
          <w:szCs w:val="24"/>
          <w:lang w:val="en-US" w:eastAsia="zh-CN" w:bidi="ar-SA"/>
        </w:rPr>
        <w:t>Candida glabrata</w:t>
      </w:r>
      <w:r>
        <w:rPr>
          <w:rFonts w:ascii="Times New Roman" w:hAnsi="Times New Roman" w:eastAsia="宋体" w:cs="Times New Roman"/>
          <w:sz w:val="24"/>
          <w:szCs w:val="24"/>
          <w:lang w:val="en-US" w:eastAsia="zh-CN" w:bidi="ar-SA"/>
        </w:rPr>
        <w:t xml:space="preserve"> (3+), and </w:t>
      </w:r>
      <w:r>
        <w:rPr>
          <w:rFonts w:ascii="Times New Roman" w:hAnsi="Times New Roman" w:eastAsia="宋体" w:cs="Times New Roman"/>
          <w:i/>
          <w:iCs/>
          <w:sz w:val="24"/>
          <w:szCs w:val="24"/>
          <w:lang w:val="en-US" w:eastAsia="zh-CN" w:bidi="ar-SA"/>
        </w:rPr>
        <w:t>Enterobacteriaceae</w:t>
      </w:r>
      <w:r>
        <w:rPr>
          <w:rFonts w:ascii="Times New Roman" w:hAnsi="Times New Roman" w:eastAsia="宋体" w:cs="Times New Roman"/>
          <w:sz w:val="24"/>
          <w:szCs w:val="24"/>
          <w:lang w:val="en-US" w:eastAsia="zh-CN" w:bidi="ar-SA"/>
        </w:rPr>
        <w:t xml:space="preserve"> (2+) on Day 1. On Day 10, the culture yielded a negative result. On Day 20, CR-AB (4+) was detected, followed by the detection of </w:t>
      </w:r>
      <w:r>
        <w:rPr>
          <w:rFonts w:ascii="Times New Roman" w:hAnsi="Times New Roman" w:eastAsia="宋体" w:cs="Times New Roman"/>
          <w:i/>
          <w:iCs/>
          <w:sz w:val="24"/>
          <w:szCs w:val="24"/>
          <w:lang w:val="en-US" w:eastAsia="zh-CN" w:bidi="ar-SA"/>
        </w:rPr>
        <w:t>Corynebacterium striatum</w:t>
      </w:r>
      <w:r>
        <w:rPr>
          <w:rFonts w:ascii="Times New Roman" w:hAnsi="Times New Roman" w:eastAsia="宋体" w:cs="Times New Roman"/>
          <w:sz w:val="24"/>
          <w:szCs w:val="24"/>
          <w:lang w:val="en-US" w:eastAsia="zh-CN" w:bidi="ar-SA"/>
        </w:rPr>
        <w:t xml:space="preserve"> (3+) and yeast-like fungi (1+) on Day 28. The tNGS analysis identified the main pathogens, including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w:t>
      </w:r>
      <w:r>
        <w:rPr>
          <w:rFonts w:ascii="Times New Roman" w:hAnsi="Times New Roman" w:eastAsia="宋体" w:cs="Times New Roman"/>
          <w:i/>
          <w:iCs/>
          <w:sz w:val="24"/>
          <w:szCs w:val="24"/>
          <w:lang w:val="en-US" w:eastAsia="zh-CN" w:bidi="ar-SA"/>
        </w:rPr>
        <w:t>Corynebacterium striatum</w:t>
      </w:r>
      <w:r>
        <w:rPr>
          <w:rFonts w:ascii="Times New Roman" w:hAnsi="Times New Roman" w:eastAsia="宋体" w:cs="Times New Roman"/>
          <w:sz w:val="24"/>
          <w:szCs w:val="24"/>
          <w:lang w:val="en-US" w:eastAsia="zh-CN" w:bidi="ar-SA"/>
        </w:rPr>
        <w:t xml:space="preserve">, and </w:t>
      </w:r>
      <w:r>
        <w:rPr>
          <w:rFonts w:ascii="Times New Roman" w:hAnsi="Times New Roman" w:eastAsia="宋体" w:cs="Times New Roman"/>
          <w:i/>
          <w:iCs/>
          <w:sz w:val="24"/>
          <w:szCs w:val="24"/>
          <w:lang w:val="en-US" w:eastAsia="zh-CN" w:bidi="ar-SA"/>
        </w:rPr>
        <w:t>Staphylococcus</w:t>
      </w:r>
      <w:r>
        <w:rPr>
          <w:rFonts w:ascii="Times New Roman" w:hAnsi="Times New Roman" w:eastAsia="宋体" w:cs="Times New Roman"/>
          <w:sz w:val="24"/>
          <w:szCs w:val="24"/>
          <w:lang w:val="en-US" w:eastAsia="zh-CN" w:bidi="ar-SA"/>
        </w:rPr>
        <w:t xml:space="preserve"> species. The RPM values of </w:t>
      </w:r>
      <w:r>
        <w:rPr>
          <w:rFonts w:ascii="Times New Roman" w:hAnsi="Times New Roman" w:eastAsia="宋体" w:cs="Times New Roman"/>
          <w:i/>
          <w:iCs/>
          <w:sz w:val="24"/>
          <w:szCs w:val="24"/>
          <w:lang w:val="en-US" w:eastAsia="zh-CN" w:bidi="ar-SA"/>
        </w:rPr>
        <w:t>Acinetobacter baumannii</w:t>
      </w:r>
      <w:r>
        <w:rPr>
          <w:rFonts w:ascii="Times New Roman" w:hAnsi="Times New Roman" w:eastAsia="宋体" w:cs="Times New Roman"/>
          <w:sz w:val="24"/>
          <w:szCs w:val="24"/>
          <w:lang w:val="en-US" w:eastAsia="zh-CN" w:bidi="ar-SA"/>
        </w:rPr>
        <w:t xml:space="preserve"> and </w:t>
      </w:r>
      <w:r>
        <w:rPr>
          <w:rFonts w:ascii="Times New Roman" w:hAnsi="Times New Roman" w:eastAsia="宋体" w:cs="Times New Roman"/>
          <w:i/>
          <w:iCs/>
          <w:sz w:val="24"/>
          <w:szCs w:val="24"/>
          <w:lang w:val="en-US" w:eastAsia="zh-CN" w:bidi="ar-SA"/>
        </w:rPr>
        <w:t>Corynebacterium striatum</w:t>
      </w:r>
      <w:r>
        <w:rPr>
          <w:rFonts w:ascii="Times New Roman" w:hAnsi="Times New Roman" w:eastAsia="宋体" w:cs="Times New Roman"/>
          <w:sz w:val="24"/>
          <w:szCs w:val="24"/>
          <w:lang w:val="en-US" w:eastAsia="zh-CN" w:bidi="ar-SA"/>
        </w:rPr>
        <w:t xml:space="preserve"> increased from day 10 to day 20, but the culture results became negative by day 28. Despite the improved pathogenetic results, imaging examinations indicated significant exudation and fibrosis in both lungs after contracting COVID-19. Unfortunately, the patient's lung function did not improve, and the treatment proved to be futile, finally leading to the patient's death (</w:t>
      </w:r>
      <w:r>
        <w:rPr>
          <w:rFonts w:hint="default" w:ascii="Times New Roman" w:hAnsi="Times New Roman" w:eastAsia="宋体" w:cs="Times New Roman"/>
          <w:sz w:val="24"/>
          <w:szCs w:val="24"/>
          <w:lang w:val="en-US" w:eastAsia="zh-CN" w:bidi="ar-SA"/>
        </w:rPr>
        <w:t>Supplementa</w:t>
      </w:r>
      <w:r>
        <w:rPr>
          <w:rFonts w:hint="eastAsia" w:ascii="Times New Roman" w:hAnsi="Times New Roman" w:eastAsia="宋体" w:cs="Times New Roman"/>
          <w:sz w:val="24"/>
          <w:szCs w:val="24"/>
          <w:lang w:val="en-US" w:eastAsia="zh-CN" w:bidi="ar-SA"/>
        </w:rPr>
        <w:t>ry</w:t>
      </w:r>
      <w:r>
        <w:rPr>
          <w:rFonts w:hint="default" w:ascii="Times New Roman" w:hAnsi="Times New Roman" w:eastAsia="宋体" w:cs="Times New Roman"/>
          <w:sz w:val="24"/>
          <w:szCs w:val="24"/>
          <w:lang w:val="en-US" w:eastAsia="zh-CN" w:bidi="ar-SA"/>
        </w:rPr>
        <w:t xml:space="preserve"> Fig. </w:t>
      </w:r>
      <w:r>
        <w:rPr>
          <w:rFonts w:hint="eastAsia" w:ascii="Times New Roman" w:hAnsi="Times New Roman" w:eastAsia="宋体" w:cs="Times New Roman"/>
          <w:sz w:val="24"/>
          <w:szCs w:val="24"/>
          <w:lang w:val="en-US" w:eastAsia="zh-CN" w:bidi="ar-SA"/>
        </w:rPr>
        <w:t>4</w:t>
      </w:r>
      <w:r>
        <w:rPr>
          <w:rFonts w:ascii="Times New Roman" w:hAnsi="Times New Roman" w:eastAsia="宋体" w:cs="Times New Roman"/>
          <w:sz w:val="24"/>
          <w:szCs w:val="24"/>
          <w:lang w:val="en-US" w:eastAsia="zh-CN" w:bidi="ar-SA"/>
        </w:rPr>
        <w:t>B).</w:t>
      </w:r>
    </w:p>
    <w:p>
      <w:pPr>
        <w:keepNext w:val="0"/>
        <w:keepLines w:val="0"/>
        <w:pageBreakBefore w:val="0"/>
        <w:widowControl/>
        <w:kinsoku/>
        <w:wordWrap/>
        <w:overflowPunct/>
        <w:topLinePunct w:val="0"/>
        <w:autoSpaceDE/>
        <w:autoSpaceDN/>
        <w:bidi w:val="0"/>
        <w:adjustRightInd/>
        <w:snapToGrid/>
        <w:spacing w:before="120" w:after="240" w:line="360" w:lineRule="auto"/>
        <w:textAlignment w:val="auto"/>
        <w:rPr>
          <w:rFonts w:ascii="Times New Roman" w:hAnsi="Times New Roman" w:eastAsia="宋体" w:cs="Times New Roman"/>
          <w:sz w:val="24"/>
          <w:szCs w:val="24"/>
          <w:lang w:val="en-US" w:eastAsia="zh-CN" w:bidi="ar-SA"/>
        </w:rPr>
      </w:pPr>
      <w:r>
        <w:rPr>
          <w:rFonts w:ascii="Times New Roman" w:hAnsi="Times New Roman" w:eastAsia="宋体" w:cs="Times New Roman"/>
          <w:sz w:val="24"/>
          <w:szCs w:val="24"/>
          <w:lang w:val="en-US" w:eastAsia="zh-CN" w:bidi="ar-SA"/>
        </w:rPr>
        <w:drawing>
          <wp:inline distT="0" distB="0" distL="114300" distR="114300">
            <wp:extent cx="6203950" cy="8028940"/>
            <wp:effectExtent l="0" t="0" r="6350" b="10160"/>
            <wp:docPr id="12" name="图片 12"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7"/>
                    <pic:cNvPicPr>
                      <a:picLocks noChangeAspect="1"/>
                    </pic:cNvPicPr>
                  </pic:nvPicPr>
                  <pic:blipFill>
                    <a:blip r:embed="rId6"/>
                    <a:stretch>
                      <a:fillRect/>
                    </a:stretch>
                  </pic:blipFill>
                  <pic:spPr>
                    <a:xfrm>
                      <a:off x="0" y="0"/>
                      <a:ext cx="6203950" cy="802894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before="240" w:line="360" w:lineRule="auto"/>
        <w:textAlignment w:val="auto"/>
        <w:outlineLvl w:val="0"/>
        <w:rPr>
          <w:rFonts w:ascii="Times New Roman" w:hAnsi="Times New Roman" w:eastAsia="宋体" w:cs="Times New Roman"/>
          <w:sz w:val="24"/>
          <w:szCs w:val="24"/>
          <w:lang w:val="en-US" w:eastAsia="zh-CN" w:bidi="ar-SA"/>
        </w:rPr>
      </w:pPr>
      <w:r>
        <w:rPr>
          <w:rFonts w:hint="default" w:eastAsia="Cambria" w:cs="Times New Roman"/>
          <w:b/>
          <w:kern w:val="36"/>
          <w:sz w:val="21"/>
          <w:szCs w:val="21"/>
          <w:lang w:val="en-US" w:eastAsia="zh-CN"/>
        </w:rPr>
        <w:t>Supplementa</w:t>
      </w:r>
      <w:r>
        <w:rPr>
          <w:rFonts w:hint="eastAsia" w:eastAsia="Cambria" w:cs="Times New Roman"/>
          <w:b/>
          <w:kern w:val="36"/>
          <w:sz w:val="21"/>
          <w:szCs w:val="21"/>
          <w:lang w:val="en-US" w:eastAsia="zh-CN"/>
        </w:rPr>
        <w:t>ry</w:t>
      </w:r>
      <w:r>
        <w:rPr>
          <w:rFonts w:hint="default" w:eastAsia="Cambria" w:cs="Times New Roman"/>
          <w:b/>
          <w:kern w:val="36"/>
          <w:sz w:val="21"/>
          <w:szCs w:val="21"/>
          <w:lang w:val="en-US" w:eastAsia="zh-CN"/>
        </w:rPr>
        <w:t xml:space="preserve"> Fig. </w:t>
      </w:r>
      <w:r>
        <w:rPr>
          <w:rFonts w:hint="eastAsia" w:eastAsia="Cambria" w:cs="Times New Roman"/>
          <w:b/>
          <w:kern w:val="36"/>
          <w:sz w:val="21"/>
          <w:szCs w:val="21"/>
          <w:lang w:val="en-US" w:eastAsia="zh-CN"/>
        </w:rPr>
        <w:t>4</w:t>
      </w:r>
      <w:r>
        <w:rPr>
          <w:rFonts w:eastAsia="Cambria" w:cs="Times New Roman"/>
          <w:b w:val="0"/>
          <w:bCs/>
          <w:kern w:val="36"/>
          <w:sz w:val="21"/>
          <w:szCs w:val="21"/>
          <w:lang w:eastAsia="zh-CN"/>
        </w:rPr>
        <w:t xml:space="preserve"> Schematic timeline of microbiologic testing and treatment profiles of five patients with complicated infections (Case 3 and Case 4).</w:t>
      </w:r>
      <w:r>
        <w:rPr>
          <w:rFonts w:eastAsia="Cambria" w:cs="Times New Roman"/>
          <w:b w:val="0"/>
          <w:bCs/>
          <w:kern w:val="36"/>
          <w:sz w:val="21"/>
          <w:szCs w:val="21"/>
          <w:lang w:eastAsia="zh-CN"/>
        </w:rPr>
        <w:t xml:space="preserve"> (A-</w:t>
      </w:r>
      <w:r>
        <w:rPr>
          <w:rFonts w:eastAsia="Cambria" w:cs="Times New Roman"/>
          <w:bCs/>
          <w:kern w:val="36"/>
          <w:sz w:val="21"/>
          <w:szCs w:val="21"/>
          <w:lang w:eastAsia="zh-CN"/>
        </w:rPr>
        <w:t xml:space="preserve">B) Profiles of microbiologic and imaging changes during anti-infective therapy in two patients who eventually died after treatment. CR-AB, Carbapenem-resistant </w:t>
      </w:r>
      <w:r>
        <w:rPr>
          <w:rFonts w:eastAsia="Cambria" w:cs="Times New Roman"/>
          <w:bCs/>
          <w:i/>
          <w:iCs/>
          <w:kern w:val="36"/>
          <w:sz w:val="21"/>
          <w:szCs w:val="21"/>
          <w:lang w:eastAsia="zh-CN"/>
        </w:rPr>
        <w:t>Acinetobacter Baumannii</w:t>
      </w:r>
      <w:r>
        <w:rPr>
          <w:rFonts w:eastAsia="Cambria" w:cs="Times New Roman"/>
          <w:bCs/>
          <w:kern w:val="36"/>
          <w:sz w:val="21"/>
          <w:szCs w:val="21"/>
          <w:lang w:eastAsia="zh-CN"/>
        </w:rPr>
        <w:t xml:space="preserve">; CS/SS, Cefoperazone Sodium and Sulbactam Sodium; PS/TS, Piperacillin Sodium </w:t>
      </w:r>
      <w:r>
        <w:rPr>
          <w:rFonts w:eastAsia="宋体" w:cs="Times New Roman"/>
          <w:bCs/>
          <w:kern w:val="36"/>
          <w:sz w:val="21"/>
          <w:szCs w:val="21"/>
          <w:lang w:eastAsia="zh-CN"/>
        </w:rPr>
        <w:t>a</w:t>
      </w:r>
      <w:r>
        <w:rPr>
          <w:rFonts w:eastAsia="Cambria" w:cs="Times New Roman"/>
          <w:bCs/>
          <w:kern w:val="36"/>
          <w:sz w:val="21"/>
          <w:szCs w:val="21"/>
          <w:lang w:eastAsia="zh-CN"/>
        </w:rPr>
        <w:t>nd Tazobactam Sodium.</w:t>
      </w:r>
    </w:p>
    <w:p>
      <w:pPr>
        <w:keepNext w:val="0"/>
        <w:keepLines w:val="0"/>
        <w:pageBreakBefore w:val="0"/>
        <w:widowControl/>
        <w:kinsoku/>
        <w:wordWrap/>
        <w:overflowPunct/>
        <w:topLinePunct w:val="0"/>
        <w:autoSpaceDE/>
        <w:autoSpaceDN/>
        <w:bidi w:val="0"/>
        <w:adjustRightInd/>
        <w:snapToGrid/>
        <w:spacing w:before="120" w:after="240" w:line="360" w:lineRule="auto"/>
        <w:ind w:firstLine="480" w:firstLineChars="200"/>
        <w:textAlignment w:val="auto"/>
        <w:rPr>
          <w:rFonts w:ascii="Times New Roman" w:hAnsi="Times New Roman" w:eastAsia="宋体" w:cs="Times New Roman"/>
          <w:sz w:val="24"/>
          <w:szCs w:val="24"/>
          <w:lang w:val="en-US" w:eastAsia="en-US" w:bidi="ar-SA"/>
        </w:rPr>
      </w:pPr>
      <w:r>
        <w:rPr>
          <w:rFonts w:ascii="Times New Roman" w:hAnsi="Times New Roman" w:eastAsia="宋体" w:cs="Times New Roman"/>
          <w:sz w:val="24"/>
          <w:szCs w:val="24"/>
          <w:lang w:val="en-US" w:eastAsia="zh-CN" w:bidi="ar-SA"/>
        </w:rPr>
        <w:t xml:space="preserve">Case 5: A 59-year-old patient was diagnosed with a COVID-19 infection, subsequently developing secondary bacterial, fungal, and viral infections. </w:t>
      </w:r>
      <w:r>
        <w:rPr>
          <w:rFonts w:ascii="Times New Roman" w:hAnsi="Times New Roman" w:eastAsia="宋体" w:cs="Times New Roman"/>
          <w:sz w:val="24"/>
          <w:szCs w:val="24"/>
          <w:lang w:val="en-US" w:eastAsia="en-US" w:bidi="ar-SA"/>
        </w:rPr>
        <w:t>The patient received renal transplantation following prolonged use of hormonal and immunosuppressive medications. The main pathogenic microorganisms considered</w:t>
      </w:r>
      <w:r>
        <w:rPr>
          <w:rFonts w:ascii="Times New Roman" w:hAnsi="Times New Roman" w:eastAsia="宋体" w:cs="Times New Roman"/>
          <w:sz w:val="24"/>
          <w:szCs w:val="24"/>
          <w:lang w:val="en-US" w:eastAsia="zh-CN" w:bidi="ar-SA"/>
        </w:rPr>
        <w:t xml:space="preserve"> </w:t>
      </w:r>
      <w:r>
        <w:rPr>
          <w:rFonts w:ascii="Times New Roman" w:hAnsi="Times New Roman" w:eastAsia="宋体" w:cs="Times New Roman"/>
          <w:sz w:val="24"/>
          <w:szCs w:val="24"/>
          <w:lang w:val="en-US" w:eastAsia="en-US" w:bidi="ar-SA"/>
        </w:rPr>
        <w:t xml:space="preserve">were </w:t>
      </w:r>
      <w:r>
        <w:rPr>
          <w:rFonts w:ascii="Times New Roman" w:hAnsi="Times New Roman" w:eastAsia="宋体" w:cs="Times New Roman"/>
          <w:i/>
          <w:iCs/>
          <w:sz w:val="24"/>
          <w:szCs w:val="24"/>
          <w:lang w:val="en-US" w:eastAsia="en-US" w:bidi="ar-SA"/>
        </w:rPr>
        <w:t>Acinetobacter baumannii</w:t>
      </w:r>
      <w:r>
        <w:rPr>
          <w:rFonts w:ascii="Times New Roman" w:hAnsi="Times New Roman" w:eastAsia="宋体" w:cs="Times New Roman"/>
          <w:sz w:val="24"/>
          <w:szCs w:val="24"/>
          <w:lang w:val="en-US" w:eastAsia="en-US" w:bidi="ar-SA"/>
        </w:rPr>
        <w:t xml:space="preserve">, fungi, and COVID-19. The culture results on Day 3, Day 8, Day 18, and Day 32 were negative, CR-AB (4+), CR-AB (1+), and CR-AB (4+), respectively. The main pathogenic microbes found by tNGS include </w:t>
      </w:r>
      <w:r>
        <w:rPr>
          <w:rFonts w:ascii="Times New Roman" w:hAnsi="Times New Roman" w:eastAsia="宋体" w:cs="Times New Roman"/>
          <w:i/>
          <w:iCs/>
          <w:sz w:val="24"/>
          <w:szCs w:val="24"/>
          <w:lang w:val="en-US" w:eastAsia="en-US" w:bidi="ar-SA"/>
        </w:rPr>
        <w:t>Acinetobacter baumannii</w:t>
      </w:r>
      <w:r>
        <w:rPr>
          <w:rFonts w:ascii="Times New Roman" w:hAnsi="Times New Roman" w:eastAsia="宋体" w:cs="Times New Roman"/>
          <w:sz w:val="24"/>
          <w:szCs w:val="24"/>
          <w:lang w:val="en-US" w:eastAsia="en-US" w:bidi="ar-SA"/>
        </w:rPr>
        <w:t xml:space="preserve">, </w:t>
      </w:r>
      <w:r>
        <w:rPr>
          <w:rFonts w:ascii="Times New Roman" w:hAnsi="Times New Roman" w:eastAsia="宋体" w:cs="Times New Roman"/>
          <w:i/>
          <w:iCs/>
          <w:sz w:val="24"/>
          <w:szCs w:val="24"/>
          <w:lang w:val="en-US" w:eastAsia="en-US" w:bidi="ar-SA"/>
        </w:rPr>
        <w:t>Corynebacterium striatum</w:t>
      </w:r>
      <w:r>
        <w:rPr>
          <w:rFonts w:ascii="Times New Roman" w:hAnsi="Times New Roman" w:eastAsia="宋体" w:cs="Times New Roman"/>
          <w:sz w:val="24"/>
          <w:szCs w:val="24"/>
          <w:lang w:val="en-US" w:eastAsia="en-US" w:bidi="ar-SA"/>
        </w:rPr>
        <w:t xml:space="preserve">, </w:t>
      </w:r>
      <w:r>
        <w:rPr>
          <w:rFonts w:ascii="Times New Roman" w:hAnsi="Times New Roman" w:eastAsia="宋体" w:cs="Times New Roman"/>
          <w:sz w:val="24"/>
          <w:szCs w:val="24"/>
          <w:lang w:val="en-US" w:eastAsia="zh-CN" w:bidi="ar-SA"/>
        </w:rPr>
        <w:t>human CMV</w:t>
      </w:r>
      <w:r>
        <w:rPr>
          <w:rFonts w:ascii="Times New Roman" w:hAnsi="Times New Roman" w:eastAsia="宋体" w:cs="Times New Roman"/>
          <w:sz w:val="24"/>
          <w:szCs w:val="24"/>
          <w:lang w:val="en-US" w:eastAsia="en-US" w:bidi="ar-SA"/>
        </w:rPr>
        <w:t xml:space="preserve">, COVID-19, and </w:t>
      </w:r>
      <w:r>
        <w:rPr>
          <w:rFonts w:ascii="Times New Roman" w:hAnsi="Times New Roman" w:eastAsia="宋体" w:cs="Times New Roman"/>
          <w:i/>
          <w:iCs/>
          <w:sz w:val="24"/>
          <w:szCs w:val="24"/>
          <w:lang w:val="en-US" w:eastAsia="en-US" w:bidi="ar-SA"/>
        </w:rPr>
        <w:t>Pneumocystis jiroveci</w:t>
      </w:r>
      <w:r>
        <w:rPr>
          <w:rFonts w:ascii="Times New Roman" w:hAnsi="Times New Roman" w:eastAsia="宋体" w:cs="Times New Roman"/>
          <w:sz w:val="24"/>
          <w:szCs w:val="24"/>
          <w:lang w:val="en-US" w:eastAsia="en-US" w:bidi="ar-SA"/>
        </w:rPr>
        <w:t xml:space="preserve">. After administering anti-infective medication, the tNGS analysis revealed a decrease in the RPM values of </w:t>
      </w:r>
      <w:r>
        <w:rPr>
          <w:rFonts w:ascii="Times New Roman" w:hAnsi="Times New Roman" w:eastAsia="宋体" w:cs="Times New Roman"/>
          <w:i/>
          <w:iCs/>
          <w:sz w:val="24"/>
          <w:szCs w:val="24"/>
          <w:lang w:val="en-US" w:eastAsia="en-US" w:bidi="ar-SA"/>
        </w:rPr>
        <w:t>Acinetobacter baumannii</w:t>
      </w:r>
      <w:r>
        <w:rPr>
          <w:rFonts w:ascii="Times New Roman" w:hAnsi="Times New Roman" w:eastAsia="宋体" w:cs="Times New Roman"/>
          <w:sz w:val="24"/>
          <w:szCs w:val="24"/>
          <w:lang w:val="en-US" w:eastAsia="en-US" w:bidi="ar-SA"/>
        </w:rPr>
        <w:t xml:space="preserve"> (Day 10-Day 18), </w:t>
      </w:r>
      <w:r>
        <w:rPr>
          <w:rFonts w:ascii="Times New Roman" w:hAnsi="Times New Roman" w:eastAsia="宋体" w:cs="Times New Roman"/>
          <w:i/>
          <w:iCs/>
          <w:sz w:val="24"/>
          <w:szCs w:val="24"/>
          <w:lang w:val="en-US" w:eastAsia="en-US" w:bidi="ar-SA"/>
        </w:rPr>
        <w:t>Corynebacterium striatum</w:t>
      </w:r>
      <w:r>
        <w:rPr>
          <w:rFonts w:ascii="Times New Roman" w:hAnsi="Times New Roman" w:eastAsia="宋体" w:cs="Times New Roman"/>
          <w:sz w:val="24"/>
          <w:szCs w:val="24"/>
          <w:lang w:val="en-US" w:eastAsia="en-US" w:bidi="ar-SA"/>
        </w:rPr>
        <w:t xml:space="preserve"> (Day 10-Day 32), </w:t>
      </w:r>
      <w:r>
        <w:rPr>
          <w:rFonts w:ascii="Times New Roman" w:hAnsi="Times New Roman" w:eastAsia="宋体" w:cs="Times New Roman"/>
          <w:sz w:val="24"/>
          <w:szCs w:val="24"/>
          <w:lang w:val="en-US" w:eastAsia="zh-CN" w:bidi="ar-SA"/>
        </w:rPr>
        <w:t>human CMV</w:t>
      </w:r>
      <w:r>
        <w:rPr>
          <w:rFonts w:ascii="Times New Roman" w:hAnsi="Times New Roman" w:eastAsia="宋体" w:cs="Times New Roman"/>
          <w:sz w:val="24"/>
          <w:szCs w:val="24"/>
          <w:lang w:val="en-US" w:eastAsia="en-US" w:bidi="ar-SA"/>
        </w:rPr>
        <w:t xml:space="preserve"> (Day 10-Day 12), and </w:t>
      </w:r>
      <w:r>
        <w:rPr>
          <w:rFonts w:ascii="Times New Roman" w:hAnsi="Times New Roman" w:eastAsia="宋体" w:cs="Times New Roman"/>
          <w:i/>
          <w:iCs/>
          <w:sz w:val="24"/>
          <w:szCs w:val="24"/>
          <w:lang w:val="en-US" w:eastAsia="en-US" w:bidi="ar-SA"/>
        </w:rPr>
        <w:t>Pneumocystis japonicus</w:t>
      </w:r>
      <w:r>
        <w:rPr>
          <w:rFonts w:ascii="Times New Roman" w:hAnsi="Times New Roman" w:eastAsia="宋体" w:cs="Times New Roman"/>
          <w:sz w:val="24"/>
          <w:szCs w:val="24"/>
          <w:lang w:val="en-US" w:eastAsia="en-US" w:bidi="ar-SA"/>
        </w:rPr>
        <w:t xml:space="preserve"> (Day 18-Day 26). The chest radiographs showed a gradual decrease in exudate from the lower pulmonary regions over 22 days (Day 1-Day 22). Afterwards, the RPM values of tNGS of </w:t>
      </w:r>
      <w:r>
        <w:rPr>
          <w:rFonts w:ascii="Times New Roman" w:hAnsi="Times New Roman" w:eastAsia="宋体" w:cs="Times New Roman"/>
          <w:i/>
          <w:iCs/>
          <w:sz w:val="24"/>
          <w:szCs w:val="24"/>
          <w:lang w:val="en-US" w:eastAsia="en-US" w:bidi="ar-SA"/>
        </w:rPr>
        <w:t xml:space="preserve">Acinetobacter baumannii </w:t>
      </w:r>
      <w:r>
        <w:rPr>
          <w:rFonts w:ascii="Times New Roman" w:hAnsi="Times New Roman" w:eastAsia="宋体" w:cs="Times New Roman"/>
          <w:sz w:val="24"/>
          <w:szCs w:val="24"/>
          <w:lang w:val="en-US" w:eastAsia="en-US" w:bidi="ar-SA"/>
        </w:rPr>
        <w:t>increased again as the infection progressed from Day 18 to Day 32, which in accordance the culture results. Subsequently, the Day 35 chest radiograph displayed a heightened presence of exudate in both lungs in comparison to the previous one, ultimately resulting in the patient's death due to treatment failure (</w:t>
      </w:r>
      <w:r>
        <w:rPr>
          <w:rFonts w:hint="default" w:ascii="Times New Roman" w:hAnsi="Times New Roman" w:eastAsia="宋体" w:cs="Times New Roman"/>
          <w:sz w:val="24"/>
          <w:szCs w:val="24"/>
          <w:lang w:val="en-US" w:eastAsia="en-US" w:bidi="ar-SA"/>
        </w:rPr>
        <w:t>Supplementa</w:t>
      </w:r>
      <w:r>
        <w:rPr>
          <w:rFonts w:hint="eastAsia" w:ascii="Times New Roman" w:hAnsi="Times New Roman" w:eastAsia="宋体" w:cs="Times New Roman"/>
          <w:sz w:val="24"/>
          <w:szCs w:val="24"/>
          <w:lang w:val="en-US" w:eastAsia="en-US" w:bidi="ar-SA"/>
        </w:rPr>
        <w:t>ry</w:t>
      </w:r>
      <w:r>
        <w:rPr>
          <w:rFonts w:hint="default" w:ascii="Times New Roman" w:hAnsi="Times New Roman" w:eastAsia="宋体" w:cs="Times New Roman"/>
          <w:sz w:val="24"/>
          <w:szCs w:val="24"/>
          <w:lang w:val="en-US" w:eastAsia="en-US" w:bidi="ar-SA"/>
        </w:rPr>
        <w:t xml:space="preserve"> Fig. </w:t>
      </w:r>
      <w:r>
        <w:rPr>
          <w:rFonts w:hint="eastAsia" w:ascii="Times New Roman" w:hAnsi="Times New Roman" w:eastAsia="宋体" w:cs="Times New Roman"/>
          <w:sz w:val="24"/>
          <w:szCs w:val="24"/>
          <w:lang w:val="en-US" w:eastAsia="en-US" w:bidi="ar-SA"/>
        </w:rPr>
        <w:t>5</w:t>
      </w:r>
      <w:r>
        <w:rPr>
          <w:rFonts w:ascii="Times New Roman" w:hAnsi="Times New Roman" w:eastAsia="宋体" w:cs="Times New Roman"/>
          <w:sz w:val="24"/>
          <w:szCs w:val="24"/>
          <w:lang w:val="en-US" w:eastAsia="en-US" w:bidi="ar-SA"/>
        </w:rPr>
        <w:t xml:space="preserve">A). The chest CT scan showed the progressive development of a rounded hollow space in the upper left lung, adjacent to the front of the chest wall, between Day 4 and Day 39. Further, an aggressive tumour was observed growing inside the cavity. The CT scan uncovered clear signs of a lung </w:t>
      </w:r>
      <w:r>
        <w:rPr>
          <w:rFonts w:ascii="Times New Roman" w:hAnsi="Times New Roman" w:eastAsia="宋体" w:cs="Times New Roman"/>
          <w:i/>
          <w:iCs/>
          <w:sz w:val="24"/>
          <w:szCs w:val="24"/>
          <w:lang w:val="en-US" w:eastAsia="en-US" w:bidi="ar-SA"/>
        </w:rPr>
        <w:t>Aspergillus</w:t>
      </w:r>
      <w:r>
        <w:rPr>
          <w:rFonts w:ascii="Times New Roman" w:hAnsi="Times New Roman" w:eastAsia="宋体" w:cs="Times New Roman"/>
          <w:sz w:val="24"/>
          <w:szCs w:val="24"/>
          <w:lang w:val="en-US" w:eastAsia="en-US" w:bidi="ar-SA"/>
        </w:rPr>
        <w:t xml:space="preserve"> infection, prompting the administration of empirical antifungal drugs. Yet, the presence of </w:t>
      </w:r>
      <w:r>
        <w:rPr>
          <w:rFonts w:ascii="Times New Roman" w:hAnsi="Times New Roman" w:eastAsia="宋体" w:cs="Times New Roman"/>
          <w:i/>
          <w:iCs/>
          <w:sz w:val="24"/>
          <w:szCs w:val="24"/>
          <w:lang w:val="en-US" w:eastAsia="en-US" w:bidi="ar-SA"/>
        </w:rPr>
        <w:t>Aspergillus</w:t>
      </w:r>
      <w:r>
        <w:rPr>
          <w:rFonts w:ascii="Times New Roman" w:hAnsi="Times New Roman" w:eastAsia="宋体" w:cs="Times New Roman"/>
          <w:sz w:val="24"/>
          <w:szCs w:val="24"/>
          <w:lang w:val="en-US" w:eastAsia="en-US" w:bidi="ar-SA"/>
        </w:rPr>
        <w:t xml:space="preserve"> was not identified through culture or tNGS (</w:t>
      </w:r>
      <w:r>
        <w:rPr>
          <w:rFonts w:hint="default" w:ascii="Times New Roman" w:hAnsi="Times New Roman" w:eastAsia="宋体" w:cs="Times New Roman"/>
          <w:sz w:val="24"/>
          <w:szCs w:val="24"/>
          <w:lang w:val="en-US" w:eastAsia="en-US" w:bidi="ar-SA"/>
        </w:rPr>
        <w:t>Supplementa</w:t>
      </w:r>
      <w:r>
        <w:rPr>
          <w:rFonts w:hint="eastAsia" w:ascii="Times New Roman" w:hAnsi="Times New Roman" w:eastAsia="宋体" w:cs="Times New Roman"/>
          <w:sz w:val="24"/>
          <w:szCs w:val="24"/>
          <w:lang w:val="en-US" w:eastAsia="en-US" w:bidi="ar-SA"/>
        </w:rPr>
        <w:t>ry</w:t>
      </w:r>
      <w:r>
        <w:rPr>
          <w:rFonts w:hint="default" w:ascii="Times New Roman" w:hAnsi="Times New Roman" w:eastAsia="宋体" w:cs="Times New Roman"/>
          <w:sz w:val="24"/>
          <w:szCs w:val="24"/>
          <w:lang w:val="en-US" w:eastAsia="en-US" w:bidi="ar-SA"/>
        </w:rPr>
        <w:t xml:space="preserve"> Fig. </w:t>
      </w:r>
      <w:r>
        <w:rPr>
          <w:rFonts w:hint="eastAsia" w:ascii="Times New Roman" w:hAnsi="Times New Roman" w:eastAsia="宋体" w:cs="Times New Roman"/>
          <w:sz w:val="24"/>
          <w:szCs w:val="24"/>
          <w:lang w:val="en-US" w:eastAsia="en-US" w:bidi="ar-SA"/>
        </w:rPr>
        <w:t>5</w:t>
      </w:r>
      <w:r>
        <w:rPr>
          <w:rFonts w:hint="eastAsia" w:eastAsia="宋体" w:cs="Times New Roman"/>
          <w:sz w:val="24"/>
          <w:szCs w:val="24"/>
          <w:lang w:val="en-US" w:eastAsia="zh-CN" w:bidi="ar-SA"/>
        </w:rPr>
        <w:t>B</w:t>
      </w:r>
      <w:r>
        <w:rPr>
          <w:rFonts w:ascii="Times New Roman" w:hAnsi="Times New Roman" w:eastAsia="宋体" w:cs="Times New Roman"/>
          <w:sz w:val="24"/>
          <w:szCs w:val="24"/>
          <w:lang w:val="en-US" w:eastAsia="en-US" w:bidi="ar-SA"/>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bCs/>
          <w:sz w:val="24"/>
          <w:szCs w:val="32"/>
          <w:lang w:val="en-US" w:eastAsia="zh-CN"/>
        </w:rPr>
      </w:pPr>
      <w:r>
        <w:rPr>
          <w:rFonts w:hint="default" w:ascii="Times New Roman" w:hAnsi="Times New Roman" w:cs="Times New Roman" w:eastAsiaTheme="minorEastAsia"/>
          <w:b/>
          <w:bCs/>
          <w:sz w:val="24"/>
          <w:szCs w:val="32"/>
          <w:lang w:val="en-US" w:eastAsia="zh-CN"/>
        </w:rPr>
        <w:drawing>
          <wp:inline distT="0" distB="0" distL="114300" distR="114300">
            <wp:extent cx="6207760" cy="6958330"/>
            <wp:effectExtent l="0" t="0" r="2540" b="13970"/>
            <wp:docPr id="13" name="图片 13"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8"/>
                    <pic:cNvPicPr>
                      <a:picLocks noChangeAspect="1"/>
                    </pic:cNvPicPr>
                  </pic:nvPicPr>
                  <pic:blipFill>
                    <a:blip r:embed="rId7"/>
                    <a:stretch>
                      <a:fillRect/>
                    </a:stretch>
                  </pic:blipFill>
                  <pic:spPr>
                    <a:xfrm>
                      <a:off x="0" y="0"/>
                      <a:ext cx="6207760" cy="695833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before="240" w:line="360" w:lineRule="auto"/>
        <w:textAlignment w:val="auto"/>
        <w:outlineLvl w:val="0"/>
        <w:rPr>
          <w:rFonts w:hint="default" w:ascii="Times New Roman" w:hAnsi="Times New Roman" w:cs="Times New Roman" w:eastAsiaTheme="minorEastAsia"/>
          <w:lang w:val="en-GB" w:eastAsia="zh-CN"/>
        </w:rPr>
      </w:pPr>
      <w:r>
        <w:rPr>
          <w:rFonts w:hint="default" w:eastAsia="Cambria" w:cs="Times New Roman"/>
          <w:b/>
          <w:bCs w:val="0"/>
          <w:kern w:val="36"/>
          <w:sz w:val="21"/>
          <w:szCs w:val="21"/>
          <w:lang w:val="en-US" w:eastAsia="zh-CN"/>
        </w:rPr>
        <w:t>Supplementa</w:t>
      </w:r>
      <w:r>
        <w:rPr>
          <w:rFonts w:hint="eastAsia" w:eastAsia="Cambria" w:cs="Times New Roman"/>
          <w:b/>
          <w:bCs w:val="0"/>
          <w:kern w:val="36"/>
          <w:sz w:val="21"/>
          <w:szCs w:val="21"/>
          <w:lang w:val="en-US" w:eastAsia="zh-CN"/>
        </w:rPr>
        <w:t>ry</w:t>
      </w:r>
      <w:r>
        <w:rPr>
          <w:rFonts w:hint="default" w:eastAsia="Cambria" w:cs="Times New Roman"/>
          <w:b/>
          <w:bCs w:val="0"/>
          <w:kern w:val="36"/>
          <w:sz w:val="21"/>
          <w:szCs w:val="21"/>
          <w:lang w:val="en-US" w:eastAsia="zh-CN"/>
        </w:rPr>
        <w:t xml:space="preserve"> Fig. </w:t>
      </w:r>
      <w:r>
        <w:rPr>
          <w:rFonts w:hint="eastAsia" w:eastAsia="Cambria" w:cs="Times New Roman"/>
          <w:b/>
          <w:bCs w:val="0"/>
          <w:kern w:val="36"/>
          <w:sz w:val="21"/>
          <w:szCs w:val="21"/>
          <w:lang w:val="en-US" w:eastAsia="zh-CN"/>
        </w:rPr>
        <w:t>5</w:t>
      </w:r>
      <w:r>
        <w:rPr>
          <w:rFonts w:eastAsia="Cambria" w:cs="Times New Roman"/>
          <w:b w:val="0"/>
          <w:bCs/>
          <w:kern w:val="36"/>
          <w:sz w:val="21"/>
          <w:szCs w:val="21"/>
          <w:lang w:eastAsia="zh-CN"/>
        </w:rPr>
        <w:t xml:space="preserve"> Schematic timeline of microbiologic testing and treatment profiles of five patients with complicated infections (Case 5).</w:t>
      </w:r>
      <w:r>
        <w:rPr>
          <w:rFonts w:eastAsia="Cambria" w:cs="Times New Roman"/>
          <w:b w:val="0"/>
          <w:bCs/>
          <w:kern w:val="36"/>
          <w:sz w:val="21"/>
          <w:szCs w:val="21"/>
          <w:lang w:eastAsia="zh-CN"/>
        </w:rPr>
        <w:t xml:space="preserve"> (</w:t>
      </w:r>
      <w:r>
        <w:rPr>
          <w:rFonts w:eastAsia="Cambria" w:cs="Times New Roman"/>
          <w:bCs/>
          <w:kern w:val="36"/>
          <w:sz w:val="21"/>
          <w:szCs w:val="21"/>
          <w:lang w:eastAsia="zh-CN"/>
        </w:rPr>
        <w:t xml:space="preserve">A) Profile of microbiologic and imaging changes during anti-infection therapy in a patient who eventually died after treatment. (B) Complementary imaging </w:t>
      </w:r>
      <w:bookmarkStart w:id="0" w:name="_GoBack"/>
      <w:bookmarkEnd w:id="0"/>
      <w:r>
        <w:rPr>
          <w:rFonts w:eastAsia="Cambria" w:cs="Times New Roman"/>
          <w:bCs/>
          <w:kern w:val="36"/>
          <w:sz w:val="21"/>
          <w:szCs w:val="21"/>
          <w:lang w:eastAsia="zh-CN"/>
        </w:rPr>
        <w:t xml:space="preserve">profiles of patient at different time points. CR-AB, Carbapenem-resistant </w:t>
      </w:r>
      <w:r>
        <w:rPr>
          <w:rFonts w:eastAsia="Cambria" w:cs="Times New Roman"/>
          <w:bCs/>
          <w:i/>
          <w:iCs/>
          <w:kern w:val="36"/>
          <w:sz w:val="21"/>
          <w:szCs w:val="21"/>
          <w:lang w:eastAsia="zh-CN"/>
        </w:rPr>
        <w:t>Acinetobacter Baumannii</w:t>
      </w:r>
      <w:r>
        <w:rPr>
          <w:rFonts w:eastAsia="Cambria" w:cs="Times New Roman"/>
          <w:bCs/>
          <w:i w:val="0"/>
          <w:iCs w:val="0"/>
          <w:kern w:val="36"/>
          <w:sz w:val="21"/>
          <w:szCs w:val="21"/>
          <w:lang w:eastAsia="zh-CN"/>
        </w:rPr>
        <w:t>;</w:t>
      </w:r>
      <w:r>
        <w:rPr>
          <w:rFonts w:eastAsia="Cambria" w:cs="Times New Roman"/>
          <w:bCs/>
          <w:kern w:val="36"/>
          <w:sz w:val="21"/>
          <w:szCs w:val="21"/>
          <w:lang w:eastAsia="zh-CN"/>
        </w:rPr>
        <w:t xml:space="preserve"> CS/SS, Cefoperazone Sodium and Sulbactam Sodium; ABCSC, Amphotericin B Cholesteryl Sulfate Complex for Injection.</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jMTIzMDliZGVlMzVkMjI5NTNmZDgwOTI3NjA1ODAifQ=="/>
  </w:docVars>
  <w:rsids>
    <w:rsidRoot w:val="00000000"/>
    <w:rsid w:val="00172E78"/>
    <w:rsid w:val="02C46BBB"/>
    <w:rsid w:val="07EA70C4"/>
    <w:rsid w:val="09253EE3"/>
    <w:rsid w:val="0C523489"/>
    <w:rsid w:val="142F784B"/>
    <w:rsid w:val="17E5229C"/>
    <w:rsid w:val="1C224C26"/>
    <w:rsid w:val="1DA940AB"/>
    <w:rsid w:val="1F334A54"/>
    <w:rsid w:val="28B25693"/>
    <w:rsid w:val="2B0E2A7C"/>
    <w:rsid w:val="2D281971"/>
    <w:rsid w:val="2F5A7538"/>
    <w:rsid w:val="30D1180A"/>
    <w:rsid w:val="34474001"/>
    <w:rsid w:val="3A221D1C"/>
    <w:rsid w:val="3C994D01"/>
    <w:rsid w:val="415C4451"/>
    <w:rsid w:val="440920A4"/>
    <w:rsid w:val="469219D5"/>
    <w:rsid w:val="495E3293"/>
    <w:rsid w:val="4BD22165"/>
    <w:rsid w:val="5C6520B7"/>
    <w:rsid w:val="5E713811"/>
    <w:rsid w:val="61BB2BD2"/>
    <w:rsid w:val="64972358"/>
    <w:rsid w:val="65A9703A"/>
    <w:rsid w:val="65B97F7E"/>
    <w:rsid w:val="667623FF"/>
    <w:rsid w:val="6E676122"/>
    <w:rsid w:val="6EBA7973"/>
    <w:rsid w:val="715F196E"/>
    <w:rsid w:val="71DA6B9C"/>
    <w:rsid w:val="74A026FF"/>
    <w:rsid w:val="77E03A56"/>
    <w:rsid w:val="795511B2"/>
    <w:rsid w:val="7C5C1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before="120" w:after="240"/>
    </w:pPr>
    <w:rPr>
      <w:rFonts w:ascii="Times New Roman" w:hAnsi="Times New Roman" w:eastAsiaTheme="minorHAnsi" w:cstheme="minorBidi"/>
      <w:sz w:val="24"/>
      <w:szCs w:val="22"/>
      <w:lang w:val="en-US" w:eastAsia="en-US" w:bidi="ar-SA"/>
    </w:rPr>
  </w:style>
  <w:style w:type="paragraph" w:styleId="2">
    <w:name w:val="heading 1"/>
    <w:basedOn w:val="3"/>
    <w:next w:val="1"/>
    <w:qFormat/>
    <w:uiPriority w:val="2"/>
    <w:pPr>
      <w:numPr>
        <w:numId w:val="0"/>
      </w:numPr>
      <w:spacing w:before="240" w:line="480" w:lineRule="auto"/>
      <w:ind w:left="0" w:firstLine="0"/>
      <w:contextualSpacing w:val="0"/>
      <w:outlineLvl w:val="0"/>
    </w:pPr>
    <w:rPr>
      <w:rFonts w:eastAsiaTheme="minorEastAsia"/>
      <w:b/>
      <w:sz w:val="28"/>
      <w:lang w:eastAsia="zh-CN"/>
    </w:rPr>
  </w:style>
  <w:style w:type="paragraph" w:styleId="4">
    <w:name w:val="heading 2"/>
    <w:basedOn w:val="2"/>
    <w:next w:val="1"/>
    <w:qFormat/>
    <w:uiPriority w:val="2"/>
    <w:pPr>
      <w:numPr>
        <w:ilvl w:val="1"/>
      </w:numPr>
      <w:spacing w:after="200"/>
      <w:outlineLvl w:val="1"/>
    </w:pPr>
    <w:rPr>
      <w:sz w:val="2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List Paragraph"/>
    <w:basedOn w:val="1"/>
    <w:autoRedefine/>
    <w:qFormat/>
    <w:uiPriority w:val="3"/>
    <w:pPr>
      <w:numPr>
        <w:ilvl w:val="0"/>
        <w:numId w:val="1"/>
      </w:numPr>
      <w:ind w:left="1434" w:hanging="357"/>
      <w:contextualSpacing/>
    </w:pPr>
    <w:rPr>
      <w:rFonts w:eastAsia="Cambria" w:cs="Times New Roman"/>
      <w:szCs w:val="24"/>
    </w:rPr>
  </w:style>
  <w:style w:type="paragraph" w:customStyle="1" w:styleId="7">
    <w:name w:val="EndNote Bibliography"/>
    <w:basedOn w:val="1"/>
    <w:autoRedefine/>
    <w:qFormat/>
    <w:uiPriority w:val="0"/>
    <w:rPr>
      <w:rFonts w:cs="Times New Roman" w:eastAsiaTheme="minorEastAsi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1086</Words>
  <Characters>6600</Characters>
  <Lines>0</Lines>
  <Paragraphs>0</Paragraphs>
  <TotalTime>2</TotalTime>
  <ScaleCrop>false</ScaleCrop>
  <LinksUpToDate>false</LinksUpToDate>
  <CharactersWithSpaces>7677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2024-01-30T07:11:00Z</dcterms:created>
  <dc:creator>NINGMEI</dc:creator>
  <cp:lastModifiedBy>CEC</cp:lastModifiedBy>
  <dcterms:modified xsi:type="dcterms:W3CDTF">2024-06-21T01:27:33Z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02336EEB5DBC4DDE9A3E9CBBFA9CE91E_12</vt:lpwstr>
  </property>
</Properties>
</file>