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Light"/>
        <w:tblpPr w:leftFromText="180" w:rightFromText="180" w:horzAnchor="margin" w:tblpY="463"/>
        <w:tblW w:w="9498" w:type="dxa"/>
        <w:tblLook w:val="04A0" w:firstRow="1" w:lastRow="0" w:firstColumn="1" w:lastColumn="0" w:noHBand="0" w:noVBand="1"/>
      </w:tblPr>
      <w:tblGrid>
        <w:gridCol w:w="466"/>
        <w:gridCol w:w="3220"/>
        <w:gridCol w:w="1134"/>
        <w:gridCol w:w="284"/>
        <w:gridCol w:w="2976"/>
        <w:gridCol w:w="1418"/>
      </w:tblGrid>
      <w:tr w:rsidR="009941AC" w:rsidRPr="0095325E" w14:paraId="00097822" w14:textId="77777777" w:rsidTr="0095325E"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C2E754" w14:textId="77777777" w:rsidR="009941AC" w:rsidRPr="0095325E" w:rsidRDefault="009941AC" w:rsidP="0095325E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Patients with hematologic malignancy (n=80)</w:t>
            </w:r>
          </w:p>
          <w:p w14:paraId="4530E68D" w14:textId="15EDCBCF" w:rsidR="000342E7" w:rsidRPr="0095325E" w:rsidRDefault="000342E7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941AC" w:rsidRPr="0095325E" w14:paraId="570CA179" w14:textId="77777777" w:rsidTr="0095325E"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976F" w14:textId="3BC5ADBF" w:rsidR="009941AC" w:rsidRPr="0095325E" w:rsidRDefault="009941AC" w:rsidP="0095325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Type of hematologic malignancy</w:t>
            </w:r>
            <w:r w:rsidR="00364CCF"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9D853" w14:textId="29A74018" w:rsidR="009941AC" w:rsidRPr="0095325E" w:rsidRDefault="00511F24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Hematopoietic stem cell transplantation (HSCT)</w:t>
            </w:r>
            <w:r w:rsidR="00364CCF"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4AD9" w:rsidRPr="0095325E" w14:paraId="35F57D90" w14:textId="77777777" w:rsidTr="0095325E"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1A9B7713" w14:textId="2316556F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Non-Hodgkin lymphoma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09F18A3E" w14:textId="0E3DF943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24 (30%)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0C8DAF5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Allo-HSCT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33DEC1" w14:textId="74E528B9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33 (41.2%)</w:t>
            </w:r>
          </w:p>
        </w:tc>
      </w:tr>
      <w:tr w:rsidR="003B4AD9" w:rsidRPr="0095325E" w14:paraId="11789705" w14:textId="77777777" w:rsidTr="0095325E">
        <w:trPr>
          <w:trHeight w:val="23"/>
        </w:trPr>
        <w:tc>
          <w:tcPr>
            <w:tcW w:w="3686" w:type="dxa"/>
            <w:gridSpan w:val="2"/>
          </w:tcPr>
          <w:p w14:paraId="25DEC2EC" w14:textId="12EF3FD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Multiple myeloma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FAE08B" w14:textId="5E535FB4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9 (11.2%)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7DE4719C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Auto-HSCT</w:t>
            </w:r>
          </w:p>
        </w:tc>
        <w:tc>
          <w:tcPr>
            <w:tcW w:w="1418" w:type="dxa"/>
          </w:tcPr>
          <w:p w14:paraId="6DE8A7C1" w14:textId="55C29DC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8 (10%)</w:t>
            </w:r>
          </w:p>
        </w:tc>
      </w:tr>
      <w:tr w:rsidR="003B4AD9" w:rsidRPr="0095325E" w14:paraId="75C2ECE8" w14:textId="77777777" w:rsidTr="0095325E">
        <w:trPr>
          <w:trHeight w:val="23"/>
        </w:trPr>
        <w:tc>
          <w:tcPr>
            <w:tcW w:w="3686" w:type="dxa"/>
            <w:gridSpan w:val="2"/>
          </w:tcPr>
          <w:p w14:paraId="609DEDD7" w14:textId="43ACC8C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Acute myeloid leukemia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7AD447" w14:textId="278B71CE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8 (10%)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64104122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No HSCT</w:t>
            </w:r>
          </w:p>
        </w:tc>
        <w:tc>
          <w:tcPr>
            <w:tcW w:w="1418" w:type="dxa"/>
          </w:tcPr>
          <w:p w14:paraId="25BA43AC" w14:textId="55990E2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39 (48.8%)</w:t>
            </w:r>
          </w:p>
        </w:tc>
      </w:tr>
      <w:tr w:rsidR="003B4AD9" w:rsidRPr="0095325E" w14:paraId="67313BE8" w14:textId="77777777" w:rsidTr="0095325E">
        <w:trPr>
          <w:trHeight w:val="23"/>
        </w:trPr>
        <w:tc>
          <w:tcPr>
            <w:tcW w:w="3686" w:type="dxa"/>
            <w:gridSpan w:val="2"/>
          </w:tcPr>
          <w:p w14:paraId="52076ECD" w14:textId="569FDB60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Myelodysplastic syndrome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0966B6" w14:textId="1E4E5C91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8 (10%)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</w:tcBorders>
          </w:tcPr>
          <w:p w14:paraId="02328552" w14:textId="72D6A66E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Active GVHD at ICU admission</w:t>
            </w:r>
          </w:p>
        </w:tc>
      </w:tr>
      <w:tr w:rsidR="003B4AD9" w:rsidRPr="0095325E" w14:paraId="6CBE998C" w14:textId="77777777" w:rsidTr="0095325E">
        <w:trPr>
          <w:trHeight w:val="23"/>
        </w:trPr>
        <w:tc>
          <w:tcPr>
            <w:tcW w:w="3686" w:type="dxa"/>
            <w:gridSpan w:val="2"/>
          </w:tcPr>
          <w:p w14:paraId="66D4180F" w14:textId="4DAFE49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Acute lymphoid leukemia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FD958" w14:textId="7A2715F0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(8.8%)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F65B842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B7F78CA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Grade 1-2</w:t>
            </w:r>
          </w:p>
        </w:tc>
        <w:tc>
          <w:tcPr>
            <w:tcW w:w="1418" w:type="dxa"/>
          </w:tcPr>
          <w:p w14:paraId="71ABF40D" w14:textId="43D2E64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14(17.5%)</w:t>
            </w:r>
          </w:p>
        </w:tc>
      </w:tr>
      <w:tr w:rsidR="003B4AD9" w:rsidRPr="0095325E" w14:paraId="2D2500FB" w14:textId="77777777" w:rsidTr="0095325E">
        <w:trPr>
          <w:trHeight w:val="23"/>
        </w:trPr>
        <w:tc>
          <w:tcPr>
            <w:tcW w:w="3686" w:type="dxa"/>
            <w:gridSpan w:val="2"/>
          </w:tcPr>
          <w:p w14:paraId="67156F64" w14:textId="65CF9AD4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T-cell lymphoma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E053447" w14:textId="58E6CC39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(8.8%)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73C2466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EC7941F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Grade 3-4</w:t>
            </w:r>
          </w:p>
        </w:tc>
        <w:tc>
          <w:tcPr>
            <w:tcW w:w="1418" w:type="dxa"/>
          </w:tcPr>
          <w:p w14:paraId="3C5F3FF2" w14:textId="276FEF7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(8.8%)</w:t>
            </w:r>
          </w:p>
        </w:tc>
      </w:tr>
      <w:tr w:rsidR="003B4AD9" w:rsidRPr="0095325E" w14:paraId="5574F7FA" w14:textId="77777777" w:rsidTr="0095325E">
        <w:trPr>
          <w:trHeight w:val="23"/>
        </w:trPr>
        <w:tc>
          <w:tcPr>
            <w:tcW w:w="3686" w:type="dxa"/>
            <w:gridSpan w:val="2"/>
          </w:tcPr>
          <w:p w14:paraId="7FA35D65" w14:textId="6FE1523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Myeloproliferative syndrome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73098F1" w14:textId="3282487F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(6.2%)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</w:tcBorders>
          </w:tcPr>
          <w:p w14:paraId="3942DF15" w14:textId="0D09B849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Time between HSCT and ICU admission</w:t>
            </w:r>
          </w:p>
        </w:tc>
      </w:tr>
      <w:tr w:rsidR="003B4AD9" w:rsidRPr="0095325E" w14:paraId="46902B8E" w14:textId="77777777" w:rsidTr="0095325E">
        <w:trPr>
          <w:trHeight w:val="23"/>
        </w:trPr>
        <w:tc>
          <w:tcPr>
            <w:tcW w:w="3686" w:type="dxa"/>
            <w:gridSpan w:val="2"/>
          </w:tcPr>
          <w:p w14:paraId="035A1960" w14:textId="321BEE4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Chronic lymphoid leukemia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5BF094" w14:textId="3B2F314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(3.8%)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153ACB4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4C4E7DC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&lt;30 days</w:t>
            </w:r>
          </w:p>
        </w:tc>
        <w:tc>
          <w:tcPr>
            <w:tcW w:w="1418" w:type="dxa"/>
          </w:tcPr>
          <w:p w14:paraId="328C2C67" w14:textId="450CA54E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9 (11.2%)</w:t>
            </w:r>
          </w:p>
        </w:tc>
      </w:tr>
      <w:tr w:rsidR="003B4AD9" w:rsidRPr="0095325E" w14:paraId="7EFBF9C7" w14:textId="77777777" w:rsidTr="0095325E">
        <w:trPr>
          <w:trHeight w:val="23"/>
        </w:trPr>
        <w:tc>
          <w:tcPr>
            <w:tcW w:w="3686" w:type="dxa"/>
            <w:gridSpan w:val="2"/>
          </w:tcPr>
          <w:p w14:paraId="4E25C234" w14:textId="74903191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Hodgkin lymphoma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84124E" w14:textId="0F2AEE9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2 (2.5%)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D90DE23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6320DAA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30-100 days</w:t>
            </w:r>
          </w:p>
        </w:tc>
        <w:tc>
          <w:tcPr>
            <w:tcW w:w="1418" w:type="dxa"/>
          </w:tcPr>
          <w:p w14:paraId="1998337D" w14:textId="58AF24D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10 (12.5%)</w:t>
            </w:r>
          </w:p>
        </w:tc>
      </w:tr>
      <w:tr w:rsidR="003B4AD9" w:rsidRPr="0095325E" w14:paraId="642BCFAF" w14:textId="77777777" w:rsidTr="0095325E">
        <w:trPr>
          <w:trHeight w:val="23"/>
        </w:trPr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7869569F" w14:textId="6D7D44D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7B5075B3" w14:textId="6049538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(8.8%)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1C871A3E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B37F60D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&gt;100 days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2CF7D0" w14:textId="18CA39B0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22 (27%)</w:t>
            </w:r>
          </w:p>
        </w:tc>
      </w:tr>
      <w:tr w:rsidR="00511F24" w:rsidRPr="0095325E" w14:paraId="5F8557D4" w14:textId="77777777" w:rsidTr="0095325E">
        <w:trPr>
          <w:trHeight w:val="23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BD" w14:textId="77777777" w:rsidR="00511F24" w:rsidRPr="0095325E" w:rsidRDefault="00511F24" w:rsidP="0095325E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Patients with solid organ transplant (n=55)</w:t>
            </w:r>
          </w:p>
          <w:p w14:paraId="4DE4D9D3" w14:textId="58C03CA0" w:rsidR="000342E7" w:rsidRPr="0095325E" w:rsidRDefault="000342E7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B4AD9" w:rsidRPr="0095325E" w14:paraId="2A3AA973" w14:textId="77777777" w:rsidTr="0095325E">
        <w:trPr>
          <w:trHeight w:val="31"/>
        </w:trPr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48E1" w14:textId="55BB667E" w:rsidR="003B4AD9" w:rsidRPr="0095325E" w:rsidRDefault="003B4AD9" w:rsidP="0095325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Type of SOT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E4F73" w14:textId="0975ABA7" w:rsidR="003B4AD9" w:rsidRPr="0095325E" w:rsidRDefault="003B4AD9" w:rsidP="0095325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Time between SOT and ICU admission</w:t>
            </w:r>
          </w:p>
        </w:tc>
      </w:tr>
      <w:tr w:rsidR="003B4AD9" w:rsidRPr="0095325E" w14:paraId="7452FE45" w14:textId="77777777" w:rsidTr="0095325E">
        <w:trPr>
          <w:trHeight w:val="26"/>
        </w:trPr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7C464255" w14:textId="033F64A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Kidney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6A8AF018" w14:textId="3205401F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25 (49.1%)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8D40C1A" w14:textId="5C1BD4F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&lt;30 days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E6BB030" w14:textId="51E98B8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17 (30.9%)</w:t>
            </w:r>
          </w:p>
        </w:tc>
      </w:tr>
      <w:tr w:rsidR="003B4AD9" w:rsidRPr="0095325E" w14:paraId="6392E3D6" w14:textId="77777777" w:rsidTr="0095325E">
        <w:trPr>
          <w:trHeight w:val="26"/>
        </w:trPr>
        <w:tc>
          <w:tcPr>
            <w:tcW w:w="3686" w:type="dxa"/>
            <w:gridSpan w:val="2"/>
          </w:tcPr>
          <w:p w14:paraId="2EF19F4B" w14:textId="0E79BCD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Liver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EE6457" w14:textId="6F4EF4FF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18 (32.7%)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6658426E" w14:textId="32C6D4D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30-100 days</w:t>
            </w:r>
          </w:p>
        </w:tc>
        <w:tc>
          <w:tcPr>
            <w:tcW w:w="1418" w:type="dxa"/>
          </w:tcPr>
          <w:p w14:paraId="0678CE66" w14:textId="2A370F6A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4 (7.3%)</w:t>
            </w:r>
          </w:p>
        </w:tc>
      </w:tr>
      <w:tr w:rsidR="003B4AD9" w:rsidRPr="0095325E" w14:paraId="5C79F718" w14:textId="77777777" w:rsidTr="0095325E">
        <w:trPr>
          <w:trHeight w:val="26"/>
        </w:trPr>
        <w:tc>
          <w:tcPr>
            <w:tcW w:w="3686" w:type="dxa"/>
            <w:gridSpan w:val="2"/>
          </w:tcPr>
          <w:p w14:paraId="153B7F35" w14:textId="4319D9D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Lung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0F3AE" w14:textId="51C7DD9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(9.1%)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69DC8407" w14:textId="10E0EBC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&gt;100 days</w:t>
            </w:r>
          </w:p>
        </w:tc>
        <w:tc>
          <w:tcPr>
            <w:tcW w:w="1418" w:type="dxa"/>
          </w:tcPr>
          <w:p w14:paraId="268BCE66" w14:textId="76FEAD95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34 (61.8%)</w:t>
            </w:r>
          </w:p>
        </w:tc>
      </w:tr>
      <w:tr w:rsidR="003B4AD9" w:rsidRPr="0095325E" w14:paraId="00997B36" w14:textId="77777777" w:rsidTr="0095325E">
        <w:trPr>
          <w:trHeight w:val="26"/>
        </w:trPr>
        <w:tc>
          <w:tcPr>
            <w:tcW w:w="3686" w:type="dxa"/>
            <w:gridSpan w:val="2"/>
          </w:tcPr>
          <w:p w14:paraId="4E093DF7" w14:textId="7B8D79D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Heart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A6C540" w14:textId="7D883AF1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4 (7.3%)</w:t>
            </w:r>
          </w:p>
        </w:tc>
        <w:tc>
          <w:tcPr>
            <w:tcW w:w="4678" w:type="dxa"/>
            <w:gridSpan w:val="3"/>
            <w:vMerge w:val="restart"/>
            <w:tcBorders>
              <w:left w:val="single" w:sz="4" w:space="0" w:color="auto"/>
            </w:tcBorders>
          </w:tcPr>
          <w:p w14:paraId="539B1C4C" w14:textId="2A80FE41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4AD9" w:rsidRPr="0095325E" w14:paraId="232CC703" w14:textId="77777777" w:rsidTr="0095325E">
        <w:trPr>
          <w:trHeight w:val="26"/>
        </w:trPr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40FF4A26" w14:textId="6E4A29E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Kidney-heart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1CCC7836" w14:textId="2E369AF3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 (1.8%)</w:t>
            </w:r>
          </w:p>
        </w:tc>
        <w:tc>
          <w:tcPr>
            <w:tcW w:w="467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2C7260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64CCF" w:rsidRPr="0095325E" w14:paraId="0EFD6E68" w14:textId="77777777" w:rsidTr="0095325E">
        <w:trPr>
          <w:trHeight w:val="26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A6F1521" w14:textId="77777777" w:rsidR="00364CCF" w:rsidRPr="0095325E" w:rsidRDefault="00364CCF" w:rsidP="0095325E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Patients with drug-induced immunosuppression (n=31)</w:t>
            </w:r>
          </w:p>
          <w:p w14:paraId="141F4742" w14:textId="65EA0695" w:rsidR="000342E7" w:rsidRPr="0095325E" w:rsidRDefault="000342E7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B4AD9" w:rsidRPr="0095325E" w14:paraId="087F9255" w14:textId="77777777" w:rsidTr="0095325E">
        <w:trPr>
          <w:trHeight w:val="23"/>
        </w:trPr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390A37" w14:textId="4ED60A9F" w:rsidR="003B4AD9" w:rsidRPr="0095325E" w:rsidRDefault="003B4AD9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Type of underlying disease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91A54E" w14:textId="408115B2" w:rsidR="003B4AD9" w:rsidRPr="0095325E" w:rsidRDefault="003B4AD9" w:rsidP="0095325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Immunosuppressive treatments</w:t>
            </w:r>
          </w:p>
        </w:tc>
      </w:tr>
      <w:tr w:rsidR="003B4AD9" w:rsidRPr="0095325E" w14:paraId="115E4492" w14:textId="77777777" w:rsidTr="0095325E">
        <w:trPr>
          <w:trHeight w:val="23"/>
        </w:trPr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5993398D" w14:textId="0D0A9F83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Bowel inflammatory disease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4B2276AF" w14:textId="49DC11D6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(22.6%)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D5A422B" w14:textId="7FCF4DBF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Corticosteroids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013C44C" w14:textId="3CBF502A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25 (80.5%)</w:t>
            </w:r>
          </w:p>
        </w:tc>
      </w:tr>
      <w:tr w:rsidR="003B4AD9" w:rsidRPr="0095325E" w14:paraId="25EC81CD" w14:textId="77777777" w:rsidTr="0095325E">
        <w:trPr>
          <w:trHeight w:val="23"/>
        </w:trPr>
        <w:tc>
          <w:tcPr>
            <w:tcW w:w="3686" w:type="dxa"/>
            <w:gridSpan w:val="2"/>
          </w:tcPr>
          <w:p w14:paraId="687947EA" w14:textId="6B961F6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Connective tissue/rheumatologic disease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F9B96C" w14:textId="271BEE0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(16.1%)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2C6315BD" w14:textId="0C1B717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Azathioprine</w:t>
            </w:r>
          </w:p>
        </w:tc>
        <w:tc>
          <w:tcPr>
            <w:tcW w:w="1418" w:type="dxa"/>
          </w:tcPr>
          <w:p w14:paraId="0FC8D052" w14:textId="10C5D554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10 (32.3%)</w:t>
            </w:r>
          </w:p>
        </w:tc>
      </w:tr>
      <w:tr w:rsidR="003B4AD9" w:rsidRPr="0095325E" w14:paraId="08992EE9" w14:textId="77777777" w:rsidTr="0095325E">
        <w:trPr>
          <w:trHeight w:val="23"/>
        </w:trPr>
        <w:tc>
          <w:tcPr>
            <w:tcW w:w="3686" w:type="dxa"/>
            <w:gridSpan w:val="2"/>
          </w:tcPr>
          <w:p w14:paraId="7D3C6F29" w14:textId="793FC92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Vasculitis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F88ED7" w14:textId="3C1141D0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4 (12.9%)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11FCE7A3" w14:textId="6AE80D35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Mycophenolate</w:t>
            </w:r>
          </w:p>
        </w:tc>
        <w:tc>
          <w:tcPr>
            <w:tcW w:w="1418" w:type="dxa"/>
          </w:tcPr>
          <w:p w14:paraId="128161FF" w14:textId="35CCEDF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(16%)</w:t>
            </w:r>
          </w:p>
        </w:tc>
      </w:tr>
      <w:tr w:rsidR="003B4AD9" w:rsidRPr="0095325E" w14:paraId="17A13C55" w14:textId="77777777" w:rsidTr="0095325E">
        <w:trPr>
          <w:trHeight w:val="23"/>
        </w:trPr>
        <w:tc>
          <w:tcPr>
            <w:tcW w:w="3686" w:type="dxa"/>
            <w:gridSpan w:val="2"/>
          </w:tcPr>
          <w:p w14:paraId="77A947C1" w14:textId="6CCF21C1" w:rsidR="003B4AD9" w:rsidRPr="0095325E" w:rsidRDefault="00273084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Myasthenia</w:t>
            </w:r>
            <w:r w:rsidR="003B4AD9" w:rsidRPr="0095325E">
              <w:rPr>
                <w:rFonts w:ascii="Calibri" w:hAnsi="Calibri" w:cs="Calibri"/>
                <w:sz w:val="20"/>
                <w:szCs w:val="20"/>
              </w:rPr>
              <w:t xml:space="preserve"> gravis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0BFA86" w14:textId="1B64EEA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(9.7%)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68A967FB" w14:textId="77A24A6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Rituximab</w:t>
            </w:r>
          </w:p>
        </w:tc>
        <w:tc>
          <w:tcPr>
            <w:tcW w:w="1418" w:type="dxa"/>
          </w:tcPr>
          <w:p w14:paraId="3432B046" w14:textId="7628E586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4 (12.9%)</w:t>
            </w:r>
          </w:p>
        </w:tc>
      </w:tr>
      <w:tr w:rsidR="003B4AD9" w:rsidRPr="0095325E" w14:paraId="645ACA58" w14:textId="77777777" w:rsidTr="0095325E">
        <w:trPr>
          <w:trHeight w:val="23"/>
        </w:trPr>
        <w:tc>
          <w:tcPr>
            <w:tcW w:w="3686" w:type="dxa"/>
            <w:gridSpan w:val="2"/>
          </w:tcPr>
          <w:p w14:paraId="1F94469F" w14:textId="1822AFE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Non-malignant hematologic disease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0B3890" w14:textId="68F2B91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(9.7%)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2955C1D7" w14:textId="481BCC24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Cyclophosphamide</w:t>
            </w:r>
          </w:p>
        </w:tc>
        <w:tc>
          <w:tcPr>
            <w:tcW w:w="1418" w:type="dxa"/>
          </w:tcPr>
          <w:p w14:paraId="16660F04" w14:textId="191D34A3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(9.7%)</w:t>
            </w:r>
          </w:p>
        </w:tc>
      </w:tr>
      <w:tr w:rsidR="003B4AD9" w:rsidRPr="0095325E" w14:paraId="557E776F" w14:textId="77777777" w:rsidTr="0095325E">
        <w:trPr>
          <w:trHeight w:val="23"/>
        </w:trPr>
        <w:tc>
          <w:tcPr>
            <w:tcW w:w="3686" w:type="dxa"/>
            <w:gridSpan w:val="2"/>
          </w:tcPr>
          <w:p w14:paraId="0A116D29" w14:textId="01C58172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 xml:space="preserve">Other systemic </w:t>
            </w:r>
            <w:r w:rsidR="00273084" w:rsidRPr="0095325E">
              <w:rPr>
                <w:rFonts w:ascii="Calibri" w:hAnsi="Calibri" w:cs="Calibri"/>
                <w:sz w:val="20"/>
                <w:szCs w:val="20"/>
              </w:rPr>
              <w:t>immune</w:t>
            </w:r>
            <w:r w:rsidRPr="0095325E">
              <w:rPr>
                <w:rFonts w:ascii="Calibri" w:hAnsi="Calibri" w:cs="Calibri"/>
                <w:sz w:val="20"/>
                <w:szCs w:val="20"/>
              </w:rPr>
              <w:t xml:space="preserve"> disease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B67BDA" w14:textId="3276466D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(16.1%)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3DA754A5" w14:textId="3ABE34EB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Methotrexate</w:t>
            </w:r>
          </w:p>
        </w:tc>
        <w:tc>
          <w:tcPr>
            <w:tcW w:w="1418" w:type="dxa"/>
          </w:tcPr>
          <w:p w14:paraId="5995738B" w14:textId="76A9A95A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(9.7%)</w:t>
            </w:r>
          </w:p>
        </w:tc>
      </w:tr>
      <w:tr w:rsidR="003B4AD9" w:rsidRPr="0095325E" w14:paraId="605FECB9" w14:textId="77777777" w:rsidTr="0095325E">
        <w:trPr>
          <w:trHeight w:val="23"/>
        </w:trPr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6852E8B5" w14:textId="02F6BF78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FB65260" w14:textId="64F7FD8C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4 (12.9%)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08318ED" w14:textId="77777777" w:rsidR="003B4AD9" w:rsidRPr="0095325E" w:rsidRDefault="003B4AD9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4AD9" w:rsidRPr="0095325E" w14:paraId="1C469545" w14:textId="77777777" w:rsidTr="0095325E">
        <w:trPr>
          <w:trHeight w:val="535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48E471" w14:textId="77777777" w:rsidR="003B4AD9" w:rsidRPr="0095325E" w:rsidRDefault="003B4AD9" w:rsidP="0095325E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Patients with solid malignancy (n=16)</w:t>
            </w:r>
          </w:p>
          <w:p w14:paraId="4DFA7425" w14:textId="66BA19F5" w:rsidR="000342E7" w:rsidRPr="0095325E" w:rsidRDefault="000342E7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97D18" w:rsidRPr="0095325E" w14:paraId="5D4AACE9" w14:textId="77777777" w:rsidTr="0095325E">
        <w:trPr>
          <w:trHeight w:val="44"/>
        </w:trPr>
        <w:tc>
          <w:tcPr>
            <w:tcW w:w="8080" w:type="dxa"/>
            <w:gridSpan w:val="5"/>
            <w:tcBorders>
              <w:top w:val="single" w:sz="4" w:space="0" w:color="auto"/>
            </w:tcBorders>
          </w:tcPr>
          <w:p w14:paraId="3281A8B2" w14:textId="5946F9C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Metastatic cancer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D94C22" w14:textId="20FF53CA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9 (56.2%)</w:t>
            </w:r>
          </w:p>
        </w:tc>
      </w:tr>
      <w:tr w:rsidR="00697D18" w:rsidRPr="0095325E" w14:paraId="5324A854" w14:textId="77777777" w:rsidTr="0095325E">
        <w:trPr>
          <w:trHeight w:val="44"/>
        </w:trPr>
        <w:tc>
          <w:tcPr>
            <w:tcW w:w="8080" w:type="dxa"/>
            <w:gridSpan w:val="5"/>
          </w:tcPr>
          <w:p w14:paraId="720FC9E4" w14:textId="04AAFF81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Cancer therapy</w:t>
            </w:r>
          </w:p>
        </w:tc>
        <w:tc>
          <w:tcPr>
            <w:tcW w:w="1418" w:type="dxa"/>
          </w:tcPr>
          <w:p w14:paraId="0C311CA5" w14:textId="47CDF471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7D18" w:rsidRPr="0095325E" w14:paraId="15432B0B" w14:textId="77777777" w:rsidTr="0095325E">
        <w:trPr>
          <w:trHeight w:val="44"/>
        </w:trPr>
        <w:tc>
          <w:tcPr>
            <w:tcW w:w="466" w:type="dxa"/>
          </w:tcPr>
          <w:p w14:paraId="71B53F01" w14:textId="7777777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4" w:type="dxa"/>
            <w:gridSpan w:val="4"/>
          </w:tcPr>
          <w:p w14:paraId="63AFFC67" w14:textId="574A7078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Chemotherapy</w:t>
            </w:r>
          </w:p>
        </w:tc>
        <w:tc>
          <w:tcPr>
            <w:tcW w:w="1418" w:type="dxa"/>
          </w:tcPr>
          <w:p w14:paraId="69665120" w14:textId="4D13795E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14 (87.5%)</w:t>
            </w:r>
          </w:p>
        </w:tc>
      </w:tr>
      <w:tr w:rsidR="00697D18" w:rsidRPr="0095325E" w14:paraId="2CC5526F" w14:textId="77777777" w:rsidTr="0095325E">
        <w:trPr>
          <w:trHeight w:val="44"/>
        </w:trPr>
        <w:tc>
          <w:tcPr>
            <w:tcW w:w="466" w:type="dxa"/>
          </w:tcPr>
          <w:p w14:paraId="1442EE7A" w14:textId="7777777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4" w:type="dxa"/>
            <w:gridSpan w:val="4"/>
          </w:tcPr>
          <w:p w14:paraId="3345077B" w14:textId="047F8933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Radiotherapy</w:t>
            </w:r>
          </w:p>
        </w:tc>
        <w:tc>
          <w:tcPr>
            <w:tcW w:w="1418" w:type="dxa"/>
          </w:tcPr>
          <w:p w14:paraId="70209371" w14:textId="5D2EA52C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7 (43.8%)</w:t>
            </w:r>
          </w:p>
        </w:tc>
      </w:tr>
      <w:tr w:rsidR="00697D18" w:rsidRPr="0095325E" w14:paraId="5CC9B887" w14:textId="77777777" w:rsidTr="0095325E">
        <w:trPr>
          <w:trHeight w:val="44"/>
        </w:trPr>
        <w:tc>
          <w:tcPr>
            <w:tcW w:w="466" w:type="dxa"/>
          </w:tcPr>
          <w:p w14:paraId="3AE31C83" w14:textId="7777777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4" w:type="dxa"/>
            <w:gridSpan w:val="4"/>
          </w:tcPr>
          <w:p w14:paraId="63EDD690" w14:textId="426C1FF1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Corticosteroids</w:t>
            </w:r>
          </w:p>
        </w:tc>
        <w:tc>
          <w:tcPr>
            <w:tcW w:w="1418" w:type="dxa"/>
          </w:tcPr>
          <w:p w14:paraId="54EB2A7C" w14:textId="71567406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5 (31.2%)</w:t>
            </w:r>
          </w:p>
        </w:tc>
      </w:tr>
      <w:tr w:rsidR="00697D18" w:rsidRPr="0095325E" w14:paraId="36DCD8C0" w14:textId="77777777" w:rsidTr="0095325E">
        <w:trPr>
          <w:trHeight w:val="44"/>
        </w:trPr>
        <w:tc>
          <w:tcPr>
            <w:tcW w:w="466" w:type="dxa"/>
          </w:tcPr>
          <w:p w14:paraId="12FB96C2" w14:textId="7777777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4" w:type="dxa"/>
            <w:gridSpan w:val="4"/>
          </w:tcPr>
          <w:p w14:paraId="1023714C" w14:textId="13A62D99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Target directed therapy</w:t>
            </w:r>
          </w:p>
        </w:tc>
        <w:tc>
          <w:tcPr>
            <w:tcW w:w="1418" w:type="dxa"/>
          </w:tcPr>
          <w:p w14:paraId="6BC31A82" w14:textId="57491B59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 (6.2%)</w:t>
            </w:r>
          </w:p>
        </w:tc>
      </w:tr>
      <w:tr w:rsidR="00697D18" w:rsidRPr="0095325E" w14:paraId="74874FA7" w14:textId="77777777" w:rsidTr="0095325E">
        <w:trPr>
          <w:trHeight w:val="44"/>
        </w:trPr>
        <w:tc>
          <w:tcPr>
            <w:tcW w:w="466" w:type="dxa"/>
            <w:tcBorders>
              <w:bottom w:val="single" w:sz="4" w:space="0" w:color="auto"/>
            </w:tcBorders>
          </w:tcPr>
          <w:p w14:paraId="52651110" w14:textId="77777777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4" w:type="dxa"/>
            <w:gridSpan w:val="4"/>
            <w:tcBorders>
              <w:bottom w:val="single" w:sz="4" w:space="0" w:color="auto"/>
            </w:tcBorders>
          </w:tcPr>
          <w:p w14:paraId="1A1C871C" w14:textId="5CFF2E00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Immunotherapy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B4E378" w14:textId="7F84B3E6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3 (18.8%)</w:t>
            </w:r>
          </w:p>
        </w:tc>
      </w:tr>
      <w:tr w:rsidR="00697D18" w:rsidRPr="0095325E" w14:paraId="219018AF" w14:textId="77777777" w:rsidTr="0095325E">
        <w:trPr>
          <w:trHeight w:val="571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5FC866A" w14:textId="77777777" w:rsidR="00697D18" w:rsidRPr="0095325E" w:rsidRDefault="00697D18" w:rsidP="0095325E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25E">
              <w:rPr>
                <w:rFonts w:ascii="Calibri" w:hAnsi="Calibri" w:cs="Calibri"/>
                <w:b/>
                <w:bCs/>
                <w:sz w:val="20"/>
                <w:szCs w:val="20"/>
              </w:rPr>
              <w:t>Patients with primary immunodeficiency (n=3)</w:t>
            </w:r>
          </w:p>
          <w:p w14:paraId="47765462" w14:textId="1EBED2B4" w:rsidR="000342E7" w:rsidRPr="0095325E" w:rsidRDefault="000342E7" w:rsidP="0095325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97D18" w:rsidRPr="0095325E" w14:paraId="2A8C6EC7" w14:textId="77777777" w:rsidTr="0095325E">
        <w:trPr>
          <w:trHeight w:val="44"/>
        </w:trPr>
        <w:tc>
          <w:tcPr>
            <w:tcW w:w="8080" w:type="dxa"/>
            <w:gridSpan w:val="5"/>
            <w:tcBorders>
              <w:top w:val="single" w:sz="4" w:space="0" w:color="auto"/>
            </w:tcBorders>
          </w:tcPr>
          <w:p w14:paraId="5DA613DE" w14:textId="4B844164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C</w:t>
            </w:r>
            <w:r w:rsidR="00273084" w:rsidRPr="0095325E">
              <w:rPr>
                <w:rFonts w:ascii="Calibri" w:hAnsi="Calibri" w:cs="Calibri"/>
                <w:sz w:val="20"/>
                <w:szCs w:val="20"/>
              </w:rPr>
              <w:t>ommon variable immunodeficiency (CVID)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7D67D29" w14:textId="25E54E89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 (33.3%)</w:t>
            </w:r>
          </w:p>
        </w:tc>
      </w:tr>
      <w:tr w:rsidR="00697D18" w:rsidRPr="0095325E" w14:paraId="61EF9555" w14:textId="77777777" w:rsidTr="0095325E">
        <w:trPr>
          <w:trHeight w:val="44"/>
        </w:trPr>
        <w:tc>
          <w:tcPr>
            <w:tcW w:w="8080" w:type="dxa"/>
            <w:gridSpan w:val="5"/>
            <w:tcBorders>
              <w:bottom w:val="single" w:sz="4" w:space="0" w:color="BFBFBF" w:themeColor="background1" w:themeShade="BF"/>
            </w:tcBorders>
          </w:tcPr>
          <w:p w14:paraId="3332FD69" w14:textId="101C8B16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Idiopathic CD4 lymphopenia</w:t>
            </w:r>
          </w:p>
        </w:tc>
        <w:tc>
          <w:tcPr>
            <w:tcW w:w="1418" w:type="dxa"/>
            <w:tcBorders>
              <w:bottom w:val="single" w:sz="4" w:space="0" w:color="BFBFBF" w:themeColor="background1" w:themeShade="BF"/>
            </w:tcBorders>
          </w:tcPr>
          <w:p w14:paraId="75C6AD34" w14:textId="1EA8B8FB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 (33.3%)</w:t>
            </w:r>
          </w:p>
        </w:tc>
      </w:tr>
      <w:tr w:rsidR="00697D18" w:rsidRPr="0095325E" w14:paraId="2AA94BE8" w14:textId="77777777" w:rsidTr="0095325E">
        <w:trPr>
          <w:trHeight w:val="44"/>
        </w:trPr>
        <w:tc>
          <w:tcPr>
            <w:tcW w:w="8080" w:type="dxa"/>
            <w:gridSpan w:val="5"/>
            <w:tcBorders>
              <w:bottom w:val="single" w:sz="4" w:space="0" w:color="auto"/>
            </w:tcBorders>
          </w:tcPr>
          <w:p w14:paraId="49E71E2C" w14:textId="2ADD65A6" w:rsidR="00697D18" w:rsidRPr="0095325E" w:rsidRDefault="00273084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IFN γ-secretion deficit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E05F00" w14:textId="247DFB84" w:rsidR="00697D18" w:rsidRPr="0095325E" w:rsidRDefault="00697D18" w:rsidP="0095325E">
            <w:pPr>
              <w:rPr>
                <w:rFonts w:ascii="Calibri" w:hAnsi="Calibri" w:cs="Calibri"/>
                <w:sz w:val="20"/>
                <w:szCs w:val="20"/>
              </w:rPr>
            </w:pPr>
            <w:r w:rsidRPr="0095325E">
              <w:rPr>
                <w:rFonts w:ascii="Calibri" w:hAnsi="Calibri" w:cs="Calibri"/>
                <w:sz w:val="20"/>
                <w:szCs w:val="20"/>
              </w:rPr>
              <w:t>1 (33.3%)</w:t>
            </w:r>
          </w:p>
        </w:tc>
      </w:tr>
    </w:tbl>
    <w:p w14:paraId="0DFC1F22" w14:textId="3988AAAB" w:rsidR="00132CD1" w:rsidRDefault="009532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325E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1. Underlying </w:t>
      </w:r>
      <w:r w:rsidR="000247D1">
        <w:rPr>
          <w:rFonts w:ascii="Times New Roman" w:hAnsi="Times New Roman" w:cs="Times New Roman"/>
          <w:b/>
          <w:bCs/>
          <w:sz w:val="24"/>
          <w:szCs w:val="24"/>
        </w:rPr>
        <w:t>diseases</w:t>
      </w:r>
      <w:r w:rsidRPr="0095325E">
        <w:rPr>
          <w:rFonts w:ascii="Times New Roman" w:hAnsi="Times New Roman" w:cs="Times New Roman"/>
          <w:b/>
          <w:bCs/>
          <w:sz w:val="24"/>
          <w:szCs w:val="24"/>
        </w:rPr>
        <w:t xml:space="preserve"> among each type of immunodeficiency</w:t>
      </w:r>
    </w:p>
    <w:p w14:paraId="7BBEF932" w14:textId="2E1DF5DF" w:rsidR="0095325E" w:rsidRDefault="009532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A62E74" w14:textId="580E1FE4" w:rsidR="0095325E" w:rsidRPr="0095325E" w:rsidRDefault="0095325E" w:rsidP="009532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All variables are expressed as absolute number and percentage</w:t>
      </w:r>
      <w:r w:rsidR="00C2063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Allo-HSCT: allogeneic hematopoietic stem cell transplantation</w:t>
      </w:r>
      <w:r w:rsidR="0074551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Auto-HSCT: autologous hematopoietic stem cell transplantation</w:t>
      </w:r>
      <w:r w:rsidR="0074551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4BFF">
        <w:rPr>
          <w:rFonts w:ascii="Times New Roman" w:hAnsi="Times New Roman" w:cs="Times New Roman"/>
          <w:sz w:val="24"/>
          <w:szCs w:val="24"/>
          <w:lang w:val="en-US"/>
        </w:rPr>
        <w:t>GVHD: graft-versus-host disease;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ICU: intensive care unit</w:t>
      </w:r>
      <w:r w:rsidR="0074551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SOT: solid organ transplant</w:t>
      </w:r>
      <w:r w:rsidR="0074551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IFN: interferon. </w:t>
      </w:r>
    </w:p>
    <w:sectPr w:rsidR="0095325E" w:rsidRPr="0095325E" w:rsidSect="00273084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FB6CF" w14:textId="77777777" w:rsidR="004F6A07" w:rsidRDefault="004F6A07" w:rsidP="0095325E">
      <w:pPr>
        <w:spacing w:after="0" w:line="240" w:lineRule="auto"/>
      </w:pPr>
      <w:r>
        <w:separator/>
      </w:r>
    </w:p>
  </w:endnote>
  <w:endnote w:type="continuationSeparator" w:id="0">
    <w:p w14:paraId="032783E1" w14:textId="77777777" w:rsidR="004F6A07" w:rsidRDefault="004F6A07" w:rsidP="0095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5023399"/>
      <w:docPartObj>
        <w:docPartGallery w:val="Page Numbers (Bottom of Page)"/>
        <w:docPartUnique/>
      </w:docPartObj>
    </w:sdtPr>
    <w:sdtContent>
      <w:p w14:paraId="6A613EDE" w14:textId="6D9A9400" w:rsidR="0095325E" w:rsidRDefault="0095325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C70BC3" w14:textId="77777777" w:rsidR="0095325E" w:rsidRDefault="00953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873FF" w14:textId="77777777" w:rsidR="004F6A07" w:rsidRDefault="004F6A07" w:rsidP="0095325E">
      <w:pPr>
        <w:spacing w:after="0" w:line="240" w:lineRule="auto"/>
      </w:pPr>
      <w:r>
        <w:separator/>
      </w:r>
    </w:p>
  </w:footnote>
  <w:footnote w:type="continuationSeparator" w:id="0">
    <w:p w14:paraId="6394E85F" w14:textId="77777777" w:rsidR="004F6A07" w:rsidRDefault="004F6A07" w:rsidP="00953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57BB6"/>
    <w:multiLevelType w:val="hybridMultilevel"/>
    <w:tmpl w:val="CF8CA928"/>
    <w:lvl w:ilvl="0" w:tplc="ABC8BFE8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26526"/>
    <w:multiLevelType w:val="hybridMultilevel"/>
    <w:tmpl w:val="53D0E490"/>
    <w:lvl w:ilvl="0" w:tplc="61706196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155439">
    <w:abstractNumId w:val="1"/>
  </w:num>
  <w:num w:numId="2" w16cid:durableId="182388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D8"/>
    <w:rsid w:val="000247D1"/>
    <w:rsid w:val="000342E7"/>
    <w:rsid w:val="00132CD1"/>
    <w:rsid w:val="002060D8"/>
    <w:rsid w:val="00273084"/>
    <w:rsid w:val="00364CCF"/>
    <w:rsid w:val="003B4AD9"/>
    <w:rsid w:val="00420658"/>
    <w:rsid w:val="004F6A07"/>
    <w:rsid w:val="00511F24"/>
    <w:rsid w:val="006336AA"/>
    <w:rsid w:val="00697D18"/>
    <w:rsid w:val="0074551C"/>
    <w:rsid w:val="0095325E"/>
    <w:rsid w:val="00993345"/>
    <w:rsid w:val="009941AC"/>
    <w:rsid w:val="00A90A37"/>
    <w:rsid w:val="00C20638"/>
    <w:rsid w:val="00D10E4C"/>
    <w:rsid w:val="00F9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9A90"/>
  <w15:chartTrackingRefBased/>
  <w15:docId w15:val="{4F99ECF1-69D8-44A4-BB1B-AC2CF222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0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6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42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53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5E"/>
  </w:style>
  <w:style w:type="paragraph" w:styleId="Footer">
    <w:name w:val="footer"/>
    <w:basedOn w:val="Normal"/>
    <w:link w:val="FooterChar"/>
    <w:uiPriority w:val="99"/>
    <w:unhideWhenUsed/>
    <w:rsid w:val="00953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E290A-5B85-4716-8E16-67D683F3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Fernandez Mendez</dc:creator>
  <cp:keywords/>
  <dc:description/>
  <cp:lastModifiedBy>Sara Fernandez Mendez</cp:lastModifiedBy>
  <cp:revision>4</cp:revision>
  <dcterms:created xsi:type="dcterms:W3CDTF">2024-05-17T16:34:00Z</dcterms:created>
  <dcterms:modified xsi:type="dcterms:W3CDTF">2024-05-18T19:06:00Z</dcterms:modified>
</cp:coreProperties>
</file>