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astertabel4-Accent5"/>
        <w:tblpPr w:leftFromText="141" w:rightFromText="141" w:vertAnchor="page" w:horzAnchor="margin" w:tblpY="2836"/>
        <w:tblW w:w="9579" w:type="dxa"/>
        <w:tblLook w:val="04A0" w:firstRow="1" w:lastRow="0" w:firstColumn="1" w:lastColumn="0" w:noHBand="0" w:noVBand="1"/>
      </w:tblPr>
      <w:tblGrid>
        <w:gridCol w:w="4532"/>
        <w:gridCol w:w="1669"/>
        <w:gridCol w:w="1917"/>
        <w:gridCol w:w="1461"/>
      </w:tblGrid>
      <w:tr w:rsidR="00C33BED" w:rsidRPr="003A7863" w14:paraId="6DB4DCFB" w14:textId="77777777" w:rsidTr="00DE55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5A8881B8" w14:textId="77777777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nl-NL"/>
                <w14:ligatures w14:val="none"/>
              </w:rPr>
            </w:pPr>
          </w:p>
        </w:tc>
        <w:tc>
          <w:tcPr>
            <w:tcW w:w="1669" w:type="dxa"/>
            <w:noWrap/>
            <w:hideMark/>
          </w:tcPr>
          <w:p w14:paraId="76528480" w14:textId="77777777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Group 1: </w:t>
            </w:r>
          </w:p>
          <w:p w14:paraId="0760ADCE" w14:textId="77777777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  <w:p w14:paraId="41E561BC" w14:textId="56B20B19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Sepsis = </w:t>
            </w:r>
            <w:proofErr w:type="spellStart"/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reference</w:t>
            </w:r>
            <w:proofErr w:type="spellEnd"/>
          </w:p>
        </w:tc>
        <w:tc>
          <w:tcPr>
            <w:tcW w:w="1917" w:type="dxa"/>
            <w:noWrap/>
            <w:hideMark/>
          </w:tcPr>
          <w:p w14:paraId="2E39D93F" w14:textId="77777777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Group 2: </w:t>
            </w:r>
          </w:p>
          <w:p w14:paraId="2645F21E" w14:textId="77777777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  <w:p w14:paraId="0C423AAB" w14:textId="7C500E6A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Infection</w:t>
            </w:r>
            <w:proofErr w:type="spellEnd"/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  <w:p w14:paraId="051D612F" w14:textId="63D174BB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HR [95%-CI]</w:t>
            </w:r>
          </w:p>
        </w:tc>
        <w:tc>
          <w:tcPr>
            <w:tcW w:w="1461" w:type="dxa"/>
            <w:noWrap/>
            <w:hideMark/>
          </w:tcPr>
          <w:p w14:paraId="63F6089F" w14:textId="77777777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Group 2 vs 1: </w:t>
            </w:r>
          </w:p>
          <w:p w14:paraId="0CE994FD" w14:textId="731968E6" w:rsidR="00C33BED" w:rsidRPr="00DE5548" w:rsidRDefault="00C33BED" w:rsidP="00DE5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Wald </w:t>
            </w:r>
            <w:r w:rsidR="00F20BF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p</w:t>
            </w: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 value</w:t>
            </w:r>
          </w:p>
        </w:tc>
      </w:tr>
      <w:tr w:rsidR="00C33BED" w:rsidRPr="00DE5548" w14:paraId="75A31822" w14:textId="77777777" w:rsidTr="00DE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627FCFFB" w14:textId="77777777" w:rsid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Cox regression of 3-year mortality </w:t>
            </w:r>
          </w:p>
          <w:p w14:paraId="4E8E8CAF" w14:textId="0A5E661B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Crude</w:t>
            </w:r>
          </w:p>
        </w:tc>
        <w:tc>
          <w:tcPr>
            <w:tcW w:w="1669" w:type="dxa"/>
            <w:noWrap/>
            <w:hideMark/>
          </w:tcPr>
          <w:p w14:paraId="4DB7E705" w14:textId="77777777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[1-1]</w:t>
            </w:r>
          </w:p>
        </w:tc>
        <w:tc>
          <w:tcPr>
            <w:tcW w:w="1917" w:type="dxa"/>
            <w:noWrap/>
            <w:hideMark/>
          </w:tcPr>
          <w:p w14:paraId="1A487559" w14:textId="47BED692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0.99 [0.89-1.11]</w:t>
            </w:r>
          </w:p>
        </w:tc>
        <w:tc>
          <w:tcPr>
            <w:tcW w:w="1461" w:type="dxa"/>
            <w:noWrap/>
            <w:hideMark/>
          </w:tcPr>
          <w:p w14:paraId="5BC52C9D" w14:textId="7C0B68A8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0.916</w:t>
            </w:r>
          </w:p>
        </w:tc>
      </w:tr>
      <w:tr w:rsidR="00C33BED" w:rsidRPr="00DE5548" w14:paraId="072729D7" w14:textId="77777777" w:rsidTr="00DE554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0CE1D2A8" w14:textId="77777777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669" w:type="dxa"/>
            <w:noWrap/>
            <w:hideMark/>
          </w:tcPr>
          <w:p w14:paraId="4E5B25B6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917" w:type="dxa"/>
            <w:noWrap/>
            <w:hideMark/>
          </w:tcPr>
          <w:p w14:paraId="592E6DF1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461" w:type="dxa"/>
            <w:noWrap/>
            <w:hideMark/>
          </w:tcPr>
          <w:p w14:paraId="27C50D59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C33BED" w:rsidRPr="00DE5548" w14:paraId="4F1B423E" w14:textId="77777777" w:rsidTr="00DE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1F198442" w14:textId="77777777" w:rsid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Cox regression of 3-year mortality </w:t>
            </w:r>
          </w:p>
          <w:p w14:paraId="047CC319" w14:textId="5C5AB689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Adjusted for comorbidity</w:t>
            </w:r>
          </w:p>
        </w:tc>
        <w:tc>
          <w:tcPr>
            <w:tcW w:w="1669" w:type="dxa"/>
            <w:noWrap/>
            <w:hideMark/>
          </w:tcPr>
          <w:p w14:paraId="41554D14" w14:textId="77777777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[1-1]</w:t>
            </w:r>
          </w:p>
        </w:tc>
        <w:tc>
          <w:tcPr>
            <w:tcW w:w="1917" w:type="dxa"/>
            <w:noWrap/>
            <w:hideMark/>
          </w:tcPr>
          <w:p w14:paraId="04B85204" w14:textId="17D32D58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0.95 [0.92-1.02]</w:t>
            </w:r>
          </w:p>
        </w:tc>
        <w:tc>
          <w:tcPr>
            <w:tcW w:w="1461" w:type="dxa"/>
            <w:noWrap/>
            <w:hideMark/>
          </w:tcPr>
          <w:p w14:paraId="16076924" w14:textId="60CBF4E5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0.410</w:t>
            </w:r>
          </w:p>
        </w:tc>
      </w:tr>
      <w:tr w:rsidR="00C33BED" w:rsidRPr="00DE5548" w14:paraId="6C9D9824" w14:textId="77777777" w:rsidTr="00DE554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63C9282D" w14:textId="77777777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</w:p>
        </w:tc>
        <w:tc>
          <w:tcPr>
            <w:tcW w:w="1669" w:type="dxa"/>
            <w:noWrap/>
            <w:hideMark/>
          </w:tcPr>
          <w:p w14:paraId="37173684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917" w:type="dxa"/>
            <w:noWrap/>
            <w:hideMark/>
          </w:tcPr>
          <w:p w14:paraId="7B8785FA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461" w:type="dxa"/>
            <w:noWrap/>
            <w:hideMark/>
          </w:tcPr>
          <w:p w14:paraId="3117A34E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C33BED" w:rsidRPr="00DE5548" w14:paraId="64207BBF" w14:textId="77777777" w:rsidTr="00DE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0A818F95" w14:textId="77777777" w:rsid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Cox regression of 3-year mortality </w:t>
            </w:r>
          </w:p>
          <w:p w14:paraId="74E29BEE" w14:textId="30F38D54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Adjusted for APACHE-IV probability </w:t>
            </w:r>
          </w:p>
        </w:tc>
        <w:tc>
          <w:tcPr>
            <w:tcW w:w="1669" w:type="dxa"/>
            <w:noWrap/>
            <w:hideMark/>
          </w:tcPr>
          <w:p w14:paraId="3484E73B" w14:textId="77777777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[1-1]</w:t>
            </w:r>
          </w:p>
        </w:tc>
        <w:tc>
          <w:tcPr>
            <w:tcW w:w="1917" w:type="dxa"/>
            <w:noWrap/>
            <w:hideMark/>
          </w:tcPr>
          <w:p w14:paraId="5EBE341E" w14:textId="496BD8ED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0.99 [0.89-1.11]</w:t>
            </w:r>
          </w:p>
        </w:tc>
        <w:tc>
          <w:tcPr>
            <w:tcW w:w="1461" w:type="dxa"/>
            <w:noWrap/>
            <w:hideMark/>
          </w:tcPr>
          <w:p w14:paraId="73B87BC5" w14:textId="2D056CED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0.902</w:t>
            </w:r>
          </w:p>
        </w:tc>
      </w:tr>
      <w:tr w:rsidR="00C33BED" w:rsidRPr="00DE5548" w14:paraId="75804E47" w14:textId="77777777" w:rsidTr="00DE554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4D384C7E" w14:textId="77777777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 </w:t>
            </w:r>
          </w:p>
        </w:tc>
        <w:tc>
          <w:tcPr>
            <w:tcW w:w="1669" w:type="dxa"/>
            <w:noWrap/>
            <w:hideMark/>
          </w:tcPr>
          <w:p w14:paraId="03DB4C27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917" w:type="dxa"/>
            <w:noWrap/>
            <w:hideMark/>
          </w:tcPr>
          <w:p w14:paraId="53C8F6DF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461" w:type="dxa"/>
            <w:noWrap/>
            <w:hideMark/>
          </w:tcPr>
          <w:p w14:paraId="285B60AB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C33BED" w:rsidRPr="00DE5548" w14:paraId="5E9D1A37" w14:textId="77777777" w:rsidTr="00DE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  <w:hideMark/>
          </w:tcPr>
          <w:p w14:paraId="42F169EF" w14:textId="77777777" w:rsid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Cox regression of 3-year mortality </w:t>
            </w:r>
          </w:p>
          <w:p w14:paraId="5647FB0B" w14:textId="287B4D00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Adjusted for comorbidit</w:t>
            </w:r>
            <w:r w:rsid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ies</w:t>
            </w: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 and APACHE-IV probability</w:t>
            </w:r>
          </w:p>
        </w:tc>
        <w:tc>
          <w:tcPr>
            <w:tcW w:w="1669" w:type="dxa"/>
            <w:noWrap/>
            <w:hideMark/>
          </w:tcPr>
          <w:p w14:paraId="2276BB93" w14:textId="77777777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[1-1]</w:t>
            </w:r>
          </w:p>
        </w:tc>
        <w:tc>
          <w:tcPr>
            <w:tcW w:w="1917" w:type="dxa"/>
            <w:noWrap/>
            <w:hideMark/>
          </w:tcPr>
          <w:p w14:paraId="5E84224F" w14:textId="235B95BC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0.95 [0.85-1.06]</w:t>
            </w:r>
          </w:p>
        </w:tc>
        <w:tc>
          <w:tcPr>
            <w:tcW w:w="1461" w:type="dxa"/>
            <w:noWrap/>
            <w:hideMark/>
          </w:tcPr>
          <w:p w14:paraId="2CFD6738" w14:textId="4257393E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0.373</w:t>
            </w:r>
          </w:p>
        </w:tc>
      </w:tr>
      <w:tr w:rsidR="00C33BED" w:rsidRPr="00DE5548" w14:paraId="2CD14F37" w14:textId="77777777" w:rsidTr="00DE5548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</w:tcPr>
          <w:p w14:paraId="555A15E1" w14:textId="77777777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</w:p>
        </w:tc>
        <w:tc>
          <w:tcPr>
            <w:tcW w:w="1669" w:type="dxa"/>
            <w:noWrap/>
          </w:tcPr>
          <w:p w14:paraId="7C0634D2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917" w:type="dxa"/>
            <w:noWrap/>
          </w:tcPr>
          <w:p w14:paraId="15256590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461" w:type="dxa"/>
            <w:noWrap/>
          </w:tcPr>
          <w:p w14:paraId="56B5EFCC" w14:textId="77777777" w:rsidR="00C33BED" w:rsidRPr="00DE5548" w:rsidRDefault="00C33BED" w:rsidP="00DE55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C33BED" w:rsidRPr="00DE5548" w14:paraId="5605DE35" w14:textId="77777777" w:rsidTr="00DE55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2" w:type="dxa"/>
            <w:noWrap/>
          </w:tcPr>
          <w:p w14:paraId="19494434" w14:textId="77777777" w:rsidR="00DE5548" w:rsidRDefault="00C33BED" w:rsidP="00DE554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 xml:space="preserve">Cox regression of 3-year mortality </w:t>
            </w:r>
          </w:p>
          <w:p w14:paraId="3B238D0C" w14:textId="383CD8EE" w:rsidR="00C33BED" w:rsidRPr="00DE5548" w:rsidRDefault="00C33BED" w:rsidP="00DE554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Adjusted for comorbidit</w:t>
            </w:r>
            <w:r w:rsid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ies</w:t>
            </w:r>
            <w:r w:rsidRPr="00DE554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, APACHE-IV probability, mechanical ventilation, acute renal failure, vasoactive drugs</w:t>
            </w:r>
          </w:p>
        </w:tc>
        <w:tc>
          <w:tcPr>
            <w:tcW w:w="1669" w:type="dxa"/>
            <w:noWrap/>
          </w:tcPr>
          <w:p w14:paraId="5DE6D4B5" w14:textId="576A4C91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 [1-1]</w:t>
            </w:r>
          </w:p>
        </w:tc>
        <w:tc>
          <w:tcPr>
            <w:tcW w:w="1917" w:type="dxa"/>
            <w:noWrap/>
          </w:tcPr>
          <w:p w14:paraId="7B7B0B4D" w14:textId="4D4F4991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0.98 [0.87-1.10]</w:t>
            </w:r>
          </w:p>
        </w:tc>
        <w:tc>
          <w:tcPr>
            <w:tcW w:w="1461" w:type="dxa"/>
            <w:noWrap/>
          </w:tcPr>
          <w:p w14:paraId="3A6D8A3A" w14:textId="6E721966" w:rsidR="00C33BED" w:rsidRPr="00DE5548" w:rsidRDefault="00C33BED" w:rsidP="00DE5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</w:pPr>
            <w:r w:rsidRPr="00DE554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nl-NL"/>
                <w14:ligatures w14:val="none"/>
              </w:rPr>
              <w:t>0.703</w:t>
            </w:r>
          </w:p>
        </w:tc>
      </w:tr>
    </w:tbl>
    <w:p w14:paraId="33D87F48" w14:textId="77777777" w:rsidR="00DE5548" w:rsidRDefault="00DE5548" w:rsidP="00DE5548">
      <w:pPr>
        <w:rPr>
          <w:lang w:val="en-US"/>
        </w:rPr>
      </w:pPr>
    </w:p>
    <w:p w14:paraId="1397B23F" w14:textId="77777777" w:rsidR="00DE5548" w:rsidRDefault="00DE5548" w:rsidP="00DE5548">
      <w:pPr>
        <w:rPr>
          <w:lang w:val="en-US"/>
        </w:rPr>
      </w:pPr>
    </w:p>
    <w:p w14:paraId="3D9DC5A2" w14:textId="5FD3CB85" w:rsidR="00DE5548" w:rsidRPr="00F120C4" w:rsidRDefault="00DE5548" w:rsidP="4413D3C8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4413D3C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 Table </w:t>
      </w:r>
      <w:r w:rsidR="00F120C4">
        <w:rPr>
          <w:rFonts w:ascii="Times New Roman" w:hAnsi="Times New Roman" w:cs="Times New Roman"/>
          <w:b/>
          <w:bCs/>
          <w:sz w:val="22"/>
          <w:szCs w:val="22"/>
          <w:lang w:val="en-US"/>
        </w:rPr>
        <w:t>7</w:t>
      </w:r>
      <w:r w:rsidRPr="4413D3C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Hazard Ratio of 3-year mortality of sepsis, infection with delta SOFA &lt; 2 </w:t>
      </w:r>
    </w:p>
    <w:p w14:paraId="248F2D5F" w14:textId="34FA721C" w:rsidR="00DE5548" w:rsidRPr="00DE5548" w:rsidRDefault="00DE5548" w:rsidP="4413D3C8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71A2865A" w14:textId="77777777" w:rsidR="00DE5548" w:rsidRPr="00DE5548" w:rsidRDefault="00DE554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0161E72" w14:textId="77777777" w:rsidR="00DE5548" w:rsidRPr="00DE5548" w:rsidRDefault="00DE554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C163F9B" w14:textId="77777777" w:rsidR="00125569" w:rsidRPr="00DE5548" w:rsidRDefault="00125569" w:rsidP="0012556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9724747" w14:textId="7954203B" w:rsidR="00125569" w:rsidRPr="00DE5548" w:rsidRDefault="00125569" w:rsidP="00125569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E5548">
        <w:rPr>
          <w:rFonts w:ascii="Times New Roman" w:hAnsi="Times New Roman" w:cs="Times New Roman"/>
          <w:b/>
          <w:bCs/>
          <w:sz w:val="22"/>
          <w:szCs w:val="22"/>
          <w:lang w:val="en-US"/>
        </w:rPr>
        <w:t>Legenda</w:t>
      </w:r>
      <w:r w:rsidR="00DE5548" w:rsidRPr="00DE554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Supplement Table 2</w:t>
      </w:r>
    </w:p>
    <w:p w14:paraId="102559DE" w14:textId="178EB0CF" w:rsidR="00125569" w:rsidRPr="00DE5548" w:rsidRDefault="00125569" w:rsidP="0012556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E5548">
        <w:rPr>
          <w:rFonts w:ascii="Times New Roman" w:hAnsi="Times New Roman" w:cs="Times New Roman"/>
          <w:sz w:val="22"/>
          <w:szCs w:val="22"/>
          <w:lang w:val="en-US"/>
        </w:rPr>
        <w:t>Chronic comorbidit</w:t>
      </w:r>
      <w:r w:rsidR="00DE5548" w:rsidRPr="00DE5548">
        <w:rPr>
          <w:rFonts w:ascii="Times New Roman" w:hAnsi="Times New Roman" w:cs="Times New Roman"/>
          <w:sz w:val="22"/>
          <w:szCs w:val="22"/>
          <w:lang w:val="en-US"/>
        </w:rPr>
        <w:t xml:space="preserve">ies </w:t>
      </w:r>
      <w:proofErr w:type="gramStart"/>
      <w:r w:rsidRPr="00DE5548">
        <w:rPr>
          <w:rFonts w:ascii="Times New Roman" w:hAnsi="Times New Roman" w:cs="Times New Roman"/>
          <w:sz w:val="22"/>
          <w:szCs w:val="22"/>
          <w:lang w:val="en-US"/>
        </w:rPr>
        <w:t>include:</w:t>
      </w:r>
      <w:proofErr w:type="gramEnd"/>
      <w:r w:rsidRPr="00DE554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DE5548">
        <w:rPr>
          <w:rStyle w:val="Geen"/>
          <w:rFonts w:ascii="Times New Roman" w:hAnsi="Times New Roman" w:cs="Times New Roman"/>
          <w:sz w:val="22"/>
          <w:szCs w:val="22"/>
          <w:lang w:val="en-US"/>
        </w:rPr>
        <w:t>cardiovascular insufficiency, chronic respiratory insufficiency, renal insufficiency, malignancy, immuno-deficiency, cirrhosis</w:t>
      </w:r>
    </w:p>
    <w:p w14:paraId="76A59D55" w14:textId="77777777" w:rsidR="00125569" w:rsidRPr="00125569" w:rsidRDefault="00125569" w:rsidP="00125569">
      <w:pPr>
        <w:rPr>
          <w:lang w:val="en-US"/>
        </w:rPr>
      </w:pPr>
    </w:p>
    <w:sectPr w:rsidR="00125569" w:rsidRPr="00125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57"/>
    <w:rsid w:val="000C45B8"/>
    <w:rsid w:val="000D5328"/>
    <w:rsid w:val="00125569"/>
    <w:rsid w:val="00184214"/>
    <w:rsid w:val="0019537F"/>
    <w:rsid w:val="002044B0"/>
    <w:rsid w:val="00220A67"/>
    <w:rsid w:val="0028637D"/>
    <w:rsid w:val="002B2A84"/>
    <w:rsid w:val="003A7863"/>
    <w:rsid w:val="003E435C"/>
    <w:rsid w:val="00481673"/>
    <w:rsid w:val="0049622F"/>
    <w:rsid w:val="004C2936"/>
    <w:rsid w:val="004C5029"/>
    <w:rsid w:val="0050743F"/>
    <w:rsid w:val="005F1BF3"/>
    <w:rsid w:val="0062315B"/>
    <w:rsid w:val="006934D4"/>
    <w:rsid w:val="006A06DE"/>
    <w:rsid w:val="00716D86"/>
    <w:rsid w:val="00830601"/>
    <w:rsid w:val="00865694"/>
    <w:rsid w:val="008D1619"/>
    <w:rsid w:val="008E6C26"/>
    <w:rsid w:val="00961853"/>
    <w:rsid w:val="009C2857"/>
    <w:rsid w:val="009E049C"/>
    <w:rsid w:val="009E46CB"/>
    <w:rsid w:val="00A42092"/>
    <w:rsid w:val="00A902B7"/>
    <w:rsid w:val="00AB0A57"/>
    <w:rsid w:val="00B071C6"/>
    <w:rsid w:val="00BA2FB2"/>
    <w:rsid w:val="00BA67C1"/>
    <w:rsid w:val="00C33BED"/>
    <w:rsid w:val="00C42206"/>
    <w:rsid w:val="00DE5548"/>
    <w:rsid w:val="00E943FC"/>
    <w:rsid w:val="00E94E1A"/>
    <w:rsid w:val="00F120C4"/>
    <w:rsid w:val="00F20BFC"/>
    <w:rsid w:val="00F60FA4"/>
    <w:rsid w:val="00F8198E"/>
    <w:rsid w:val="00FD542D"/>
    <w:rsid w:val="00FD5CEE"/>
    <w:rsid w:val="2441DF4C"/>
    <w:rsid w:val="36C93BFB"/>
    <w:rsid w:val="4413D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853A"/>
  <w15:chartTrackingRefBased/>
  <w15:docId w15:val="{99349A88-907D-5541-B8B1-64ACE31E4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B0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AB0A5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2-Accent3">
    <w:name w:val="Grid Table 2 Accent 3"/>
    <w:basedOn w:val="Standaardtabel"/>
    <w:uiPriority w:val="47"/>
    <w:rsid w:val="00AB0A5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rasterlicht">
    <w:name w:val="Grid Table Light"/>
    <w:basedOn w:val="Standaardtabel"/>
    <w:uiPriority w:val="40"/>
    <w:rsid w:val="00AB0A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0A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0A5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0A5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2-Accent1">
    <w:name w:val="Grid Table 2 Accent 1"/>
    <w:basedOn w:val="Standaardtabel"/>
    <w:uiPriority w:val="47"/>
    <w:rsid w:val="00AB0A5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AB0A5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customStyle="1" w:styleId="Geen">
    <w:name w:val="Geen"/>
    <w:rsid w:val="00125569"/>
  </w:style>
  <w:style w:type="table" w:styleId="Rastertabel4-Accent5">
    <w:name w:val="Grid Table 4 Accent 5"/>
    <w:basedOn w:val="Standaardtabel"/>
    <w:uiPriority w:val="49"/>
    <w:rsid w:val="00DE554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826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Sesmu Arbous</dc:creator>
  <cp:keywords/>
  <dc:description/>
  <cp:lastModifiedBy>Sesmu Arbous</cp:lastModifiedBy>
  <cp:revision>2</cp:revision>
  <dcterms:created xsi:type="dcterms:W3CDTF">2024-11-17T18:07:00Z</dcterms:created>
  <dcterms:modified xsi:type="dcterms:W3CDTF">2024-11-17T18:07:00Z</dcterms:modified>
</cp:coreProperties>
</file>