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06751" w14:textId="5C4F109E" w:rsidR="00264E8C" w:rsidRPr="00027499" w:rsidRDefault="00F309B7" w:rsidP="00027499">
      <w:pPr>
        <w:spacing w:after="0" w:line="360" w:lineRule="auto"/>
        <w:rPr>
          <w:rFonts w:ascii="Times New Roman" w:hAnsi="Times New Roman" w:cs="Times New Roman"/>
          <w:b/>
          <w:bCs/>
          <w:sz w:val="24"/>
          <w:szCs w:val="24"/>
          <w:lang w:val="en-GB"/>
        </w:rPr>
      </w:pPr>
      <w:r w:rsidRPr="00027499">
        <w:rPr>
          <w:rFonts w:ascii="Times New Roman" w:hAnsi="Times New Roman" w:cs="Times New Roman"/>
          <w:b/>
          <w:bCs/>
          <w:sz w:val="24"/>
          <w:szCs w:val="24"/>
          <w:lang w:val="en-GB"/>
        </w:rPr>
        <w:t>Supplementary material</w:t>
      </w:r>
      <w:r w:rsidR="009D00C1" w:rsidRPr="00027499">
        <w:rPr>
          <w:rFonts w:ascii="Times New Roman" w:hAnsi="Times New Roman" w:cs="Times New Roman"/>
          <w:b/>
          <w:bCs/>
          <w:sz w:val="24"/>
          <w:szCs w:val="24"/>
          <w:lang w:val="en-GB"/>
        </w:rPr>
        <w:t xml:space="preserve"> </w:t>
      </w:r>
      <w:r w:rsidR="00027499" w:rsidRPr="00027499">
        <w:rPr>
          <w:rFonts w:ascii="Times New Roman" w:hAnsi="Times New Roman" w:cs="Times New Roman"/>
          <w:b/>
          <w:bCs/>
          <w:sz w:val="24"/>
          <w:szCs w:val="24"/>
          <w:lang w:val="en-GB"/>
        </w:rPr>
        <w:t>2</w:t>
      </w:r>
    </w:p>
    <w:p w14:paraId="746551F9" w14:textId="77777777" w:rsidR="004126E2" w:rsidRPr="00027499" w:rsidRDefault="004126E2" w:rsidP="00027499">
      <w:pPr>
        <w:spacing w:after="0" w:line="360" w:lineRule="auto"/>
        <w:rPr>
          <w:rFonts w:ascii="Times New Roman" w:hAnsi="Times New Roman" w:cs="Times New Roman"/>
          <w:i/>
          <w:iCs/>
          <w:sz w:val="24"/>
          <w:szCs w:val="24"/>
          <w:lang w:val="en-GB"/>
        </w:rPr>
      </w:pPr>
      <w:bookmarkStart w:id="0" w:name="_Hlk175847214"/>
    </w:p>
    <w:p w14:paraId="7C70FB10" w14:textId="4CFBD69E" w:rsidR="00FD753F" w:rsidRPr="00027499" w:rsidRDefault="00FD753F" w:rsidP="00027499">
      <w:pPr>
        <w:spacing w:after="0" w:line="360" w:lineRule="auto"/>
        <w:rPr>
          <w:rFonts w:ascii="Times New Roman" w:hAnsi="Times New Roman" w:cs="Times New Roman"/>
          <w:i/>
          <w:iCs/>
          <w:sz w:val="24"/>
          <w:szCs w:val="24"/>
          <w:lang w:val="en-GB"/>
        </w:rPr>
      </w:pPr>
      <w:r w:rsidRPr="00027499">
        <w:rPr>
          <w:rFonts w:ascii="Times New Roman" w:hAnsi="Times New Roman" w:cs="Times New Roman"/>
          <w:i/>
          <w:iCs/>
          <w:sz w:val="24"/>
          <w:szCs w:val="24"/>
          <w:lang w:val="en-GB"/>
        </w:rPr>
        <w:t xml:space="preserve">Correlations of PSI and </w:t>
      </w:r>
      <w:proofErr w:type="spellStart"/>
      <w:r w:rsidRPr="00027499">
        <w:rPr>
          <w:rFonts w:ascii="Times New Roman" w:hAnsi="Times New Roman" w:cs="Times New Roman"/>
          <w:i/>
          <w:iCs/>
          <w:sz w:val="24"/>
          <w:szCs w:val="24"/>
          <w:lang w:val="en-GB"/>
        </w:rPr>
        <w:t>AmpICP</w:t>
      </w:r>
      <w:proofErr w:type="spellEnd"/>
      <w:r w:rsidRPr="00027499">
        <w:rPr>
          <w:rFonts w:ascii="Times New Roman" w:hAnsi="Times New Roman" w:cs="Times New Roman"/>
          <w:i/>
          <w:iCs/>
          <w:sz w:val="24"/>
          <w:szCs w:val="24"/>
          <w:lang w:val="en-GB"/>
        </w:rPr>
        <w:t xml:space="preserve"> with age and mean</w:t>
      </w:r>
      <w:r w:rsidR="00C13CDA" w:rsidRPr="00027499">
        <w:rPr>
          <w:rFonts w:ascii="Times New Roman" w:hAnsi="Times New Roman" w:cs="Times New Roman"/>
          <w:i/>
          <w:iCs/>
          <w:sz w:val="24"/>
          <w:szCs w:val="24"/>
          <w:lang w:val="en-GB"/>
        </w:rPr>
        <w:t xml:space="preserve"> </w:t>
      </w:r>
      <w:r w:rsidRPr="00027499">
        <w:rPr>
          <w:rFonts w:ascii="Times New Roman" w:hAnsi="Times New Roman" w:cs="Times New Roman"/>
          <w:i/>
          <w:iCs/>
          <w:sz w:val="24"/>
          <w:szCs w:val="24"/>
          <w:lang w:val="en-GB"/>
        </w:rPr>
        <w:t>ICP</w:t>
      </w:r>
    </w:p>
    <w:bookmarkEnd w:id="0"/>
    <w:p w14:paraId="76712BC8" w14:textId="068507D9" w:rsidR="000E21C8" w:rsidRPr="00027499" w:rsidRDefault="00FD753F" w:rsidP="00027499">
      <w:pPr>
        <w:spacing w:after="0" w:line="360" w:lineRule="auto"/>
        <w:jc w:val="both"/>
        <w:rPr>
          <w:rFonts w:ascii="Times New Roman" w:hAnsi="Times New Roman" w:cs="Times New Roman"/>
          <w:color w:val="000000" w:themeColor="text1"/>
          <w:sz w:val="24"/>
          <w:szCs w:val="24"/>
          <w:lang w:val="en-GB"/>
        </w:rPr>
      </w:pPr>
      <w:r w:rsidRPr="00027499">
        <w:rPr>
          <w:rFonts w:ascii="Times New Roman" w:hAnsi="Times New Roman" w:cs="Times New Roman"/>
          <w:sz w:val="24"/>
          <w:szCs w:val="24"/>
          <w:lang w:val="en-GB"/>
        </w:rPr>
        <w:t>Correlation analysis</w:t>
      </w:r>
      <w:r w:rsidR="00C13CDA" w:rsidRPr="00027499">
        <w:rPr>
          <w:rFonts w:ascii="Times New Roman" w:hAnsi="Times New Roman" w:cs="Times New Roman"/>
          <w:sz w:val="24"/>
          <w:szCs w:val="24"/>
          <w:lang w:val="en-GB"/>
        </w:rPr>
        <w:t xml:space="preserve"> performed using the Pearson correlation coefficient</w:t>
      </w:r>
      <w:r w:rsidR="00B65220" w:rsidRPr="00027499">
        <w:rPr>
          <w:rFonts w:ascii="Times New Roman" w:hAnsi="Times New Roman" w:cs="Times New Roman"/>
          <w:sz w:val="24"/>
          <w:szCs w:val="24"/>
          <w:lang w:val="en-GB"/>
        </w:rPr>
        <w:t xml:space="preserve"> (r)</w:t>
      </w:r>
      <w:r w:rsidRPr="00027499">
        <w:rPr>
          <w:rFonts w:ascii="Times New Roman" w:hAnsi="Times New Roman" w:cs="Times New Roman"/>
          <w:sz w:val="24"/>
          <w:szCs w:val="24"/>
          <w:lang w:val="en-GB"/>
        </w:rPr>
        <w:t xml:space="preserve"> showed that PSI was moderately stro</w:t>
      </w:r>
      <w:r w:rsidR="00B7748E">
        <w:rPr>
          <w:rFonts w:ascii="Times New Roman" w:hAnsi="Times New Roman" w:cs="Times New Roman"/>
          <w:sz w:val="24"/>
          <w:szCs w:val="24"/>
          <w:lang w:val="en-GB"/>
        </w:rPr>
        <w:t>ng</w:t>
      </w:r>
      <w:r w:rsidRPr="00027499">
        <w:rPr>
          <w:rFonts w:ascii="Times New Roman" w:hAnsi="Times New Roman" w:cs="Times New Roman"/>
          <w:sz w:val="24"/>
          <w:szCs w:val="24"/>
          <w:lang w:val="en-GB"/>
        </w:rPr>
        <w:t xml:space="preserve"> correlated with age (</w:t>
      </w:r>
      <w:r w:rsidR="00337F99" w:rsidRPr="00027499">
        <w:rPr>
          <w:rFonts w:ascii="Times New Roman" w:hAnsi="Times New Roman" w:cs="Times New Roman"/>
          <w:sz w:val="24"/>
          <w:szCs w:val="24"/>
          <w:lang w:val="en-GB"/>
        </w:rPr>
        <w:t xml:space="preserve">Supplementary Fig. </w:t>
      </w:r>
      <w:r w:rsidR="008F6DE1">
        <w:rPr>
          <w:rFonts w:ascii="Times New Roman" w:hAnsi="Times New Roman" w:cs="Times New Roman"/>
          <w:sz w:val="24"/>
          <w:szCs w:val="24"/>
          <w:lang w:val="en-GB"/>
        </w:rPr>
        <w:t>2</w:t>
      </w:r>
      <w:r w:rsidR="00F75AD0" w:rsidRPr="00027499">
        <w:rPr>
          <w:rFonts w:ascii="Times New Roman" w:hAnsi="Times New Roman" w:cs="Times New Roman"/>
          <w:sz w:val="24"/>
          <w:szCs w:val="24"/>
          <w:lang w:val="en-GB"/>
        </w:rPr>
        <w:t>.</w:t>
      </w:r>
      <w:r w:rsidR="000E21C8" w:rsidRPr="00027499">
        <w:rPr>
          <w:rFonts w:ascii="Times New Roman" w:hAnsi="Times New Roman" w:cs="Times New Roman"/>
          <w:color w:val="000000" w:themeColor="text1"/>
          <w:sz w:val="24"/>
          <w:szCs w:val="24"/>
          <w:lang w:val="en-GB"/>
        </w:rPr>
        <w:t>1</w:t>
      </w:r>
      <w:r w:rsidR="00337F99" w:rsidRPr="00027499">
        <w:rPr>
          <w:rFonts w:ascii="Times New Roman" w:hAnsi="Times New Roman" w:cs="Times New Roman"/>
          <w:color w:val="000000" w:themeColor="text1"/>
          <w:sz w:val="24"/>
          <w:szCs w:val="24"/>
          <w:lang w:val="en-GB"/>
        </w:rPr>
        <w:t xml:space="preserve">a, </w:t>
      </w:r>
      <w:r w:rsidRPr="00027499">
        <w:rPr>
          <w:rFonts w:ascii="Times New Roman" w:hAnsi="Times New Roman" w:cs="Times New Roman"/>
          <w:color w:val="000000" w:themeColor="text1"/>
          <w:sz w:val="24"/>
          <w:szCs w:val="24"/>
          <w:lang w:val="en-GB"/>
        </w:rPr>
        <w:t xml:space="preserve">r=0.51, p&lt;0.01), while </w:t>
      </w:r>
      <w:proofErr w:type="spellStart"/>
      <w:r w:rsidRPr="00027499">
        <w:rPr>
          <w:rFonts w:ascii="Times New Roman" w:hAnsi="Times New Roman" w:cs="Times New Roman"/>
          <w:color w:val="000000" w:themeColor="text1"/>
          <w:sz w:val="24"/>
          <w:szCs w:val="24"/>
          <w:lang w:val="en-GB"/>
        </w:rPr>
        <w:t>AmpICP</w:t>
      </w:r>
      <w:proofErr w:type="spellEnd"/>
      <w:r w:rsidRPr="00027499">
        <w:rPr>
          <w:rFonts w:ascii="Times New Roman" w:hAnsi="Times New Roman" w:cs="Times New Roman"/>
          <w:color w:val="000000" w:themeColor="text1"/>
          <w:sz w:val="24"/>
          <w:szCs w:val="24"/>
          <w:lang w:val="en-GB"/>
        </w:rPr>
        <w:t xml:space="preserve"> was weakly correlated with age (</w:t>
      </w:r>
      <w:r w:rsidR="00337F99" w:rsidRPr="00027499">
        <w:rPr>
          <w:rFonts w:ascii="Times New Roman" w:hAnsi="Times New Roman" w:cs="Times New Roman"/>
          <w:color w:val="000000" w:themeColor="text1"/>
          <w:sz w:val="24"/>
          <w:szCs w:val="24"/>
          <w:lang w:val="en-GB"/>
        </w:rPr>
        <w:t xml:space="preserve">Supplementary Fig. </w:t>
      </w:r>
      <w:r w:rsidR="008F6DE1">
        <w:rPr>
          <w:rFonts w:ascii="Times New Roman" w:hAnsi="Times New Roman" w:cs="Times New Roman"/>
          <w:color w:val="000000" w:themeColor="text1"/>
          <w:sz w:val="24"/>
          <w:szCs w:val="24"/>
          <w:lang w:val="en-GB"/>
        </w:rPr>
        <w:t>2</w:t>
      </w:r>
      <w:r w:rsidR="00F75AD0" w:rsidRPr="00027499">
        <w:rPr>
          <w:rFonts w:ascii="Times New Roman" w:hAnsi="Times New Roman" w:cs="Times New Roman"/>
          <w:color w:val="000000" w:themeColor="text1"/>
          <w:sz w:val="24"/>
          <w:szCs w:val="24"/>
          <w:lang w:val="en-GB"/>
        </w:rPr>
        <w:t>.</w:t>
      </w:r>
      <w:r w:rsidR="000E21C8" w:rsidRPr="00027499">
        <w:rPr>
          <w:rFonts w:ascii="Times New Roman" w:hAnsi="Times New Roman" w:cs="Times New Roman"/>
          <w:color w:val="000000" w:themeColor="text1"/>
          <w:sz w:val="24"/>
          <w:szCs w:val="24"/>
          <w:lang w:val="en-GB"/>
        </w:rPr>
        <w:t>1</w:t>
      </w:r>
      <w:r w:rsidR="00337F99" w:rsidRPr="00027499">
        <w:rPr>
          <w:rFonts w:ascii="Times New Roman" w:hAnsi="Times New Roman" w:cs="Times New Roman"/>
          <w:color w:val="000000" w:themeColor="text1"/>
          <w:sz w:val="24"/>
          <w:szCs w:val="24"/>
          <w:lang w:val="en-GB"/>
        </w:rPr>
        <w:t>b</w:t>
      </w:r>
      <w:r w:rsidR="00DA657B" w:rsidRPr="00027499">
        <w:rPr>
          <w:rFonts w:ascii="Times New Roman" w:hAnsi="Times New Roman" w:cs="Times New Roman"/>
          <w:color w:val="000000" w:themeColor="text1"/>
          <w:sz w:val="24"/>
          <w:szCs w:val="24"/>
          <w:lang w:val="en-GB"/>
        </w:rPr>
        <w:t>,</w:t>
      </w:r>
      <w:r w:rsidR="00337F99" w:rsidRPr="00027499">
        <w:rPr>
          <w:rFonts w:ascii="Times New Roman" w:hAnsi="Times New Roman" w:cs="Times New Roman"/>
          <w:color w:val="000000" w:themeColor="text1"/>
          <w:sz w:val="24"/>
          <w:szCs w:val="24"/>
          <w:lang w:val="en-GB"/>
        </w:rPr>
        <w:t xml:space="preserve"> </w:t>
      </w:r>
      <w:r w:rsidRPr="00027499">
        <w:rPr>
          <w:rFonts w:ascii="Times New Roman" w:hAnsi="Times New Roman" w:cs="Times New Roman"/>
          <w:color w:val="000000" w:themeColor="text1"/>
          <w:sz w:val="24"/>
          <w:szCs w:val="24"/>
          <w:lang w:val="en-GB"/>
        </w:rPr>
        <w:t>r=0.</w:t>
      </w:r>
      <w:r w:rsidR="000E21C8" w:rsidRPr="00027499">
        <w:rPr>
          <w:rFonts w:ascii="Times New Roman" w:hAnsi="Times New Roman" w:cs="Times New Roman"/>
          <w:color w:val="000000" w:themeColor="text1"/>
          <w:sz w:val="24"/>
          <w:szCs w:val="24"/>
          <w:lang w:val="en-GB"/>
        </w:rPr>
        <w:t>2</w:t>
      </w:r>
      <w:r w:rsidRPr="00027499">
        <w:rPr>
          <w:rFonts w:ascii="Times New Roman" w:hAnsi="Times New Roman" w:cs="Times New Roman"/>
          <w:color w:val="000000" w:themeColor="text1"/>
          <w:sz w:val="24"/>
          <w:szCs w:val="24"/>
          <w:lang w:val="en-GB"/>
        </w:rPr>
        <w:t>7, p</w:t>
      </w:r>
      <w:r w:rsidR="000E21C8" w:rsidRPr="00027499">
        <w:rPr>
          <w:rFonts w:ascii="Times New Roman" w:hAnsi="Times New Roman" w:cs="Times New Roman"/>
          <w:color w:val="000000" w:themeColor="text1"/>
          <w:sz w:val="24"/>
          <w:szCs w:val="24"/>
          <w:lang w:val="en-GB"/>
        </w:rPr>
        <w:t>&lt;</w:t>
      </w:r>
      <w:r w:rsidRPr="00027499">
        <w:rPr>
          <w:rFonts w:ascii="Times New Roman" w:hAnsi="Times New Roman" w:cs="Times New Roman"/>
          <w:color w:val="000000" w:themeColor="text1"/>
          <w:sz w:val="24"/>
          <w:szCs w:val="24"/>
          <w:lang w:val="en-GB"/>
        </w:rPr>
        <w:t>0.0</w:t>
      </w:r>
      <w:r w:rsidR="00E04963">
        <w:rPr>
          <w:rFonts w:ascii="Times New Roman" w:hAnsi="Times New Roman" w:cs="Times New Roman"/>
          <w:color w:val="000000" w:themeColor="text1"/>
          <w:sz w:val="24"/>
          <w:szCs w:val="24"/>
          <w:lang w:val="en-GB"/>
        </w:rPr>
        <w:t>1</w:t>
      </w:r>
      <w:r w:rsidRPr="00027499">
        <w:rPr>
          <w:rFonts w:ascii="Times New Roman" w:hAnsi="Times New Roman" w:cs="Times New Roman"/>
          <w:color w:val="000000" w:themeColor="text1"/>
          <w:sz w:val="24"/>
          <w:szCs w:val="24"/>
          <w:lang w:val="en-GB"/>
        </w:rPr>
        <w:t xml:space="preserve">). </w:t>
      </w:r>
      <w:bookmarkStart w:id="1" w:name="_Hlk176244752"/>
      <w:r w:rsidR="00C87056" w:rsidRPr="00027499">
        <w:rPr>
          <w:rFonts w:ascii="Times New Roman" w:hAnsi="Times New Roman" w:cs="Times New Roman"/>
          <w:color w:val="000000" w:themeColor="text1"/>
          <w:sz w:val="24"/>
          <w:szCs w:val="24"/>
          <w:lang w:val="en-GB"/>
        </w:rPr>
        <w:t xml:space="preserve">Additional analysis performed for a subset of 44 patients with mean ICP higher than 15 mm Hg </w:t>
      </w:r>
      <w:r w:rsidR="00FF37CB" w:rsidRPr="00027499">
        <w:rPr>
          <w:rFonts w:ascii="Times New Roman" w:hAnsi="Times New Roman" w:cs="Times New Roman"/>
          <w:color w:val="000000" w:themeColor="text1"/>
          <w:sz w:val="24"/>
          <w:szCs w:val="24"/>
          <w:lang w:val="en-GB"/>
        </w:rPr>
        <w:t>(</w:t>
      </w:r>
      <w:r w:rsidR="000E21C8" w:rsidRPr="00027499">
        <w:rPr>
          <w:rFonts w:ascii="Times New Roman" w:hAnsi="Times New Roman" w:cs="Times New Roman"/>
          <w:color w:val="000000" w:themeColor="text1"/>
          <w:sz w:val="24"/>
          <w:szCs w:val="24"/>
          <w:lang w:val="en-GB"/>
        </w:rPr>
        <w:t>t</w:t>
      </w:r>
      <w:r w:rsidR="00FF37CB" w:rsidRPr="00027499">
        <w:rPr>
          <w:rFonts w:ascii="Times New Roman" w:hAnsi="Times New Roman" w:cs="Times New Roman"/>
          <w:color w:val="000000" w:themeColor="text1"/>
          <w:sz w:val="24"/>
          <w:szCs w:val="24"/>
          <w:lang w:val="en-GB"/>
        </w:rPr>
        <w:t xml:space="preserve">he value </w:t>
      </w:r>
      <w:r w:rsidR="000E21C8" w:rsidRPr="00027499">
        <w:rPr>
          <w:rFonts w:ascii="Times New Roman" w:hAnsi="Times New Roman" w:cs="Times New Roman"/>
          <w:color w:val="000000" w:themeColor="text1"/>
          <w:sz w:val="24"/>
          <w:szCs w:val="24"/>
          <w:lang w:val="en-GB"/>
        </w:rPr>
        <w:t xml:space="preserve">of mean ICP </w:t>
      </w:r>
      <w:r w:rsidR="00FF37CB" w:rsidRPr="00027499">
        <w:rPr>
          <w:rFonts w:ascii="Times New Roman" w:hAnsi="Times New Roman" w:cs="Times New Roman"/>
          <w:color w:val="000000" w:themeColor="text1"/>
          <w:sz w:val="24"/>
          <w:szCs w:val="24"/>
          <w:lang w:val="en-GB"/>
        </w:rPr>
        <w:t xml:space="preserve">above which an increase in </w:t>
      </w:r>
      <w:proofErr w:type="spellStart"/>
      <w:r w:rsidR="00FF37CB" w:rsidRPr="00027499">
        <w:rPr>
          <w:rFonts w:ascii="Times New Roman" w:hAnsi="Times New Roman" w:cs="Times New Roman"/>
          <w:color w:val="000000" w:themeColor="text1"/>
          <w:sz w:val="24"/>
          <w:szCs w:val="24"/>
          <w:lang w:val="en-GB"/>
        </w:rPr>
        <w:t>AmpICP</w:t>
      </w:r>
      <w:proofErr w:type="spellEnd"/>
      <w:r w:rsidR="00FF37CB" w:rsidRPr="00027499">
        <w:rPr>
          <w:rFonts w:ascii="Times New Roman" w:hAnsi="Times New Roman" w:cs="Times New Roman"/>
          <w:color w:val="000000" w:themeColor="text1"/>
          <w:sz w:val="24"/>
          <w:szCs w:val="24"/>
          <w:lang w:val="en-GB"/>
        </w:rPr>
        <w:t xml:space="preserve"> with age was observed</w:t>
      </w:r>
      <w:r w:rsidR="00F54C47" w:rsidRPr="00027499">
        <w:rPr>
          <w:rFonts w:ascii="Times New Roman" w:hAnsi="Times New Roman" w:cs="Times New Roman"/>
          <w:color w:val="000000" w:themeColor="text1"/>
          <w:sz w:val="24"/>
          <w:szCs w:val="24"/>
          <w:lang w:val="en-GB"/>
        </w:rPr>
        <w:t>;</w:t>
      </w:r>
      <w:r w:rsidR="00FF37CB" w:rsidRPr="00027499">
        <w:rPr>
          <w:rFonts w:ascii="Times New Roman" w:hAnsi="Times New Roman" w:cs="Times New Roman"/>
          <w:color w:val="000000" w:themeColor="text1"/>
          <w:sz w:val="24"/>
          <w:szCs w:val="24"/>
          <w:lang w:val="en-GB"/>
        </w:rPr>
        <w:t xml:space="preserve"> see Fig. 3f in </w:t>
      </w:r>
      <w:r w:rsidR="009D00C1" w:rsidRPr="00027499">
        <w:rPr>
          <w:rFonts w:ascii="Times New Roman" w:hAnsi="Times New Roman" w:cs="Times New Roman"/>
          <w:color w:val="000000" w:themeColor="text1"/>
          <w:sz w:val="24"/>
          <w:szCs w:val="24"/>
          <w:lang w:val="en-GB"/>
        </w:rPr>
        <w:t xml:space="preserve">main text of the </w:t>
      </w:r>
      <w:r w:rsidR="00FF37CB" w:rsidRPr="00027499">
        <w:rPr>
          <w:rFonts w:ascii="Times New Roman" w:hAnsi="Times New Roman" w:cs="Times New Roman"/>
          <w:color w:val="000000" w:themeColor="text1"/>
          <w:sz w:val="24"/>
          <w:szCs w:val="24"/>
          <w:lang w:val="en-GB"/>
        </w:rPr>
        <w:t xml:space="preserve">article) </w:t>
      </w:r>
      <w:r w:rsidR="00C87056" w:rsidRPr="00027499">
        <w:rPr>
          <w:rFonts w:ascii="Times New Roman" w:hAnsi="Times New Roman" w:cs="Times New Roman"/>
          <w:color w:val="000000" w:themeColor="text1"/>
          <w:sz w:val="24"/>
          <w:szCs w:val="24"/>
          <w:lang w:val="en-GB"/>
        </w:rPr>
        <w:t xml:space="preserve">showed moderately strong association between </w:t>
      </w:r>
      <w:proofErr w:type="spellStart"/>
      <w:r w:rsidR="00C87056" w:rsidRPr="00027499">
        <w:rPr>
          <w:rFonts w:ascii="Times New Roman" w:hAnsi="Times New Roman" w:cs="Times New Roman"/>
          <w:color w:val="000000" w:themeColor="text1"/>
          <w:sz w:val="24"/>
          <w:szCs w:val="24"/>
          <w:lang w:val="en-GB"/>
        </w:rPr>
        <w:t>AmpICP</w:t>
      </w:r>
      <w:proofErr w:type="spellEnd"/>
      <w:r w:rsidR="00C87056" w:rsidRPr="00027499">
        <w:rPr>
          <w:rFonts w:ascii="Times New Roman" w:hAnsi="Times New Roman" w:cs="Times New Roman"/>
          <w:color w:val="000000" w:themeColor="text1"/>
          <w:sz w:val="24"/>
          <w:szCs w:val="24"/>
          <w:lang w:val="en-GB"/>
        </w:rPr>
        <w:t xml:space="preserve"> and age (r=0.</w:t>
      </w:r>
      <w:r w:rsidR="000E21C8" w:rsidRPr="00027499">
        <w:rPr>
          <w:rFonts w:ascii="Times New Roman" w:hAnsi="Times New Roman" w:cs="Times New Roman"/>
          <w:color w:val="000000" w:themeColor="text1"/>
          <w:sz w:val="24"/>
          <w:szCs w:val="24"/>
          <w:lang w:val="en-GB"/>
        </w:rPr>
        <w:t>44</w:t>
      </w:r>
      <w:r w:rsidR="00C87056" w:rsidRPr="00027499">
        <w:rPr>
          <w:rFonts w:ascii="Times New Roman" w:hAnsi="Times New Roman" w:cs="Times New Roman"/>
          <w:color w:val="000000" w:themeColor="text1"/>
          <w:sz w:val="24"/>
          <w:szCs w:val="24"/>
          <w:lang w:val="en-GB"/>
        </w:rPr>
        <w:t>, p</w:t>
      </w:r>
      <w:r w:rsidR="00E04963">
        <w:rPr>
          <w:rFonts w:ascii="Times New Roman" w:hAnsi="Times New Roman" w:cs="Times New Roman"/>
          <w:color w:val="000000" w:themeColor="text1"/>
          <w:sz w:val="24"/>
          <w:szCs w:val="24"/>
          <w:lang w:val="en-GB"/>
        </w:rPr>
        <w:t>&lt;</w:t>
      </w:r>
      <w:r w:rsidR="00C87056" w:rsidRPr="00027499">
        <w:rPr>
          <w:rFonts w:ascii="Times New Roman" w:hAnsi="Times New Roman" w:cs="Times New Roman"/>
          <w:color w:val="000000" w:themeColor="text1"/>
          <w:sz w:val="24"/>
          <w:szCs w:val="24"/>
          <w:lang w:val="en-GB"/>
        </w:rPr>
        <w:t>0.0</w:t>
      </w:r>
      <w:r w:rsidR="00E04963">
        <w:rPr>
          <w:rFonts w:ascii="Times New Roman" w:hAnsi="Times New Roman" w:cs="Times New Roman"/>
          <w:color w:val="000000" w:themeColor="text1"/>
          <w:sz w:val="24"/>
          <w:szCs w:val="24"/>
          <w:lang w:val="en-GB"/>
        </w:rPr>
        <w:t>1</w:t>
      </w:r>
      <w:r w:rsidR="00C87056" w:rsidRPr="00027499">
        <w:rPr>
          <w:rFonts w:ascii="Times New Roman" w:hAnsi="Times New Roman" w:cs="Times New Roman"/>
          <w:color w:val="000000" w:themeColor="text1"/>
          <w:sz w:val="24"/>
          <w:szCs w:val="24"/>
          <w:lang w:val="en-GB"/>
        </w:rPr>
        <w:t>)</w:t>
      </w:r>
      <w:bookmarkEnd w:id="1"/>
      <w:r w:rsidR="00C87056" w:rsidRPr="00027499">
        <w:rPr>
          <w:rFonts w:ascii="Times New Roman" w:hAnsi="Times New Roman" w:cs="Times New Roman"/>
          <w:color w:val="000000" w:themeColor="text1"/>
          <w:sz w:val="24"/>
          <w:szCs w:val="24"/>
          <w:lang w:val="en-GB"/>
        </w:rPr>
        <w:t xml:space="preserve">. </w:t>
      </w:r>
      <w:r w:rsidRPr="00027499">
        <w:rPr>
          <w:rFonts w:ascii="Times New Roman" w:hAnsi="Times New Roman" w:cs="Times New Roman"/>
          <w:color w:val="000000" w:themeColor="text1"/>
          <w:sz w:val="24"/>
          <w:szCs w:val="24"/>
          <w:lang w:val="en-GB"/>
        </w:rPr>
        <w:t xml:space="preserve">No relationship was found between age and mean ICP. </w:t>
      </w:r>
    </w:p>
    <w:p w14:paraId="5FCC8D23" w14:textId="341149BA" w:rsidR="00596FB3" w:rsidRPr="00027499" w:rsidRDefault="00FD753F" w:rsidP="00027499">
      <w:pPr>
        <w:spacing w:after="0" w:line="360" w:lineRule="auto"/>
        <w:ind w:firstLine="708"/>
        <w:jc w:val="both"/>
        <w:rPr>
          <w:rFonts w:ascii="Times New Roman" w:hAnsi="Times New Roman" w:cs="Times New Roman"/>
          <w:color w:val="000000" w:themeColor="text1"/>
          <w:sz w:val="24"/>
          <w:szCs w:val="24"/>
          <w:lang w:val="en-GB"/>
        </w:rPr>
      </w:pPr>
      <w:r w:rsidRPr="00027499">
        <w:rPr>
          <w:rFonts w:ascii="Times New Roman" w:hAnsi="Times New Roman" w:cs="Times New Roman"/>
          <w:color w:val="000000" w:themeColor="text1"/>
          <w:sz w:val="24"/>
          <w:szCs w:val="24"/>
          <w:lang w:val="en-GB"/>
        </w:rPr>
        <w:t xml:space="preserve">Both PSI and </w:t>
      </w:r>
      <w:proofErr w:type="spellStart"/>
      <w:r w:rsidRPr="00027499">
        <w:rPr>
          <w:rFonts w:ascii="Times New Roman" w:hAnsi="Times New Roman" w:cs="Times New Roman"/>
          <w:color w:val="000000" w:themeColor="text1"/>
          <w:sz w:val="24"/>
          <w:szCs w:val="24"/>
          <w:lang w:val="en-GB"/>
        </w:rPr>
        <w:t>AmpICP</w:t>
      </w:r>
      <w:proofErr w:type="spellEnd"/>
      <w:r w:rsidRPr="00027499">
        <w:rPr>
          <w:rFonts w:ascii="Times New Roman" w:hAnsi="Times New Roman" w:cs="Times New Roman"/>
          <w:color w:val="000000" w:themeColor="text1"/>
          <w:sz w:val="24"/>
          <w:szCs w:val="24"/>
          <w:lang w:val="en-GB"/>
        </w:rPr>
        <w:t xml:space="preserve"> were associated with mean ICP, with </w:t>
      </w:r>
      <w:proofErr w:type="spellStart"/>
      <w:r w:rsidRPr="00027499">
        <w:rPr>
          <w:rFonts w:ascii="Times New Roman" w:hAnsi="Times New Roman" w:cs="Times New Roman"/>
          <w:color w:val="000000" w:themeColor="text1"/>
          <w:sz w:val="24"/>
          <w:szCs w:val="24"/>
          <w:lang w:val="en-GB"/>
        </w:rPr>
        <w:t>AmpICP</w:t>
      </w:r>
      <w:proofErr w:type="spellEnd"/>
      <w:r w:rsidRPr="00027499">
        <w:rPr>
          <w:rFonts w:ascii="Times New Roman" w:hAnsi="Times New Roman" w:cs="Times New Roman"/>
          <w:color w:val="000000" w:themeColor="text1"/>
          <w:sz w:val="24"/>
          <w:szCs w:val="24"/>
          <w:lang w:val="en-GB"/>
        </w:rPr>
        <w:t xml:space="preserve"> showing a stronger positive correlation (</w:t>
      </w:r>
      <w:r w:rsidR="00EA2CFE" w:rsidRPr="00027499">
        <w:rPr>
          <w:rFonts w:ascii="Times New Roman" w:hAnsi="Times New Roman" w:cs="Times New Roman"/>
          <w:color w:val="000000" w:themeColor="text1"/>
          <w:sz w:val="24"/>
          <w:szCs w:val="24"/>
          <w:lang w:val="en-GB"/>
        </w:rPr>
        <w:t xml:space="preserve">Supplementary Fig. </w:t>
      </w:r>
      <w:r w:rsidR="008F6DE1">
        <w:rPr>
          <w:rFonts w:ascii="Times New Roman" w:hAnsi="Times New Roman" w:cs="Times New Roman"/>
          <w:color w:val="000000" w:themeColor="text1"/>
          <w:sz w:val="24"/>
          <w:szCs w:val="24"/>
          <w:lang w:val="en-GB"/>
        </w:rPr>
        <w:t>2</w:t>
      </w:r>
      <w:r w:rsidR="00151D7E" w:rsidRPr="00027499">
        <w:rPr>
          <w:rFonts w:ascii="Times New Roman" w:hAnsi="Times New Roman" w:cs="Times New Roman"/>
          <w:color w:val="000000" w:themeColor="text1"/>
          <w:sz w:val="24"/>
          <w:szCs w:val="24"/>
          <w:lang w:val="en-GB"/>
        </w:rPr>
        <w:t>.1</w:t>
      </w:r>
      <w:r w:rsidR="000E5851" w:rsidRPr="00027499">
        <w:rPr>
          <w:rFonts w:ascii="Times New Roman" w:hAnsi="Times New Roman" w:cs="Times New Roman"/>
          <w:color w:val="000000" w:themeColor="text1"/>
          <w:sz w:val="24"/>
          <w:szCs w:val="24"/>
          <w:lang w:val="en-GB"/>
        </w:rPr>
        <w:t>d</w:t>
      </w:r>
      <w:r w:rsidR="00B65220" w:rsidRPr="00027499">
        <w:rPr>
          <w:rFonts w:ascii="Times New Roman" w:hAnsi="Times New Roman" w:cs="Times New Roman"/>
          <w:color w:val="000000" w:themeColor="text1"/>
          <w:sz w:val="24"/>
          <w:szCs w:val="24"/>
          <w:lang w:val="en-GB"/>
        </w:rPr>
        <w:t>,</w:t>
      </w:r>
      <w:r w:rsidR="00EA2CFE" w:rsidRPr="00027499">
        <w:rPr>
          <w:rFonts w:ascii="Times New Roman" w:hAnsi="Times New Roman" w:cs="Times New Roman"/>
          <w:color w:val="000000" w:themeColor="text1"/>
          <w:sz w:val="24"/>
          <w:szCs w:val="24"/>
          <w:lang w:val="en-GB"/>
        </w:rPr>
        <w:t xml:space="preserve"> </w:t>
      </w:r>
      <w:r w:rsidRPr="00027499">
        <w:rPr>
          <w:rFonts w:ascii="Times New Roman" w:hAnsi="Times New Roman" w:cs="Times New Roman"/>
          <w:color w:val="000000" w:themeColor="text1"/>
          <w:sz w:val="24"/>
          <w:szCs w:val="24"/>
          <w:lang w:val="en-GB"/>
        </w:rPr>
        <w:t>r=0.</w:t>
      </w:r>
      <w:r w:rsidR="000E5851" w:rsidRPr="00027499">
        <w:rPr>
          <w:rFonts w:ascii="Times New Roman" w:hAnsi="Times New Roman" w:cs="Times New Roman"/>
          <w:color w:val="000000" w:themeColor="text1"/>
          <w:sz w:val="24"/>
          <w:szCs w:val="24"/>
          <w:lang w:val="en-GB"/>
        </w:rPr>
        <w:t>57</w:t>
      </w:r>
      <w:r w:rsidRPr="00027499">
        <w:rPr>
          <w:rFonts w:ascii="Times New Roman" w:hAnsi="Times New Roman" w:cs="Times New Roman"/>
          <w:color w:val="000000" w:themeColor="text1"/>
          <w:sz w:val="24"/>
          <w:szCs w:val="24"/>
          <w:lang w:val="en-GB"/>
        </w:rPr>
        <w:t>, p&lt;0.01) compared to PSI (</w:t>
      </w:r>
      <w:r w:rsidR="002011B2" w:rsidRPr="00027499">
        <w:rPr>
          <w:rFonts w:ascii="Times New Roman" w:hAnsi="Times New Roman" w:cs="Times New Roman"/>
          <w:color w:val="000000" w:themeColor="text1"/>
          <w:sz w:val="24"/>
          <w:szCs w:val="24"/>
          <w:lang w:val="en-GB"/>
        </w:rPr>
        <w:t xml:space="preserve">Supplementary Fig. </w:t>
      </w:r>
      <w:r w:rsidR="008F6DE1">
        <w:rPr>
          <w:rFonts w:ascii="Times New Roman" w:hAnsi="Times New Roman" w:cs="Times New Roman"/>
          <w:color w:val="000000" w:themeColor="text1"/>
          <w:sz w:val="24"/>
          <w:szCs w:val="24"/>
          <w:lang w:val="en-GB"/>
        </w:rPr>
        <w:t>2</w:t>
      </w:r>
      <w:r w:rsidR="00F75AD0" w:rsidRPr="00027499">
        <w:rPr>
          <w:rFonts w:ascii="Times New Roman" w:hAnsi="Times New Roman" w:cs="Times New Roman"/>
          <w:color w:val="000000" w:themeColor="text1"/>
          <w:sz w:val="24"/>
          <w:szCs w:val="24"/>
          <w:lang w:val="en-GB"/>
        </w:rPr>
        <w:t>.</w:t>
      </w:r>
      <w:r w:rsidR="009D00C1" w:rsidRPr="00027499">
        <w:rPr>
          <w:rFonts w:ascii="Times New Roman" w:hAnsi="Times New Roman" w:cs="Times New Roman"/>
          <w:color w:val="000000" w:themeColor="text1"/>
          <w:sz w:val="24"/>
          <w:szCs w:val="24"/>
          <w:lang w:val="en-GB"/>
        </w:rPr>
        <w:t>1</w:t>
      </w:r>
      <w:r w:rsidR="002011B2" w:rsidRPr="00027499">
        <w:rPr>
          <w:rFonts w:ascii="Times New Roman" w:hAnsi="Times New Roman" w:cs="Times New Roman"/>
          <w:color w:val="000000" w:themeColor="text1"/>
          <w:sz w:val="24"/>
          <w:szCs w:val="24"/>
          <w:lang w:val="en-GB"/>
        </w:rPr>
        <w:t>c</w:t>
      </w:r>
      <w:r w:rsidR="00B65220" w:rsidRPr="00027499">
        <w:rPr>
          <w:rFonts w:ascii="Times New Roman" w:hAnsi="Times New Roman" w:cs="Times New Roman"/>
          <w:color w:val="000000" w:themeColor="text1"/>
          <w:sz w:val="24"/>
          <w:szCs w:val="24"/>
          <w:lang w:val="en-GB"/>
        </w:rPr>
        <w:t>,</w:t>
      </w:r>
      <w:r w:rsidR="002011B2" w:rsidRPr="00027499">
        <w:rPr>
          <w:rFonts w:ascii="Times New Roman" w:hAnsi="Times New Roman" w:cs="Times New Roman"/>
          <w:color w:val="000000" w:themeColor="text1"/>
          <w:sz w:val="24"/>
          <w:szCs w:val="24"/>
          <w:lang w:val="en-GB"/>
        </w:rPr>
        <w:t xml:space="preserve"> </w:t>
      </w:r>
      <w:r w:rsidRPr="00027499">
        <w:rPr>
          <w:rFonts w:ascii="Times New Roman" w:hAnsi="Times New Roman" w:cs="Times New Roman"/>
          <w:color w:val="000000" w:themeColor="text1"/>
          <w:sz w:val="24"/>
          <w:szCs w:val="24"/>
          <w:lang w:val="en-GB"/>
        </w:rPr>
        <w:t>r=0.24, p</w:t>
      </w:r>
      <w:r w:rsidR="00E04963">
        <w:rPr>
          <w:rFonts w:ascii="Times New Roman" w:hAnsi="Times New Roman" w:cs="Times New Roman"/>
          <w:color w:val="000000" w:themeColor="text1"/>
          <w:sz w:val="24"/>
          <w:szCs w:val="24"/>
          <w:lang w:val="en-GB"/>
        </w:rPr>
        <w:t>&lt;</w:t>
      </w:r>
      <w:r w:rsidRPr="00027499">
        <w:rPr>
          <w:rFonts w:ascii="Times New Roman" w:hAnsi="Times New Roman" w:cs="Times New Roman"/>
          <w:color w:val="000000" w:themeColor="text1"/>
          <w:sz w:val="24"/>
          <w:szCs w:val="24"/>
          <w:lang w:val="en-GB"/>
        </w:rPr>
        <w:t xml:space="preserve">0.01). PSI and </w:t>
      </w:r>
      <w:proofErr w:type="spellStart"/>
      <w:r w:rsidRPr="00027499">
        <w:rPr>
          <w:rFonts w:ascii="Times New Roman" w:hAnsi="Times New Roman" w:cs="Times New Roman"/>
          <w:color w:val="000000" w:themeColor="text1"/>
          <w:sz w:val="24"/>
          <w:szCs w:val="24"/>
          <w:lang w:val="en-GB"/>
        </w:rPr>
        <w:t>AmpICP</w:t>
      </w:r>
      <w:proofErr w:type="spellEnd"/>
      <w:r w:rsidRPr="00027499">
        <w:rPr>
          <w:rFonts w:ascii="Times New Roman" w:hAnsi="Times New Roman" w:cs="Times New Roman"/>
          <w:color w:val="000000" w:themeColor="text1"/>
          <w:sz w:val="24"/>
          <w:szCs w:val="24"/>
          <w:lang w:val="en-GB"/>
        </w:rPr>
        <w:t xml:space="preserve"> were weakly correlated (r=0.</w:t>
      </w:r>
      <w:r w:rsidR="000E5851" w:rsidRPr="00027499">
        <w:rPr>
          <w:rFonts w:ascii="Times New Roman" w:hAnsi="Times New Roman" w:cs="Times New Roman"/>
          <w:color w:val="000000" w:themeColor="text1"/>
          <w:sz w:val="24"/>
          <w:szCs w:val="24"/>
          <w:lang w:val="en-GB"/>
        </w:rPr>
        <w:t>34</w:t>
      </w:r>
      <w:r w:rsidRPr="00027499">
        <w:rPr>
          <w:rFonts w:ascii="Times New Roman" w:hAnsi="Times New Roman" w:cs="Times New Roman"/>
          <w:color w:val="000000" w:themeColor="text1"/>
          <w:sz w:val="24"/>
          <w:szCs w:val="24"/>
          <w:lang w:val="en-GB"/>
        </w:rPr>
        <w:t>, p</w:t>
      </w:r>
      <w:r w:rsidR="000E5851" w:rsidRPr="00027499">
        <w:rPr>
          <w:rFonts w:ascii="Times New Roman" w:hAnsi="Times New Roman" w:cs="Times New Roman"/>
          <w:color w:val="000000" w:themeColor="text1"/>
          <w:sz w:val="24"/>
          <w:szCs w:val="24"/>
          <w:lang w:val="en-GB"/>
        </w:rPr>
        <w:t>&lt;</w:t>
      </w:r>
      <w:r w:rsidRPr="00027499">
        <w:rPr>
          <w:rFonts w:ascii="Times New Roman" w:hAnsi="Times New Roman" w:cs="Times New Roman"/>
          <w:color w:val="000000" w:themeColor="text1"/>
          <w:sz w:val="24"/>
          <w:szCs w:val="24"/>
          <w:lang w:val="en-GB"/>
        </w:rPr>
        <w:t>0.0</w:t>
      </w:r>
      <w:r w:rsidR="000E5851" w:rsidRPr="00027499">
        <w:rPr>
          <w:rFonts w:ascii="Times New Roman" w:hAnsi="Times New Roman" w:cs="Times New Roman"/>
          <w:color w:val="000000" w:themeColor="text1"/>
          <w:sz w:val="24"/>
          <w:szCs w:val="24"/>
          <w:lang w:val="en-GB"/>
        </w:rPr>
        <w:t>1</w:t>
      </w:r>
      <w:r w:rsidRPr="00027499">
        <w:rPr>
          <w:rFonts w:ascii="Times New Roman" w:hAnsi="Times New Roman" w:cs="Times New Roman"/>
          <w:color w:val="000000" w:themeColor="text1"/>
          <w:sz w:val="24"/>
          <w:szCs w:val="24"/>
          <w:lang w:val="en-GB"/>
        </w:rPr>
        <w:t xml:space="preserve">). </w:t>
      </w:r>
    </w:p>
    <w:p w14:paraId="6BD757E7" w14:textId="3015BDAC" w:rsidR="00635D9A" w:rsidRPr="00027499" w:rsidRDefault="00635D9A" w:rsidP="00027499">
      <w:pPr>
        <w:spacing w:after="0" w:line="360" w:lineRule="auto"/>
        <w:jc w:val="both"/>
        <w:rPr>
          <w:rFonts w:ascii="Times New Roman" w:hAnsi="Times New Roman" w:cs="Times New Roman"/>
          <w:color w:val="000000" w:themeColor="text1"/>
          <w:sz w:val="24"/>
          <w:szCs w:val="24"/>
          <w:lang w:val="en-GB"/>
        </w:rPr>
      </w:pPr>
      <w:r w:rsidRPr="00027499">
        <w:rPr>
          <w:rFonts w:ascii="Times New Roman" w:hAnsi="Times New Roman" w:cs="Times New Roman"/>
          <w:noProof/>
          <w:color w:val="000000" w:themeColor="text1"/>
          <w:sz w:val="24"/>
          <w:szCs w:val="24"/>
          <w:lang w:val="en-GB"/>
        </w:rPr>
        <w:drawing>
          <wp:anchor distT="0" distB="0" distL="114300" distR="114300" simplePos="0" relativeHeight="251658240" behindDoc="1" locked="0" layoutInCell="1" allowOverlap="1" wp14:anchorId="4D1A3FA8" wp14:editId="68F1993A">
            <wp:simplePos x="0" y="0"/>
            <wp:positionH relativeFrom="margin">
              <wp:align>center</wp:align>
            </wp:positionH>
            <wp:positionV relativeFrom="paragraph">
              <wp:posOffset>635</wp:posOffset>
            </wp:positionV>
            <wp:extent cx="4702114" cy="3708000"/>
            <wp:effectExtent l="0" t="0" r="3810" b="6985"/>
            <wp:wrapTight wrapText="bothSides">
              <wp:wrapPolygon edited="0">
                <wp:start x="0" y="0"/>
                <wp:lineTo x="0" y="21530"/>
                <wp:lineTo x="21530" y="21530"/>
                <wp:lineTo x="21530" y="0"/>
                <wp:lineTo x="0" y="0"/>
              </wp:wrapPolygon>
            </wp:wrapTight>
            <wp:docPr id="1853663777" name="Obraz 1" descr="Obraz zawierający tekst, diagram, lini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663777" name="Obraz 1" descr="Obraz zawierający tekst, diagram, linia&#10;&#10;Opis wygenerowany automatycznie"/>
                    <pic:cNvPicPr/>
                  </pic:nvPicPr>
                  <pic:blipFill>
                    <a:blip r:embed="rId6" cstate="print">
                      <a:extLst>
                        <a:ext uri="{28A0092B-C50C-407E-A947-70E740481C1C}">
                          <a14:useLocalDpi xmlns:a14="http://schemas.microsoft.com/office/drawing/2010/main" val="0"/>
                        </a:ext>
                      </a:extLst>
                    </a:blip>
                    <a:stretch>
                      <a:fillRect/>
                    </a:stretch>
                  </pic:blipFill>
                  <pic:spPr>
                    <a:xfrm>
                      <a:off x="0" y="0"/>
                      <a:ext cx="4702114" cy="3708000"/>
                    </a:xfrm>
                    <a:prstGeom prst="rect">
                      <a:avLst/>
                    </a:prstGeom>
                  </pic:spPr>
                </pic:pic>
              </a:graphicData>
            </a:graphic>
            <wp14:sizeRelH relativeFrom="page">
              <wp14:pctWidth>0</wp14:pctWidth>
            </wp14:sizeRelH>
            <wp14:sizeRelV relativeFrom="page">
              <wp14:pctHeight>0</wp14:pctHeight>
            </wp14:sizeRelV>
          </wp:anchor>
        </w:drawing>
      </w:r>
    </w:p>
    <w:p w14:paraId="01740EE5" w14:textId="2B8239C2" w:rsidR="000E5851" w:rsidRPr="00027499" w:rsidRDefault="00D64A02" w:rsidP="00027499">
      <w:pPr>
        <w:spacing w:after="0" w:line="360" w:lineRule="auto"/>
        <w:jc w:val="both"/>
        <w:rPr>
          <w:rFonts w:ascii="Times New Roman" w:eastAsia="Times New Roman" w:hAnsi="Times New Roman" w:cs="Times New Roman"/>
          <w:sz w:val="24"/>
          <w:szCs w:val="24"/>
          <w:lang w:val="en-GB"/>
        </w:rPr>
      </w:pPr>
      <w:r w:rsidRPr="00027499">
        <w:rPr>
          <w:rFonts w:ascii="Times New Roman" w:hAnsi="Times New Roman" w:cs="Times New Roman"/>
          <w:sz w:val="24"/>
          <w:szCs w:val="24"/>
          <w:lang w:val="en-GB"/>
        </w:rPr>
        <w:t>Supplementary Fig.</w:t>
      </w:r>
      <w:r w:rsidR="00F1262F" w:rsidRPr="00027499">
        <w:rPr>
          <w:rFonts w:ascii="Times New Roman" w:hAnsi="Times New Roman" w:cs="Times New Roman"/>
          <w:sz w:val="24"/>
          <w:szCs w:val="24"/>
          <w:lang w:val="en-GB"/>
        </w:rPr>
        <w:t xml:space="preserve"> </w:t>
      </w:r>
      <w:r w:rsidR="00027499" w:rsidRPr="00027499">
        <w:rPr>
          <w:rFonts w:ascii="Times New Roman" w:hAnsi="Times New Roman" w:cs="Times New Roman"/>
          <w:sz w:val="24"/>
          <w:szCs w:val="24"/>
          <w:lang w:val="en-GB"/>
        </w:rPr>
        <w:t>2</w:t>
      </w:r>
      <w:r w:rsidR="00151D7E" w:rsidRPr="00027499">
        <w:rPr>
          <w:rFonts w:ascii="Times New Roman" w:hAnsi="Times New Roman" w:cs="Times New Roman"/>
          <w:sz w:val="24"/>
          <w:szCs w:val="24"/>
          <w:lang w:val="en-GB"/>
        </w:rPr>
        <w:t>.</w:t>
      </w:r>
      <w:r w:rsidR="009D00C1" w:rsidRPr="00027499">
        <w:rPr>
          <w:rFonts w:ascii="Times New Roman" w:hAnsi="Times New Roman" w:cs="Times New Roman"/>
          <w:sz w:val="24"/>
          <w:szCs w:val="24"/>
          <w:lang w:val="en-GB"/>
        </w:rPr>
        <w:t>1</w:t>
      </w:r>
      <w:r w:rsidRPr="00027499">
        <w:rPr>
          <w:rFonts w:ascii="Times New Roman" w:hAnsi="Times New Roman" w:cs="Times New Roman"/>
          <w:sz w:val="24"/>
          <w:szCs w:val="24"/>
          <w:lang w:val="en-GB"/>
        </w:rPr>
        <w:t xml:space="preserve"> </w:t>
      </w:r>
      <w:r w:rsidR="00F1262F" w:rsidRPr="00027499">
        <w:rPr>
          <w:rFonts w:ascii="Times New Roman" w:hAnsi="Times New Roman" w:cs="Times New Roman"/>
          <w:sz w:val="24"/>
          <w:szCs w:val="24"/>
          <w:lang w:val="en-GB"/>
        </w:rPr>
        <w:t>The r</w:t>
      </w:r>
      <w:r w:rsidR="009D00C1" w:rsidRPr="00027499">
        <w:rPr>
          <w:rFonts w:ascii="Times New Roman" w:hAnsi="Times New Roman" w:cs="Times New Roman"/>
          <w:sz w:val="24"/>
          <w:szCs w:val="24"/>
          <w:lang w:val="en-GB"/>
        </w:rPr>
        <w:t>elationship</w:t>
      </w:r>
      <w:r w:rsidR="00F1262F" w:rsidRPr="00027499">
        <w:rPr>
          <w:rFonts w:ascii="Times New Roman" w:hAnsi="Times New Roman" w:cs="Times New Roman"/>
          <w:sz w:val="24"/>
          <w:szCs w:val="24"/>
          <w:lang w:val="en-GB"/>
        </w:rPr>
        <w:t>s</w:t>
      </w:r>
      <w:r w:rsidR="009D00C1" w:rsidRPr="00027499">
        <w:rPr>
          <w:rFonts w:ascii="Times New Roman" w:hAnsi="Times New Roman" w:cs="Times New Roman"/>
          <w:sz w:val="24"/>
          <w:szCs w:val="24"/>
          <w:lang w:val="en-GB"/>
        </w:rPr>
        <w:t xml:space="preserve"> between</w:t>
      </w:r>
      <w:r w:rsidR="00343C69" w:rsidRPr="00027499">
        <w:rPr>
          <w:rFonts w:ascii="Times New Roman" w:hAnsi="Times New Roman" w:cs="Times New Roman"/>
          <w:sz w:val="24"/>
          <w:szCs w:val="24"/>
          <w:lang w:val="en-GB"/>
        </w:rPr>
        <w:t xml:space="preserve"> pulse shape index (</w:t>
      </w:r>
      <w:r w:rsidR="009D00C1" w:rsidRPr="00027499">
        <w:rPr>
          <w:rFonts w:ascii="Times New Roman" w:hAnsi="Times New Roman" w:cs="Times New Roman"/>
          <w:sz w:val="24"/>
          <w:szCs w:val="24"/>
          <w:lang w:val="en-GB"/>
        </w:rPr>
        <w:t>PSI</w:t>
      </w:r>
      <w:r w:rsidR="00343C69" w:rsidRPr="00027499">
        <w:rPr>
          <w:rFonts w:ascii="Times New Roman" w:hAnsi="Times New Roman" w:cs="Times New Roman"/>
          <w:sz w:val="24"/>
          <w:szCs w:val="24"/>
          <w:lang w:val="en-GB"/>
        </w:rPr>
        <w:t>;</w:t>
      </w:r>
      <w:r w:rsidR="009D00C1" w:rsidRPr="00027499">
        <w:rPr>
          <w:rFonts w:ascii="Times New Roman" w:hAnsi="Times New Roman" w:cs="Times New Roman"/>
          <w:sz w:val="24"/>
          <w:szCs w:val="24"/>
          <w:lang w:val="en-GB"/>
        </w:rPr>
        <w:t xml:space="preserve"> left panel) and </w:t>
      </w:r>
      <w:r w:rsidR="00343C69" w:rsidRPr="00027499">
        <w:rPr>
          <w:rFonts w:ascii="Times New Roman" w:hAnsi="Times New Roman" w:cs="Times New Roman"/>
          <w:sz w:val="24"/>
          <w:szCs w:val="24"/>
          <w:lang w:val="en-GB"/>
        </w:rPr>
        <w:t>peak-to-peak amplitude of intracranial pressure (ICP) pulse waveform (</w:t>
      </w:r>
      <w:proofErr w:type="spellStart"/>
      <w:r w:rsidR="009D00C1" w:rsidRPr="00027499">
        <w:rPr>
          <w:rFonts w:ascii="Times New Roman" w:hAnsi="Times New Roman" w:cs="Times New Roman"/>
          <w:sz w:val="24"/>
          <w:szCs w:val="24"/>
          <w:lang w:val="en-GB"/>
        </w:rPr>
        <w:t>AmpICP</w:t>
      </w:r>
      <w:proofErr w:type="spellEnd"/>
      <w:r w:rsidR="00343C69" w:rsidRPr="00027499">
        <w:rPr>
          <w:rFonts w:ascii="Times New Roman" w:hAnsi="Times New Roman" w:cs="Times New Roman"/>
          <w:sz w:val="24"/>
          <w:szCs w:val="24"/>
          <w:lang w:val="en-GB"/>
        </w:rPr>
        <w:t xml:space="preserve">; </w:t>
      </w:r>
      <w:r w:rsidR="009D00C1" w:rsidRPr="00027499">
        <w:rPr>
          <w:rFonts w:ascii="Times New Roman" w:hAnsi="Times New Roman" w:cs="Times New Roman"/>
          <w:sz w:val="24"/>
          <w:szCs w:val="24"/>
          <w:lang w:val="en-GB"/>
        </w:rPr>
        <w:t xml:space="preserve">right panel) </w:t>
      </w:r>
      <w:r w:rsidR="00F1262F" w:rsidRPr="00027499">
        <w:rPr>
          <w:rFonts w:ascii="Times New Roman" w:hAnsi="Times New Roman" w:cs="Times New Roman"/>
          <w:sz w:val="24"/>
          <w:szCs w:val="24"/>
          <w:lang w:val="en-GB"/>
        </w:rPr>
        <w:t xml:space="preserve">and </w:t>
      </w:r>
      <w:r w:rsidR="009D00C1" w:rsidRPr="00027499">
        <w:rPr>
          <w:rFonts w:ascii="Times New Roman" w:hAnsi="Times New Roman" w:cs="Times New Roman"/>
          <w:sz w:val="24"/>
          <w:szCs w:val="24"/>
          <w:lang w:val="en-GB"/>
        </w:rPr>
        <w:t xml:space="preserve">age </w:t>
      </w:r>
      <w:r w:rsidR="00F1262F" w:rsidRPr="00027499">
        <w:rPr>
          <w:rFonts w:ascii="Times New Roman" w:hAnsi="Times New Roman" w:cs="Times New Roman"/>
          <w:sz w:val="24"/>
          <w:szCs w:val="24"/>
          <w:lang w:val="en-GB"/>
        </w:rPr>
        <w:t xml:space="preserve">(subplots </w:t>
      </w:r>
      <w:r w:rsidR="009D00C1" w:rsidRPr="00027499">
        <w:rPr>
          <w:rFonts w:ascii="Times New Roman" w:hAnsi="Times New Roman" w:cs="Times New Roman"/>
          <w:sz w:val="24"/>
          <w:szCs w:val="24"/>
          <w:lang w:val="en-GB"/>
        </w:rPr>
        <w:t xml:space="preserve">a and b) and mean ICP </w:t>
      </w:r>
      <w:r w:rsidR="00F1262F" w:rsidRPr="00027499">
        <w:rPr>
          <w:rFonts w:ascii="Times New Roman" w:hAnsi="Times New Roman" w:cs="Times New Roman"/>
          <w:sz w:val="24"/>
          <w:szCs w:val="24"/>
          <w:lang w:val="en-GB"/>
        </w:rPr>
        <w:t xml:space="preserve">(subplots </w:t>
      </w:r>
      <w:r w:rsidR="009D00C1" w:rsidRPr="00027499">
        <w:rPr>
          <w:rFonts w:ascii="Times New Roman" w:hAnsi="Times New Roman" w:cs="Times New Roman"/>
          <w:sz w:val="24"/>
          <w:szCs w:val="24"/>
          <w:lang w:val="en-GB"/>
        </w:rPr>
        <w:t>c and d).</w:t>
      </w:r>
      <w:r w:rsidR="00F1262F" w:rsidRPr="00027499">
        <w:rPr>
          <w:rFonts w:ascii="Times New Roman" w:hAnsi="Times New Roman" w:cs="Times New Roman"/>
          <w:sz w:val="24"/>
          <w:szCs w:val="24"/>
          <w:lang w:val="en-GB"/>
        </w:rPr>
        <w:t xml:space="preserve"> Blue dots indicate individual data points </w:t>
      </w:r>
      <w:r w:rsidR="009E7904" w:rsidRPr="00027499">
        <w:rPr>
          <w:rFonts w:ascii="Times New Roman" w:hAnsi="Times New Roman" w:cs="Times New Roman"/>
          <w:sz w:val="24"/>
          <w:szCs w:val="24"/>
          <w:lang w:val="en-GB"/>
        </w:rPr>
        <w:t xml:space="preserve">while the red lines indicate linear regression lines. </w:t>
      </w:r>
      <w:r w:rsidR="004312C3" w:rsidRPr="00027499">
        <w:rPr>
          <w:rFonts w:ascii="Times New Roman" w:hAnsi="Times New Roman" w:cs="Times New Roman"/>
          <w:sz w:val="24"/>
          <w:szCs w:val="24"/>
          <w:lang w:val="en-GB"/>
        </w:rPr>
        <w:t>au—arbitrary units</w:t>
      </w:r>
    </w:p>
    <w:p w14:paraId="19EA8712" w14:textId="5C6C0FA7" w:rsidR="00337F99" w:rsidRPr="00027499" w:rsidRDefault="00337F99" w:rsidP="00027499">
      <w:pPr>
        <w:spacing w:after="0" w:line="360" w:lineRule="auto"/>
        <w:jc w:val="both"/>
        <w:rPr>
          <w:rFonts w:ascii="Times New Roman" w:hAnsi="Times New Roman" w:cs="Times New Roman"/>
          <w:sz w:val="24"/>
          <w:szCs w:val="24"/>
          <w:lang w:val="en-GB"/>
        </w:rPr>
      </w:pPr>
    </w:p>
    <w:p w14:paraId="32E280AE" w14:textId="77777777" w:rsidR="004126E2" w:rsidRPr="00027499" w:rsidRDefault="004126E2" w:rsidP="00027499">
      <w:pPr>
        <w:spacing w:after="0" w:line="360" w:lineRule="auto"/>
        <w:rPr>
          <w:rFonts w:ascii="Times New Roman" w:hAnsi="Times New Roman" w:cs="Times New Roman"/>
          <w:i/>
          <w:iCs/>
          <w:sz w:val="24"/>
          <w:szCs w:val="24"/>
          <w:lang w:val="en-GB"/>
        </w:rPr>
      </w:pPr>
    </w:p>
    <w:p w14:paraId="283B3B07" w14:textId="34AB838D" w:rsidR="00337F99" w:rsidRPr="00027499" w:rsidRDefault="00D64A02" w:rsidP="00027499">
      <w:pPr>
        <w:spacing w:after="0" w:line="360" w:lineRule="auto"/>
        <w:rPr>
          <w:rFonts w:ascii="Times New Roman" w:hAnsi="Times New Roman" w:cs="Times New Roman"/>
          <w:i/>
          <w:iCs/>
          <w:sz w:val="24"/>
          <w:szCs w:val="24"/>
          <w:lang w:val="en-GB"/>
        </w:rPr>
      </w:pPr>
      <w:r w:rsidRPr="00027499">
        <w:rPr>
          <w:rFonts w:ascii="Times New Roman" w:hAnsi="Times New Roman" w:cs="Times New Roman"/>
          <w:i/>
          <w:iCs/>
          <w:sz w:val="24"/>
          <w:szCs w:val="24"/>
          <w:lang w:val="en-GB"/>
        </w:rPr>
        <w:t>Short discussion</w:t>
      </w:r>
    </w:p>
    <w:p w14:paraId="2AA28B78" w14:textId="6CE8EDEF" w:rsidR="00907407" w:rsidRPr="00027499" w:rsidRDefault="0053396A" w:rsidP="00027499">
      <w:pPr>
        <w:spacing w:after="0" w:line="360" w:lineRule="auto"/>
        <w:jc w:val="both"/>
        <w:rPr>
          <w:rFonts w:ascii="Times New Roman" w:hAnsi="Times New Roman" w:cs="Times New Roman"/>
          <w:sz w:val="24"/>
          <w:szCs w:val="24"/>
          <w:lang w:val="en-GB"/>
        </w:rPr>
      </w:pPr>
      <w:r w:rsidRPr="00027499">
        <w:rPr>
          <w:rFonts w:ascii="Times New Roman" w:hAnsi="Times New Roman" w:cs="Times New Roman"/>
          <w:sz w:val="24"/>
          <w:szCs w:val="24"/>
          <w:lang w:val="en-GB"/>
        </w:rPr>
        <w:t xml:space="preserve">In </w:t>
      </w:r>
      <w:r w:rsidR="00D64A02" w:rsidRPr="00027499">
        <w:rPr>
          <w:rFonts w:ascii="Times New Roman" w:hAnsi="Times New Roman" w:cs="Times New Roman"/>
          <w:sz w:val="24"/>
          <w:szCs w:val="24"/>
          <w:lang w:val="en-GB"/>
        </w:rPr>
        <w:t>line with previous studies</w:t>
      </w:r>
      <w:r w:rsidR="003C79F3" w:rsidRPr="00027499">
        <w:rPr>
          <w:rFonts w:ascii="Times New Roman" w:hAnsi="Times New Roman" w:cs="Times New Roman"/>
          <w:sz w:val="24"/>
          <w:szCs w:val="24"/>
          <w:lang w:val="en-GB"/>
        </w:rPr>
        <w:t xml:space="preserve"> </w:t>
      </w:r>
      <w:r w:rsidR="003C79F3" w:rsidRPr="00027499">
        <w:rPr>
          <w:rFonts w:ascii="Times New Roman" w:hAnsi="Times New Roman" w:cs="Times New Roman"/>
          <w:sz w:val="24"/>
          <w:szCs w:val="24"/>
          <w:lang w:val="en-GB"/>
        </w:rPr>
        <w:fldChar w:fldCharType="begin" w:fldLock="1"/>
      </w:r>
      <w:r w:rsidR="003C79F3" w:rsidRPr="00027499">
        <w:rPr>
          <w:rFonts w:ascii="Times New Roman" w:hAnsi="Times New Roman" w:cs="Times New Roman"/>
          <w:sz w:val="24"/>
          <w:szCs w:val="24"/>
          <w:lang w:val="en-GB"/>
        </w:rPr>
        <w:instrText>ADDIN CSL_CITATION {"citationItems":[{"id":"ITEM-1","itemData":{"DOI":"10.1007/BF01411173","author":[{"dropping-particle":"","family":"Czosnyka","given":"M","non-dropping-particle":"","parse-names":false,"suffix":""},{"dropping-particle":"","family":"Guazzo","given":"E","non-dropping-particle":"","parse-names":false,"suffix":""},{"dropping-particle":"","family":"Whitehouse","given":"M","non-dropping-particle":"","parse-names":false,"suffix":""},{"dropping-particle":"","family":"Smielewski","given":"P","non-dropping-particle":"","parse-names":false,"suffix":""},{"dropping-particle":"","family":"Czosnyka","given":"Z","non-dropping-particle":"","parse-names":false,"suffix":""},{"dropping-particle":"","family":"Kirkpatrick","given":"P","non-dropping-particle":"","parse-names":false,"suffix":""},{"dropping-particle":"","family":"Piechnik","given":"S","non-dropping-particle":"","parse-names":false,"suffix":""},{"dropping-particle":"","family":"Pickard","given":"J D","non-dropping-particle":"","parse-names":false,"suffix":""}],"container-title":"Acta Neurochirurgica","id":"ITEM-1","issue":"5","issued":{"date-parts":[["1996"]]},"page":"531-542","title":"Significance of intracranial pressure waveform analysis after head injury","type":"article-journal","volume":"138"},"uris":["http://www.mendeley.com/documents/?uuid=145a75a7-2ca5-4156-bef7-2962d63bd696"]},{"id":"ITEM-2","itemData":{"DOI":"10.1136/jnnp.42.8.687","author":[{"dropping-particle":"","family":"Avezaat","given":"C J J","non-dropping-particle":"","parse-names":false,"suffix":""},{"dropping-particle":"","family":"Eijndhoven","given":"J H","non-dropping-particle":"Van","parse-names":false,"suffix":""},{"dropping-particle":"","family":"Wyper","given":"D J","non-dropping-particle":"","parse-names":false,"suffix":""}],"container-title":"Journal of Neurology, Neurosurgery &amp; Psychiatry","id":"ITEM-2","issue":"8","issued":{"date-parts":[["1979"]]},"page":"687-700","title":"Cerebrospinal fluid pulse pressure and intracranial volume-pressure relationships","type":"article-journal","volume":"42"},"uris":["http://www.mendeley.com/documents/?uuid=da3af06a-8f7e-4bb3-8cc5-c663409ffb71"]},{"id":"ITEM-3","itemData":{"DOI":"10.3171/jns.1977.47.1.0019","author":[{"dropping-particle":"","family":"Szewczykowski","given":"J","non-dropping-particle":"","parse-names":false,"suffix":""},{"dropping-particle":"","family":"Sliwka","given":"S","non-dropping-particle":"","parse-names":false,"suffix":""},{"dropping-particle":"","family":"Kunicki","given":"A","non-dropping-particle":"","parse-names":false,"suffix":""},{"dropping-particle":"","family":"Dytko","given":"P","non-dropping-particle":"","parse-names":false,"suffix":""},{"dropping-particle":"","family":"Korsak-Sliwka","given":"J","non-dropping-particle":"","parse-names":false,"suffix":""}],"container-title":"Journal of Neurosurgery","id":"ITEM-3","issue":"1","issued":{"date-parts":[["1977"]]},"page":"19-26","publisher":"Journal of Neurosurgery Publishing Group","title":"A fast method of estimating the elastance of the intracranial system","type":"article-journal","volume":"47"},"uris":["http://www.mendeley.com/documents/?uuid=452a8901-39aa-4294-b2a6-57e6b5c87f29"]}],"mendeley":{"formattedCitation":"[1–3]","plainTextFormattedCitation":"[1–3]","previouslyFormattedCitation":"[1–3]"},"properties":{"noteIndex":0},"schema":"https://github.com/citation-style-language/schema/raw/master/csl-citation.json"}</w:instrText>
      </w:r>
      <w:r w:rsidR="003C79F3" w:rsidRPr="00027499">
        <w:rPr>
          <w:rFonts w:ascii="Times New Roman" w:hAnsi="Times New Roman" w:cs="Times New Roman"/>
          <w:sz w:val="24"/>
          <w:szCs w:val="24"/>
          <w:lang w:val="en-GB"/>
        </w:rPr>
        <w:fldChar w:fldCharType="separate"/>
      </w:r>
      <w:r w:rsidR="003C79F3" w:rsidRPr="00027499">
        <w:rPr>
          <w:rFonts w:ascii="Times New Roman" w:hAnsi="Times New Roman" w:cs="Times New Roman"/>
          <w:noProof/>
          <w:sz w:val="24"/>
          <w:szCs w:val="24"/>
          <w:lang w:val="en-GB"/>
        </w:rPr>
        <w:t>[1–3]</w:t>
      </w:r>
      <w:r w:rsidR="003C79F3" w:rsidRPr="00027499">
        <w:rPr>
          <w:rFonts w:ascii="Times New Roman" w:hAnsi="Times New Roman" w:cs="Times New Roman"/>
          <w:sz w:val="24"/>
          <w:szCs w:val="24"/>
          <w:lang w:val="en-GB"/>
        </w:rPr>
        <w:fldChar w:fldCharType="end"/>
      </w:r>
      <w:r w:rsidRPr="00027499">
        <w:rPr>
          <w:rFonts w:ascii="Times New Roman" w:hAnsi="Times New Roman" w:cs="Times New Roman"/>
          <w:color w:val="000000"/>
          <w:sz w:val="24"/>
          <w:szCs w:val="24"/>
          <w:lang w:val="en-GB"/>
        </w:rPr>
        <w:t xml:space="preserve">, </w:t>
      </w:r>
      <w:r w:rsidR="00D64A02" w:rsidRPr="00027499">
        <w:rPr>
          <w:rFonts w:ascii="Times New Roman" w:hAnsi="Times New Roman" w:cs="Times New Roman"/>
          <w:sz w:val="24"/>
          <w:szCs w:val="24"/>
          <w:lang w:val="en-GB"/>
        </w:rPr>
        <w:t>we observed a</w:t>
      </w:r>
      <w:r w:rsidR="00C87056" w:rsidRPr="00027499">
        <w:rPr>
          <w:rFonts w:ascii="Times New Roman" w:hAnsi="Times New Roman" w:cs="Times New Roman"/>
          <w:sz w:val="24"/>
          <w:szCs w:val="24"/>
          <w:lang w:val="en-GB"/>
        </w:rPr>
        <w:t>n</w:t>
      </w:r>
      <w:r w:rsidR="00D64A02" w:rsidRPr="00027499">
        <w:rPr>
          <w:rFonts w:ascii="Times New Roman" w:hAnsi="Times New Roman" w:cs="Times New Roman"/>
          <w:sz w:val="24"/>
          <w:szCs w:val="24"/>
          <w:lang w:val="en-GB"/>
        </w:rPr>
        <w:t xml:space="preserve"> increase in </w:t>
      </w:r>
      <w:proofErr w:type="spellStart"/>
      <w:r w:rsidR="00D64A02" w:rsidRPr="00027499">
        <w:rPr>
          <w:rFonts w:ascii="Times New Roman" w:hAnsi="Times New Roman" w:cs="Times New Roman"/>
          <w:sz w:val="24"/>
          <w:szCs w:val="24"/>
          <w:lang w:val="en-GB"/>
        </w:rPr>
        <w:t>AmpICP</w:t>
      </w:r>
      <w:proofErr w:type="spellEnd"/>
      <w:r w:rsidR="00D64A02" w:rsidRPr="00027499">
        <w:rPr>
          <w:rFonts w:ascii="Times New Roman" w:hAnsi="Times New Roman" w:cs="Times New Roman"/>
          <w:sz w:val="24"/>
          <w:szCs w:val="24"/>
          <w:lang w:val="en-GB"/>
        </w:rPr>
        <w:t xml:space="preserve"> with mean ICP</w:t>
      </w:r>
      <w:r w:rsidR="00B146AD" w:rsidRPr="00027499">
        <w:rPr>
          <w:rFonts w:ascii="Times New Roman" w:hAnsi="Times New Roman" w:cs="Times New Roman"/>
          <w:sz w:val="24"/>
          <w:szCs w:val="24"/>
          <w:lang w:val="en-GB"/>
        </w:rPr>
        <w:t xml:space="preserve">. A previous study showed no effect of age on </w:t>
      </w:r>
      <w:proofErr w:type="spellStart"/>
      <w:r w:rsidR="00B146AD" w:rsidRPr="00027499">
        <w:rPr>
          <w:rFonts w:ascii="Times New Roman" w:hAnsi="Times New Roman" w:cs="Times New Roman"/>
          <w:sz w:val="24"/>
          <w:szCs w:val="24"/>
          <w:lang w:val="en-GB"/>
        </w:rPr>
        <w:t>AmpICP</w:t>
      </w:r>
      <w:proofErr w:type="spellEnd"/>
      <w:r w:rsidR="00B146AD" w:rsidRPr="00027499">
        <w:rPr>
          <w:rFonts w:ascii="Times New Roman" w:hAnsi="Times New Roman" w:cs="Times New Roman"/>
          <w:sz w:val="24"/>
          <w:szCs w:val="24"/>
          <w:lang w:val="en-GB"/>
        </w:rPr>
        <w:t xml:space="preserve"> in young patients up to about 35 years old and </w:t>
      </w:r>
      <w:r w:rsidR="004D03C7" w:rsidRPr="00027499">
        <w:rPr>
          <w:rFonts w:ascii="Times New Roman" w:hAnsi="Times New Roman" w:cs="Times New Roman"/>
          <w:sz w:val="24"/>
          <w:szCs w:val="24"/>
          <w:lang w:val="en-GB"/>
        </w:rPr>
        <w:t xml:space="preserve">a </w:t>
      </w:r>
      <w:r w:rsidR="00B146AD" w:rsidRPr="00027499">
        <w:rPr>
          <w:rFonts w:ascii="Times New Roman" w:hAnsi="Times New Roman" w:cs="Times New Roman"/>
          <w:sz w:val="24"/>
          <w:szCs w:val="24"/>
          <w:lang w:val="en-GB"/>
        </w:rPr>
        <w:t xml:space="preserve">significant increase in </w:t>
      </w:r>
      <w:proofErr w:type="spellStart"/>
      <w:r w:rsidR="00B146AD" w:rsidRPr="00027499">
        <w:rPr>
          <w:rFonts w:ascii="Times New Roman" w:hAnsi="Times New Roman" w:cs="Times New Roman"/>
          <w:sz w:val="24"/>
          <w:szCs w:val="24"/>
          <w:lang w:val="en-GB"/>
        </w:rPr>
        <w:t>AmpICP</w:t>
      </w:r>
      <w:proofErr w:type="spellEnd"/>
      <w:r w:rsidR="00B146AD" w:rsidRPr="00027499">
        <w:rPr>
          <w:rFonts w:ascii="Times New Roman" w:hAnsi="Times New Roman" w:cs="Times New Roman"/>
          <w:sz w:val="24"/>
          <w:szCs w:val="24"/>
          <w:lang w:val="en-GB"/>
        </w:rPr>
        <w:t xml:space="preserve"> in older patients</w:t>
      </w:r>
      <w:r w:rsidR="004D03C7" w:rsidRPr="00027499">
        <w:rPr>
          <w:rFonts w:ascii="Times New Roman" w:hAnsi="Times New Roman" w:cs="Times New Roman"/>
          <w:sz w:val="24"/>
          <w:szCs w:val="24"/>
          <w:lang w:val="en-GB"/>
        </w:rPr>
        <w:t>,</w:t>
      </w:r>
      <w:r w:rsidR="00B146AD" w:rsidRPr="00027499">
        <w:rPr>
          <w:rFonts w:ascii="Times New Roman" w:hAnsi="Times New Roman" w:cs="Times New Roman"/>
          <w:sz w:val="24"/>
          <w:szCs w:val="24"/>
          <w:lang w:val="en-GB"/>
        </w:rPr>
        <w:t xml:space="preserve"> with the most pronounced rise in those over 60 years old</w:t>
      </w:r>
      <w:r w:rsidR="003C79F3" w:rsidRPr="00027499">
        <w:rPr>
          <w:rFonts w:ascii="Times New Roman" w:hAnsi="Times New Roman" w:cs="Times New Roman"/>
          <w:sz w:val="24"/>
          <w:szCs w:val="24"/>
          <w:lang w:val="en-GB"/>
        </w:rPr>
        <w:t xml:space="preserve"> </w:t>
      </w:r>
      <w:r w:rsidR="003C79F3" w:rsidRPr="00027499">
        <w:rPr>
          <w:rFonts w:ascii="Times New Roman" w:hAnsi="Times New Roman" w:cs="Times New Roman"/>
          <w:sz w:val="24"/>
          <w:szCs w:val="24"/>
          <w:lang w:val="en-GB"/>
        </w:rPr>
        <w:fldChar w:fldCharType="begin" w:fldLock="1"/>
      </w:r>
      <w:r w:rsidR="003C79F3" w:rsidRPr="00027499">
        <w:rPr>
          <w:rFonts w:ascii="Times New Roman" w:hAnsi="Times New Roman" w:cs="Times New Roman"/>
          <w:sz w:val="24"/>
          <w:szCs w:val="24"/>
          <w:lang w:val="en-GB"/>
        </w:rPr>
        <w:instrText>ADDIN CSL_CITATION {"citationItems":[{"id":"ITEM-1","itemData":{"DOI":"10.1007/s00134-012-2571-7","author":[{"dropping-particle":"","family":"Howells","given":"T","non-dropping-particle":"","parse-names":false,"suffix":""},{"dropping-particle":"","family":"Lewén","given":"A","non-dropping-particle":"","parse-names":false,"suffix":""},{"dropping-particle":"","family":"Sköld","given":"M K","non-dropping-particle":"","parse-names":false,"suffix":""},{"dropping-particle":"","family":"Ronne-Engström","given":"E","non-dropping-particle":"","parse-names":false,"suffix":""},{"dropping-particle":"","family":"Enblad","given":"P","non-dropping-particle":"","parse-names":false,"suffix":""}],"container-title":"Intensive Care Medicine","id":"ITEM-1","issue":"6","issued":{"date-parts":[["2012"]]},"page":"1061-1068","publisher":"Springer","title":"An evaluation of three measures of intracranial compliance in traumatic brain injury patients","type":"article-journal","volume":"38"},"uris":["http://www.mendeley.com/documents/?uuid=0569ba9d-7291-46e1-9e18-4e7f8cd8bc40"]}],"mendeley":{"formattedCitation":"[4]","plainTextFormattedCitation":"[4]","previouslyFormattedCitation":"[4]"},"properties":{"noteIndex":0},"schema":"https://github.com/citation-style-language/schema/raw/master/csl-citation.json"}</w:instrText>
      </w:r>
      <w:r w:rsidR="003C79F3" w:rsidRPr="00027499">
        <w:rPr>
          <w:rFonts w:ascii="Times New Roman" w:hAnsi="Times New Roman" w:cs="Times New Roman"/>
          <w:sz w:val="24"/>
          <w:szCs w:val="24"/>
          <w:lang w:val="en-GB"/>
        </w:rPr>
        <w:fldChar w:fldCharType="separate"/>
      </w:r>
      <w:r w:rsidR="003C79F3" w:rsidRPr="00027499">
        <w:rPr>
          <w:rFonts w:ascii="Times New Roman" w:hAnsi="Times New Roman" w:cs="Times New Roman"/>
          <w:noProof/>
          <w:sz w:val="24"/>
          <w:szCs w:val="24"/>
          <w:lang w:val="en-GB"/>
        </w:rPr>
        <w:t>[4]</w:t>
      </w:r>
      <w:r w:rsidR="003C79F3" w:rsidRPr="00027499">
        <w:rPr>
          <w:rFonts w:ascii="Times New Roman" w:hAnsi="Times New Roman" w:cs="Times New Roman"/>
          <w:sz w:val="24"/>
          <w:szCs w:val="24"/>
          <w:lang w:val="en-GB"/>
        </w:rPr>
        <w:fldChar w:fldCharType="end"/>
      </w:r>
      <w:r w:rsidR="00B146AD" w:rsidRPr="00027499">
        <w:rPr>
          <w:rFonts w:ascii="Times New Roman" w:hAnsi="Times New Roman" w:cs="Times New Roman"/>
          <w:sz w:val="24"/>
          <w:szCs w:val="24"/>
          <w:lang w:val="en-GB"/>
        </w:rPr>
        <w:t xml:space="preserve">. </w:t>
      </w:r>
      <w:r w:rsidR="00907407" w:rsidRPr="00027499">
        <w:rPr>
          <w:rFonts w:ascii="Times New Roman" w:hAnsi="Times New Roman" w:cs="Times New Roman"/>
          <w:sz w:val="24"/>
          <w:szCs w:val="24"/>
          <w:lang w:val="en-GB"/>
        </w:rPr>
        <w:t xml:space="preserve">In our study, we observed a moderate but significant correlation between </w:t>
      </w:r>
      <w:proofErr w:type="spellStart"/>
      <w:r w:rsidR="00907407" w:rsidRPr="00027499">
        <w:rPr>
          <w:rFonts w:ascii="Times New Roman" w:hAnsi="Times New Roman" w:cs="Times New Roman"/>
          <w:sz w:val="24"/>
          <w:szCs w:val="24"/>
          <w:lang w:val="en-GB"/>
        </w:rPr>
        <w:t>AmpICP</w:t>
      </w:r>
      <w:proofErr w:type="spellEnd"/>
      <w:r w:rsidR="00907407" w:rsidRPr="00027499">
        <w:rPr>
          <w:rFonts w:ascii="Times New Roman" w:hAnsi="Times New Roman" w:cs="Times New Roman"/>
          <w:sz w:val="24"/>
          <w:szCs w:val="24"/>
          <w:lang w:val="en-GB"/>
        </w:rPr>
        <w:t xml:space="preserve"> and age; however, we did not find a stronger link between amplitude and age in older individuals. Instead, we discovered that the correlation with age becomes more significant when ICP is elevated (above 15 mm Hg).</w:t>
      </w:r>
    </w:p>
    <w:p w14:paraId="43363E88" w14:textId="2B3D85C6" w:rsidR="00907407" w:rsidRPr="00027499" w:rsidRDefault="00907407" w:rsidP="00027499">
      <w:pPr>
        <w:spacing w:after="0" w:line="360" w:lineRule="auto"/>
        <w:ind w:firstLine="708"/>
        <w:jc w:val="both"/>
        <w:rPr>
          <w:rFonts w:ascii="Times New Roman" w:hAnsi="Times New Roman" w:cs="Times New Roman"/>
          <w:sz w:val="24"/>
          <w:szCs w:val="24"/>
          <w:lang w:val="en-GB"/>
        </w:rPr>
      </w:pPr>
      <w:r w:rsidRPr="00027499">
        <w:rPr>
          <w:rFonts w:ascii="Times New Roman" w:hAnsi="Times New Roman" w:cs="Times New Roman"/>
          <w:sz w:val="24"/>
          <w:szCs w:val="24"/>
          <w:lang w:val="en-GB"/>
        </w:rPr>
        <w:t>In our study mean ICP was not correlated with age. However, a decrease in mean ICP with aging has been previously reported</w:t>
      </w:r>
      <w:r w:rsidR="003C79F3" w:rsidRPr="00027499">
        <w:rPr>
          <w:rFonts w:ascii="Times New Roman" w:hAnsi="Times New Roman" w:cs="Times New Roman"/>
          <w:sz w:val="24"/>
          <w:szCs w:val="24"/>
          <w:lang w:val="en-GB"/>
        </w:rPr>
        <w:t xml:space="preserve"> </w:t>
      </w:r>
      <w:r w:rsidR="003C79F3" w:rsidRPr="00027499">
        <w:rPr>
          <w:rFonts w:ascii="Times New Roman" w:hAnsi="Times New Roman" w:cs="Times New Roman"/>
          <w:sz w:val="24"/>
          <w:szCs w:val="24"/>
          <w:lang w:val="en-GB"/>
        </w:rPr>
        <w:fldChar w:fldCharType="begin" w:fldLock="1"/>
      </w:r>
      <w:r w:rsidR="00BB5DBF" w:rsidRPr="00027499">
        <w:rPr>
          <w:rFonts w:ascii="Times New Roman" w:hAnsi="Times New Roman" w:cs="Times New Roman"/>
          <w:sz w:val="24"/>
          <w:szCs w:val="24"/>
          <w:lang w:val="en-GB"/>
        </w:rPr>
        <w:instrText>ADDIN CSL_CITATION {"citationItems":[{"id":"ITEM-1","itemData":{"DOI":"10.3171/jns.2005.102.3.0450","ISSN":"00223085","author":[{"dropping-particle":"","family":"Czosnyka","given":"M","non-dropping-particle":"","parse-names":false,"suffix":""},{"dropping-particle":"","family":"Balestreri","given":"M","non-dropping-particle":"","parse-names":false,"suffix":""},{"dropping-particle":"","family":"Steiner","given":"L","non-dropping-particle":"","parse-names":false,"suffix":""},{"dropping-particle":"","family":"Smielewski","given":"P","non-dropping-particle":"","parse-names":false,"suffix":""},{"dropping-particle":"","family":"Hutchinson","given":"P J","non-dropping-particle":"","parse-names":false,"suffix":""},{"dropping-particle":"","family":"Matta","given":"B","non-dropping-particle":"","parse-names":false,"suffix":""},{"dropping-particle":"","family":"Pickard","given":"J D","non-dropping-particle":"","parse-names":false,"suffix":""}],"container-title":"Journal of Neurosurgery","id":"ITEM-1","issue":"3","issued":{"date-parts":[["2005"]]},"page":"450-454","title":"Age, intracranial pressure, autoregulation, and outcome after brain trauma","type":"article-journal","volume":"102"},"uris":["http://www.mendeley.com/documents/?uuid=9ed90796-989c-4bab-932f-95c00c7730a9"]},{"id":"ITEM-2","itemData":{"DOI":"10.1016/j.wneu.2017.10.086","ISSN":"18788769","author":[{"dropping-particle":"","family":"Pedersen","given":"S H","non-dropping-particle":"","parse-names":false,"suffix":""},{"dropping-particle":"","family":"Lilja-Cyron","given":"A","non-dropping-particle":"","parse-names":false,"suffix":""},{"dropping-particle":"","family":"Andresen","given":"M","non-dropping-particle":"","parse-names":false,"suffix":""},{"dropping-particle":"","family":"Juhler","given":"M","non-dropping-particle":"","parse-names":false,"suffix":""}],"container-title":"World Neurosurgery","id":"ITEM-2","issued":{"date-parts":[["2018"]]},"page":"e119-e123","title":"The relationship between intracranial pressure and age—chasing age-related reference values","type":"article-journal","volume":"110"},"uris":["http://www.mendeley.com/documents/?uuid=220d7fa9-dd70-44f6-a81a-e68f789c35ce"]}],"mendeley":{"formattedCitation":"[5,6]","plainTextFormattedCitation":"[5,6]","previouslyFormattedCitation":"[5,6]"},"properties":{"noteIndex":0},"schema":"https://github.com/citation-style-language/schema/raw/master/csl-citation.json"}</w:instrText>
      </w:r>
      <w:r w:rsidR="003C79F3" w:rsidRPr="00027499">
        <w:rPr>
          <w:rFonts w:ascii="Times New Roman" w:hAnsi="Times New Roman" w:cs="Times New Roman"/>
          <w:sz w:val="24"/>
          <w:szCs w:val="24"/>
          <w:lang w:val="en-GB"/>
        </w:rPr>
        <w:fldChar w:fldCharType="separate"/>
      </w:r>
      <w:r w:rsidR="003C79F3" w:rsidRPr="00027499">
        <w:rPr>
          <w:rFonts w:ascii="Times New Roman" w:hAnsi="Times New Roman" w:cs="Times New Roman"/>
          <w:noProof/>
          <w:sz w:val="24"/>
          <w:szCs w:val="24"/>
          <w:lang w:val="en-GB"/>
        </w:rPr>
        <w:t>[5,6]</w:t>
      </w:r>
      <w:r w:rsidR="003C79F3" w:rsidRPr="00027499">
        <w:rPr>
          <w:rFonts w:ascii="Times New Roman" w:hAnsi="Times New Roman" w:cs="Times New Roman"/>
          <w:sz w:val="24"/>
          <w:szCs w:val="24"/>
          <w:lang w:val="en-GB"/>
        </w:rPr>
        <w:fldChar w:fldCharType="end"/>
      </w:r>
      <w:r w:rsidR="003C79F3" w:rsidRPr="00027499">
        <w:rPr>
          <w:rFonts w:ascii="Times New Roman" w:hAnsi="Times New Roman" w:cs="Times New Roman"/>
          <w:sz w:val="24"/>
          <w:szCs w:val="24"/>
          <w:lang w:val="en-GB"/>
        </w:rPr>
        <w:t>.</w:t>
      </w:r>
      <w:r w:rsidR="003C79F3" w:rsidRPr="00027499" w:rsidDel="003C79F3">
        <w:rPr>
          <w:rFonts w:ascii="Times New Roman" w:hAnsi="Times New Roman" w:cs="Times New Roman"/>
          <w:sz w:val="24"/>
          <w:szCs w:val="24"/>
          <w:lang w:val="en-GB"/>
        </w:rPr>
        <w:t xml:space="preserve"> </w:t>
      </w:r>
    </w:p>
    <w:p w14:paraId="7B79926B" w14:textId="77777777" w:rsidR="004126E2" w:rsidRPr="00027499" w:rsidRDefault="004126E2" w:rsidP="00027499">
      <w:pPr>
        <w:spacing w:after="0" w:line="360" w:lineRule="auto"/>
        <w:rPr>
          <w:rFonts w:ascii="Times New Roman" w:hAnsi="Times New Roman" w:cs="Times New Roman"/>
          <w:i/>
          <w:iCs/>
          <w:sz w:val="24"/>
          <w:szCs w:val="24"/>
          <w:lang w:val="en-GB"/>
        </w:rPr>
      </w:pPr>
    </w:p>
    <w:p w14:paraId="0F99EB48" w14:textId="76AA39D5" w:rsidR="00907407" w:rsidRPr="00027499" w:rsidRDefault="00907407" w:rsidP="00027499">
      <w:pPr>
        <w:spacing w:after="0" w:line="360" w:lineRule="auto"/>
        <w:rPr>
          <w:rFonts w:ascii="Times New Roman" w:hAnsi="Times New Roman" w:cs="Times New Roman"/>
          <w:i/>
          <w:iCs/>
          <w:sz w:val="24"/>
          <w:szCs w:val="24"/>
          <w:lang w:val="en-GB"/>
        </w:rPr>
      </w:pPr>
      <w:r w:rsidRPr="00027499">
        <w:rPr>
          <w:rFonts w:ascii="Times New Roman" w:hAnsi="Times New Roman" w:cs="Times New Roman"/>
          <w:i/>
          <w:iCs/>
          <w:sz w:val="24"/>
          <w:szCs w:val="24"/>
          <w:lang w:val="en-GB"/>
        </w:rPr>
        <w:t>References</w:t>
      </w:r>
    </w:p>
    <w:p w14:paraId="52E5C577" w14:textId="1820BF9D" w:rsidR="00BB5DBF" w:rsidRPr="00027499" w:rsidRDefault="00BB5DBF" w:rsidP="00027499">
      <w:pPr>
        <w:widowControl w:val="0"/>
        <w:autoSpaceDE w:val="0"/>
        <w:autoSpaceDN w:val="0"/>
        <w:adjustRightInd w:val="0"/>
        <w:spacing w:after="0" w:line="360" w:lineRule="auto"/>
        <w:ind w:left="284" w:hanging="284"/>
        <w:jc w:val="both"/>
        <w:rPr>
          <w:rFonts w:ascii="Times New Roman" w:hAnsi="Times New Roman" w:cs="Times New Roman"/>
          <w:noProof/>
          <w:kern w:val="0"/>
          <w:sz w:val="24"/>
          <w:lang w:val="en-GB"/>
        </w:rPr>
      </w:pPr>
      <w:r w:rsidRPr="00027499">
        <w:rPr>
          <w:rFonts w:ascii="Times New Roman" w:hAnsi="Times New Roman" w:cs="Times New Roman"/>
          <w:i/>
          <w:iCs/>
          <w:sz w:val="24"/>
          <w:szCs w:val="24"/>
          <w:lang w:val="en-GB"/>
        </w:rPr>
        <w:fldChar w:fldCharType="begin" w:fldLock="1"/>
      </w:r>
      <w:r w:rsidRPr="00027499">
        <w:rPr>
          <w:rFonts w:ascii="Times New Roman" w:hAnsi="Times New Roman" w:cs="Times New Roman"/>
          <w:i/>
          <w:iCs/>
          <w:sz w:val="24"/>
          <w:szCs w:val="24"/>
          <w:lang w:val="en-GB"/>
        </w:rPr>
        <w:instrText xml:space="preserve">ADDIN Mendeley Bibliography CSL_BIBLIOGRAPHY </w:instrText>
      </w:r>
      <w:r w:rsidRPr="00027499">
        <w:rPr>
          <w:rFonts w:ascii="Times New Roman" w:hAnsi="Times New Roman" w:cs="Times New Roman"/>
          <w:i/>
          <w:iCs/>
          <w:sz w:val="24"/>
          <w:szCs w:val="24"/>
          <w:lang w:val="en-GB"/>
        </w:rPr>
        <w:fldChar w:fldCharType="separate"/>
      </w:r>
      <w:r w:rsidRPr="00027499">
        <w:rPr>
          <w:rFonts w:ascii="Times New Roman" w:hAnsi="Times New Roman" w:cs="Times New Roman"/>
          <w:noProof/>
          <w:kern w:val="0"/>
          <w:sz w:val="24"/>
          <w:lang w:val="en-GB"/>
        </w:rPr>
        <w:t>1. Czosnyka M, Guazzo E, Whitehouse M, Smielewski P, Czosnyka Z, Kirkpatrick P, et al. Significance of intracranial pressure waveform analysis after head injury. Acta Neurochir (Wien). 1996;138:531–42. doi: 10.1007/BF01411173</w:t>
      </w:r>
    </w:p>
    <w:p w14:paraId="53D5367A" w14:textId="5F7515E5" w:rsidR="00BB5DBF" w:rsidRPr="00027499" w:rsidRDefault="00BB5DBF" w:rsidP="00027499">
      <w:pPr>
        <w:widowControl w:val="0"/>
        <w:autoSpaceDE w:val="0"/>
        <w:autoSpaceDN w:val="0"/>
        <w:adjustRightInd w:val="0"/>
        <w:spacing w:after="0" w:line="360" w:lineRule="auto"/>
        <w:ind w:left="284" w:hanging="284"/>
        <w:jc w:val="both"/>
        <w:rPr>
          <w:rFonts w:ascii="Times New Roman" w:hAnsi="Times New Roman" w:cs="Times New Roman"/>
          <w:noProof/>
          <w:kern w:val="0"/>
          <w:sz w:val="24"/>
          <w:lang w:val="en-GB"/>
        </w:rPr>
      </w:pPr>
      <w:r w:rsidRPr="00027499">
        <w:rPr>
          <w:rFonts w:ascii="Times New Roman" w:hAnsi="Times New Roman" w:cs="Times New Roman"/>
          <w:noProof/>
          <w:kern w:val="0"/>
          <w:sz w:val="24"/>
          <w:lang w:val="en-GB"/>
        </w:rPr>
        <w:t>2. Avezaat CJJ, Van Eijndhoven JH, Wyper DJ. Cerebrospinal fluid pulse pressure and intracranial volume-pressure relationships. J Neurol Neurosurg Psychiatry. 1979;42:687–700. doi: 10.1136/jnnp.42.8.687</w:t>
      </w:r>
    </w:p>
    <w:p w14:paraId="3597D4C4" w14:textId="5653C1ED" w:rsidR="00BB5DBF" w:rsidRPr="00027499" w:rsidRDefault="00BB5DBF" w:rsidP="00027499">
      <w:pPr>
        <w:widowControl w:val="0"/>
        <w:autoSpaceDE w:val="0"/>
        <w:autoSpaceDN w:val="0"/>
        <w:adjustRightInd w:val="0"/>
        <w:spacing w:after="0" w:line="360" w:lineRule="auto"/>
        <w:ind w:left="284" w:hanging="284"/>
        <w:jc w:val="both"/>
        <w:rPr>
          <w:rFonts w:ascii="Times New Roman" w:hAnsi="Times New Roman" w:cs="Times New Roman"/>
          <w:noProof/>
          <w:kern w:val="0"/>
          <w:sz w:val="24"/>
          <w:lang w:val="en-GB"/>
        </w:rPr>
      </w:pPr>
      <w:r w:rsidRPr="00027499">
        <w:rPr>
          <w:rFonts w:ascii="Times New Roman" w:hAnsi="Times New Roman" w:cs="Times New Roman"/>
          <w:noProof/>
          <w:kern w:val="0"/>
          <w:sz w:val="24"/>
          <w:lang w:val="en-GB"/>
        </w:rPr>
        <w:t>3. Szewczykowski J, Sliwka S, Kunicki A, Dytko P, Korsak-Sliwka J. A fast method of estimating the elastance of the intracranial system. J Neurosurg. 1977;47:19–26. doi: 10.3171/jns.1977.47.1.0019</w:t>
      </w:r>
    </w:p>
    <w:p w14:paraId="1CCA3301" w14:textId="354EBF30" w:rsidR="00BB5DBF" w:rsidRPr="00027499" w:rsidRDefault="00BB5DBF" w:rsidP="00027499">
      <w:pPr>
        <w:widowControl w:val="0"/>
        <w:autoSpaceDE w:val="0"/>
        <w:autoSpaceDN w:val="0"/>
        <w:adjustRightInd w:val="0"/>
        <w:spacing w:after="0" w:line="360" w:lineRule="auto"/>
        <w:ind w:left="284" w:hanging="284"/>
        <w:jc w:val="both"/>
        <w:rPr>
          <w:rFonts w:ascii="Times New Roman" w:hAnsi="Times New Roman" w:cs="Times New Roman"/>
          <w:noProof/>
          <w:kern w:val="0"/>
          <w:sz w:val="24"/>
          <w:lang w:val="en-GB"/>
        </w:rPr>
      </w:pPr>
      <w:r w:rsidRPr="00027499">
        <w:rPr>
          <w:rFonts w:ascii="Times New Roman" w:hAnsi="Times New Roman" w:cs="Times New Roman"/>
          <w:noProof/>
          <w:kern w:val="0"/>
          <w:sz w:val="24"/>
          <w:lang w:val="en-GB"/>
        </w:rPr>
        <w:t>4. Howells T, Lewén A, Sköld MK, Ronne-Engström E, Enblad P. An evaluation of three measures of intracranial compliance in traumatic brain injury patients. Intensive Care Med. 2012;38:1061–8. doi: 10.1007/s00134-012-2571-7</w:t>
      </w:r>
    </w:p>
    <w:p w14:paraId="14137200" w14:textId="1A092EDE" w:rsidR="00BB5DBF" w:rsidRPr="00027499" w:rsidRDefault="00BB5DBF" w:rsidP="00027499">
      <w:pPr>
        <w:widowControl w:val="0"/>
        <w:autoSpaceDE w:val="0"/>
        <w:autoSpaceDN w:val="0"/>
        <w:adjustRightInd w:val="0"/>
        <w:spacing w:after="0" w:line="360" w:lineRule="auto"/>
        <w:ind w:left="284" w:hanging="284"/>
        <w:jc w:val="both"/>
        <w:rPr>
          <w:rFonts w:ascii="Times New Roman" w:hAnsi="Times New Roman" w:cs="Times New Roman"/>
          <w:noProof/>
          <w:kern w:val="0"/>
          <w:sz w:val="24"/>
          <w:lang w:val="en-GB"/>
        </w:rPr>
      </w:pPr>
      <w:r w:rsidRPr="00027499">
        <w:rPr>
          <w:rFonts w:ascii="Times New Roman" w:hAnsi="Times New Roman" w:cs="Times New Roman"/>
          <w:noProof/>
          <w:kern w:val="0"/>
          <w:sz w:val="24"/>
          <w:lang w:val="en-GB"/>
        </w:rPr>
        <w:t>5. Czosnyka M, Balestreri M, Steiner L, Smielewski P, Hutchinson PJ, Matta B, et al. Age, intracranial pressure, autoregulation, and outcome after brain trauma. J Neurosurg. 2005;102:450–4. doi: 10.3171/jns.2005.102.3.0450</w:t>
      </w:r>
    </w:p>
    <w:p w14:paraId="26718F1C" w14:textId="6EA6147C" w:rsidR="00697E0D" w:rsidRPr="00027499" w:rsidRDefault="00BB5DBF" w:rsidP="00027499">
      <w:pPr>
        <w:widowControl w:val="0"/>
        <w:autoSpaceDE w:val="0"/>
        <w:autoSpaceDN w:val="0"/>
        <w:adjustRightInd w:val="0"/>
        <w:spacing w:after="0" w:line="360" w:lineRule="auto"/>
        <w:ind w:left="284" w:hanging="284"/>
        <w:rPr>
          <w:rFonts w:ascii="Times New Roman" w:hAnsi="Times New Roman" w:cs="Times New Roman"/>
          <w:sz w:val="24"/>
          <w:szCs w:val="24"/>
          <w:lang w:val="en-GB"/>
        </w:rPr>
      </w:pPr>
      <w:r w:rsidRPr="00027499">
        <w:rPr>
          <w:rFonts w:ascii="Times New Roman" w:hAnsi="Times New Roman" w:cs="Times New Roman"/>
          <w:noProof/>
          <w:kern w:val="0"/>
          <w:sz w:val="24"/>
          <w:lang w:val="en-GB"/>
        </w:rPr>
        <w:t xml:space="preserve">6. Pedersen SH, Lilja-Cyron A, Andresen M, Juhler M. The relationship between intracranial pressure and age—chasing age-related reference values. </w:t>
      </w:r>
      <w:r w:rsidRPr="00027499">
        <w:rPr>
          <w:rFonts w:ascii="Times New Roman" w:hAnsi="Times New Roman" w:cs="Times New Roman"/>
          <w:noProof/>
          <w:kern w:val="0"/>
          <w:sz w:val="24"/>
        </w:rPr>
        <w:t>World Neurosurg. 2018;110:e119–23. doi: 10.1016/j.wneu.2017.10.086</w:t>
      </w:r>
      <w:r w:rsidRPr="00027499">
        <w:rPr>
          <w:rFonts w:ascii="Times New Roman" w:hAnsi="Times New Roman" w:cs="Times New Roman"/>
          <w:i/>
          <w:iCs/>
          <w:sz w:val="24"/>
          <w:szCs w:val="24"/>
          <w:lang w:val="en-GB"/>
        </w:rPr>
        <w:fldChar w:fldCharType="end"/>
      </w:r>
    </w:p>
    <w:sectPr w:rsidR="00697E0D" w:rsidRPr="000274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73ED7"/>
    <w:multiLevelType w:val="hybridMultilevel"/>
    <w:tmpl w:val="82346B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27887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9B7"/>
    <w:rsid w:val="00011A27"/>
    <w:rsid w:val="00022CD8"/>
    <w:rsid w:val="00027499"/>
    <w:rsid w:val="00085F18"/>
    <w:rsid w:val="000C276D"/>
    <w:rsid w:val="000E21C8"/>
    <w:rsid w:val="000E5851"/>
    <w:rsid w:val="00101CC9"/>
    <w:rsid w:val="001343CB"/>
    <w:rsid w:val="00151D7E"/>
    <w:rsid w:val="001A2FBC"/>
    <w:rsid w:val="001C7EC8"/>
    <w:rsid w:val="001E5305"/>
    <w:rsid w:val="002011B2"/>
    <w:rsid w:val="00264E8C"/>
    <w:rsid w:val="00326C84"/>
    <w:rsid w:val="00327009"/>
    <w:rsid w:val="00333DB4"/>
    <w:rsid w:val="00337F99"/>
    <w:rsid w:val="00343C69"/>
    <w:rsid w:val="00373B35"/>
    <w:rsid w:val="003C79F3"/>
    <w:rsid w:val="003C79F6"/>
    <w:rsid w:val="003D41A0"/>
    <w:rsid w:val="004126E2"/>
    <w:rsid w:val="00424CA4"/>
    <w:rsid w:val="004312C3"/>
    <w:rsid w:val="00471733"/>
    <w:rsid w:val="00483913"/>
    <w:rsid w:val="00486220"/>
    <w:rsid w:val="004D03C7"/>
    <w:rsid w:val="0053396A"/>
    <w:rsid w:val="00546AB9"/>
    <w:rsid w:val="00595729"/>
    <w:rsid w:val="00596FB3"/>
    <w:rsid w:val="005B24ED"/>
    <w:rsid w:val="005D2F35"/>
    <w:rsid w:val="005E6861"/>
    <w:rsid w:val="00635D9A"/>
    <w:rsid w:val="00664338"/>
    <w:rsid w:val="00697E0D"/>
    <w:rsid w:val="00792731"/>
    <w:rsid w:val="007A57AE"/>
    <w:rsid w:val="007A5D0A"/>
    <w:rsid w:val="007C7229"/>
    <w:rsid w:val="007F37E8"/>
    <w:rsid w:val="008841F8"/>
    <w:rsid w:val="00887DC6"/>
    <w:rsid w:val="008F6DE1"/>
    <w:rsid w:val="00907407"/>
    <w:rsid w:val="00943A39"/>
    <w:rsid w:val="00982B92"/>
    <w:rsid w:val="009D00C1"/>
    <w:rsid w:val="009E7904"/>
    <w:rsid w:val="009F796F"/>
    <w:rsid w:val="00A15652"/>
    <w:rsid w:val="00AA7D4C"/>
    <w:rsid w:val="00AC6C4F"/>
    <w:rsid w:val="00AD36D8"/>
    <w:rsid w:val="00B0253E"/>
    <w:rsid w:val="00B10BF3"/>
    <w:rsid w:val="00B13A87"/>
    <w:rsid w:val="00B146AD"/>
    <w:rsid w:val="00B65220"/>
    <w:rsid w:val="00B7748E"/>
    <w:rsid w:val="00B911A3"/>
    <w:rsid w:val="00BB5DBF"/>
    <w:rsid w:val="00BF7DC1"/>
    <w:rsid w:val="00C13CDA"/>
    <w:rsid w:val="00C338C6"/>
    <w:rsid w:val="00C87056"/>
    <w:rsid w:val="00C92E3B"/>
    <w:rsid w:val="00D6487F"/>
    <w:rsid w:val="00D64A02"/>
    <w:rsid w:val="00DA356F"/>
    <w:rsid w:val="00DA657B"/>
    <w:rsid w:val="00DE4D8A"/>
    <w:rsid w:val="00E04963"/>
    <w:rsid w:val="00E23900"/>
    <w:rsid w:val="00EA2CFE"/>
    <w:rsid w:val="00EB196C"/>
    <w:rsid w:val="00EB441F"/>
    <w:rsid w:val="00EC4719"/>
    <w:rsid w:val="00ED6C50"/>
    <w:rsid w:val="00F1262F"/>
    <w:rsid w:val="00F309B7"/>
    <w:rsid w:val="00F33536"/>
    <w:rsid w:val="00F444FF"/>
    <w:rsid w:val="00F54C47"/>
    <w:rsid w:val="00F75AD0"/>
    <w:rsid w:val="00FD753F"/>
    <w:rsid w:val="00FF37C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88BC0"/>
  <w15:chartTrackingRefBased/>
  <w15:docId w15:val="{BA747A89-AC30-46CD-B63A-0AA799AC9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309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F309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F309B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F309B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F309B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F309B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309B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309B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309B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309B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F309B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F309B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F309B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F309B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F309B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309B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309B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309B7"/>
    <w:rPr>
      <w:rFonts w:eastAsiaTheme="majorEastAsia" w:cstheme="majorBidi"/>
      <w:color w:val="272727" w:themeColor="text1" w:themeTint="D8"/>
    </w:rPr>
  </w:style>
  <w:style w:type="paragraph" w:styleId="Tytu">
    <w:name w:val="Title"/>
    <w:basedOn w:val="Normalny"/>
    <w:next w:val="Normalny"/>
    <w:link w:val="TytuZnak"/>
    <w:uiPriority w:val="10"/>
    <w:qFormat/>
    <w:rsid w:val="00F309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309B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309B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309B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309B7"/>
    <w:pPr>
      <w:spacing w:before="160"/>
      <w:jc w:val="center"/>
    </w:pPr>
    <w:rPr>
      <w:i/>
      <w:iCs/>
      <w:color w:val="404040" w:themeColor="text1" w:themeTint="BF"/>
    </w:rPr>
  </w:style>
  <w:style w:type="character" w:customStyle="1" w:styleId="CytatZnak">
    <w:name w:val="Cytat Znak"/>
    <w:basedOn w:val="Domylnaczcionkaakapitu"/>
    <w:link w:val="Cytat"/>
    <w:uiPriority w:val="29"/>
    <w:rsid w:val="00F309B7"/>
    <w:rPr>
      <w:i/>
      <w:iCs/>
      <w:color w:val="404040" w:themeColor="text1" w:themeTint="BF"/>
    </w:rPr>
  </w:style>
  <w:style w:type="paragraph" w:styleId="Akapitzlist">
    <w:name w:val="List Paragraph"/>
    <w:basedOn w:val="Normalny"/>
    <w:uiPriority w:val="34"/>
    <w:qFormat/>
    <w:rsid w:val="00F309B7"/>
    <w:pPr>
      <w:ind w:left="720"/>
      <w:contextualSpacing/>
    </w:pPr>
  </w:style>
  <w:style w:type="character" w:styleId="Wyrnienieintensywne">
    <w:name w:val="Intense Emphasis"/>
    <w:basedOn w:val="Domylnaczcionkaakapitu"/>
    <w:uiPriority w:val="21"/>
    <w:qFormat/>
    <w:rsid w:val="00F309B7"/>
    <w:rPr>
      <w:i/>
      <w:iCs/>
      <w:color w:val="0F4761" w:themeColor="accent1" w:themeShade="BF"/>
    </w:rPr>
  </w:style>
  <w:style w:type="paragraph" w:styleId="Cytatintensywny">
    <w:name w:val="Intense Quote"/>
    <w:basedOn w:val="Normalny"/>
    <w:next w:val="Normalny"/>
    <w:link w:val="CytatintensywnyZnak"/>
    <w:uiPriority w:val="30"/>
    <w:qFormat/>
    <w:rsid w:val="00F309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F309B7"/>
    <w:rPr>
      <w:i/>
      <w:iCs/>
      <w:color w:val="0F4761" w:themeColor="accent1" w:themeShade="BF"/>
    </w:rPr>
  </w:style>
  <w:style w:type="character" w:styleId="Odwoanieintensywne">
    <w:name w:val="Intense Reference"/>
    <w:basedOn w:val="Domylnaczcionkaakapitu"/>
    <w:uiPriority w:val="32"/>
    <w:qFormat/>
    <w:rsid w:val="00F309B7"/>
    <w:rPr>
      <w:b/>
      <w:bCs/>
      <w:smallCaps/>
      <w:color w:val="0F4761" w:themeColor="accent1" w:themeShade="BF"/>
      <w:spacing w:val="5"/>
    </w:rPr>
  </w:style>
  <w:style w:type="character" w:styleId="Odwoaniedokomentarza">
    <w:name w:val="annotation reference"/>
    <w:basedOn w:val="Domylnaczcionkaakapitu"/>
    <w:uiPriority w:val="99"/>
    <w:semiHidden/>
    <w:unhideWhenUsed/>
    <w:rsid w:val="00FD753F"/>
    <w:rPr>
      <w:sz w:val="16"/>
      <w:szCs w:val="16"/>
    </w:rPr>
  </w:style>
  <w:style w:type="paragraph" w:styleId="Tekstkomentarza">
    <w:name w:val="annotation text"/>
    <w:basedOn w:val="Normalny"/>
    <w:link w:val="TekstkomentarzaZnak"/>
    <w:uiPriority w:val="99"/>
    <w:unhideWhenUsed/>
    <w:rsid w:val="00FD753F"/>
    <w:pPr>
      <w:spacing w:line="240" w:lineRule="auto"/>
    </w:pPr>
    <w:rPr>
      <w:sz w:val="20"/>
      <w:szCs w:val="20"/>
    </w:rPr>
  </w:style>
  <w:style w:type="character" w:customStyle="1" w:styleId="TekstkomentarzaZnak">
    <w:name w:val="Tekst komentarza Znak"/>
    <w:basedOn w:val="Domylnaczcionkaakapitu"/>
    <w:link w:val="Tekstkomentarza"/>
    <w:uiPriority w:val="99"/>
    <w:rsid w:val="00FD753F"/>
    <w:rPr>
      <w:sz w:val="20"/>
      <w:szCs w:val="20"/>
    </w:rPr>
  </w:style>
  <w:style w:type="table" w:styleId="Tabela-Siatka">
    <w:name w:val="Table Grid"/>
    <w:basedOn w:val="Standardowy"/>
    <w:uiPriority w:val="39"/>
    <w:rsid w:val="00AA7D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7A5D0A"/>
    <w:rPr>
      <w:color w:val="666666"/>
    </w:rPr>
  </w:style>
  <w:style w:type="paragraph" w:styleId="Poprawka">
    <w:name w:val="Revision"/>
    <w:hidden/>
    <w:uiPriority w:val="99"/>
    <w:semiHidden/>
    <w:rsid w:val="00C13CDA"/>
    <w:pPr>
      <w:spacing w:after="0" w:line="240" w:lineRule="auto"/>
    </w:pPr>
  </w:style>
  <w:style w:type="paragraph" w:styleId="Tematkomentarza">
    <w:name w:val="annotation subject"/>
    <w:basedOn w:val="Tekstkomentarza"/>
    <w:next w:val="Tekstkomentarza"/>
    <w:link w:val="TematkomentarzaZnak"/>
    <w:uiPriority w:val="99"/>
    <w:semiHidden/>
    <w:unhideWhenUsed/>
    <w:rsid w:val="0053396A"/>
    <w:rPr>
      <w:b/>
      <w:bCs/>
    </w:rPr>
  </w:style>
  <w:style w:type="character" w:customStyle="1" w:styleId="TematkomentarzaZnak">
    <w:name w:val="Temat komentarza Znak"/>
    <w:basedOn w:val="TekstkomentarzaZnak"/>
    <w:link w:val="Tematkomentarza"/>
    <w:uiPriority w:val="99"/>
    <w:semiHidden/>
    <w:rsid w:val="0053396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589417">
      <w:bodyDiv w:val="1"/>
      <w:marLeft w:val="0"/>
      <w:marRight w:val="0"/>
      <w:marTop w:val="0"/>
      <w:marBottom w:val="0"/>
      <w:divBdr>
        <w:top w:val="none" w:sz="0" w:space="0" w:color="auto"/>
        <w:left w:val="none" w:sz="0" w:space="0" w:color="auto"/>
        <w:bottom w:val="none" w:sz="0" w:space="0" w:color="auto"/>
        <w:right w:val="none" w:sz="0" w:space="0" w:color="auto"/>
      </w:divBdr>
      <w:divsChild>
        <w:div w:id="26416210">
          <w:marLeft w:val="640"/>
          <w:marRight w:val="0"/>
          <w:marTop w:val="0"/>
          <w:marBottom w:val="0"/>
          <w:divBdr>
            <w:top w:val="none" w:sz="0" w:space="0" w:color="auto"/>
            <w:left w:val="none" w:sz="0" w:space="0" w:color="auto"/>
            <w:bottom w:val="none" w:sz="0" w:space="0" w:color="auto"/>
            <w:right w:val="none" w:sz="0" w:space="0" w:color="auto"/>
          </w:divBdr>
        </w:div>
        <w:div w:id="46881498">
          <w:marLeft w:val="640"/>
          <w:marRight w:val="0"/>
          <w:marTop w:val="0"/>
          <w:marBottom w:val="0"/>
          <w:divBdr>
            <w:top w:val="none" w:sz="0" w:space="0" w:color="auto"/>
            <w:left w:val="none" w:sz="0" w:space="0" w:color="auto"/>
            <w:bottom w:val="none" w:sz="0" w:space="0" w:color="auto"/>
            <w:right w:val="none" w:sz="0" w:space="0" w:color="auto"/>
          </w:divBdr>
        </w:div>
        <w:div w:id="280500764">
          <w:marLeft w:val="640"/>
          <w:marRight w:val="0"/>
          <w:marTop w:val="0"/>
          <w:marBottom w:val="0"/>
          <w:divBdr>
            <w:top w:val="none" w:sz="0" w:space="0" w:color="auto"/>
            <w:left w:val="none" w:sz="0" w:space="0" w:color="auto"/>
            <w:bottom w:val="none" w:sz="0" w:space="0" w:color="auto"/>
            <w:right w:val="none" w:sz="0" w:space="0" w:color="auto"/>
          </w:divBdr>
        </w:div>
        <w:div w:id="879364907">
          <w:marLeft w:val="640"/>
          <w:marRight w:val="0"/>
          <w:marTop w:val="0"/>
          <w:marBottom w:val="0"/>
          <w:divBdr>
            <w:top w:val="none" w:sz="0" w:space="0" w:color="auto"/>
            <w:left w:val="none" w:sz="0" w:space="0" w:color="auto"/>
            <w:bottom w:val="none" w:sz="0" w:space="0" w:color="auto"/>
            <w:right w:val="none" w:sz="0" w:space="0" w:color="auto"/>
          </w:divBdr>
        </w:div>
        <w:div w:id="346950315">
          <w:marLeft w:val="640"/>
          <w:marRight w:val="0"/>
          <w:marTop w:val="0"/>
          <w:marBottom w:val="0"/>
          <w:divBdr>
            <w:top w:val="none" w:sz="0" w:space="0" w:color="auto"/>
            <w:left w:val="none" w:sz="0" w:space="0" w:color="auto"/>
            <w:bottom w:val="none" w:sz="0" w:space="0" w:color="auto"/>
            <w:right w:val="none" w:sz="0" w:space="0" w:color="auto"/>
          </w:divBdr>
        </w:div>
        <w:div w:id="2046052596">
          <w:marLeft w:val="640"/>
          <w:marRight w:val="0"/>
          <w:marTop w:val="0"/>
          <w:marBottom w:val="0"/>
          <w:divBdr>
            <w:top w:val="none" w:sz="0" w:space="0" w:color="auto"/>
            <w:left w:val="none" w:sz="0" w:space="0" w:color="auto"/>
            <w:bottom w:val="none" w:sz="0" w:space="0" w:color="auto"/>
            <w:right w:val="none" w:sz="0" w:space="0" w:color="auto"/>
          </w:divBdr>
        </w:div>
      </w:divsChild>
    </w:div>
    <w:div w:id="201872220">
      <w:bodyDiv w:val="1"/>
      <w:marLeft w:val="0"/>
      <w:marRight w:val="0"/>
      <w:marTop w:val="0"/>
      <w:marBottom w:val="0"/>
      <w:divBdr>
        <w:top w:val="none" w:sz="0" w:space="0" w:color="auto"/>
        <w:left w:val="none" w:sz="0" w:space="0" w:color="auto"/>
        <w:bottom w:val="none" w:sz="0" w:space="0" w:color="auto"/>
        <w:right w:val="none" w:sz="0" w:space="0" w:color="auto"/>
      </w:divBdr>
    </w:div>
    <w:div w:id="214204335">
      <w:bodyDiv w:val="1"/>
      <w:marLeft w:val="0"/>
      <w:marRight w:val="0"/>
      <w:marTop w:val="0"/>
      <w:marBottom w:val="0"/>
      <w:divBdr>
        <w:top w:val="none" w:sz="0" w:space="0" w:color="auto"/>
        <w:left w:val="none" w:sz="0" w:space="0" w:color="auto"/>
        <w:bottom w:val="none" w:sz="0" w:space="0" w:color="auto"/>
        <w:right w:val="none" w:sz="0" w:space="0" w:color="auto"/>
      </w:divBdr>
      <w:divsChild>
        <w:div w:id="441917607">
          <w:marLeft w:val="640"/>
          <w:marRight w:val="0"/>
          <w:marTop w:val="0"/>
          <w:marBottom w:val="0"/>
          <w:divBdr>
            <w:top w:val="none" w:sz="0" w:space="0" w:color="auto"/>
            <w:left w:val="none" w:sz="0" w:space="0" w:color="auto"/>
            <w:bottom w:val="none" w:sz="0" w:space="0" w:color="auto"/>
            <w:right w:val="none" w:sz="0" w:space="0" w:color="auto"/>
          </w:divBdr>
        </w:div>
        <w:div w:id="375542467">
          <w:marLeft w:val="640"/>
          <w:marRight w:val="0"/>
          <w:marTop w:val="0"/>
          <w:marBottom w:val="0"/>
          <w:divBdr>
            <w:top w:val="none" w:sz="0" w:space="0" w:color="auto"/>
            <w:left w:val="none" w:sz="0" w:space="0" w:color="auto"/>
            <w:bottom w:val="none" w:sz="0" w:space="0" w:color="auto"/>
            <w:right w:val="none" w:sz="0" w:space="0" w:color="auto"/>
          </w:divBdr>
        </w:div>
        <w:div w:id="173810523">
          <w:marLeft w:val="640"/>
          <w:marRight w:val="0"/>
          <w:marTop w:val="0"/>
          <w:marBottom w:val="0"/>
          <w:divBdr>
            <w:top w:val="none" w:sz="0" w:space="0" w:color="auto"/>
            <w:left w:val="none" w:sz="0" w:space="0" w:color="auto"/>
            <w:bottom w:val="none" w:sz="0" w:space="0" w:color="auto"/>
            <w:right w:val="none" w:sz="0" w:space="0" w:color="auto"/>
          </w:divBdr>
        </w:div>
        <w:div w:id="1762098610">
          <w:marLeft w:val="640"/>
          <w:marRight w:val="0"/>
          <w:marTop w:val="0"/>
          <w:marBottom w:val="0"/>
          <w:divBdr>
            <w:top w:val="none" w:sz="0" w:space="0" w:color="auto"/>
            <w:left w:val="none" w:sz="0" w:space="0" w:color="auto"/>
            <w:bottom w:val="none" w:sz="0" w:space="0" w:color="auto"/>
            <w:right w:val="none" w:sz="0" w:space="0" w:color="auto"/>
          </w:divBdr>
        </w:div>
        <w:div w:id="1891376373">
          <w:marLeft w:val="640"/>
          <w:marRight w:val="0"/>
          <w:marTop w:val="0"/>
          <w:marBottom w:val="0"/>
          <w:divBdr>
            <w:top w:val="none" w:sz="0" w:space="0" w:color="auto"/>
            <w:left w:val="none" w:sz="0" w:space="0" w:color="auto"/>
            <w:bottom w:val="none" w:sz="0" w:space="0" w:color="auto"/>
            <w:right w:val="none" w:sz="0" w:space="0" w:color="auto"/>
          </w:divBdr>
        </w:div>
        <w:div w:id="878205860">
          <w:marLeft w:val="640"/>
          <w:marRight w:val="0"/>
          <w:marTop w:val="0"/>
          <w:marBottom w:val="0"/>
          <w:divBdr>
            <w:top w:val="none" w:sz="0" w:space="0" w:color="auto"/>
            <w:left w:val="none" w:sz="0" w:space="0" w:color="auto"/>
            <w:bottom w:val="none" w:sz="0" w:space="0" w:color="auto"/>
            <w:right w:val="none" w:sz="0" w:space="0" w:color="auto"/>
          </w:divBdr>
        </w:div>
      </w:divsChild>
    </w:div>
    <w:div w:id="302782084">
      <w:bodyDiv w:val="1"/>
      <w:marLeft w:val="0"/>
      <w:marRight w:val="0"/>
      <w:marTop w:val="0"/>
      <w:marBottom w:val="0"/>
      <w:divBdr>
        <w:top w:val="none" w:sz="0" w:space="0" w:color="auto"/>
        <w:left w:val="none" w:sz="0" w:space="0" w:color="auto"/>
        <w:bottom w:val="none" w:sz="0" w:space="0" w:color="auto"/>
        <w:right w:val="none" w:sz="0" w:space="0" w:color="auto"/>
      </w:divBdr>
      <w:divsChild>
        <w:div w:id="728502561">
          <w:marLeft w:val="480"/>
          <w:marRight w:val="0"/>
          <w:marTop w:val="0"/>
          <w:marBottom w:val="0"/>
          <w:divBdr>
            <w:top w:val="none" w:sz="0" w:space="0" w:color="auto"/>
            <w:left w:val="none" w:sz="0" w:space="0" w:color="auto"/>
            <w:bottom w:val="none" w:sz="0" w:space="0" w:color="auto"/>
            <w:right w:val="none" w:sz="0" w:space="0" w:color="auto"/>
          </w:divBdr>
        </w:div>
        <w:div w:id="1266957984">
          <w:marLeft w:val="480"/>
          <w:marRight w:val="0"/>
          <w:marTop w:val="0"/>
          <w:marBottom w:val="0"/>
          <w:divBdr>
            <w:top w:val="none" w:sz="0" w:space="0" w:color="auto"/>
            <w:left w:val="none" w:sz="0" w:space="0" w:color="auto"/>
            <w:bottom w:val="none" w:sz="0" w:space="0" w:color="auto"/>
            <w:right w:val="none" w:sz="0" w:space="0" w:color="auto"/>
          </w:divBdr>
        </w:div>
        <w:div w:id="1954511878">
          <w:marLeft w:val="480"/>
          <w:marRight w:val="0"/>
          <w:marTop w:val="0"/>
          <w:marBottom w:val="0"/>
          <w:divBdr>
            <w:top w:val="none" w:sz="0" w:space="0" w:color="auto"/>
            <w:left w:val="none" w:sz="0" w:space="0" w:color="auto"/>
            <w:bottom w:val="none" w:sz="0" w:space="0" w:color="auto"/>
            <w:right w:val="none" w:sz="0" w:space="0" w:color="auto"/>
          </w:divBdr>
        </w:div>
        <w:div w:id="1070930933">
          <w:marLeft w:val="480"/>
          <w:marRight w:val="0"/>
          <w:marTop w:val="0"/>
          <w:marBottom w:val="0"/>
          <w:divBdr>
            <w:top w:val="none" w:sz="0" w:space="0" w:color="auto"/>
            <w:left w:val="none" w:sz="0" w:space="0" w:color="auto"/>
            <w:bottom w:val="none" w:sz="0" w:space="0" w:color="auto"/>
            <w:right w:val="none" w:sz="0" w:space="0" w:color="auto"/>
          </w:divBdr>
        </w:div>
        <w:div w:id="355808581">
          <w:marLeft w:val="480"/>
          <w:marRight w:val="0"/>
          <w:marTop w:val="0"/>
          <w:marBottom w:val="0"/>
          <w:divBdr>
            <w:top w:val="none" w:sz="0" w:space="0" w:color="auto"/>
            <w:left w:val="none" w:sz="0" w:space="0" w:color="auto"/>
            <w:bottom w:val="none" w:sz="0" w:space="0" w:color="auto"/>
            <w:right w:val="none" w:sz="0" w:space="0" w:color="auto"/>
          </w:divBdr>
        </w:div>
      </w:divsChild>
    </w:div>
    <w:div w:id="525799636">
      <w:bodyDiv w:val="1"/>
      <w:marLeft w:val="0"/>
      <w:marRight w:val="0"/>
      <w:marTop w:val="0"/>
      <w:marBottom w:val="0"/>
      <w:divBdr>
        <w:top w:val="none" w:sz="0" w:space="0" w:color="auto"/>
        <w:left w:val="none" w:sz="0" w:space="0" w:color="auto"/>
        <w:bottom w:val="none" w:sz="0" w:space="0" w:color="auto"/>
        <w:right w:val="none" w:sz="0" w:space="0" w:color="auto"/>
      </w:divBdr>
    </w:div>
    <w:div w:id="571307139">
      <w:bodyDiv w:val="1"/>
      <w:marLeft w:val="0"/>
      <w:marRight w:val="0"/>
      <w:marTop w:val="0"/>
      <w:marBottom w:val="0"/>
      <w:divBdr>
        <w:top w:val="none" w:sz="0" w:space="0" w:color="auto"/>
        <w:left w:val="none" w:sz="0" w:space="0" w:color="auto"/>
        <w:bottom w:val="none" w:sz="0" w:space="0" w:color="auto"/>
        <w:right w:val="none" w:sz="0" w:space="0" w:color="auto"/>
      </w:divBdr>
      <w:divsChild>
        <w:div w:id="193159542">
          <w:marLeft w:val="640"/>
          <w:marRight w:val="0"/>
          <w:marTop w:val="0"/>
          <w:marBottom w:val="0"/>
          <w:divBdr>
            <w:top w:val="none" w:sz="0" w:space="0" w:color="auto"/>
            <w:left w:val="none" w:sz="0" w:space="0" w:color="auto"/>
            <w:bottom w:val="none" w:sz="0" w:space="0" w:color="auto"/>
            <w:right w:val="none" w:sz="0" w:space="0" w:color="auto"/>
          </w:divBdr>
        </w:div>
        <w:div w:id="1496874334">
          <w:marLeft w:val="640"/>
          <w:marRight w:val="0"/>
          <w:marTop w:val="0"/>
          <w:marBottom w:val="0"/>
          <w:divBdr>
            <w:top w:val="none" w:sz="0" w:space="0" w:color="auto"/>
            <w:left w:val="none" w:sz="0" w:space="0" w:color="auto"/>
            <w:bottom w:val="none" w:sz="0" w:space="0" w:color="auto"/>
            <w:right w:val="none" w:sz="0" w:space="0" w:color="auto"/>
          </w:divBdr>
        </w:div>
        <w:div w:id="1519586320">
          <w:marLeft w:val="640"/>
          <w:marRight w:val="0"/>
          <w:marTop w:val="0"/>
          <w:marBottom w:val="0"/>
          <w:divBdr>
            <w:top w:val="none" w:sz="0" w:space="0" w:color="auto"/>
            <w:left w:val="none" w:sz="0" w:space="0" w:color="auto"/>
            <w:bottom w:val="none" w:sz="0" w:space="0" w:color="auto"/>
            <w:right w:val="none" w:sz="0" w:space="0" w:color="auto"/>
          </w:divBdr>
        </w:div>
        <w:div w:id="1338580106">
          <w:marLeft w:val="640"/>
          <w:marRight w:val="0"/>
          <w:marTop w:val="0"/>
          <w:marBottom w:val="0"/>
          <w:divBdr>
            <w:top w:val="none" w:sz="0" w:space="0" w:color="auto"/>
            <w:left w:val="none" w:sz="0" w:space="0" w:color="auto"/>
            <w:bottom w:val="none" w:sz="0" w:space="0" w:color="auto"/>
            <w:right w:val="none" w:sz="0" w:space="0" w:color="auto"/>
          </w:divBdr>
        </w:div>
      </w:divsChild>
    </w:div>
    <w:div w:id="1040781496">
      <w:bodyDiv w:val="1"/>
      <w:marLeft w:val="0"/>
      <w:marRight w:val="0"/>
      <w:marTop w:val="0"/>
      <w:marBottom w:val="0"/>
      <w:divBdr>
        <w:top w:val="none" w:sz="0" w:space="0" w:color="auto"/>
        <w:left w:val="none" w:sz="0" w:space="0" w:color="auto"/>
        <w:bottom w:val="none" w:sz="0" w:space="0" w:color="auto"/>
        <w:right w:val="none" w:sz="0" w:space="0" w:color="auto"/>
      </w:divBdr>
      <w:divsChild>
        <w:div w:id="794253107">
          <w:marLeft w:val="480"/>
          <w:marRight w:val="0"/>
          <w:marTop w:val="0"/>
          <w:marBottom w:val="0"/>
          <w:divBdr>
            <w:top w:val="none" w:sz="0" w:space="0" w:color="auto"/>
            <w:left w:val="none" w:sz="0" w:space="0" w:color="auto"/>
            <w:bottom w:val="none" w:sz="0" w:space="0" w:color="auto"/>
            <w:right w:val="none" w:sz="0" w:space="0" w:color="auto"/>
          </w:divBdr>
        </w:div>
        <w:div w:id="1765615184">
          <w:marLeft w:val="480"/>
          <w:marRight w:val="0"/>
          <w:marTop w:val="0"/>
          <w:marBottom w:val="0"/>
          <w:divBdr>
            <w:top w:val="none" w:sz="0" w:space="0" w:color="auto"/>
            <w:left w:val="none" w:sz="0" w:space="0" w:color="auto"/>
            <w:bottom w:val="none" w:sz="0" w:space="0" w:color="auto"/>
            <w:right w:val="none" w:sz="0" w:space="0" w:color="auto"/>
          </w:divBdr>
        </w:div>
        <w:div w:id="934099416">
          <w:marLeft w:val="480"/>
          <w:marRight w:val="0"/>
          <w:marTop w:val="0"/>
          <w:marBottom w:val="0"/>
          <w:divBdr>
            <w:top w:val="none" w:sz="0" w:space="0" w:color="auto"/>
            <w:left w:val="none" w:sz="0" w:space="0" w:color="auto"/>
            <w:bottom w:val="none" w:sz="0" w:space="0" w:color="auto"/>
            <w:right w:val="none" w:sz="0" w:space="0" w:color="auto"/>
          </w:divBdr>
        </w:div>
      </w:divsChild>
    </w:div>
    <w:div w:id="1145855917">
      <w:bodyDiv w:val="1"/>
      <w:marLeft w:val="0"/>
      <w:marRight w:val="0"/>
      <w:marTop w:val="0"/>
      <w:marBottom w:val="0"/>
      <w:divBdr>
        <w:top w:val="none" w:sz="0" w:space="0" w:color="auto"/>
        <w:left w:val="none" w:sz="0" w:space="0" w:color="auto"/>
        <w:bottom w:val="none" w:sz="0" w:space="0" w:color="auto"/>
        <w:right w:val="none" w:sz="0" w:space="0" w:color="auto"/>
      </w:divBdr>
      <w:divsChild>
        <w:div w:id="1795632757">
          <w:marLeft w:val="640"/>
          <w:marRight w:val="0"/>
          <w:marTop w:val="0"/>
          <w:marBottom w:val="0"/>
          <w:divBdr>
            <w:top w:val="none" w:sz="0" w:space="0" w:color="auto"/>
            <w:left w:val="none" w:sz="0" w:space="0" w:color="auto"/>
            <w:bottom w:val="none" w:sz="0" w:space="0" w:color="auto"/>
            <w:right w:val="none" w:sz="0" w:space="0" w:color="auto"/>
          </w:divBdr>
        </w:div>
        <w:div w:id="348606288">
          <w:marLeft w:val="640"/>
          <w:marRight w:val="0"/>
          <w:marTop w:val="0"/>
          <w:marBottom w:val="0"/>
          <w:divBdr>
            <w:top w:val="none" w:sz="0" w:space="0" w:color="auto"/>
            <w:left w:val="none" w:sz="0" w:space="0" w:color="auto"/>
            <w:bottom w:val="none" w:sz="0" w:space="0" w:color="auto"/>
            <w:right w:val="none" w:sz="0" w:space="0" w:color="auto"/>
          </w:divBdr>
        </w:div>
        <w:div w:id="1977299879">
          <w:marLeft w:val="640"/>
          <w:marRight w:val="0"/>
          <w:marTop w:val="0"/>
          <w:marBottom w:val="0"/>
          <w:divBdr>
            <w:top w:val="none" w:sz="0" w:space="0" w:color="auto"/>
            <w:left w:val="none" w:sz="0" w:space="0" w:color="auto"/>
            <w:bottom w:val="none" w:sz="0" w:space="0" w:color="auto"/>
            <w:right w:val="none" w:sz="0" w:space="0" w:color="auto"/>
          </w:divBdr>
        </w:div>
        <w:div w:id="1974485753">
          <w:marLeft w:val="640"/>
          <w:marRight w:val="0"/>
          <w:marTop w:val="0"/>
          <w:marBottom w:val="0"/>
          <w:divBdr>
            <w:top w:val="none" w:sz="0" w:space="0" w:color="auto"/>
            <w:left w:val="none" w:sz="0" w:space="0" w:color="auto"/>
            <w:bottom w:val="none" w:sz="0" w:space="0" w:color="auto"/>
            <w:right w:val="none" w:sz="0" w:space="0" w:color="auto"/>
          </w:divBdr>
        </w:div>
        <w:div w:id="1379933471">
          <w:marLeft w:val="640"/>
          <w:marRight w:val="0"/>
          <w:marTop w:val="0"/>
          <w:marBottom w:val="0"/>
          <w:divBdr>
            <w:top w:val="none" w:sz="0" w:space="0" w:color="auto"/>
            <w:left w:val="none" w:sz="0" w:space="0" w:color="auto"/>
            <w:bottom w:val="none" w:sz="0" w:space="0" w:color="auto"/>
            <w:right w:val="none" w:sz="0" w:space="0" w:color="auto"/>
          </w:divBdr>
        </w:div>
        <w:div w:id="1582718897">
          <w:marLeft w:val="640"/>
          <w:marRight w:val="0"/>
          <w:marTop w:val="0"/>
          <w:marBottom w:val="0"/>
          <w:divBdr>
            <w:top w:val="none" w:sz="0" w:space="0" w:color="auto"/>
            <w:left w:val="none" w:sz="0" w:space="0" w:color="auto"/>
            <w:bottom w:val="none" w:sz="0" w:space="0" w:color="auto"/>
            <w:right w:val="none" w:sz="0" w:space="0" w:color="auto"/>
          </w:divBdr>
        </w:div>
      </w:divsChild>
    </w:div>
    <w:div w:id="1168055912">
      <w:bodyDiv w:val="1"/>
      <w:marLeft w:val="0"/>
      <w:marRight w:val="0"/>
      <w:marTop w:val="0"/>
      <w:marBottom w:val="0"/>
      <w:divBdr>
        <w:top w:val="none" w:sz="0" w:space="0" w:color="auto"/>
        <w:left w:val="none" w:sz="0" w:space="0" w:color="auto"/>
        <w:bottom w:val="none" w:sz="0" w:space="0" w:color="auto"/>
        <w:right w:val="none" w:sz="0" w:space="0" w:color="auto"/>
      </w:divBdr>
      <w:divsChild>
        <w:div w:id="1021129935">
          <w:marLeft w:val="640"/>
          <w:marRight w:val="0"/>
          <w:marTop w:val="0"/>
          <w:marBottom w:val="0"/>
          <w:divBdr>
            <w:top w:val="none" w:sz="0" w:space="0" w:color="auto"/>
            <w:left w:val="none" w:sz="0" w:space="0" w:color="auto"/>
            <w:bottom w:val="none" w:sz="0" w:space="0" w:color="auto"/>
            <w:right w:val="none" w:sz="0" w:space="0" w:color="auto"/>
          </w:divBdr>
        </w:div>
        <w:div w:id="377320324">
          <w:marLeft w:val="640"/>
          <w:marRight w:val="0"/>
          <w:marTop w:val="0"/>
          <w:marBottom w:val="0"/>
          <w:divBdr>
            <w:top w:val="none" w:sz="0" w:space="0" w:color="auto"/>
            <w:left w:val="none" w:sz="0" w:space="0" w:color="auto"/>
            <w:bottom w:val="none" w:sz="0" w:space="0" w:color="auto"/>
            <w:right w:val="none" w:sz="0" w:space="0" w:color="auto"/>
          </w:divBdr>
        </w:div>
        <w:div w:id="1012027248">
          <w:marLeft w:val="640"/>
          <w:marRight w:val="0"/>
          <w:marTop w:val="0"/>
          <w:marBottom w:val="0"/>
          <w:divBdr>
            <w:top w:val="none" w:sz="0" w:space="0" w:color="auto"/>
            <w:left w:val="none" w:sz="0" w:space="0" w:color="auto"/>
            <w:bottom w:val="none" w:sz="0" w:space="0" w:color="auto"/>
            <w:right w:val="none" w:sz="0" w:space="0" w:color="auto"/>
          </w:divBdr>
        </w:div>
        <w:div w:id="377977550">
          <w:marLeft w:val="640"/>
          <w:marRight w:val="0"/>
          <w:marTop w:val="0"/>
          <w:marBottom w:val="0"/>
          <w:divBdr>
            <w:top w:val="none" w:sz="0" w:space="0" w:color="auto"/>
            <w:left w:val="none" w:sz="0" w:space="0" w:color="auto"/>
            <w:bottom w:val="none" w:sz="0" w:space="0" w:color="auto"/>
            <w:right w:val="none" w:sz="0" w:space="0" w:color="auto"/>
          </w:divBdr>
        </w:div>
        <w:div w:id="1216966124">
          <w:marLeft w:val="640"/>
          <w:marRight w:val="0"/>
          <w:marTop w:val="0"/>
          <w:marBottom w:val="0"/>
          <w:divBdr>
            <w:top w:val="none" w:sz="0" w:space="0" w:color="auto"/>
            <w:left w:val="none" w:sz="0" w:space="0" w:color="auto"/>
            <w:bottom w:val="none" w:sz="0" w:space="0" w:color="auto"/>
            <w:right w:val="none" w:sz="0" w:space="0" w:color="auto"/>
          </w:divBdr>
        </w:div>
        <w:div w:id="1256480689">
          <w:marLeft w:val="640"/>
          <w:marRight w:val="0"/>
          <w:marTop w:val="0"/>
          <w:marBottom w:val="0"/>
          <w:divBdr>
            <w:top w:val="none" w:sz="0" w:space="0" w:color="auto"/>
            <w:left w:val="none" w:sz="0" w:space="0" w:color="auto"/>
            <w:bottom w:val="none" w:sz="0" w:space="0" w:color="auto"/>
            <w:right w:val="none" w:sz="0" w:space="0" w:color="auto"/>
          </w:divBdr>
        </w:div>
      </w:divsChild>
    </w:div>
    <w:div w:id="1790779137">
      <w:bodyDiv w:val="1"/>
      <w:marLeft w:val="0"/>
      <w:marRight w:val="0"/>
      <w:marTop w:val="0"/>
      <w:marBottom w:val="0"/>
      <w:divBdr>
        <w:top w:val="none" w:sz="0" w:space="0" w:color="auto"/>
        <w:left w:val="none" w:sz="0" w:space="0" w:color="auto"/>
        <w:bottom w:val="none" w:sz="0" w:space="0" w:color="auto"/>
        <w:right w:val="none" w:sz="0" w:space="0" w:color="auto"/>
      </w:divBdr>
      <w:divsChild>
        <w:div w:id="468783728">
          <w:marLeft w:val="640"/>
          <w:marRight w:val="0"/>
          <w:marTop w:val="0"/>
          <w:marBottom w:val="0"/>
          <w:divBdr>
            <w:top w:val="none" w:sz="0" w:space="0" w:color="auto"/>
            <w:left w:val="none" w:sz="0" w:space="0" w:color="auto"/>
            <w:bottom w:val="none" w:sz="0" w:space="0" w:color="auto"/>
            <w:right w:val="none" w:sz="0" w:space="0" w:color="auto"/>
          </w:divBdr>
        </w:div>
        <w:div w:id="1127818898">
          <w:marLeft w:val="640"/>
          <w:marRight w:val="0"/>
          <w:marTop w:val="0"/>
          <w:marBottom w:val="0"/>
          <w:divBdr>
            <w:top w:val="none" w:sz="0" w:space="0" w:color="auto"/>
            <w:left w:val="none" w:sz="0" w:space="0" w:color="auto"/>
            <w:bottom w:val="none" w:sz="0" w:space="0" w:color="auto"/>
            <w:right w:val="none" w:sz="0" w:space="0" w:color="auto"/>
          </w:divBdr>
        </w:div>
        <w:div w:id="859388981">
          <w:marLeft w:val="640"/>
          <w:marRight w:val="0"/>
          <w:marTop w:val="0"/>
          <w:marBottom w:val="0"/>
          <w:divBdr>
            <w:top w:val="none" w:sz="0" w:space="0" w:color="auto"/>
            <w:left w:val="none" w:sz="0" w:space="0" w:color="auto"/>
            <w:bottom w:val="none" w:sz="0" w:space="0" w:color="auto"/>
            <w:right w:val="none" w:sz="0" w:space="0" w:color="auto"/>
          </w:divBdr>
        </w:div>
        <w:div w:id="499346651">
          <w:marLeft w:val="640"/>
          <w:marRight w:val="0"/>
          <w:marTop w:val="0"/>
          <w:marBottom w:val="0"/>
          <w:divBdr>
            <w:top w:val="none" w:sz="0" w:space="0" w:color="auto"/>
            <w:left w:val="none" w:sz="0" w:space="0" w:color="auto"/>
            <w:bottom w:val="none" w:sz="0" w:space="0" w:color="auto"/>
            <w:right w:val="none" w:sz="0" w:space="0" w:color="auto"/>
          </w:divBdr>
        </w:div>
        <w:div w:id="771784377">
          <w:marLeft w:val="640"/>
          <w:marRight w:val="0"/>
          <w:marTop w:val="0"/>
          <w:marBottom w:val="0"/>
          <w:divBdr>
            <w:top w:val="none" w:sz="0" w:space="0" w:color="auto"/>
            <w:left w:val="none" w:sz="0" w:space="0" w:color="auto"/>
            <w:bottom w:val="none" w:sz="0" w:space="0" w:color="auto"/>
            <w:right w:val="none" w:sz="0" w:space="0" w:color="auto"/>
          </w:divBdr>
        </w:div>
        <w:div w:id="888957967">
          <w:marLeft w:val="640"/>
          <w:marRight w:val="0"/>
          <w:marTop w:val="0"/>
          <w:marBottom w:val="0"/>
          <w:divBdr>
            <w:top w:val="none" w:sz="0" w:space="0" w:color="auto"/>
            <w:left w:val="none" w:sz="0" w:space="0" w:color="auto"/>
            <w:bottom w:val="none" w:sz="0" w:space="0" w:color="auto"/>
            <w:right w:val="none" w:sz="0" w:space="0" w:color="auto"/>
          </w:divBdr>
        </w:div>
      </w:divsChild>
    </w:div>
    <w:div w:id="1904487928">
      <w:bodyDiv w:val="1"/>
      <w:marLeft w:val="0"/>
      <w:marRight w:val="0"/>
      <w:marTop w:val="0"/>
      <w:marBottom w:val="0"/>
      <w:divBdr>
        <w:top w:val="none" w:sz="0" w:space="0" w:color="auto"/>
        <w:left w:val="none" w:sz="0" w:space="0" w:color="auto"/>
        <w:bottom w:val="none" w:sz="0" w:space="0" w:color="auto"/>
        <w:right w:val="none" w:sz="0" w:space="0" w:color="auto"/>
      </w:divBdr>
      <w:divsChild>
        <w:div w:id="275718104">
          <w:marLeft w:val="640"/>
          <w:marRight w:val="0"/>
          <w:marTop w:val="0"/>
          <w:marBottom w:val="0"/>
          <w:divBdr>
            <w:top w:val="none" w:sz="0" w:space="0" w:color="auto"/>
            <w:left w:val="none" w:sz="0" w:space="0" w:color="auto"/>
            <w:bottom w:val="none" w:sz="0" w:space="0" w:color="auto"/>
            <w:right w:val="none" w:sz="0" w:space="0" w:color="auto"/>
          </w:divBdr>
        </w:div>
        <w:div w:id="423262950">
          <w:marLeft w:val="640"/>
          <w:marRight w:val="0"/>
          <w:marTop w:val="0"/>
          <w:marBottom w:val="0"/>
          <w:divBdr>
            <w:top w:val="none" w:sz="0" w:space="0" w:color="auto"/>
            <w:left w:val="none" w:sz="0" w:space="0" w:color="auto"/>
            <w:bottom w:val="none" w:sz="0" w:space="0" w:color="auto"/>
            <w:right w:val="none" w:sz="0" w:space="0" w:color="auto"/>
          </w:divBdr>
        </w:div>
        <w:div w:id="1371808242">
          <w:marLeft w:val="640"/>
          <w:marRight w:val="0"/>
          <w:marTop w:val="0"/>
          <w:marBottom w:val="0"/>
          <w:divBdr>
            <w:top w:val="none" w:sz="0" w:space="0" w:color="auto"/>
            <w:left w:val="none" w:sz="0" w:space="0" w:color="auto"/>
            <w:bottom w:val="none" w:sz="0" w:space="0" w:color="auto"/>
            <w:right w:val="none" w:sz="0" w:space="0" w:color="auto"/>
          </w:divBdr>
        </w:div>
        <w:div w:id="1883712307">
          <w:marLeft w:val="640"/>
          <w:marRight w:val="0"/>
          <w:marTop w:val="0"/>
          <w:marBottom w:val="0"/>
          <w:divBdr>
            <w:top w:val="none" w:sz="0" w:space="0" w:color="auto"/>
            <w:left w:val="none" w:sz="0" w:space="0" w:color="auto"/>
            <w:bottom w:val="none" w:sz="0" w:space="0" w:color="auto"/>
            <w:right w:val="none" w:sz="0" w:space="0" w:color="auto"/>
          </w:divBdr>
        </w:div>
        <w:div w:id="2111504916">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50A822C-CEA3-48C1-B8DA-892BD7CD1810}">
  <we:reference id="f78a3046-9e99-4300-aa2b-5814002b01a2" version="1.55.1.0" store="EXCatalog" storeType="EXCatalog"/>
  <we:alternateReferences>
    <we:reference id="WA104382081" version="1.55.1.0" store="pl-PL" storeType="OMEX"/>
  </we:alternateReferences>
  <we:properties>
    <we:property name="MENDELEY_CITATIONS" value="[{&quot;citationID&quot;:&quot;MENDELEY_CITATION_46fb04b5-f3b2-4559-8eee-17a24e5a3736&quot;,&quot;properties&quot;:{&quot;noteIndex&quot;:0},&quot;isEdited&quot;:false,&quot;manualOverride&quot;:{&quot;isManuallyOverridden&quot;:false,&quot;citeprocText&quot;:&quot;[1–3]&quot;,&quot;manualOverrideText&quot;:&quot;&quot;},&quot;citationTag&quot;:&quot;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&quot;,&quot;citationItems&quot;:[{&quot;id&quot;:&quot;e24e06a5-d5cf-3985-ba35-f683eff54ddb&quot;,&quot;itemData&quot;:{&quot;type&quot;:&quot;article-journal&quot;,&quot;id&quot;:&quot;e24e06a5-d5cf-3985-ba35-f683eff54ddb&quot;,&quot;title&quot;:&quot;Significance of intracranial pressure waveform analysis after head injury&quot;,&quot;author&quot;:[{&quot;family&quot;:&quot;Czosnyka&quot;,&quot;given&quot;:&quot;M.&quot;,&quot;parse-names&quot;:false,&quot;dropping-particle&quot;:&quot;&quot;,&quot;non-dropping-particle&quot;:&quot;&quot;},{&quot;family&quot;:&quot;Guazzo&quot;,&quot;given&quot;:&quot;E.&quot;,&quot;parse-names&quot;:false,&quot;dropping-particle&quot;:&quot;&quot;,&quot;non-dropping-particle&quot;:&quot;&quot;},{&quot;family&quot;:&quot;Whitehouse&quot;,&quot;given&quot;:&quot;M.&quot;,&quot;parse-names&quot;:false,&quot;dropping-particle&quot;:&quot;&quot;,&quot;non-dropping-particle&quot;:&quot;&quot;},{&quot;family&quot;:&quot;Smielewski&quot;,&quot;given&quot;:&quot;P.&quot;,&quot;parse-names&quot;:false,&quot;dropping-particle&quot;:&quot;&quot;,&quot;non-dropping-particle&quot;:&quot;&quot;},{&quot;family&quot;:&quot;Czosnyka&quot;,&quot;given&quot;:&quot;Z.&quot;,&quot;parse-names&quot;:false,&quot;dropping-particle&quot;:&quot;&quot;,&quot;non-dropping-particle&quot;:&quot;&quot;},{&quot;family&quot;:&quot;Kirkpatrick&quot;,&quot;given&quot;:&quot;P.&quot;,&quot;parse-names&quot;:false,&quot;dropping-particle&quot;:&quot;&quot;,&quot;non-dropping-particle&quot;:&quot;&quot;},{&quot;family&quot;:&quot;Piechnik&quot;,&quot;given&quot;:&quot;S.&quot;,&quot;parse-names&quot;:false,&quot;dropping-particle&quot;:&quot;&quot;,&quot;non-dropping-particle&quot;:&quot;&quot;},{&quot;family&quot;:&quot;Pickard&quot;,&quot;given&quot;:&quot;J. D.&quot;,&quot;parse-names&quot;:false,&quot;dropping-particle&quot;:&quot;&quot;,&quot;non-dropping-particle&quot;:&quot;&quot;}],&quot;container-title&quot;:&quot;Acta Neurochirurgica&quot;,&quot;container-title-short&quot;:&quot;Acta Neurochir (Wien)&quot;,&quot;DOI&quot;:&quot;10.1007/BF01411173&quot;,&quot;ISSN&quot;:&quot;00016268&quot;,&quot;issued&quot;:{&quot;date-parts&quot;:[[1996]]},&quot;abstract&quot;:&quot;The authors have investigated the relationships between the amplitude of the ICP pulse wave, the mean values of ICP and CPP, and the outcome of 56 head injured ventilated patients. The ICP was monitored continuously using a Camino transducer (35 patients) or subdural catheter (21 patients). The mean Glasgow Coma Score was 6 (range 3-13; 5 patients had a GCS &gt; 8 after resuscitation). Patients were grouped according to their Glasgow Outcome Score assessed at 12 months after injury. The amplitude of ICP pulse waveform was assessed using the fundamental harmonic of the pulse waveform (AMP) to avoid distortion caused by different frequency responses of the pressure transducers used in the study. Statistical analysis revealed that in patients with fatal outcome the ICP pulse amplitude increased when the mean ICP increased to 25 mmHg and then began to decrease. The upper breakpoint of the AMP-ICP relationship was not present in patients with good/moderate outcome. The moving correlation coefficient between the fundamental harmonic of ICP pulse wave and the mean ICP (RAP: R-symbol of correlation between A-amplitude and P-pressure) was introduced to describe the rime-dependent changes in correlation between amplitude and mean ICP. The RAP was significantly lower in patients who died or remained in the vegetative stale. In 7 patients who died from uncontrollable intracranial hypertension RAP was oscillating or decreased to 0 or negative values well before brain-stem herniation. The combination of an ICP above 20 mmHg for a period longer than 6 hours with low con elation between the amplitude and pressure (RAP &lt; 0.5) was described as an predictive index of an unfavourable outcome.&quot;,&quot;issue&quot;:&quot;5&quot;,&quot;volume&quot;:&quot;138&quot;},&quot;isTemporary&quot;:false},{&quot;id&quot;:&quot;4368d982-dca7-3362-bff2-27b253bcef1a&quot;,&quot;itemData&quot;:{&quot;type&quot;:&quot;article-journal&quot;,&quot;id&quot;:&quot;4368d982-dca7-3362-bff2-27b253bcef1a&quot;,&quot;title&quot;:&quot;Cerebrospinal fluid pulse pressure and intracranial volume-pressure relationships&quot;,&quot;author&quot;:[{&quot;family&quot;:&quot;Avezaat&quot;,&quot;given&quot;:&quot;C. J.J.&quot;,&quot;parse-names&quot;:false,&quot;dropping-particle&quot;:&quot;&quot;,&quot;non-dropping-particle&quot;:&quot;&quot;},{&quot;family&quot;:&quot;Eijndhoven&quot;,&quot;given&quot;:&quot;J. H.M.&quot;,&quot;parse-names&quot;:false,&quot;dropping-particle&quot;:&quot;&quot;,&quot;non-dropping-particle&quot;:&quot;Van&quot;},{&quot;family&quot;:&quot;Wyper&quot;,&quot;given&quot;:&quot;D. J.&quot;,&quot;parse-names&quot;:false,&quot;dropping-particle&quot;:&quot;&quot;,&quot;non-dropping-particle&quot;:&quot;&quot;}],&quot;container-title&quot;:&quot;Journal of Neurology, Neurosurgery and Psychiatry&quot;,&quot;container-title-short&quot;:&quot;J Neurol Neurosurg Psychiatry&quot;,&quot;DOI&quot;:&quot;10.1136/jnnp.42.8.687&quot;,&quot;ISSN&quot;:&quot;00223050&quot;,&quot;issued&quot;:{&quot;date-parts&quot;:[[1979]]},&quot;abstract&quot;:&quot;In six anaesthetised and ventilated dogs the CSF pulse pressure was compared with the volume-pressure response (VPR) during continuous inflation of an extradural balloon. Both pulse pressure and VPR increased linearly with the ventricular fluid pressure (VFP) up to a mean VFP of 60 mmHg. At this pressure a breakpoint occurred above which the CSF pulse pressure showed a steeper linear increase, while the VPR remained constant. It is suggested that the breakpoint is related to failure of autoregulation, and that in non-autoregulating patients the CSF pulse pressure is a better parameter of the clinical state than the VPR.&quot;,&quot;issue&quot;:&quot;8&quot;,&quot;volume&quot;:&quot;42&quot;},&quot;isTemporary&quot;:false},{&quot;id&quot;:&quot;a661f23e-6878-3d46-bcc4-238fc89f13bc&quot;,&quot;itemData&quot;:{&quot;type&quot;:&quot;article-journal&quot;,&quot;id&quot;:&quot;a661f23e-6878-3d46-bcc4-238fc89f13bc&quot;,&quot;title&quot;:&quot;A fast method of estimating the elastance of the intracranial system. A practical application in neurosurgery&quot;,&quot;author&quot;:[{&quot;family&quot;:&quot;Szewczykowski&quot;,&quot;given&quot;:&quot;J.&quot;,&quot;parse-names&quot;:false,&quot;dropping-particle&quot;:&quot;&quot;,&quot;non-dropping-particle&quot;:&quot;&quot;},{&quot;family&quot;:&quot;Sliwka&quot;,&quot;given&quot;:&quot;S.&quot;,&quot;parse-names&quot;:false,&quot;dropping-particle&quot;:&quot;&quot;,&quot;non-dropping-particle&quot;:&quot;&quot;},{&quot;family&quot;:&quot;Kunicki&quot;,&quot;given&quot;:&quot;A.&quot;,&quot;parse-names&quot;:false,&quot;dropping-particle&quot;:&quot;&quot;,&quot;non-dropping-particle&quot;:&quot;&quot;},{&quot;family&quot;:&quot;Dytko&quot;,&quot;given&quot;:&quot;P.&quot;,&quot;parse-names&quot;:false,&quot;dropping-particle&quot;:&quot;&quot;,&quot;non-dropping-particle&quot;:&quot;&quot;},{&quot;family&quot;:&quot;Korsak-Sliwka&quot;,&quot;given&quot;:&quot;J.&quot;,&quot;parse-names&quot;:false,&quot;dropping-particle&quot;:&quot;&quot;,&quot;non-dropping-particle&quot;:&quot;&quot;}],&quot;container-title&quot;:&quot;Journal of Neurosurgery&quot;,&quot;container-title-short&quot;:&quot;J Neurosurg&quot;,&quot;DOI&quot;:&quot;10.3171/jns.1977.47.1.0019&quot;,&quot;ISSN&quot;:&quot;00223085&quot;,&quot;issued&quot;:{&quot;date-parts&quot;:[[1977]]},&quot;abstract&quot;:&quot;The authors describe a fast method for estimating the elastance of the intracranial system in man. The method consists in constructing the so-called amplitude pressure (Amp P) curve which describes the relationship between the amplitude of pulse related oscillations in cerebrospinal fluid pressure and the basic level of intracranial pressure. The Amp P curve consists of 2 straight lines, and the point of intersection of these lines is thought to indicate the intracranial pressure level at which there occurs a qualitative change in the functioning of compensatory mechanisms of the intracranial system. The authors applied the method to examine the Amp P curves of 10 patients without intracranial pathology and found that they provide a good description of the state and dynamics of the intracranial system. Preliminary data obtained in patients with intracranial pathology indicate that the method is a valuable tool in the diagnosis and treatment of neurosurgical patients.&quot;,&quot;issue&quot;:&quot;1&quot;,&quot;volume&quot;:&quot;47&quot;},&quot;isTemporary&quot;:false}]},{&quot;citationID&quot;:&quot;MENDELEY_CITATION_6ca826a1-adc5-459b-bdfc-895cf83d73b4&quot;,&quot;properties&quot;:{&quot;noteIndex&quot;:0},&quot;isEdited&quot;:false,&quot;manualOverride&quot;:{&quot;isManuallyOverridden&quot;:false,&quot;citeprocText&quot;:&quot;[4]&quot;,&quot;manualOverrideText&quot;:&quot;&quot;},&quot;citationTag&quot;:&quot;MENDELEY_CITATION_v3_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&quot;,&quot;citationItems&quot;:[{&quot;id&quot;:&quot;cd71330e-c323-3a36-b5fa-1a0e68e7b1de&quot;,&quot;itemData&quot;:{&quot;type&quot;:&quot;article-journal&quot;,&quot;id&quot;:&quot;cd71330e-c323-3a36-b5fa-1a0e68e7b1de&quot;,&quot;title&quot;:&quot;An evaluation of three measures of intracranial compliance in traumatic brain injury patients&quot;,&quot;author&quot;:[{&quot;family&quot;:&quot;Howells&quot;,&quot;given&quot;:&quot;Tim&quot;,&quot;parse-names&quot;:false,&quot;dropping-particle&quot;:&quot;&quot;,&quot;non-dropping-particle&quot;:&quot;&quot;},{&quot;family&quot;:&quot;Lewén&quot;,&quot;given&quot;:&quot;Anders&quot;,&quot;parse-names&quot;:false,&quot;dropping-particle&quot;:&quot;&quot;,&quot;non-dropping-particle&quot;:&quot;&quot;},{&quot;family&quot;:&quot;Sköld&quot;,&quot;given&quot;:&quot;Mattias K.&quot;,&quot;parse-names&quot;:false,&quot;dropping-particle&quot;:&quot;&quot;,&quot;non-dropping-particle&quot;:&quot;&quot;},{&quot;family&quot;:&quot;Ronne-Engström&quot;,&quot;given&quot;:&quot;Elisabeth&quot;,&quot;parse-names&quot;:false,&quot;dropping-particle&quot;:&quot;&quot;,&quot;non-dropping-particle&quot;:&quot;&quot;},{&quot;family&quot;:&quot;Enblad&quot;,&quot;given&quot;:&quot;Per&quot;,&quot;parse-names&quot;:false,&quot;dropping-particle&quot;:&quot;&quot;,&quot;non-dropping-particle&quot;:&quot;&quot;}],&quot;container-title&quot;:&quot;Intensive Care Medicine&quot;,&quot;container-title-short&quot;:&quot;Intensive Care Med&quot;,&quot;DOI&quot;:&quot;10.1007/s00134-012-2571-7&quot;,&quot;ISSN&quot;:&quot;03424642&quot;,&quot;issued&quot;:{&quot;date-parts&quot;:[[2012]]},&quot;abstract&quot;:&quot;Purpose: To compare intracranial pressure (ICP) amplitude, ICP slope, and the correlation of ICP amplitude and ICP mean (RAP index) as measures of compliance in a cohort of traumatic brain injury (TBI) patients. Methods: Mean values of the three measures were calculated in the 2-h periods before and after surgery (craniectomies and evacuations), and in the 12-h periods preceding and following thiopental treatment, and during periods of thiopental coma. The changes in the metrics were evaluated using the Wilcoxon test. The correlations of 10-day mean values for the three metrics with age, admission Glasgow Motor Score (GMS), and Extended Glasgow Outcome Score (GOSe) were evaluated. Patients under and over 60 years old were also compared using the Student t test. The correlation of ICP amplitude with systemic pulse amplitude was analyzed. Results: ICP amplitude was significantly correlated with GMS, and also with age for patients 35 years old and older. The correlations of ICP slope and the RAP index with GMS and with age were not significant. All three metrics indicated significant improvements in compliance following surgery and during thiopental coma. None of the metrics were significantly correlated with outcome, possibly due to confounding effects of treatment factors. The correlation of systemic pulse amplitude with ICP amplitude was low (R = 0.18), only explaining 3 % of the variance. Conclusions: This study provides further validation for all three of these features of the ICP waveform as measures of compliance. ICP amplitude had the best performance in these tests. © 2012 Copyright jointly held by Springer and ESICM.&quot;,&quot;issue&quot;:&quot;6&quot;,&quot;volume&quot;:&quot;38&quot;},&quot;isTemporary&quot;:false}]},{&quot;citationID&quot;:&quot;MENDELEY_CITATION_579f7721-ab34-4ea1-b21b-45379d74a4cd&quot;,&quot;properties&quot;:{&quot;noteIndex&quot;:0},&quot;isEdited&quot;:false,&quot;manualOverride&quot;:{&quot;isManuallyOverridden&quot;:false,&quot;citeprocText&quot;:&quot;[5, 6]&quot;,&quot;manualOverrideText&quot;:&quot;&quot;},&quot;citationTag&quot;:&quot;MENDELEY_CITATION_v3_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&quot;,&quot;citationItems&quot;:[{&quot;id&quot;:&quot;23aad281-89ea-392f-b637-f242a4988414&quot;,&quot;itemData&quot;:{&quot;type&quot;:&quot;article-journal&quot;,&quot;id&quot;:&quot;23aad281-89ea-392f-b637-f242a4988414&quot;,&quot;title&quot;:&quot;Age, intracranial pressure, autoregulation, and outcome after brain trauma&quot;,&quot;author&quot;:[{&quot;family&quot;:&quot;Czosnyka&quot;,&quot;given&quot;:&quot;Marek&quot;,&quot;parse-names&quot;:false,&quot;dropping-particle&quot;:&quot;&quot;,&quot;non-dropping-particle&quot;:&quot;&quot;},{&quot;family&quot;:&quot;Balestreri&quot;,&quot;given&quot;:&quot;Marcella&quot;,&quot;parse-names&quot;:false,&quot;dropping-particle&quot;:&quot;&quot;,&quot;non-dropping-particle&quot;:&quot;&quot;},{&quot;family&quot;:&quot;Steiner&quot;,&quot;given&quot;:&quot;Luzius&quot;,&quot;parse-names&quot;:false,&quot;dropping-particle&quot;:&quot;&quot;,&quot;non-dropping-particle&quot;:&quot;&quot;},{&quot;family&quot;:&quot;Smielewski&quot;,&quot;given&quot;:&quot;Piotr&quot;,&quot;parse-names&quot;:false,&quot;dropping-particle&quot;:&quot;&quot;,&quot;non-dropping-particle&quot;:&quot;&quot;},{&quot;family&quot;:&quot;Hutchinson&quot;,&quot;given&quot;:&quot;Peter J.&quot;,&quot;parse-names&quot;:false,&quot;dropping-particle&quot;:&quot;&quot;,&quot;non-dropping-particle&quot;:&quot;&quot;},{&quot;family&quot;:&quot;Matta&quot;,&quot;given&quot;:&quot;Basil&quot;,&quot;parse-names&quot;:false,&quot;dropping-particle&quot;:&quot;&quot;,&quot;non-dropping-particle&quot;:&quot;&quot;},{&quot;family&quot;:&quot;Pickard&quot;,&quot;given&quot;:&quot;John D.&quot;,&quot;parse-names&quot;:false,&quot;dropping-particle&quot;:&quot;&quot;,&quot;non-dropping-particle&quot;:&quot;&quot;}],&quot;container-title&quot;:&quot;Journal of Neurosurgery&quot;,&quot;container-title-short&quot;:&quot;J Neurosurg&quot;,&quot;DOI&quot;:&quot;10.3171/jns.2005.102.3.0450&quot;,&quot;ISSN&quot;:&quot;00223085&quot;,&quot;issued&quot;:{&quot;date-parts&quot;:[[2005]]},&quot;abstract&quot;:&quot;Object. The object of this study was to investigate whether a failure of cerebrovascular autoregulation contributes to the relationship between age and outcome in patients following head injury. Methods. Data obtained from continuous bedside monitoring of intracranial pressure (ICP), arterial blood pressure (ABP), and cerebral perfusion pressure (CPP = ABP 2 ICP) in 358 patients with head injuries and intermittent monitoring of transcranial Doppler blood flow velocity (FV) in the middle cerebral artery in 237 patients were analyzed retrospectively. Indices used to describe cerebral autoregulation and pressure reactivity were calculated as correlation coefficients between slow waves of systolic FV and CPP (autoregulation index [ARI]) and between ABP and ICP (pressure reactivity index [PRI]). Older patients had worse outcomes after brain trauma than younger patients (p = 0.00001), despite the fact that the older patients had higher initial Glasgow Coma Scale scores (p = 0.006). When age was considered as an independent variable, it appeared that ICP decreased with age (p = 0.005), resulting in an increasing mean CPP (p = 0.0005). Blood FV was not dependent on age (p = 0.58). Indices of autoregulation and pressure reactivity demonstrated a deterioration in cerebrovascular control with advancing age (PRI: p = 0.003; ARI: p = 0.007). Conclusions. An age-related decline in cerebrovascular autoregulation was associated with a relative deterioration in outcome in elderly patients following head trauma.&quot;,&quot;issue&quot;:&quot;3&quot;,&quot;volume&quot;:&quot;102&quot;},&quot;isTemporary&quot;:false},{&quot;id&quot;:&quot;849c6f7c-c61e-3e37-97ee-79d7cf8b61eb&quot;,&quot;itemData&quot;:{&quot;type&quot;:&quot;article-journal&quot;,&quot;id&quot;:&quot;849c6f7c-c61e-3e37-97ee-79d7cf8b61eb&quot;,&quot;title&quot;:&quot;The Relationship Between Intracranial Pressure and Age—Chasing Age-Related Reference Values&quot;,&quot;author&quot;:[{&quot;family&quot;:&quot;Pedersen&quot;,&quot;given&quot;:&quot;Sarah Hornshøj&quot;,&quot;parse-names&quot;:false,&quot;dropping-particle&quot;:&quot;&quot;,&quot;non-dropping-particle&quot;:&quot;&quot;},{&quot;family&quot;:&quot;Lilja-Cyron&quot;,&quot;given&quot;:&quot;Alexander&quot;,&quot;parse-names&quot;:false,&quot;dropping-particle&quot;:&quot;&quot;,&quot;non-dropping-particle&quot;:&quot;&quot;},{&quot;family&quot;:&quot;Andresen&quot;,&quot;given&quot;:&quot;Morten&quot;,&quot;parse-names&quot;:false,&quot;dropping-particle&quot;:&quot;&quot;,&quot;non-dropping-particle&quot;:&quot;&quot;},{&quot;family&quot;:&quot;Juhler&quot;,&quot;given&quot;:&quot;Marianne&quot;,&quot;parse-names&quot;:false,&quot;dropping-particle&quot;:&quot;&quot;,&quot;non-dropping-particle&quot;:&quot;&quot;}],&quot;container-title&quot;:&quot;World Neurosurgery&quot;,&quot;container-title-short&quot;:&quot;World Neurosurg&quot;,&quot;DOI&quot;:&quot;10.1016/j.wneu.2017.10.086&quot;,&quot;ISSN&quot;:&quot;18788769&quot;,&quot;issued&quot;:{&quot;date-parts&quot;:[[2018]]},&quot;abstract&quot;:&quot;Background: No true reference values for intracranial pressure (ICP) in humans exist; current values are estimated from measurements in adults who undergo treatment in order to correct ICP. We report ICP values in a “pseudonormal” group of children and adults to examine if age affects ICP. Methods: We analyzed data from all nonshunted patients undergoing a 24-hour ICP monitoring as part of a diagnostic work-up and included patients with no subsequent suspicion of increased ICP and no need for pressure-relieving treatment with a minimum follow-up period of 3 years. Results: From February 2008 to November 2014, a 24-hour ICP monitoring was performed in 221 patients. Of these patients, 35 (14 children, 21 adults) met the inclusion criteria. Follow-up time to confirm absence of ICP-related disease was 3–9 years. Daytime ICP was 2.8 mmHg ± 2.2 in children and 1.9 mmHg ± 4.2 in adults (P = 0.39). Of 35 patients, 32 had higher nighttime ICP. The difference between daytime and nighttime ICP was similar in children (ΔICP = 5.8 mmHg ± 4.0, P &lt; 0.0001) and adults (ΔICP = 6.1 mm Hg ± 3.3, P &lt; 0.0001). ICP could be described as a decreasing function of age, with an ICP decrement of 0.69 mmHg per decade (P = 0.015). Conclusions: We found similar differences in daytime and nighttime ICP between children and adults with no ICP-related disease. ICP seems to decrease with age across all ages. This has implications for therapeutic interventions (e.g., shunt valve selection or resistance in external ventricular drainage).&quot;,&quot;volume&quot;:&quot;110&quot;},&quot;isTemporary&quot;:false}]}]"/>
    <we:property name="MENDELEY_CITATIONS_LOCALE_CODE" value="&quot;en-US&quot;"/>
    <we:property name="MENDELEY_CITATIONS_STYLE" value="{&quot;id&quot;:&quot;https://www.zotero.org/styles/intensive-care-medicine&quot;,&quot;title&quot;:&quot;Intensive Care Medicin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A2D14-EA62-4D16-A2C7-ECC1501F4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1507</Words>
  <Characters>9048</Characters>
  <Application>Microsoft Office Word</Application>
  <DocSecurity>0</DocSecurity>
  <Lines>75</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magdalena.kasprowicz@pwr.edu.pl</dc:creator>
  <cp:keywords/>
  <dc:description/>
  <cp:lastModifiedBy>magdalena.kasprowicz@pwr.edu.pl</cp:lastModifiedBy>
  <cp:revision>2</cp:revision>
  <dcterms:created xsi:type="dcterms:W3CDTF">2025-01-20T06:59:00Z</dcterms:created>
  <dcterms:modified xsi:type="dcterms:W3CDTF">2025-01-20T06:59:00Z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http://www.zotero.org/styles/critical-care</vt:lpwstr>
  </property>
  <property fmtid="{D5CDD505-2E9C-101B-9397-08002B2CF9AE}" pid="11" name="Mendeley Recent Style Name 4_1">
    <vt:lpwstr>Critical Care</vt:lpwstr>
  </property>
  <property fmtid="{D5CDD505-2E9C-101B-9397-08002B2CF9AE}" pid="12" name="Mendeley Recent Style Id 5_1">
    <vt:lpwstr>https://csl.mendeley.com/styles/499569841/ieee-2</vt:lpwstr>
  </property>
  <property fmtid="{D5CDD505-2E9C-101B-9397-08002B2CF9AE}" pid="13" name="Mendeley Recent Style Name 5_1">
    <vt:lpwstr>IEEE_custom</vt:lpwstr>
  </property>
  <property fmtid="{D5CDD505-2E9C-101B-9397-08002B2CF9AE}" pid="14" name="Mendeley Recent Style Id 6_1">
    <vt:lpwstr>http://www.zotero.org/styles/mary-ann-liebert-vancouver</vt:lpwstr>
  </property>
  <property fmtid="{D5CDD505-2E9C-101B-9397-08002B2CF9AE}" pid="15" name="Mendeley Recent Style Name 6_1">
    <vt:lpwstr>Mary Ann Liebert - Vancouver</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http://csl.mendeley.com/styles/499569841/NLM-NeuroIndia</vt:lpwstr>
  </property>
  <property fmtid="{D5CDD505-2E9C-101B-9397-08002B2CF9AE}" pid="21" name="Mendeley Recent Style Name 9_1">
    <vt:lpwstr>Vancouver - Agnieszka Kazimierska</vt:lpwstr>
  </property>
  <property fmtid="{D5CDD505-2E9C-101B-9397-08002B2CF9AE}" pid="22" name="Mendeley Document_1">
    <vt:lpwstr>True</vt:lpwstr>
  </property>
  <property fmtid="{D5CDD505-2E9C-101B-9397-08002B2CF9AE}" pid="23" name="Mendeley Unique User Id_1">
    <vt:lpwstr>4cf2e06f-28c9-3134-bf01-99e7dab40c8a</vt:lpwstr>
  </property>
  <property fmtid="{D5CDD505-2E9C-101B-9397-08002B2CF9AE}" pid="24" name="Mendeley Citation Style_1">
    <vt:lpwstr>http://www.zotero.org/styles/critical-care</vt:lpwstr>
  </property>
</Properties>
</file>