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1A2" w:rsidRDefault="000711A2" w:rsidP="000711A2">
      <w:pPr>
        <w:pStyle w:val="Bijschrift"/>
        <w:keepNext/>
        <w:spacing w:line="360" w:lineRule="auto"/>
        <w:rPr>
          <w:rFonts w:ascii="Calibri" w:hAnsi="Calibri" w:cs="Calibri"/>
          <w:b/>
          <w:bCs/>
          <w:sz w:val="24"/>
          <w:szCs w:val="24"/>
          <w:u w:val="single"/>
          <w:lang w:val="en-US"/>
        </w:rPr>
      </w:pPr>
    </w:p>
    <w:p w:rsidR="000711A2" w:rsidRPr="00007847" w:rsidRDefault="000711A2" w:rsidP="000711A2">
      <w:pPr>
        <w:pStyle w:val="Bijschrift"/>
        <w:keepNext/>
        <w:spacing w:line="360" w:lineRule="auto"/>
        <w:rPr>
          <w:rFonts w:ascii="Calibri" w:hAnsi="Calibri" w:cs="Calibri"/>
          <w:b/>
          <w:bCs/>
          <w:sz w:val="24"/>
          <w:szCs w:val="24"/>
          <w:u w:val="single"/>
          <w:lang w:val="en-U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n-US"/>
        </w:rPr>
        <w:t>Su</w:t>
      </w:r>
      <w:r>
        <w:rPr>
          <w:rFonts w:ascii="Calibri" w:hAnsi="Calibri" w:cs="Calibri"/>
          <w:b/>
          <w:bCs/>
          <w:sz w:val="24"/>
          <w:szCs w:val="24"/>
          <w:u w:val="single"/>
          <w:lang w:val="en-US"/>
        </w:rPr>
        <w:t>pplementary materials</w:t>
      </w:r>
    </w:p>
    <w:p w:rsidR="000711A2" w:rsidRPr="0021637B" w:rsidRDefault="000711A2" w:rsidP="000711A2">
      <w:pPr>
        <w:pStyle w:val="Bijschrift"/>
        <w:keepNext/>
        <w:spacing w:line="360" w:lineRule="auto"/>
        <w:rPr>
          <w:rFonts w:ascii="Calibri" w:hAnsi="Calibri" w:cs="Calibri"/>
          <w:lang w:val="en-US"/>
        </w:rPr>
      </w:pPr>
      <w:r w:rsidRPr="0021637B">
        <w:rPr>
          <w:rFonts w:ascii="Calibri" w:hAnsi="Calibri" w:cs="Calibri"/>
          <w:lang w:val="en-US"/>
        </w:rPr>
        <w:t xml:space="preserve">Supplementary Table </w:t>
      </w:r>
      <w:r w:rsidRPr="0021637B">
        <w:rPr>
          <w:rFonts w:ascii="Calibri" w:hAnsi="Calibri" w:cs="Calibri"/>
        </w:rPr>
        <w:fldChar w:fldCharType="begin"/>
      </w:r>
      <w:r w:rsidRPr="0021637B">
        <w:rPr>
          <w:rFonts w:ascii="Calibri" w:hAnsi="Calibri" w:cs="Calibri"/>
          <w:lang w:val="en-US"/>
        </w:rPr>
        <w:instrText xml:space="preserve"> SEQ Tabel \* ARABIC </w:instrText>
      </w:r>
      <w:r w:rsidRPr="0021637B">
        <w:rPr>
          <w:rFonts w:ascii="Calibri" w:hAnsi="Calibri" w:cs="Calibri"/>
        </w:rPr>
        <w:fldChar w:fldCharType="separate"/>
      </w:r>
      <w:r w:rsidRPr="0021637B">
        <w:rPr>
          <w:rFonts w:ascii="Calibri" w:hAnsi="Calibri" w:cs="Calibri"/>
          <w:noProof/>
          <w:lang w:val="en-US"/>
        </w:rPr>
        <w:t>1</w:t>
      </w:r>
      <w:r w:rsidRPr="0021637B">
        <w:rPr>
          <w:rFonts w:ascii="Calibri" w:hAnsi="Calibri" w:cs="Calibri"/>
        </w:rPr>
        <w:fldChar w:fldCharType="end"/>
      </w:r>
      <w:r w:rsidRPr="0021637B">
        <w:rPr>
          <w:rFonts w:ascii="Calibri" w:hAnsi="Calibri" w:cs="Calibri"/>
          <w:lang w:val="en-US"/>
        </w:rPr>
        <w:t>: Comparison of three methods that can be used to assess environmental sustainability of ICUs</w:t>
      </w:r>
    </w:p>
    <w:tbl>
      <w:tblPr>
        <w:tblStyle w:val="Onopgemaaktetabel1"/>
        <w:tblW w:w="0" w:type="auto"/>
        <w:tblLook w:val="04A0" w:firstRow="1" w:lastRow="0" w:firstColumn="1" w:lastColumn="0" w:noHBand="0" w:noVBand="1"/>
      </w:tblPr>
      <w:tblGrid>
        <w:gridCol w:w="1413"/>
        <w:gridCol w:w="2539"/>
        <w:gridCol w:w="2533"/>
        <w:gridCol w:w="2531"/>
      </w:tblGrid>
      <w:tr w:rsidR="000711A2" w:rsidRPr="0021637B" w:rsidTr="00E27B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0711A2" w:rsidRPr="0021637B" w:rsidRDefault="000711A2" w:rsidP="00E27B4D">
            <w:pPr>
              <w:spacing w:line="36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539" w:type="dxa"/>
          </w:tcPr>
          <w:p w:rsidR="000711A2" w:rsidRPr="0021637B" w:rsidRDefault="000711A2" w:rsidP="00E27B4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637B">
              <w:rPr>
                <w:rFonts w:ascii="Calibri" w:hAnsi="Calibri" w:cs="Calibri"/>
                <w:sz w:val="20"/>
                <w:szCs w:val="20"/>
              </w:rPr>
              <w:t>LCA</w:t>
            </w:r>
          </w:p>
        </w:tc>
        <w:tc>
          <w:tcPr>
            <w:tcW w:w="2533" w:type="dxa"/>
          </w:tcPr>
          <w:p w:rsidR="000711A2" w:rsidRPr="0021637B" w:rsidRDefault="000711A2" w:rsidP="00E27B4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637B">
              <w:rPr>
                <w:rFonts w:ascii="Calibri" w:hAnsi="Calibri" w:cs="Calibri"/>
                <w:sz w:val="20"/>
                <w:szCs w:val="20"/>
              </w:rPr>
              <w:t>MFA</w:t>
            </w:r>
          </w:p>
        </w:tc>
        <w:tc>
          <w:tcPr>
            <w:tcW w:w="2531" w:type="dxa"/>
          </w:tcPr>
          <w:p w:rsidR="000711A2" w:rsidRPr="0021637B" w:rsidRDefault="000711A2" w:rsidP="00E27B4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637B">
              <w:rPr>
                <w:rFonts w:ascii="Calibri" w:hAnsi="Calibri" w:cs="Calibri"/>
                <w:sz w:val="20"/>
                <w:szCs w:val="20"/>
              </w:rPr>
              <w:t xml:space="preserve">Waste audit </w:t>
            </w:r>
          </w:p>
        </w:tc>
      </w:tr>
      <w:tr w:rsidR="000711A2" w:rsidRPr="00D24B9B" w:rsidTr="00E2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0711A2" w:rsidRPr="0021637B" w:rsidRDefault="000711A2" w:rsidP="00E27B4D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21637B">
              <w:rPr>
                <w:rFonts w:ascii="Calibri" w:hAnsi="Calibri" w:cs="Calibri"/>
                <w:sz w:val="20"/>
                <w:szCs w:val="20"/>
              </w:rPr>
              <w:t>Purpose</w:t>
            </w:r>
            <w:proofErr w:type="spellEnd"/>
          </w:p>
        </w:tc>
        <w:tc>
          <w:tcPr>
            <w:tcW w:w="2539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□ To identify environmental hotspots</w:t>
            </w:r>
          </w:p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□ To quantify environmental impacts</w:t>
            </w:r>
          </w:p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533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□ To identify hotspots to improve circularity </w:t>
            </w:r>
          </w:p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□ To</w:t>
            </w:r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 xml:space="preserve"> identify inefficiencies in material use and waste generation</w:t>
            </w:r>
          </w:p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□ To monitor circularity</w:t>
            </w:r>
          </w:p>
        </w:tc>
        <w:tc>
          <w:tcPr>
            <w:tcW w:w="2531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□ To </w:t>
            </w:r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identify hotspots to waste generation</w:t>
            </w:r>
          </w:p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 xml:space="preserve"> </w:t>
            </w: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□ To </w:t>
            </w:r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inform waste management practices</w:t>
            </w:r>
          </w:p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□ To </w:t>
            </w:r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monitor waste reduction</w:t>
            </w:r>
          </w:p>
        </w:tc>
      </w:tr>
      <w:tr w:rsidR="000711A2" w:rsidRPr="00D24B9B" w:rsidTr="00E27B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0711A2" w:rsidRPr="0021637B" w:rsidRDefault="000711A2" w:rsidP="00E27B4D">
            <w:pPr>
              <w:spacing w:line="36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hAnsi="Calibri" w:cs="Calibri"/>
                <w:sz w:val="20"/>
                <w:szCs w:val="20"/>
                <w:lang w:val="en-US"/>
              </w:rPr>
              <w:t>Data collection</w:t>
            </w:r>
          </w:p>
        </w:tc>
        <w:tc>
          <w:tcPr>
            <w:tcW w:w="2539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Requires comprehensive data through a product’s lifecycle and (preferably) specific software</w:t>
            </w:r>
          </w:p>
        </w:tc>
        <w:tc>
          <w:tcPr>
            <w:tcW w:w="2533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hAnsi="Calibri" w:cs="Calibri"/>
                <w:sz w:val="20"/>
                <w:szCs w:val="20"/>
                <w:lang w:val="en-US"/>
              </w:rPr>
              <w:t xml:space="preserve">Requires data on the mass of purchases and waste </w:t>
            </w:r>
          </w:p>
        </w:tc>
        <w:tc>
          <w:tcPr>
            <w:tcW w:w="2531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Requires data on waste composition and management</w:t>
            </w:r>
          </w:p>
        </w:tc>
      </w:tr>
      <w:tr w:rsidR="000711A2" w:rsidRPr="00D24B9B" w:rsidTr="00E27B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0711A2" w:rsidRPr="0021637B" w:rsidRDefault="000711A2" w:rsidP="00E27B4D">
            <w:pPr>
              <w:spacing w:line="36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hAnsi="Calibri" w:cs="Calibri"/>
                <w:sz w:val="20"/>
                <w:szCs w:val="20"/>
                <w:lang w:val="en-US"/>
              </w:rPr>
              <w:t>Interpretation</w:t>
            </w:r>
          </w:p>
        </w:tc>
        <w:tc>
          <w:tcPr>
            <w:tcW w:w="2539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Outcomes may be context-specific, for instance energy used. </w:t>
            </w:r>
          </w:p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533" w:type="dxa"/>
            <w:vAlign w:val="center"/>
          </w:tcPr>
          <w:p w:rsidR="000711A2" w:rsidRPr="0021637B" w:rsidRDefault="000711A2" w:rsidP="00E27B4D">
            <w:pPr>
              <w:pStyle w:val="Geenafstand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hAnsi="Calibri" w:cs="Calibri"/>
                <w:sz w:val="20"/>
                <w:szCs w:val="20"/>
                <w:lang w:val="en-US"/>
              </w:rPr>
              <w:t>Outcomes do not provide information on environmental impacts (unless complemented with LCA)</w:t>
            </w:r>
          </w:p>
        </w:tc>
        <w:tc>
          <w:tcPr>
            <w:tcW w:w="2531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Outcomes focus on downstream waste rather than root causes of waste generation. </w:t>
            </w:r>
          </w:p>
        </w:tc>
      </w:tr>
      <w:tr w:rsidR="000711A2" w:rsidRPr="00007847" w:rsidTr="00E27B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</w:tcPr>
          <w:p w:rsidR="000711A2" w:rsidRPr="0021637B" w:rsidRDefault="000711A2" w:rsidP="00E27B4D">
            <w:pPr>
              <w:spacing w:line="360" w:lineRule="auto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hAnsi="Calibri" w:cs="Calibri"/>
                <w:sz w:val="20"/>
                <w:szCs w:val="20"/>
                <w:lang w:val="en-US"/>
              </w:rPr>
              <w:t>ICU examples</w:t>
            </w:r>
          </w:p>
        </w:tc>
        <w:tc>
          <w:tcPr>
            <w:tcW w:w="2539" w:type="dxa"/>
            <w:vAlign w:val="center"/>
          </w:tcPr>
          <w:p w:rsidR="000711A2" w:rsidRPr="0021637B" w:rsidRDefault="000711A2" w:rsidP="00E27B4D">
            <w:pPr>
              <w:pStyle w:val="Geenafstand"/>
              <w:spacing w:after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24B9B">
              <w:rPr>
                <w:rFonts w:ascii="Calibri" w:eastAsia="Calibri" w:hAnsi="Calibri" w:cs="Calibri"/>
                <w:b/>
                <w:sz w:val="20"/>
                <w:szCs w:val="20"/>
                <w:lang w:val="fr-FR"/>
              </w:rPr>
              <w:t>ICU:</w:t>
            </w:r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>McGain</w:t>
            </w:r>
            <w:proofErr w:type="spellEnd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, et al. (2018); Prasad, et al. </w:t>
            </w: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(2022)</w:t>
            </w:r>
          </w:p>
          <w:p w:rsidR="000711A2" w:rsidRDefault="000711A2" w:rsidP="00E27B4D">
            <w:pPr>
              <w:pStyle w:val="Geenafstand"/>
              <w:spacing w:before="240" w:after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Specific products/processes within ICU:</w:t>
            </w: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</w:t>
            </w:r>
          </w:p>
          <w:p w:rsidR="000711A2" w:rsidRPr="0021637B" w:rsidRDefault="000711A2" w:rsidP="00E27B4D">
            <w:pPr>
              <w:pStyle w:val="Geenafstand"/>
              <w:spacing w:before="240" w:after="24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D24B9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Pulse oximeters [Duffy, et al. </w:t>
            </w:r>
            <w:r w:rsidRPr="00A645B4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(2023)]; Anesthetic equipment [</w:t>
            </w:r>
            <w:proofErr w:type="spellStart"/>
            <w:r w:rsidRPr="00A645B4">
              <w:rPr>
                <w:rFonts w:ascii="Calibri" w:eastAsia="Calibri" w:hAnsi="Calibri" w:cs="Calibri"/>
                <w:sz w:val="20"/>
                <w:szCs w:val="20"/>
                <w:lang w:val="en-US"/>
              </w:rPr>
              <w:t>McGain</w:t>
            </w:r>
            <w:proofErr w:type="spellEnd"/>
            <w:r w:rsidRPr="00A645B4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, et al. </w:t>
            </w:r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(2017)]; Laryngoscopes [Sherman, et al. (2018)];  </w:t>
            </w:r>
            <w:proofErr w:type="spellStart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>paracetamol</w:t>
            </w:r>
            <w:proofErr w:type="spellEnd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>intravenous</w:t>
            </w:r>
            <w:proofErr w:type="spellEnd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 versus </w:t>
            </w:r>
            <w:proofErr w:type="spellStart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>subcutaneous</w:t>
            </w:r>
            <w:proofErr w:type="spellEnd"/>
            <w:r w:rsidRPr="00D24B9B">
              <w:rPr>
                <w:rFonts w:ascii="Calibri" w:eastAsia="Calibri" w:hAnsi="Calibri" w:cs="Calibri"/>
                <w:sz w:val="20"/>
                <w:szCs w:val="20"/>
                <w:lang w:val="fr-FR"/>
              </w:rPr>
              <w:t xml:space="preserve"> [Davies, et al. </w:t>
            </w: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(2024)</w:t>
            </w:r>
            <w:r>
              <w:rPr>
                <w:rFonts w:ascii="Calibri" w:eastAsia="Calibri" w:hAnsi="Calibri" w:cs="Calibri"/>
                <w:sz w:val="20"/>
                <w:szCs w:val="20"/>
                <w:lang w:val="en-US"/>
              </w:rPr>
              <w:t>]</w:t>
            </w: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. </w:t>
            </w:r>
          </w:p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2533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1637B">
              <w:rPr>
                <w:rFonts w:ascii="Calibri" w:eastAsia="Calibri" w:hAnsi="Calibri" w:cs="Calibri"/>
                <w:b/>
                <w:color w:val="242424"/>
                <w:sz w:val="20"/>
                <w:szCs w:val="20"/>
              </w:rPr>
              <w:t>ICU:</w:t>
            </w:r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</w:rPr>
              <w:t xml:space="preserve"> Hunfeld, et al. (2023)</w:t>
            </w:r>
          </w:p>
        </w:tc>
        <w:tc>
          <w:tcPr>
            <w:tcW w:w="2531" w:type="dxa"/>
            <w:vAlign w:val="center"/>
          </w:tcPr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ICU:</w:t>
            </w:r>
            <w:r w:rsidRPr="0021637B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 Corbin, et al. (2022)</w:t>
            </w:r>
          </w:p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</w:pPr>
          </w:p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</w:pPr>
          </w:p>
          <w:p w:rsidR="000711A2" w:rsidRPr="0021637B" w:rsidRDefault="000711A2" w:rsidP="00E27B4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21637B">
              <w:rPr>
                <w:rFonts w:ascii="Calibri" w:eastAsia="Calibri" w:hAnsi="Calibri" w:cs="Calibri"/>
                <w:b/>
                <w:color w:val="242424"/>
                <w:sz w:val="20"/>
                <w:szCs w:val="20"/>
                <w:lang w:val="en-US"/>
              </w:rPr>
              <w:t>Specific waste streams within ICU:</w:t>
            </w:r>
            <w:r>
              <w:rPr>
                <w:rFonts w:ascii="Calibri" w:eastAsia="Calibri" w:hAnsi="Calibri" w:cs="Calibri"/>
                <w:b/>
                <w:color w:val="24242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Calibri" w:eastAsia="Calibri" w:hAnsi="Calibri" w:cs="Calibri"/>
                <w:bCs/>
                <w:color w:val="242424"/>
                <w:sz w:val="20"/>
                <w:szCs w:val="20"/>
                <w:lang w:val="en-US"/>
              </w:rPr>
              <w:t>drug waste [</w:t>
            </w:r>
            <w:proofErr w:type="spellStart"/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Barbariol</w:t>
            </w:r>
            <w:proofErr w:type="spellEnd"/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, et al. (2021)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]; recyclable waste [</w:t>
            </w:r>
            <w:proofErr w:type="spellStart"/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McGain</w:t>
            </w:r>
            <w:proofErr w:type="spellEnd"/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, et al. (2009)</w:t>
            </w:r>
            <w:r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]</w:t>
            </w:r>
            <w:r w:rsidRPr="0021637B">
              <w:rPr>
                <w:rFonts w:ascii="Calibri" w:eastAsia="Calibri" w:hAnsi="Calibri" w:cs="Calibri"/>
                <w:color w:val="242424"/>
                <w:sz w:val="20"/>
                <w:szCs w:val="20"/>
                <w:lang w:val="en-US"/>
              </w:rPr>
              <w:t>.</w:t>
            </w:r>
          </w:p>
        </w:tc>
      </w:tr>
    </w:tbl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:rsidR="0031769B" w:rsidRDefault="0031769B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</w:p>
    <w:p w:rsidR="0031769B" w:rsidRDefault="0031769B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</w:p>
    <w:p w:rsidR="0031769B" w:rsidRPr="0031769B" w:rsidRDefault="0031769B" w:rsidP="000711A2">
      <w:pPr>
        <w:spacing w:line="360" w:lineRule="auto"/>
        <w:jc w:val="both"/>
        <w:rPr>
          <w:rFonts w:ascii="Calibri" w:eastAsia="Calibri" w:hAnsi="Calibri" w:cs="Calibri"/>
          <w:b/>
          <w:i/>
          <w:sz w:val="16"/>
          <w:szCs w:val="22"/>
          <w:lang w:val="en-US"/>
        </w:rPr>
      </w:pPr>
      <w:bookmarkStart w:id="0" w:name="_GoBack"/>
      <w:r w:rsidRPr="0031769B">
        <w:rPr>
          <w:rFonts w:ascii="Calibri" w:eastAsia="Calibri" w:hAnsi="Calibri" w:cs="Calibri"/>
          <w:b/>
          <w:i/>
          <w:sz w:val="16"/>
          <w:szCs w:val="22"/>
          <w:lang w:val="en-US"/>
        </w:rPr>
        <w:t>References</w:t>
      </w:r>
    </w:p>
    <w:bookmarkEnd w:id="0"/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McGain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F, Burnham JP, Lau R, Aye L,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Kollef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MH, McAlister S. The carbon footprint of treating patients with septic shock in the intensive care unit.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Crit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Care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Resusc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>. 2018;20(4):304-12.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Prasad PA, Joshi D, Lighter J,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Agins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J, Allen R, Collins M, et al. Environmental footprint of regular and intensive inpatient care in a large US hospital. The International Journal of Life Cycle Assessment. 2022:1-12.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Duffy J,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Slutzman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JE, Thiel CL,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Landes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M. Sustainable Purchasing Practices: A Comparison of Single-use and Reusable Pulse Oximeters in the Emergency Department. West J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Emerg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Med. 2023;24(6):1034-42.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McGain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F, Story D, Lim T, McAlister S. Financial and environmental costs of reusable and single-use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anaesthetic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equipment. Br J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Anaesth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>. 2017;118(6):862-9.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</w:rPr>
      </w:pPr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Sherman JD,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Raibley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LAt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Eckelman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MJ. Life Cycle Assessment and Costing Methods for Device Procurement: Comparing Reusable and Single-Use Disposable Laryngoscopes. </w:t>
      </w:r>
      <w:proofErr w:type="spellStart"/>
      <w:r w:rsidRPr="0021637B">
        <w:rPr>
          <w:rFonts w:ascii="Calibri" w:eastAsia="Calibri" w:hAnsi="Calibri" w:cs="Calibri"/>
          <w:sz w:val="16"/>
          <w:szCs w:val="22"/>
        </w:rPr>
        <w:t>Anesth</w:t>
      </w:r>
      <w:proofErr w:type="spellEnd"/>
      <w:r w:rsidRPr="0021637B">
        <w:rPr>
          <w:rFonts w:ascii="Calibri" w:eastAsia="Calibri" w:hAnsi="Calibri" w:cs="Calibri"/>
          <w:sz w:val="16"/>
          <w:szCs w:val="22"/>
        </w:rPr>
        <w:t xml:space="preserve"> </w:t>
      </w:r>
      <w:proofErr w:type="spellStart"/>
      <w:r w:rsidRPr="0021637B">
        <w:rPr>
          <w:rFonts w:ascii="Calibri" w:eastAsia="Calibri" w:hAnsi="Calibri" w:cs="Calibri"/>
          <w:sz w:val="16"/>
          <w:szCs w:val="22"/>
        </w:rPr>
        <w:t>Analg</w:t>
      </w:r>
      <w:proofErr w:type="spellEnd"/>
      <w:r w:rsidRPr="0021637B">
        <w:rPr>
          <w:rFonts w:ascii="Calibri" w:eastAsia="Calibri" w:hAnsi="Calibri" w:cs="Calibri"/>
          <w:sz w:val="16"/>
          <w:szCs w:val="22"/>
        </w:rPr>
        <w:t>. 2018;127(2):434-43.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r w:rsidRPr="0021637B">
        <w:rPr>
          <w:rFonts w:ascii="Calibri" w:eastAsia="Calibri" w:hAnsi="Calibri" w:cs="Calibri"/>
          <w:sz w:val="16"/>
          <w:szCs w:val="22"/>
        </w:rPr>
        <w:t xml:space="preserve">Davies JF, </w:t>
      </w:r>
      <w:proofErr w:type="spellStart"/>
      <w:r w:rsidRPr="0021637B">
        <w:rPr>
          <w:rFonts w:ascii="Calibri" w:eastAsia="Calibri" w:hAnsi="Calibri" w:cs="Calibri"/>
          <w:sz w:val="16"/>
          <w:szCs w:val="22"/>
        </w:rPr>
        <w:t>McAlister</w:t>
      </w:r>
      <w:proofErr w:type="spellEnd"/>
      <w:r w:rsidRPr="0021637B">
        <w:rPr>
          <w:rFonts w:ascii="Calibri" w:eastAsia="Calibri" w:hAnsi="Calibri" w:cs="Calibri"/>
          <w:sz w:val="16"/>
          <w:szCs w:val="22"/>
        </w:rPr>
        <w:t xml:space="preserve"> S, </w:t>
      </w:r>
      <w:proofErr w:type="spellStart"/>
      <w:r w:rsidRPr="0021637B">
        <w:rPr>
          <w:rFonts w:ascii="Calibri" w:eastAsia="Calibri" w:hAnsi="Calibri" w:cs="Calibri"/>
          <w:sz w:val="16"/>
          <w:szCs w:val="22"/>
        </w:rPr>
        <w:t>Eckelman</w:t>
      </w:r>
      <w:proofErr w:type="spellEnd"/>
      <w:r w:rsidRPr="0021637B">
        <w:rPr>
          <w:rFonts w:ascii="Calibri" w:eastAsia="Calibri" w:hAnsi="Calibri" w:cs="Calibri"/>
          <w:sz w:val="16"/>
          <w:szCs w:val="22"/>
        </w:rPr>
        <w:t xml:space="preserve"> MJ, </w:t>
      </w:r>
      <w:proofErr w:type="spellStart"/>
      <w:r w:rsidRPr="0021637B">
        <w:rPr>
          <w:rFonts w:ascii="Calibri" w:eastAsia="Calibri" w:hAnsi="Calibri" w:cs="Calibri"/>
          <w:sz w:val="16"/>
          <w:szCs w:val="22"/>
        </w:rPr>
        <w:t>McGain</w:t>
      </w:r>
      <w:proofErr w:type="spellEnd"/>
      <w:r w:rsidRPr="0021637B">
        <w:rPr>
          <w:rFonts w:ascii="Calibri" w:eastAsia="Calibri" w:hAnsi="Calibri" w:cs="Calibri"/>
          <w:sz w:val="16"/>
          <w:szCs w:val="22"/>
        </w:rPr>
        <w:t xml:space="preserve"> F, </w:t>
      </w:r>
      <w:proofErr w:type="spellStart"/>
      <w:r w:rsidRPr="0021637B">
        <w:rPr>
          <w:rFonts w:ascii="Calibri" w:eastAsia="Calibri" w:hAnsi="Calibri" w:cs="Calibri"/>
          <w:sz w:val="16"/>
          <w:szCs w:val="22"/>
        </w:rPr>
        <w:t>Seglenieks</w:t>
      </w:r>
      <w:proofErr w:type="spellEnd"/>
      <w:r w:rsidRPr="0021637B">
        <w:rPr>
          <w:rFonts w:ascii="Calibri" w:eastAsia="Calibri" w:hAnsi="Calibri" w:cs="Calibri"/>
          <w:sz w:val="16"/>
          <w:szCs w:val="22"/>
        </w:rPr>
        <w:t xml:space="preserve"> R, </w:t>
      </w:r>
      <w:proofErr w:type="spellStart"/>
      <w:r w:rsidRPr="0021637B">
        <w:rPr>
          <w:rFonts w:ascii="Calibri" w:eastAsia="Calibri" w:hAnsi="Calibri" w:cs="Calibri"/>
          <w:sz w:val="16"/>
          <w:szCs w:val="22"/>
        </w:rPr>
        <w:t>Gutman</w:t>
      </w:r>
      <w:proofErr w:type="spellEnd"/>
      <w:r w:rsidRPr="0021637B">
        <w:rPr>
          <w:rFonts w:ascii="Calibri" w:eastAsia="Calibri" w:hAnsi="Calibri" w:cs="Calibri"/>
          <w:sz w:val="16"/>
          <w:szCs w:val="22"/>
        </w:rPr>
        <w:t xml:space="preserve"> EN, et al. </w:t>
      </w:r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Environmental and financial impacts of perioperative paracetamol use: a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multicentre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international life-cycle analysis. British Journal of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Anaesthesia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>. 2024.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Hunfeld N, Diehl JC,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Timmermann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M, van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Exter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P,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Bouwens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J, Browne-Wilkinson S, et al. Circular material flow in the intensive care unit-environmental effects and identification of hotspots. Intensive Care Med. 2023;49(1):65-74.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Corbin L, Hoff H, Smith A, Owens C,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Weisinger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K,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Philipsborn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R. A 24-hour waste audit of the neuro ICU during the COVID-19 pandemic and opportunities for diversion. The Journal of Climate Change and Health. 2022;8:100154.</w:t>
      </w:r>
    </w:p>
    <w:p w:rsidR="000711A2" w:rsidRPr="0021637B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Barbariol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F, Deana C,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Lucchese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F,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Cataldi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G,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Bassi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F,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Bove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T, et al. Evaluation of Drug Wastage in the Operating Rooms and Intensive Care Units of a Regional Health Service.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Anesth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Analg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>. 2021;132(5):1450-6.</w:t>
      </w:r>
    </w:p>
    <w:p w:rsidR="000711A2" w:rsidRDefault="000711A2" w:rsidP="000711A2">
      <w:pPr>
        <w:spacing w:line="360" w:lineRule="auto"/>
        <w:jc w:val="both"/>
        <w:rPr>
          <w:rFonts w:ascii="Calibri" w:eastAsia="Calibri" w:hAnsi="Calibri" w:cs="Calibri"/>
          <w:sz w:val="16"/>
          <w:szCs w:val="22"/>
          <w:lang w:val="en-US"/>
        </w:rPr>
      </w:pP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McGain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F, Story D,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Hendel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 xml:space="preserve"> S. An audit of intensive care unit recyclable waste. </w:t>
      </w:r>
      <w:proofErr w:type="spellStart"/>
      <w:r w:rsidRPr="0021637B">
        <w:rPr>
          <w:rFonts w:ascii="Calibri" w:eastAsia="Calibri" w:hAnsi="Calibri" w:cs="Calibri"/>
          <w:sz w:val="16"/>
          <w:szCs w:val="22"/>
          <w:lang w:val="en-US"/>
        </w:rPr>
        <w:t>Anaesthesia</w:t>
      </w:r>
      <w:proofErr w:type="spellEnd"/>
      <w:r w:rsidRPr="0021637B">
        <w:rPr>
          <w:rFonts w:ascii="Calibri" w:eastAsia="Calibri" w:hAnsi="Calibri" w:cs="Calibri"/>
          <w:sz w:val="16"/>
          <w:szCs w:val="22"/>
          <w:lang w:val="en-US"/>
        </w:rPr>
        <w:t>. 2009;64(12):1299-302.</w:t>
      </w:r>
    </w:p>
    <w:p w:rsidR="00533815" w:rsidRDefault="00533815">
      <w:r>
        <w:br w:type="page"/>
      </w:r>
    </w:p>
    <w:p w:rsidR="009D3F74" w:rsidRDefault="009D3F74"/>
    <w:sectPr w:rsidR="009D3F7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1A2" w:rsidRDefault="000711A2" w:rsidP="00512DD1">
      <w:r>
        <w:separator/>
      </w:r>
    </w:p>
  </w:endnote>
  <w:endnote w:type="continuationSeparator" w:id="0">
    <w:p w:rsidR="000711A2" w:rsidRDefault="000711A2" w:rsidP="0051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1A2" w:rsidRDefault="000711A2" w:rsidP="00512DD1">
      <w:r>
        <w:separator/>
      </w:r>
    </w:p>
  </w:footnote>
  <w:footnote w:type="continuationSeparator" w:id="0">
    <w:p w:rsidR="000711A2" w:rsidRDefault="000711A2" w:rsidP="00512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1A2" w:rsidRPr="0021637B" w:rsidRDefault="000711A2" w:rsidP="000711A2">
    <w:pPr>
      <w:spacing w:line="360" w:lineRule="auto"/>
      <w:jc w:val="both"/>
      <w:rPr>
        <w:rFonts w:ascii="Calibri" w:eastAsia="Calibri" w:hAnsi="Calibri" w:cs="Calibri"/>
        <w:sz w:val="28"/>
        <w:szCs w:val="22"/>
        <w:lang w:val="en-US"/>
      </w:rPr>
    </w:pPr>
    <w:r w:rsidRPr="0021637B">
      <w:rPr>
        <w:rFonts w:ascii="Calibri" w:eastAsia="Calibri" w:hAnsi="Calibri" w:cs="Calibri"/>
        <w:b/>
        <w:bCs/>
        <w:color w:val="242424"/>
        <w:sz w:val="28"/>
        <w:szCs w:val="22"/>
        <w:lang w:val="en-US"/>
      </w:rPr>
      <w:t>The green ICU: how to interpret green? A multiple perspective approach</w:t>
    </w:r>
  </w:p>
  <w:p w:rsidR="000711A2" w:rsidRPr="000711A2" w:rsidRDefault="000711A2">
    <w:pPr>
      <w:pStyle w:val="Koptekst"/>
      <w:rPr>
        <w:lang w:val="en-US"/>
      </w:rPr>
    </w:pPr>
    <w:r w:rsidRPr="000711A2">
      <w:rPr>
        <w:lang w:val="en-US"/>
      </w:rPr>
      <w:t>Smale, et al.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1A2"/>
    <w:rsid w:val="000711A2"/>
    <w:rsid w:val="00210C8D"/>
    <w:rsid w:val="002C1A2C"/>
    <w:rsid w:val="0031769B"/>
    <w:rsid w:val="00341184"/>
    <w:rsid w:val="00463EA8"/>
    <w:rsid w:val="0046468E"/>
    <w:rsid w:val="00512DD1"/>
    <w:rsid w:val="00533815"/>
    <w:rsid w:val="007F302D"/>
    <w:rsid w:val="00951547"/>
    <w:rsid w:val="009D3F74"/>
    <w:rsid w:val="00B55708"/>
    <w:rsid w:val="00CC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B2D93"/>
  <w15:chartTrackingRefBased/>
  <w15:docId w15:val="{F5DB3744-F7BD-4351-9385-6B6D63C4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aliases w:val="Tabel Erasmus MC"/>
    <w:basedOn w:val="Standaardtabe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jsttabel6kleurrijk-Accent2">
    <w:name w:val="List Table 6 Colorful Accent 2"/>
    <w:basedOn w:val="Standaardtabe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2DD1"/>
  </w:style>
  <w:style w:type="paragraph" w:styleId="Voettekst">
    <w:name w:val="footer"/>
    <w:basedOn w:val="Standaard"/>
    <w:link w:val="Voettekst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2DD1"/>
  </w:style>
  <w:style w:type="paragraph" w:styleId="Geenafstand">
    <w:name w:val="No Spacing"/>
    <w:uiPriority w:val="1"/>
    <w:qFormat/>
    <w:rsid w:val="000711A2"/>
  </w:style>
  <w:style w:type="table" w:styleId="Onopgemaaktetabel1">
    <w:name w:val="Plain Table 1"/>
    <w:basedOn w:val="Standaardtabel"/>
    <w:uiPriority w:val="41"/>
    <w:rsid w:val="000711A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0711A2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06773\AppData\Local\Temp\Templafy\WordVsto\xipwobq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co_Word_doc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A32F8E7-CF5B-439E-A7AE-FB42C17106FF}">
  <ds:schemaRefs/>
</ds:datastoreItem>
</file>

<file path=customXml/itemProps2.xml><?xml version="1.0" encoding="utf-8"?>
<ds:datastoreItem xmlns:ds="http://schemas.openxmlformats.org/officeDocument/2006/customXml" ds:itemID="{88410EE0-F98B-4058-BA2A-4A6D59726E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xipwobqo</Template>
  <TotalTime>1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E.M. Smale</dc:creator>
  <cp:keywords/>
  <dc:description/>
  <cp:lastModifiedBy>Lisa Marie Smale</cp:lastModifiedBy>
  <cp:revision>2</cp:revision>
  <dcterms:created xsi:type="dcterms:W3CDTF">2024-12-17T08:27:00Z</dcterms:created>
  <dcterms:modified xsi:type="dcterms:W3CDTF">2024-12-17T08:28:00Z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856153146742276928</vt:lpwstr>
  </property>
  <property fmtid="{D5CDD505-2E9C-101B-9397-08002B2CF9AE}" pid="11" name="TemplafyUserProfileId">
    <vt:lpwstr>1023721149592764431</vt:lpwstr>
  </property>
  <property fmtid="{D5CDD505-2E9C-101B-9397-08002B2CF9AE}" pid="12" name="TemplafyFromBlank">
    <vt:bool>true</vt:bool>
  </property>
</Properties>
</file>