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02363" w14:textId="77777777" w:rsidR="00AE1338" w:rsidRPr="00D605E3" w:rsidRDefault="00AE1338" w:rsidP="00AE1338">
      <w:pPr>
        <w:rPr>
          <w:rFonts w:asciiTheme="minorHAnsi" w:hAnsiTheme="minorHAnsi" w:cstheme="minorHAnsi"/>
          <w:b/>
          <w:color w:val="000000"/>
          <w:szCs w:val="24"/>
          <w:lang w:val="en-GB"/>
        </w:rPr>
      </w:pPr>
      <w:r w:rsidRPr="00D605E3">
        <w:rPr>
          <w:rFonts w:asciiTheme="minorHAnsi" w:hAnsiTheme="minorHAnsi" w:cstheme="minorHAnsi"/>
          <w:b/>
          <w:lang w:val="en-GB"/>
        </w:rPr>
        <w:t xml:space="preserve">Supplemental Content - </w:t>
      </w:r>
      <w:r w:rsidRPr="00D605E3">
        <w:rPr>
          <w:rFonts w:asciiTheme="minorHAnsi" w:hAnsiTheme="minorHAnsi" w:cstheme="minorHAnsi"/>
          <w:b/>
          <w:color w:val="000000"/>
          <w:szCs w:val="24"/>
          <w:lang w:val="en-GB"/>
        </w:rPr>
        <w:t>Prevalence and incidence of cognitive impairment following acute respiratory distress syndrome of any cause: A systematic review and meta-analysis</w:t>
      </w:r>
    </w:p>
    <w:p w14:paraId="274A6695" w14:textId="77777777" w:rsidR="00AE1338" w:rsidRDefault="00AE1338" w:rsidP="00AE1338">
      <w:pPr>
        <w:rPr>
          <w:rFonts w:asciiTheme="minorHAnsi" w:hAnsiTheme="minorHAnsi" w:cstheme="minorHAnsi"/>
          <w:color w:val="000000"/>
          <w:szCs w:val="24"/>
          <w:lang w:val="en-GB"/>
        </w:rPr>
      </w:pPr>
    </w:p>
    <w:p w14:paraId="6C4E1EE5" w14:textId="77777777" w:rsidR="00AE1338" w:rsidRPr="00AE1338" w:rsidRDefault="00AE1338" w:rsidP="00AE1338">
      <w:pPr>
        <w:rPr>
          <w:rFonts w:asciiTheme="minorHAnsi" w:hAnsiTheme="minorHAnsi" w:cstheme="minorHAnsi"/>
          <w:color w:val="000000"/>
          <w:szCs w:val="24"/>
          <w:lang w:val="en-GB"/>
        </w:rPr>
      </w:pPr>
      <w:r w:rsidRPr="00AE1338">
        <w:rPr>
          <w:rFonts w:asciiTheme="minorHAnsi" w:hAnsiTheme="minorHAnsi" w:cstheme="minorHAnsi"/>
          <w:color w:val="000000"/>
          <w:szCs w:val="24"/>
          <w:lang w:val="en-GB"/>
        </w:rPr>
        <w:t xml:space="preserve">Supplemental </w:t>
      </w:r>
      <w:r>
        <w:rPr>
          <w:rFonts w:asciiTheme="minorHAnsi" w:hAnsiTheme="minorHAnsi" w:cstheme="minorHAnsi"/>
          <w:color w:val="000000"/>
          <w:szCs w:val="24"/>
          <w:lang w:val="en-GB"/>
        </w:rPr>
        <w:t>Content (S</w:t>
      </w:r>
      <w:r w:rsidRPr="00AE1338">
        <w:rPr>
          <w:rFonts w:asciiTheme="minorHAnsi" w:hAnsiTheme="minorHAnsi" w:cstheme="minorHAnsi"/>
          <w:color w:val="000000"/>
          <w:szCs w:val="24"/>
          <w:lang w:val="en-GB"/>
        </w:rPr>
        <w:t>C):</w:t>
      </w:r>
    </w:p>
    <w:p w14:paraId="0C041CF3" w14:textId="21635726" w:rsidR="00930B1C" w:rsidRPr="0060557A" w:rsidRDefault="00AE1338" w:rsidP="00930B1C">
      <w:pPr>
        <w:pStyle w:val="Listenabsatz"/>
        <w:numPr>
          <w:ilvl w:val="0"/>
          <w:numId w:val="1"/>
        </w:numPr>
        <w:rPr>
          <w:rFonts w:asciiTheme="minorHAnsi" w:hAnsiTheme="minorHAnsi" w:cstheme="minorHAnsi"/>
          <w:color w:val="000000"/>
          <w:szCs w:val="22"/>
          <w:lang w:val="en-GB"/>
        </w:rPr>
      </w:pPr>
      <w:r w:rsidRPr="0060557A">
        <w:rPr>
          <w:rFonts w:asciiTheme="minorHAnsi" w:hAnsiTheme="minorHAnsi" w:cstheme="minorHAnsi"/>
          <w:color w:val="000000"/>
          <w:szCs w:val="22"/>
          <w:lang w:val="en-GB"/>
        </w:rPr>
        <w:t xml:space="preserve">SC </w:t>
      </w:r>
      <w:r w:rsidR="00A874D0">
        <w:rPr>
          <w:rFonts w:asciiTheme="minorHAnsi" w:hAnsiTheme="minorHAnsi" w:cstheme="minorHAnsi"/>
          <w:color w:val="000000"/>
          <w:szCs w:val="22"/>
          <w:lang w:val="en-GB"/>
        </w:rPr>
        <w:t>1</w:t>
      </w:r>
      <w:r w:rsidRPr="0060557A">
        <w:rPr>
          <w:rFonts w:asciiTheme="minorHAnsi" w:hAnsiTheme="minorHAnsi" w:cstheme="minorHAnsi"/>
          <w:color w:val="000000"/>
          <w:szCs w:val="22"/>
          <w:lang w:val="en-GB"/>
        </w:rPr>
        <w:tab/>
        <w:t>Full search strategy</w:t>
      </w:r>
      <w:r w:rsidR="004A2FCA">
        <w:rPr>
          <w:rFonts w:asciiTheme="minorHAnsi" w:hAnsiTheme="minorHAnsi" w:cstheme="minorHAnsi"/>
          <w:color w:val="000000"/>
          <w:szCs w:val="22"/>
          <w:lang w:val="en-GB"/>
        </w:rPr>
        <w:t xml:space="preserve"> </w:t>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4A2FCA">
        <w:rPr>
          <w:rFonts w:asciiTheme="minorHAnsi" w:hAnsiTheme="minorHAnsi" w:cstheme="minorHAnsi"/>
          <w:color w:val="000000"/>
          <w:szCs w:val="22"/>
          <w:lang w:val="en-GB"/>
        </w:rPr>
        <w:t xml:space="preserve">(page 2) </w:t>
      </w:r>
    </w:p>
    <w:p w14:paraId="14D73D2B" w14:textId="1CBA9AC1" w:rsidR="00930B1C" w:rsidRPr="0060557A" w:rsidRDefault="001A3B2D" w:rsidP="00930B1C">
      <w:pPr>
        <w:pStyle w:val="Listenabsatz"/>
        <w:numPr>
          <w:ilvl w:val="0"/>
          <w:numId w:val="1"/>
        </w:numPr>
        <w:rPr>
          <w:rFonts w:asciiTheme="minorHAnsi" w:hAnsiTheme="minorHAnsi" w:cstheme="minorHAnsi"/>
          <w:color w:val="000000"/>
          <w:szCs w:val="22"/>
          <w:lang w:val="en-GB"/>
        </w:rPr>
      </w:pPr>
      <w:r w:rsidRPr="0060557A">
        <w:rPr>
          <w:rFonts w:asciiTheme="minorHAnsi" w:hAnsiTheme="minorHAnsi" w:cstheme="minorHAnsi"/>
          <w:color w:val="000000"/>
          <w:szCs w:val="22"/>
          <w:lang w:val="en-GB"/>
        </w:rPr>
        <w:t xml:space="preserve">SC </w:t>
      </w:r>
      <w:r w:rsidR="00A874D0">
        <w:rPr>
          <w:rFonts w:asciiTheme="minorHAnsi" w:hAnsiTheme="minorHAnsi" w:cstheme="minorHAnsi"/>
          <w:color w:val="000000"/>
          <w:szCs w:val="22"/>
          <w:lang w:val="en-GB"/>
        </w:rPr>
        <w:t>2</w:t>
      </w:r>
      <w:r w:rsidRPr="0060557A">
        <w:rPr>
          <w:rFonts w:asciiTheme="minorHAnsi" w:hAnsiTheme="minorHAnsi" w:cstheme="minorHAnsi"/>
          <w:color w:val="000000"/>
          <w:szCs w:val="22"/>
          <w:lang w:val="en-GB"/>
        </w:rPr>
        <w:tab/>
      </w:r>
      <w:r w:rsidR="00930B1C" w:rsidRPr="0060557A">
        <w:rPr>
          <w:rFonts w:asciiTheme="minorHAnsi" w:hAnsiTheme="minorHAnsi" w:cstheme="minorHAnsi"/>
          <w:bCs/>
          <w:szCs w:val="22"/>
          <w:lang w:val="en-GB"/>
        </w:rPr>
        <w:t>Guidelines with decision criteria for title/abstract screening</w:t>
      </w:r>
      <w:r w:rsidR="004A2FCA">
        <w:rPr>
          <w:rFonts w:asciiTheme="minorHAnsi" w:hAnsiTheme="minorHAnsi" w:cstheme="minorHAnsi"/>
          <w:bCs/>
          <w:szCs w:val="22"/>
          <w:lang w:val="en-GB"/>
        </w:rPr>
        <w:t xml:space="preserve"> </w:t>
      </w:r>
      <w:r w:rsidR="00E129A7">
        <w:rPr>
          <w:rFonts w:asciiTheme="minorHAnsi" w:hAnsiTheme="minorHAnsi" w:cstheme="minorHAnsi"/>
          <w:bCs/>
          <w:szCs w:val="22"/>
          <w:lang w:val="en-GB"/>
        </w:rPr>
        <w:tab/>
      </w:r>
      <w:r w:rsidR="004A2FCA">
        <w:rPr>
          <w:rFonts w:asciiTheme="minorHAnsi" w:hAnsiTheme="minorHAnsi" w:cstheme="minorHAnsi"/>
          <w:bCs/>
          <w:szCs w:val="22"/>
          <w:lang w:val="en-GB"/>
        </w:rPr>
        <w:t>(page 3-4)</w:t>
      </w:r>
    </w:p>
    <w:p w14:paraId="20525884" w14:textId="2E4E3079" w:rsidR="00930B1C" w:rsidRPr="0060557A" w:rsidRDefault="00930B1C" w:rsidP="00930B1C">
      <w:pPr>
        <w:pStyle w:val="Listenabsatz"/>
        <w:numPr>
          <w:ilvl w:val="0"/>
          <w:numId w:val="1"/>
        </w:numPr>
        <w:rPr>
          <w:rFonts w:asciiTheme="minorHAnsi" w:hAnsiTheme="minorHAnsi" w:cstheme="minorHAnsi"/>
          <w:color w:val="000000"/>
          <w:szCs w:val="22"/>
          <w:lang w:val="en-GB"/>
        </w:rPr>
      </w:pPr>
      <w:r w:rsidRPr="0060557A">
        <w:rPr>
          <w:rFonts w:asciiTheme="minorHAnsi" w:hAnsiTheme="minorHAnsi" w:cstheme="minorHAnsi"/>
          <w:color w:val="000000"/>
          <w:szCs w:val="22"/>
          <w:lang w:val="en-GB"/>
        </w:rPr>
        <w:t xml:space="preserve">SC </w:t>
      </w:r>
      <w:r w:rsidR="00A874D0">
        <w:rPr>
          <w:rFonts w:asciiTheme="minorHAnsi" w:hAnsiTheme="minorHAnsi" w:cstheme="minorHAnsi"/>
          <w:color w:val="000000"/>
          <w:szCs w:val="22"/>
          <w:lang w:val="en-GB"/>
        </w:rPr>
        <w:t>3</w:t>
      </w:r>
      <w:r w:rsidRPr="0060557A">
        <w:rPr>
          <w:rFonts w:asciiTheme="minorHAnsi" w:hAnsiTheme="minorHAnsi" w:cstheme="minorHAnsi"/>
          <w:color w:val="000000"/>
          <w:szCs w:val="22"/>
          <w:lang w:val="en-GB"/>
        </w:rPr>
        <w:tab/>
      </w:r>
      <w:r w:rsidRPr="0060557A">
        <w:rPr>
          <w:rFonts w:asciiTheme="minorHAnsi" w:hAnsiTheme="minorHAnsi" w:cstheme="minorHAnsi"/>
          <w:bCs/>
          <w:szCs w:val="22"/>
          <w:lang w:val="en-GB"/>
        </w:rPr>
        <w:t>Guidelines with decision criteria for full</w:t>
      </w:r>
      <w:r w:rsidR="00CE610E">
        <w:rPr>
          <w:rFonts w:asciiTheme="minorHAnsi" w:hAnsiTheme="minorHAnsi" w:cstheme="minorHAnsi"/>
          <w:bCs/>
          <w:szCs w:val="22"/>
          <w:lang w:val="en-GB"/>
        </w:rPr>
        <w:t>-</w:t>
      </w:r>
      <w:r w:rsidRPr="0060557A">
        <w:rPr>
          <w:rFonts w:asciiTheme="minorHAnsi" w:hAnsiTheme="minorHAnsi" w:cstheme="minorHAnsi"/>
          <w:bCs/>
          <w:szCs w:val="22"/>
          <w:lang w:val="en-GB"/>
        </w:rPr>
        <w:t>text screening</w:t>
      </w:r>
      <w:r w:rsidR="004A2FCA">
        <w:rPr>
          <w:rFonts w:asciiTheme="minorHAnsi" w:hAnsiTheme="minorHAnsi" w:cstheme="minorHAnsi"/>
          <w:bCs/>
          <w:szCs w:val="22"/>
          <w:lang w:val="en-GB"/>
        </w:rPr>
        <w:t xml:space="preserve"> </w:t>
      </w:r>
      <w:r w:rsidR="00E129A7">
        <w:rPr>
          <w:rFonts w:asciiTheme="minorHAnsi" w:hAnsiTheme="minorHAnsi" w:cstheme="minorHAnsi"/>
          <w:bCs/>
          <w:szCs w:val="22"/>
          <w:lang w:val="en-GB"/>
        </w:rPr>
        <w:tab/>
      </w:r>
      <w:r w:rsidR="00E129A7">
        <w:rPr>
          <w:rFonts w:asciiTheme="minorHAnsi" w:hAnsiTheme="minorHAnsi" w:cstheme="minorHAnsi"/>
          <w:bCs/>
          <w:szCs w:val="22"/>
          <w:lang w:val="en-GB"/>
        </w:rPr>
        <w:tab/>
      </w:r>
      <w:r w:rsidR="004A2FCA">
        <w:rPr>
          <w:rFonts w:asciiTheme="minorHAnsi" w:hAnsiTheme="minorHAnsi" w:cstheme="minorHAnsi"/>
          <w:bCs/>
          <w:szCs w:val="22"/>
          <w:lang w:val="en-GB"/>
        </w:rPr>
        <w:t>(page 5-7)</w:t>
      </w:r>
    </w:p>
    <w:p w14:paraId="121A74C8" w14:textId="57CA9DFD" w:rsidR="001A3B2D" w:rsidRPr="0060557A" w:rsidRDefault="002016B8" w:rsidP="0060557A">
      <w:pPr>
        <w:pStyle w:val="Listenabsatz"/>
        <w:numPr>
          <w:ilvl w:val="0"/>
          <w:numId w:val="1"/>
        </w:numPr>
        <w:rPr>
          <w:rFonts w:asciiTheme="minorHAnsi" w:hAnsiTheme="minorHAnsi" w:cstheme="minorHAnsi"/>
          <w:color w:val="000000"/>
          <w:szCs w:val="22"/>
          <w:lang w:val="en-GB"/>
        </w:rPr>
      </w:pPr>
      <w:r w:rsidRPr="0060557A">
        <w:rPr>
          <w:rFonts w:asciiTheme="minorHAnsi" w:hAnsiTheme="minorHAnsi" w:cstheme="minorHAnsi"/>
          <w:color w:val="000000"/>
          <w:szCs w:val="22"/>
          <w:lang w:val="en-GB"/>
        </w:rPr>
        <w:t xml:space="preserve">SC </w:t>
      </w:r>
      <w:r w:rsidR="00A874D0">
        <w:rPr>
          <w:rFonts w:asciiTheme="minorHAnsi" w:hAnsiTheme="minorHAnsi" w:cstheme="minorHAnsi"/>
          <w:color w:val="000000"/>
          <w:szCs w:val="22"/>
          <w:lang w:val="en-GB"/>
        </w:rPr>
        <w:t>4</w:t>
      </w:r>
      <w:r w:rsidRPr="0060557A">
        <w:rPr>
          <w:rFonts w:asciiTheme="minorHAnsi" w:hAnsiTheme="minorHAnsi" w:cstheme="minorHAnsi"/>
          <w:color w:val="000000"/>
          <w:szCs w:val="22"/>
          <w:lang w:val="en-GB"/>
        </w:rPr>
        <w:tab/>
      </w:r>
      <w:r w:rsidR="00D605E3" w:rsidRPr="0060557A">
        <w:rPr>
          <w:rFonts w:asciiTheme="minorHAnsi" w:hAnsiTheme="minorHAnsi" w:cstheme="minorHAnsi"/>
          <w:color w:val="000000"/>
          <w:szCs w:val="22"/>
          <w:lang w:val="en-GB"/>
        </w:rPr>
        <w:t>Fulltext screening: Excluded studies and reasons for exclusion</w:t>
      </w:r>
      <w:r w:rsidR="00E129A7">
        <w:rPr>
          <w:rFonts w:asciiTheme="minorHAnsi" w:hAnsiTheme="minorHAnsi" w:cstheme="minorHAnsi"/>
          <w:color w:val="000000"/>
          <w:szCs w:val="22"/>
          <w:lang w:val="en-GB"/>
        </w:rPr>
        <w:tab/>
      </w:r>
      <w:r w:rsidR="004A2FCA">
        <w:rPr>
          <w:rFonts w:asciiTheme="minorHAnsi" w:hAnsiTheme="minorHAnsi" w:cstheme="minorHAnsi"/>
          <w:color w:val="000000"/>
          <w:szCs w:val="22"/>
          <w:lang w:val="en-GB"/>
        </w:rPr>
        <w:t>(page 8-14)</w:t>
      </w:r>
    </w:p>
    <w:p w14:paraId="1BFED24F" w14:textId="6E26E365" w:rsidR="00AE1338" w:rsidRPr="0060557A" w:rsidRDefault="00AE1338" w:rsidP="0060557A">
      <w:pPr>
        <w:pStyle w:val="Listenabsatz"/>
        <w:numPr>
          <w:ilvl w:val="0"/>
          <w:numId w:val="1"/>
        </w:numPr>
        <w:rPr>
          <w:rFonts w:asciiTheme="minorHAnsi" w:hAnsiTheme="minorHAnsi" w:cstheme="minorHAnsi"/>
          <w:color w:val="000000"/>
          <w:szCs w:val="22"/>
          <w:lang w:val="en-GB"/>
        </w:rPr>
      </w:pPr>
      <w:r w:rsidRPr="0060557A">
        <w:rPr>
          <w:rFonts w:asciiTheme="minorHAnsi" w:hAnsiTheme="minorHAnsi" w:cstheme="minorHAnsi"/>
          <w:color w:val="000000"/>
          <w:szCs w:val="22"/>
          <w:lang w:val="en-GB"/>
        </w:rPr>
        <w:t xml:space="preserve">SC </w:t>
      </w:r>
      <w:r w:rsidR="00A874D0">
        <w:rPr>
          <w:rFonts w:asciiTheme="minorHAnsi" w:hAnsiTheme="minorHAnsi" w:cstheme="minorHAnsi"/>
          <w:color w:val="000000"/>
          <w:szCs w:val="22"/>
          <w:lang w:val="en-GB"/>
        </w:rPr>
        <w:t>5</w:t>
      </w:r>
      <w:r w:rsidRPr="0060557A">
        <w:rPr>
          <w:rFonts w:asciiTheme="minorHAnsi" w:hAnsiTheme="minorHAnsi" w:cstheme="minorHAnsi"/>
          <w:color w:val="000000"/>
          <w:szCs w:val="22"/>
          <w:lang w:val="en-GB"/>
        </w:rPr>
        <w:tab/>
      </w:r>
      <w:r w:rsidR="0060557A" w:rsidRPr="0060557A">
        <w:rPr>
          <w:rFonts w:asciiTheme="minorHAnsi" w:hAnsiTheme="minorHAnsi" w:cstheme="minorHAnsi"/>
          <w:szCs w:val="22"/>
          <w:lang w:val="en-GB"/>
        </w:rPr>
        <w:t>Assessment by Newcastle-Ottawa Scale</w:t>
      </w:r>
      <w:r w:rsidR="004A2FCA">
        <w:rPr>
          <w:rFonts w:asciiTheme="minorHAnsi" w:hAnsiTheme="minorHAnsi" w:cstheme="minorHAnsi"/>
          <w:szCs w:val="22"/>
          <w:lang w:val="en-GB"/>
        </w:rPr>
        <w:t xml:space="preserve"> </w:t>
      </w:r>
      <w:r w:rsidR="00E129A7">
        <w:rPr>
          <w:rFonts w:asciiTheme="minorHAnsi" w:hAnsiTheme="minorHAnsi" w:cstheme="minorHAnsi"/>
          <w:szCs w:val="22"/>
          <w:lang w:val="en-GB"/>
        </w:rPr>
        <w:tab/>
      </w:r>
      <w:r w:rsidR="00E129A7">
        <w:rPr>
          <w:rFonts w:asciiTheme="minorHAnsi" w:hAnsiTheme="minorHAnsi" w:cstheme="minorHAnsi"/>
          <w:szCs w:val="22"/>
          <w:lang w:val="en-GB"/>
        </w:rPr>
        <w:tab/>
      </w:r>
      <w:r w:rsidR="00E129A7">
        <w:rPr>
          <w:rFonts w:asciiTheme="minorHAnsi" w:hAnsiTheme="minorHAnsi" w:cstheme="minorHAnsi"/>
          <w:szCs w:val="22"/>
          <w:lang w:val="en-GB"/>
        </w:rPr>
        <w:tab/>
      </w:r>
      <w:r w:rsidR="004A2FCA">
        <w:rPr>
          <w:rFonts w:asciiTheme="minorHAnsi" w:hAnsiTheme="minorHAnsi" w:cstheme="minorHAnsi"/>
          <w:szCs w:val="22"/>
          <w:lang w:val="en-GB"/>
        </w:rPr>
        <w:t>(page 15)</w:t>
      </w:r>
      <w:r w:rsidR="0060557A" w:rsidRPr="0060557A">
        <w:rPr>
          <w:rFonts w:asciiTheme="minorHAnsi" w:hAnsiTheme="minorHAnsi" w:cstheme="minorHAnsi"/>
          <w:szCs w:val="22"/>
          <w:lang w:val="en-GB"/>
        </w:rPr>
        <w:t xml:space="preserve"> </w:t>
      </w:r>
    </w:p>
    <w:p w14:paraId="19D6D647" w14:textId="0A52036B" w:rsidR="007B23A5" w:rsidRDefault="00AE1338" w:rsidP="007B23A5">
      <w:pPr>
        <w:pStyle w:val="Listenabsatz"/>
        <w:numPr>
          <w:ilvl w:val="0"/>
          <w:numId w:val="1"/>
        </w:numPr>
        <w:rPr>
          <w:rFonts w:asciiTheme="minorHAnsi" w:hAnsiTheme="minorHAnsi" w:cstheme="minorHAnsi"/>
          <w:color w:val="000000"/>
          <w:szCs w:val="22"/>
          <w:lang w:val="en-GB"/>
        </w:rPr>
      </w:pPr>
      <w:r w:rsidRPr="0060557A">
        <w:rPr>
          <w:rFonts w:asciiTheme="minorHAnsi" w:hAnsiTheme="minorHAnsi" w:cstheme="minorHAnsi"/>
          <w:color w:val="000000"/>
          <w:szCs w:val="22"/>
          <w:lang w:val="en-GB"/>
        </w:rPr>
        <w:t xml:space="preserve">SC </w:t>
      </w:r>
      <w:r w:rsidR="00A874D0">
        <w:rPr>
          <w:rFonts w:asciiTheme="minorHAnsi" w:hAnsiTheme="minorHAnsi" w:cstheme="minorHAnsi"/>
          <w:color w:val="000000"/>
          <w:szCs w:val="22"/>
          <w:lang w:val="en-GB"/>
        </w:rPr>
        <w:t>6</w:t>
      </w:r>
      <w:r w:rsidRPr="0060557A">
        <w:rPr>
          <w:rFonts w:asciiTheme="minorHAnsi" w:hAnsiTheme="minorHAnsi" w:cstheme="minorHAnsi"/>
          <w:color w:val="000000"/>
          <w:szCs w:val="22"/>
          <w:lang w:val="en-GB"/>
        </w:rPr>
        <w:tab/>
        <w:t>Funnel plots, publication bias</w:t>
      </w:r>
      <w:r w:rsidR="004A2FCA">
        <w:rPr>
          <w:rFonts w:asciiTheme="minorHAnsi" w:hAnsiTheme="minorHAnsi" w:cstheme="minorHAnsi"/>
          <w:color w:val="000000"/>
          <w:szCs w:val="22"/>
          <w:lang w:val="en-GB"/>
        </w:rPr>
        <w:t xml:space="preserve"> </w:t>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E129A7">
        <w:rPr>
          <w:rFonts w:asciiTheme="minorHAnsi" w:hAnsiTheme="minorHAnsi" w:cstheme="minorHAnsi"/>
          <w:color w:val="000000"/>
          <w:szCs w:val="22"/>
          <w:lang w:val="en-GB"/>
        </w:rPr>
        <w:tab/>
      </w:r>
      <w:r w:rsidR="004A2FCA">
        <w:rPr>
          <w:rFonts w:asciiTheme="minorHAnsi" w:hAnsiTheme="minorHAnsi" w:cstheme="minorHAnsi"/>
          <w:color w:val="000000"/>
          <w:szCs w:val="22"/>
          <w:lang w:val="en-GB"/>
        </w:rPr>
        <w:t>(page 16-17)</w:t>
      </w:r>
    </w:p>
    <w:p w14:paraId="5D85BEF4" w14:textId="26F6E389" w:rsidR="000405D9" w:rsidRPr="000405D9" w:rsidRDefault="000405D9" w:rsidP="000405D9">
      <w:pPr>
        <w:pStyle w:val="Listenabsatz"/>
        <w:numPr>
          <w:ilvl w:val="0"/>
          <w:numId w:val="1"/>
        </w:numPr>
        <w:rPr>
          <w:rFonts w:asciiTheme="minorHAnsi" w:hAnsiTheme="minorHAnsi" w:cstheme="minorHAnsi"/>
          <w:color w:val="000000"/>
          <w:szCs w:val="22"/>
          <w:lang w:val="en-GB"/>
        </w:rPr>
      </w:pPr>
      <w:r>
        <w:rPr>
          <w:rFonts w:asciiTheme="minorHAnsi" w:hAnsiTheme="minorHAnsi" w:cstheme="minorHAnsi"/>
          <w:color w:val="000000"/>
          <w:szCs w:val="22"/>
          <w:lang w:val="en-GB"/>
        </w:rPr>
        <w:t>SC 7</w:t>
      </w:r>
      <w:r>
        <w:rPr>
          <w:rFonts w:asciiTheme="minorHAnsi" w:hAnsiTheme="minorHAnsi" w:cstheme="minorHAnsi"/>
          <w:color w:val="000000"/>
          <w:szCs w:val="22"/>
          <w:lang w:val="en-GB"/>
        </w:rPr>
        <w:tab/>
      </w:r>
      <w:r w:rsidRPr="000405D9">
        <w:rPr>
          <w:rFonts w:asciiTheme="minorHAnsi" w:hAnsiTheme="minorHAnsi" w:cstheme="minorHAnsi"/>
          <w:lang w:val="en-GB"/>
        </w:rPr>
        <w:t>Meta-regression scatter plot</w:t>
      </w:r>
      <w:r>
        <w:rPr>
          <w:rFonts w:asciiTheme="minorHAnsi" w:hAnsiTheme="minorHAnsi" w:cstheme="minorHAnsi"/>
          <w:lang w:val="en-GB"/>
        </w:rPr>
        <w:t>s</w:t>
      </w:r>
      <w:r w:rsidRPr="000405D9">
        <w:rPr>
          <w:rFonts w:asciiTheme="minorHAnsi" w:hAnsiTheme="minorHAnsi" w:cstheme="minorHAnsi"/>
          <w:lang w:val="en-GB"/>
        </w:rPr>
        <w:t xml:space="preserve"> </w:t>
      </w:r>
      <w:r w:rsidRPr="000405D9">
        <w:rPr>
          <w:rFonts w:asciiTheme="minorHAnsi" w:hAnsiTheme="minorHAnsi" w:cstheme="minorHAnsi"/>
          <w:lang w:val="en-GB"/>
        </w:rPr>
        <w:tab/>
      </w:r>
      <w:r w:rsidRPr="000405D9">
        <w:rPr>
          <w:rFonts w:asciiTheme="minorHAnsi" w:hAnsiTheme="minorHAnsi" w:cstheme="minorHAnsi"/>
          <w:lang w:val="en-GB"/>
        </w:rPr>
        <w:tab/>
      </w:r>
      <w:r w:rsidRPr="000405D9">
        <w:rPr>
          <w:rFonts w:asciiTheme="minorHAnsi" w:hAnsiTheme="minorHAnsi" w:cstheme="minorHAnsi"/>
          <w:lang w:val="en-GB"/>
        </w:rPr>
        <w:tab/>
      </w:r>
      <w:r w:rsidRPr="000405D9">
        <w:rPr>
          <w:rFonts w:asciiTheme="minorHAnsi" w:hAnsiTheme="minorHAnsi" w:cstheme="minorHAnsi"/>
          <w:lang w:val="en-GB"/>
        </w:rPr>
        <w:tab/>
      </w:r>
      <w:r>
        <w:rPr>
          <w:rFonts w:asciiTheme="minorHAnsi" w:hAnsiTheme="minorHAnsi" w:cstheme="minorHAnsi"/>
          <w:lang w:val="en-GB"/>
        </w:rPr>
        <w:tab/>
      </w:r>
      <w:r w:rsidR="0069243C">
        <w:rPr>
          <w:rFonts w:asciiTheme="minorHAnsi" w:hAnsiTheme="minorHAnsi" w:cstheme="minorHAnsi"/>
          <w:lang w:val="en-GB"/>
        </w:rPr>
        <w:t>(page 18</w:t>
      </w:r>
      <w:r w:rsidRPr="000405D9">
        <w:rPr>
          <w:rFonts w:asciiTheme="minorHAnsi" w:hAnsiTheme="minorHAnsi" w:cstheme="minorHAnsi"/>
          <w:lang w:val="en-GB"/>
        </w:rPr>
        <w:t>)</w:t>
      </w:r>
    </w:p>
    <w:p w14:paraId="06B1E7BB" w14:textId="12A7EFE3" w:rsidR="000405D9" w:rsidRPr="000405D9" w:rsidRDefault="000405D9" w:rsidP="000405D9">
      <w:pPr>
        <w:pStyle w:val="Listenabsatz"/>
        <w:numPr>
          <w:ilvl w:val="0"/>
          <w:numId w:val="1"/>
        </w:numPr>
        <w:rPr>
          <w:rFonts w:asciiTheme="minorHAnsi" w:hAnsiTheme="minorHAnsi" w:cstheme="minorHAnsi"/>
          <w:color w:val="000000"/>
          <w:szCs w:val="22"/>
          <w:lang w:val="en-GB"/>
        </w:rPr>
      </w:pPr>
      <w:r>
        <w:rPr>
          <w:rFonts w:asciiTheme="minorHAnsi" w:hAnsiTheme="minorHAnsi" w:cstheme="minorHAnsi"/>
          <w:color w:val="000000"/>
          <w:szCs w:val="22"/>
          <w:lang w:val="en-GB"/>
        </w:rPr>
        <w:t>SC 8</w:t>
      </w:r>
      <w:r>
        <w:rPr>
          <w:rFonts w:asciiTheme="minorHAnsi" w:hAnsiTheme="minorHAnsi" w:cstheme="minorHAnsi"/>
          <w:color w:val="000000"/>
          <w:szCs w:val="22"/>
          <w:lang w:val="en-GB"/>
        </w:rPr>
        <w:tab/>
      </w:r>
      <w:r w:rsidRPr="000405D9">
        <w:rPr>
          <w:rFonts w:asciiTheme="minorHAnsi" w:hAnsiTheme="minorHAnsi" w:cstheme="minorHAnsi"/>
        </w:rPr>
        <w:t>Bubble plots</w:t>
      </w:r>
      <w:r w:rsidRPr="000405D9">
        <w:rPr>
          <w:rFonts w:asciiTheme="minorHAnsi" w:hAnsiTheme="minorHAnsi" w:cstheme="minorHAnsi"/>
        </w:rPr>
        <w:tab/>
      </w:r>
      <w:r w:rsidRPr="000405D9">
        <w:rPr>
          <w:rFonts w:asciiTheme="minorHAnsi" w:hAnsiTheme="minorHAnsi" w:cstheme="minorHAnsi"/>
        </w:rPr>
        <w:tab/>
      </w:r>
      <w:r w:rsidRPr="000405D9">
        <w:rPr>
          <w:rFonts w:asciiTheme="minorHAnsi" w:hAnsiTheme="minorHAnsi" w:cstheme="minorHAnsi"/>
        </w:rPr>
        <w:tab/>
      </w:r>
      <w:r w:rsidRPr="000405D9">
        <w:rPr>
          <w:rFonts w:asciiTheme="minorHAnsi" w:hAnsiTheme="minorHAnsi" w:cstheme="minorHAnsi"/>
        </w:rPr>
        <w:tab/>
      </w:r>
      <w:r w:rsidRPr="000405D9">
        <w:rPr>
          <w:rFonts w:asciiTheme="minorHAnsi" w:hAnsiTheme="minorHAnsi" w:cstheme="minorHAnsi"/>
        </w:rPr>
        <w:tab/>
      </w:r>
      <w:r w:rsidRPr="000405D9">
        <w:rPr>
          <w:rFonts w:asciiTheme="minorHAnsi" w:hAnsiTheme="minorHAnsi" w:cstheme="minorHAnsi"/>
        </w:rPr>
        <w:tab/>
      </w:r>
      <w:r w:rsidRPr="000405D9">
        <w:rPr>
          <w:rFonts w:asciiTheme="minorHAnsi" w:hAnsiTheme="minorHAnsi" w:cstheme="minorHAnsi"/>
        </w:rPr>
        <w:tab/>
        <w:t>(page 20-21)</w:t>
      </w:r>
    </w:p>
    <w:p w14:paraId="070998FF" w14:textId="77777777" w:rsidR="000405D9" w:rsidRPr="000405D9" w:rsidRDefault="000405D9" w:rsidP="000405D9">
      <w:pPr>
        <w:pStyle w:val="Listenabsatz"/>
        <w:numPr>
          <w:ilvl w:val="0"/>
          <w:numId w:val="1"/>
        </w:numPr>
        <w:rPr>
          <w:rFonts w:asciiTheme="minorHAnsi" w:hAnsiTheme="minorHAnsi" w:cstheme="minorHAnsi"/>
          <w:color w:val="000000"/>
          <w:szCs w:val="22"/>
          <w:lang w:val="en-GB"/>
        </w:rPr>
        <w:sectPr w:rsidR="000405D9" w:rsidRPr="000405D9" w:rsidSect="00A6459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20" w:footer="720" w:gutter="0"/>
          <w:cols w:space="720"/>
          <w:titlePg/>
          <w:docGrid w:linePitch="299"/>
        </w:sectPr>
      </w:pPr>
    </w:p>
    <w:p w14:paraId="61E71066" w14:textId="5795B6BA" w:rsidR="00CE691E" w:rsidRPr="00CE691E" w:rsidRDefault="00CE691E">
      <w:pPr>
        <w:rPr>
          <w:b/>
          <w:lang w:val="en-GB"/>
        </w:rPr>
      </w:pPr>
      <w:r w:rsidRPr="00CE691E">
        <w:rPr>
          <w:b/>
          <w:lang w:val="en-GB"/>
        </w:rPr>
        <w:lastRenderedPageBreak/>
        <w:t xml:space="preserve">SC </w:t>
      </w:r>
      <w:r w:rsidR="004A2FCA">
        <w:rPr>
          <w:b/>
          <w:lang w:val="en-GB"/>
        </w:rPr>
        <w:t>1</w:t>
      </w:r>
    </w:p>
    <w:p w14:paraId="786CF224" w14:textId="77777777" w:rsidR="00CE691E" w:rsidRPr="00CE691E" w:rsidRDefault="00CE691E">
      <w:pPr>
        <w:rPr>
          <w:b/>
          <w:lang w:val="en-GB"/>
        </w:rPr>
      </w:pPr>
      <w:r w:rsidRPr="00CE691E">
        <w:rPr>
          <w:rFonts w:asciiTheme="minorHAnsi" w:hAnsiTheme="minorHAnsi" w:cstheme="minorHAnsi"/>
          <w:b/>
          <w:color w:val="000000"/>
          <w:szCs w:val="24"/>
          <w:lang w:val="en-GB"/>
        </w:rPr>
        <w:t>Full search strategy</w:t>
      </w:r>
    </w:p>
    <w:p w14:paraId="06924E29" w14:textId="77777777" w:rsidR="00CE691E" w:rsidRDefault="00CE691E">
      <w:pPr>
        <w:rPr>
          <w:b/>
          <w:lang w:val="en-GB"/>
        </w:rPr>
      </w:pPr>
    </w:p>
    <w:p w14:paraId="35CD30C5" w14:textId="77777777" w:rsidR="00CE691E" w:rsidRPr="00CE691E" w:rsidRDefault="00CE691E">
      <w:pPr>
        <w:rPr>
          <w:rFonts w:asciiTheme="minorHAnsi" w:hAnsiTheme="minorHAnsi" w:cstheme="minorHAnsi"/>
          <w:b/>
          <w:sz w:val="24"/>
          <w:szCs w:val="24"/>
          <w:lang w:val="en-GB"/>
        </w:rPr>
      </w:pPr>
      <w:r w:rsidRPr="00CE691E">
        <w:rPr>
          <w:rFonts w:asciiTheme="minorHAnsi" w:hAnsiTheme="minorHAnsi" w:cstheme="minorHAnsi"/>
          <w:b/>
          <w:sz w:val="24"/>
          <w:szCs w:val="24"/>
          <w:lang w:val="en-GB"/>
        </w:rPr>
        <w:t>PubMed</w:t>
      </w:r>
    </w:p>
    <w:p w14:paraId="1BD4C00C" w14:textId="77777777" w:rsidR="00CE691E" w:rsidRPr="00CE691E" w:rsidRDefault="00CE691E" w:rsidP="00CE691E">
      <w:pPr>
        <w:jc w:val="both"/>
        <w:rPr>
          <w:rFonts w:asciiTheme="minorHAnsi" w:hAnsiTheme="minorHAnsi" w:cstheme="minorHAnsi"/>
          <w:sz w:val="24"/>
          <w:szCs w:val="24"/>
          <w:lang w:val="en-GB"/>
        </w:rPr>
      </w:pPr>
      <w:r w:rsidRPr="00CE691E">
        <w:rPr>
          <w:rFonts w:asciiTheme="minorHAnsi" w:hAnsiTheme="minorHAnsi" w:cstheme="minorHAnsi"/>
          <w:sz w:val="24"/>
          <w:szCs w:val="24"/>
          <w:lang w:val="en-GB"/>
        </w:rPr>
        <w:t>("acute respiratory distress syndrome"[Title/Abstract] OR ARDS[Title/Abstract] OR "acute respiratory insufficiency syndrome"[Title/Abstract] OR "acute hypoxic respiratory failure"[Title/Abstract] OR "acute respiratory failure"[Title/Abstract] OR "acute lung injury"[Title/Abstract] OR ALI[Title/Abstract] OR "shock lung"[Title/Abstract] OR "shock lungs"[Title/Abstract]) OR ("post-intensive care syndrome"[Title/Abstract] OR PICS[Title/Abstract] OR "Intensive care"[title/abstract] OR "Intensive care unit"[title/abstract] OR ICU[title/abstract]) OR (COVID-19[title/abstract] OR "Severe Acute Respiratory Syndrome Coronavirus 2"[Title/Abstract] OR SARS-CoV-2[Title/Abstract]) AND ("cognitive impairment"[Title/Abstract] OR "mild cognitive impairment"[Title/Abstract] OR MCI[Title/Abstract] OR cognition[Title/Abstract] OR cognitive[Title/Abstract] OR cognitive dysfunction*[Title/Abstract] OR cognitive function*[Title/Abstract] OR neurologic*[Title/Abstract] OR "neuropsychological impairment"[Title/Abstract] OR "subjective cognitive decline"[Title/Abstract] OR Long-term[Title/Abstract]) AND (Prevalence[Title/Abstract] OR incidence[Title/Abstract] OR frequency[Title/Abstract] OR epidemiology[Title/Abstract])</w:t>
      </w:r>
    </w:p>
    <w:p w14:paraId="4BD854F7" w14:textId="77777777" w:rsidR="00CE691E" w:rsidRPr="00CE691E" w:rsidRDefault="00CE691E" w:rsidP="00CE691E">
      <w:pPr>
        <w:jc w:val="both"/>
        <w:rPr>
          <w:rFonts w:asciiTheme="minorHAnsi" w:hAnsiTheme="minorHAnsi" w:cstheme="minorHAnsi"/>
          <w:sz w:val="24"/>
          <w:szCs w:val="24"/>
          <w:lang w:val="en-GB"/>
        </w:rPr>
      </w:pPr>
    </w:p>
    <w:p w14:paraId="454061F2" w14:textId="77777777" w:rsidR="00CE691E" w:rsidRPr="00CE691E" w:rsidRDefault="00CE691E" w:rsidP="00CE691E">
      <w:pPr>
        <w:jc w:val="both"/>
        <w:rPr>
          <w:rFonts w:asciiTheme="minorHAnsi" w:hAnsiTheme="minorHAnsi" w:cstheme="minorHAnsi"/>
          <w:b/>
          <w:sz w:val="24"/>
          <w:szCs w:val="24"/>
          <w:lang w:val="en-GB"/>
        </w:rPr>
      </w:pPr>
      <w:r w:rsidRPr="00CE691E">
        <w:rPr>
          <w:rFonts w:asciiTheme="minorHAnsi" w:hAnsiTheme="minorHAnsi" w:cstheme="minorHAnsi"/>
          <w:b/>
          <w:sz w:val="24"/>
          <w:szCs w:val="24"/>
          <w:lang w:val="en-GB"/>
        </w:rPr>
        <w:t>Scopus</w:t>
      </w:r>
    </w:p>
    <w:p w14:paraId="51FA4F10" w14:textId="77777777" w:rsidR="00CE691E" w:rsidRDefault="00CE691E" w:rsidP="00CE691E">
      <w:pPr>
        <w:jc w:val="both"/>
        <w:rPr>
          <w:rFonts w:asciiTheme="minorHAnsi" w:hAnsiTheme="minorHAnsi" w:cstheme="minorHAnsi"/>
          <w:sz w:val="24"/>
          <w:szCs w:val="24"/>
          <w:lang w:val="en-GB"/>
        </w:rPr>
      </w:pPr>
      <w:r w:rsidRPr="00CE691E">
        <w:rPr>
          <w:rFonts w:asciiTheme="minorHAnsi" w:hAnsiTheme="minorHAnsi" w:cstheme="minorHAnsi"/>
          <w:sz w:val="24"/>
          <w:szCs w:val="24"/>
          <w:lang w:val="en-GB"/>
        </w:rPr>
        <w:t>("acute respiratory distress syndrome" OR ards OR "acute respiratory insufficiency syndrome" OR "acute hypoxic respiratory failure" OR "acute respiratory failure" OR "acute lung injury" OR ali OR "shock lung" OR "shock lungs" ) OR ( "post-intensive care syndrome" OR pics OR "Intensive care" OR "Intensive care unit" OR icu ) OR ( covid-19 OR "Severe Acute Respiratory Syndrome Coronavirus 2" OR sars-cov-2 ) AND ( "cognitive impairment" OR "mild cognitive impairment" OR mci OR cognition OR cognitive OR "cognitive dysfunction*" OR "cognitive function*" OR neurologic* OR "neuropsychological impairment" OR "subjective cognitive decline" OR long-term ) AND ( prevalence OR incidence OR frequency OR epidemiology )</w:t>
      </w:r>
    </w:p>
    <w:p w14:paraId="0AB803F7" w14:textId="77777777" w:rsidR="00CE691E" w:rsidRDefault="00CE691E" w:rsidP="00CE691E">
      <w:pPr>
        <w:jc w:val="both"/>
        <w:rPr>
          <w:rFonts w:asciiTheme="minorHAnsi" w:hAnsiTheme="minorHAnsi" w:cstheme="minorHAnsi"/>
          <w:sz w:val="24"/>
          <w:szCs w:val="24"/>
          <w:lang w:val="en-GB"/>
        </w:rPr>
      </w:pPr>
    </w:p>
    <w:p w14:paraId="507CC477" w14:textId="77777777" w:rsidR="00CE691E" w:rsidRPr="00CE691E" w:rsidRDefault="00CE691E" w:rsidP="00CE691E">
      <w:pPr>
        <w:jc w:val="both"/>
        <w:rPr>
          <w:rFonts w:asciiTheme="minorHAnsi" w:hAnsiTheme="minorHAnsi" w:cstheme="minorHAnsi"/>
          <w:b/>
          <w:sz w:val="24"/>
          <w:szCs w:val="24"/>
          <w:lang w:val="en-GB"/>
        </w:rPr>
      </w:pPr>
      <w:r w:rsidRPr="00CE691E">
        <w:rPr>
          <w:rFonts w:asciiTheme="minorHAnsi" w:hAnsiTheme="minorHAnsi" w:cstheme="minorHAnsi"/>
          <w:b/>
          <w:sz w:val="24"/>
          <w:szCs w:val="24"/>
          <w:lang w:val="en-GB"/>
        </w:rPr>
        <w:t>Web of Scienes</w:t>
      </w:r>
    </w:p>
    <w:p w14:paraId="5D89E9BD" w14:textId="77777777" w:rsidR="00CE691E" w:rsidRPr="00CE691E" w:rsidRDefault="00CE691E" w:rsidP="00CE691E">
      <w:pPr>
        <w:jc w:val="both"/>
        <w:rPr>
          <w:rFonts w:asciiTheme="minorHAnsi" w:hAnsiTheme="minorHAnsi" w:cstheme="minorHAnsi"/>
          <w:sz w:val="24"/>
          <w:szCs w:val="24"/>
          <w:lang w:val="en-GB"/>
        </w:rPr>
      </w:pPr>
      <w:r w:rsidRPr="00CE691E">
        <w:rPr>
          <w:rFonts w:asciiTheme="minorHAnsi" w:hAnsiTheme="minorHAnsi" w:cstheme="minorHAnsi"/>
          <w:sz w:val="24"/>
          <w:szCs w:val="24"/>
          <w:lang w:val="en-GB"/>
        </w:rPr>
        <w:t>("acute respiratory distress syndrome" OR ARDS OR "acute respiratory insufficiency syndrome" OR "acute hypoxic respiratory failure" OR "acute respiratory failure" OR "acute lung injury" OR ALI OR "shock lung" OR "shock lungs" OR "post-intensive care syndrome" OR PICS OR "Intensive care" OR "Intensive care unit" OR ICU OR COVID-19 OR "Severe Acute Respiratory Syndrome Coronavirus 2" OR SARS-CoV-2) AND ("cognitive impairment" OR "mild cognitive impairment" OR MCI OR cognition OR cognitive OR "cognitive dysfunction*" OR "cognitive function*" OR neurologic* OR "neuropsychological impairment" OR "subjective cognitive decline" OR Long-term) AND (Prevalence OR incidence OR frequency OR epidemiology)</w:t>
      </w:r>
    </w:p>
    <w:p w14:paraId="0ED8CFB4" w14:textId="77777777" w:rsidR="00CE691E" w:rsidRPr="00CE691E" w:rsidRDefault="00CE691E" w:rsidP="00CE691E">
      <w:pPr>
        <w:jc w:val="both"/>
        <w:rPr>
          <w:rFonts w:asciiTheme="minorHAnsi" w:hAnsiTheme="minorHAnsi" w:cstheme="minorHAnsi"/>
          <w:sz w:val="24"/>
          <w:szCs w:val="24"/>
          <w:lang w:val="en-GB"/>
        </w:rPr>
      </w:pPr>
    </w:p>
    <w:p w14:paraId="2EA4F047" w14:textId="77777777" w:rsidR="00CE691E" w:rsidRPr="00C5150E" w:rsidRDefault="00CE691E" w:rsidP="00CE691E">
      <w:pPr>
        <w:jc w:val="both"/>
        <w:rPr>
          <w:rFonts w:asciiTheme="minorHAnsi" w:hAnsiTheme="minorHAnsi" w:cstheme="minorHAnsi"/>
          <w:szCs w:val="22"/>
          <w:lang w:val="en-GB"/>
        </w:rPr>
      </w:pPr>
    </w:p>
    <w:p w14:paraId="08A29D00" w14:textId="77777777" w:rsidR="00CE691E" w:rsidRPr="00CE691E" w:rsidRDefault="00CE691E">
      <w:pPr>
        <w:rPr>
          <w:b/>
          <w:i/>
          <w:iCs/>
          <w:color w:val="1F497D" w:themeColor="text2"/>
          <w:sz w:val="18"/>
          <w:szCs w:val="18"/>
          <w:lang w:val="en-GB"/>
        </w:rPr>
      </w:pPr>
      <w:r w:rsidRPr="00CE691E">
        <w:rPr>
          <w:b/>
          <w:lang w:val="en-GB"/>
        </w:rPr>
        <w:br w:type="page"/>
      </w:r>
    </w:p>
    <w:p w14:paraId="616DCE3B" w14:textId="6A7F05CF" w:rsidR="00C86927" w:rsidRPr="00C86927" w:rsidRDefault="00C86927" w:rsidP="00C86927">
      <w:pPr>
        <w:jc w:val="both"/>
        <w:rPr>
          <w:rFonts w:asciiTheme="minorHAnsi" w:hAnsiTheme="minorHAnsi" w:cstheme="minorHAnsi"/>
          <w:b/>
          <w:bCs/>
          <w:lang w:val="en-GB"/>
        </w:rPr>
      </w:pPr>
      <w:r w:rsidRPr="00C86927">
        <w:rPr>
          <w:rFonts w:asciiTheme="minorHAnsi" w:hAnsiTheme="minorHAnsi" w:cstheme="minorHAnsi"/>
          <w:b/>
          <w:bCs/>
          <w:lang w:val="en-GB"/>
        </w:rPr>
        <w:lastRenderedPageBreak/>
        <w:t xml:space="preserve">SC </w:t>
      </w:r>
      <w:r w:rsidR="004A2FCA">
        <w:rPr>
          <w:rFonts w:asciiTheme="minorHAnsi" w:hAnsiTheme="minorHAnsi" w:cstheme="minorHAnsi"/>
          <w:b/>
          <w:bCs/>
          <w:lang w:val="en-GB"/>
        </w:rPr>
        <w:t>2</w:t>
      </w:r>
    </w:p>
    <w:p w14:paraId="4C8DA757" w14:textId="77777777" w:rsidR="00C86927" w:rsidRPr="00C86927" w:rsidRDefault="00C86927" w:rsidP="00C86927">
      <w:pPr>
        <w:jc w:val="both"/>
        <w:rPr>
          <w:rFonts w:asciiTheme="minorHAnsi" w:hAnsiTheme="minorHAnsi" w:cstheme="minorHAnsi"/>
          <w:b/>
          <w:bCs/>
          <w:lang w:val="en-GB"/>
        </w:rPr>
      </w:pPr>
      <w:r w:rsidRPr="00C86927">
        <w:rPr>
          <w:rFonts w:asciiTheme="minorHAnsi" w:hAnsiTheme="minorHAnsi" w:cstheme="minorHAnsi"/>
          <w:b/>
          <w:bCs/>
          <w:lang w:val="en-GB"/>
        </w:rPr>
        <w:t>Guidelines with decision criteria for title/abstract screening</w:t>
      </w:r>
    </w:p>
    <w:p w14:paraId="7159A2BF" w14:textId="77777777" w:rsidR="00C86927" w:rsidRDefault="00C86927" w:rsidP="00C86927">
      <w:pPr>
        <w:jc w:val="both"/>
        <w:rPr>
          <w:rFonts w:asciiTheme="minorHAnsi" w:hAnsiTheme="minorHAnsi" w:cstheme="minorHAnsi"/>
          <w:b/>
          <w:sz w:val="24"/>
          <w:szCs w:val="24"/>
          <w:lang w:val="en-GB"/>
        </w:rPr>
      </w:pPr>
    </w:p>
    <w:p w14:paraId="16C57A0B" w14:textId="77777777" w:rsidR="00C86927" w:rsidRPr="00C86927" w:rsidRDefault="00C86927" w:rsidP="00C86927">
      <w:pPr>
        <w:jc w:val="center"/>
        <w:rPr>
          <w:rFonts w:asciiTheme="minorHAnsi" w:hAnsiTheme="minorHAnsi" w:cstheme="minorHAnsi"/>
          <w:b/>
          <w:sz w:val="24"/>
          <w:szCs w:val="24"/>
          <w:lang w:val="en-GB"/>
        </w:rPr>
      </w:pPr>
      <w:r w:rsidRPr="00C86927">
        <w:rPr>
          <w:rFonts w:asciiTheme="minorHAnsi" w:hAnsiTheme="minorHAnsi" w:cstheme="minorHAnsi"/>
          <w:b/>
          <w:sz w:val="24"/>
          <w:szCs w:val="24"/>
          <w:lang w:val="en-GB"/>
        </w:rPr>
        <w:t xml:space="preserve">Guidelines with decision criteria for </w:t>
      </w:r>
      <w:r w:rsidRPr="00C86927">
        <w:rPr>
          <w:rFonts w:asciiTheme="minorHAnsi" w:hAnsiTheme="minorHAnsi" w:cstheme="minorHAnsi"/>
          <w:b/>
          <w:lang w:val="en-GB"/>
        </w:rPr>
        <w:t>title/abstract screening</w:t>
      </w:r>
    </w:p>
    <w:p w14:paraId="30E7A6D4" w14:textId="77777777" w:rsidR="00C86927" w:rsidRPr="00C86927" w:rsidRDefault="00C86927" w:rsidP="00C86927">
      <w:pPr>
        <w:jc w:val="center"/>
        <w:rPr>
          <w:rFonts w:asciiTheme="minorHAnsi" w:hAnsiTheme="minorHAnsi" w:cstheme="minorHAnsi"/>
          <w:sz w:val="24"/>
          <w:szCs w:val="24"/>
          <w:lang w:val="en-GB"/>
        </w:rPr>
      </w:pPr>
      <w:r w:rsidRPr="00C86927">
        <w:rPr>
          <w:rFonts w:asciiTheme="minorHAnsi" w:hAnsiTheme="minorHAnsi" w:cstheme="minorHAnsi"/>
          <w:sz w:val="24"/>
          <w:szCs w:val="24"/>
          <w:lang w:val="en-GB"/>
        </w:rPr>
        <w:t>"</w:t>
      </w:r>
      <w:r w:rsidRPr="00C86927">
        <w:rPr>
          <w:rFonts w:asciiTheme="minorHAnsi" w:hAnsiTheme="minorHAnsi" w:cstheme="minorHAnsi"/>
          <w:lang w:val="en-GB"/>
        </w:rPr>
        <w:t>Prevalence and incidence of cognitive impairment following acute respiratory distress syndrome of any cause. A systematic review and meta-analysis</w:t>
      </w:r>
      <w:r w:rsidRPr="00C86927">
        <w:rPr>
          <w:rFonts w:asciiTheme="minorHAnsi" w:hAnsiTheme="minorHAnsi" w:cstheme="minorHAnsi"/>
          <w:sz w:val="24"/>
          <w:szCs w:val="24"/>
          <w:lang w:val="en-GB"/>
        </w:rPr>
        <w:t>"</w:t>
      </w:r>
    </w:p>
    <w:p w14:paraId="41F7DAA6" w14:textId="77777777" w:rsidR="00C86927" w:rsidRPr="00C86927" w:rsidRDefault="00C86927" w:rsidP="00C86927">
      <w:pPr>
        <w:rPr>
          <w:rFonts w:asciiTheme="minorHAnsi" w:hAnsiTheme="minorHAnsi" w:cstheme="minorHAnsi"/>
          <w:lang w:val="en-GB"/>
        </w:rPr>
      </w:pPr>
      <w:r w:rsidRPr="00C86927">
        <w:rPr>
          <w:rFonts w:asciiTheme="minorHAnsi" w:hAnsiTheme="minorHAnsi" w:cstheme="minorHAnsi"/>
          <w:lang w:val="en-GB"/>
        </w:rPr>
        <w:t>_________________________________________________________________________________</w:t>
      </w:r>
    </w:p>
    <w:p w14:paraId="5C8BDEA8" w14:textId="77777777" w:rsidR="00C86927" w:rsidRPr="00C86927" w:rsidRDefault="00C86927" w:rsidP="00C86927">
      <w:pPr>
        <w:jc w:val="center"/>
        <w:rPr>
          <w:rFonts w:asciiTheme="minorHAnsi" w:hAnsiTheme="minorHAnsi" w:cstheme="minorHAnsi"/>
          <w:lang w:val="en-GB"/>
        </w:rPr>
      </w:pPr>
      <w:r w:rsidRPr="00C86927">
        <w:rPr>
          <w:rFonts w:asciiTheme="minorHAnsi" w:hAnsiTheme="minorHAnsi" w:cstheme="minorHAnsi"/>
          <w:b/>
          <w:lang w:val="en-GB"/>
        </w:rPr>
        <w:t>Decision criteria:</w:t>
      </w:r>
    </w:p>
    <w:p w14:paraId="7CE9B063" w14:textId="77777777" w:rsidR="00C86927" w:rsidRPr="00C86927" w:rsidRDefault="00C86927" w:rsidP="00C86927">
      <w:pPr>
        <w:rPr>
          <w:rFonts w:asciiTheme="minorHAnsi" w:hAnsiTheme="minorHAnsi" w:cstheme="minorHAnsi"/>
          <w:lang w:val="en-GB"/>
        </w:rPr>
      </w:pPr>
      <w:r w:rsidRPr="00C86927">
        <w:rPr>
          <w:rFonts w:asciiTheme="minorHAnsi" w:hAnsiTheme="minorHAnsi" w:cstheme="minorHAnsi"/>
          <w:lang w:val="en-GB"/>
        </w:rPr>
        <w:t xml:space="preserve">These criteria apply to the entire review. The criteria remain the same throughout the entire review process. </w:t>
      </w:r>
    </w:p>
    <w:p w14:paraId="2C20D29B" w14:textId="77777777" w:rsidR="00C86927" w:rsidRPr="00C86927" w:rsidRDefault="00C86927" w:rsidP="00C86927">
      <w:pPr>
        <w:rPr>
          <w:rFonts w:asciiTheme="minorHAnsi" w:hAnsiTheme="minorHAnsi" w:cstheme="minorHAnsi"/>
          <w:b/>
        </w:rPr>
      </w:pPr>
      <w:r w:rsidRPr="00C86927">
        <w:rPr>
          <w:rFonts w:asciiTheme="minorHAnsi" w:hAnsiTheme="minorHAnsi" w:cstheme="minorHAnsi"/>
          <w:b/>
        </w:rPr>
        <w:t>Outcome" decision criteria</w:t>
      </w:r>
    </w:p>
    <w:tbl>
      <w:tblPr>
        <w:tblStyle w:val="Tabellenraster"/>
        <w:tblW w:w="9062" w:type="dxa"/>
        <w:tblLook w:val="04A0" w:firstRow="1" w:lastRow="0" w:firstColumn="1" w:lastColumn="0" w:noHBand="0" w:noVBand="1"/>
      </w:tblPr>
      <w:tblGrid>
        <w:gridCol w:w="4248"/>
        <w:gridCol w:w="4814"/>
      </w:tblGrid>
      <w:tr w:rsidR="00C86927" w:rsidRPr="00C86927" w14:paraId="38D61DFE" w14:textId="77777777" w:rsidTr="007B23A5">
        <w:tc>
          <w:tcPr>
            <w:tcW w:w="4248" w:type="dxa"/>
            <w:shd w:val="clear" w:color="auto" w:fill="95B3D7" w:themeFill="accent1" w:themeFillTint="99"/>
          </w:tcPr>
          <w:p w14:paraId="023C5BE7" w14:textId="77777777" w:rsidR="00C86927" w:rsidRPr="00C86927" w:rsidRDefault="00C86927" w:rsidP="007B23A5">
            <w:pPr>
              <w:pStyle w:val="KeinLeerraum"/>
              <w:spacing w:line="276" w:lineRule="auto"/>
              <w:jc w:val="center"/>
              <w:rPr>
                <w:rFonts w:cstheme="minorHAnsi"/>
                <w:b/>
              </w:rPr>
            </w:pPr>
            <w:r w:rsidRPr="00C86927">
              <w:rPr>
                <w:rFonts w:cstheme="minorHAnsi"/>
                <w:b/>
              </w:rPr>
              <w:t>Inclusion criteria</w:t>
            </w:r>
          </w:p>
        </w:tc>
        <w:tc>
          <w:tcPr>
            <w:tcW w:w="4814" w:type="dxa"/>
            <w:shd w:val="clear" w:color="auto" w:fill="95B3D7" w:themeFill="accent1" w:themeFillTint="99"/>
          </w:tcPr>
          <w:p w14:paraId="609E6D5B" w14:textId="77777777" w:rsidR="00C86927" w:rsidRPr="00C86927" w:rsidRDefault="00C86927" w:rsidP="007B23A5">
            <w:pPr>
              <w:pStyle w:val="KeinLeerraum"/>
              <w:spacing w:line="276" w:lineRule="auto"/>
              <w:jc w:val="center"/>
              <w:rPr>
                <w:rFonts w:cstheme="minorHAnsi"/>
                <w:b/>
              </w:rPr>
            </w:pPr>
            <w:r w:rsidRPr="00C86927">
              <w:rPr>
                <w:rFonts w:cstheme="minorHAnsi"/>
                <w:b/>
              </w:rPr>
              <w:t>Exclusion criteria</w:t>
            </w:r>
          </w:p>
        </w:tc>
      </w:tr>
      <w:tr w:rsidR="00C86927" w:rsidRPr="0069243C" w14:paraId="580B5AC9" w14:textId="77777777" w:rsidTr="007B23A5">
        <w:tc>
          <w:tcPr>
            <w:tcW w:w="4248" w:type="dxa"/>
          </w:tcPr>
          <w:p w14:paraId="09497344" w14:textId="77777777" w:rsidR="00C86927" w:rsidRPr="00C86927" w:rsidRDefault="00C86927" w:rsidP="00C86927">
            <w:pPr>
              <w:pStyle w:val="KeinLeerraum"/>
              <w:numPr>
                <w:ilvl w:val="0"/>
                <w:numId w:val="9"/>
              </w:numPr>
              <w:rPr>
                <w:rFonts w:cstheme="minorHAnsi"/>
                <w:lang w:val="en-GB"/>
              </w:rPr>
            </w:pPr>
            <w:r w:rsidRPr="00C86927">
              <w:rPr>
                <w:rFonts w:cstheme="minorHAnsi"/>
                <w:lang w:val="en-GB"/>
              </w:rPr>
              <w:t xml:space="preserve">Observed or recorded event rate of cognitive impairment </w:t>
            </w:r>
          </w:p>
          <w:p w14:paraId="61D7B0F2" w14:textId="77777777" w:rsidR="00C86927" w:rsidRPr="00C86927" w:rsidRDefault="00C86927" w:rsidP="00C86927">
            <w:pPr>
              <w:pStyle w:val="KeinLeerraum"/>
              <w:numPr>
                <w:ilvl w:val="0"/>
                <w:numId w:val="9"/>
              </w:numPr>
              <w:rPr>
                <w:rFonts w:cstheme="minorHAnsi"/>
                <w:lang w:val="en-GB"/>
              </w:rPr>
            </w:pPr>
            <w:r w:rsidRPr="00C86927">
              <w:rPr>
                <w:rFonts w:cstheme="minorHAnsi"/>
                <w:lang w:val="en-GB"/>
              </w:rPr>
              <w:t>Observed or recorded event rate of all synonyms for cognitive impairments (</w:t>
            </w:r>
            <w:r w:rsidRPr="00C86927">
              <w:rPr>
                <w:rFonts w:eastAsia="Times New Roman" w:cstheme="minorHAnsi"/>
                <w:lang w:val="en-GB" w:eastAsia="de-DE"/>
              </w:rPr>
              <w:t>cognitive deficits, memory disorders, thinking problems, mental disorders, mental limitations, mental impairments, cognitive dysfunctions, thinking disorders</w:t>
            </w:r>
            <w:r w:rsidRPr="00C86927">
              <w:rPr>
                <w:rFonts w:cstheme="minorHAnsi"/>
                <w:lang w:val="en-GB"/>
              </w:rPr>
              <w:t xml:space="preserve">) </w:t>
            </w:r>
          </w:p>
          <w:p w14:paraId="2AAC2B6D" w14:textId="77777777" w:rsidR="00C86927" w:rsidRPr="00C86927" w:rsidRDefault="00C86927" w:rsidP="00C86927">
            <w:pPr>
              <w:pStyle w:val="KeinLeerraum"/>
              <w:numPr>
                <w:ilvl w:val="1"/>
                <w:numId w:val="9"/>
              </w:numPr>
              <w:rPr>
                <w:rFonts w:cstheme="minorHAnsi"/>
                <w:lang w:val="en-GB"/>
              </w:rPr>
            </w:pPr>
            <w:r w:rsidRPr="00C86927">
              <w:rPr>
                <w:rFonts w:cstheme="minorHAnsi"/>
                <w:lang w:val="en-GB"/>
              </w:rPr>
              <w:t>Delirium/delirium, as many authors do not distinguish between cognitive impairment and acute delirium</w:t>
            </w:r>
          </w:p>
          <w:p w14:paraId="2A0AC393" w14:textId="77777777" w:rsidR="00C86927" w:rsidRPr="00C86927" w:rsidRDefault="00C86927" w:rsidP="00C86927">
            <w:pPr>
              <w:pStyle w:val="KeinLeerraum"/>
              <w:numPr>
                <w:ilvl w:val="0"/>
                <w:numId w:val="9"/>
              </w:numPr>
              <w:rPr>
                <w:rFonts w:cstheme="minorHAnsi"/>
                <w:lang w:val="en-GB"/>
              </w:rPr>
            </w:pPr>
            <w:r w:rsidRPr="00C86927">
              <w:rPr>
                <w:rFonts w:cstheme="minorHAnsi"/>
                <w:lang w:val="en-GB"/>
              </w:rPr>
              <w:t>Event rate of cognitive impairment as a result of COVID-19, ICU or PICS (if ARDS is reported)</w:t>
            </w:r>
          </w:p>
        </w:tc>
        <w:tc>
          <w:tcPr>
            <w:tcW w:w="4814" w:type="dxa"/>
          </w:tcPr>
          <w:p w14:paraId="79FDA31C" w14:textId="77777777" w:rsidR="00C86927" w:rsidRPr="00C86927" w:rsidRDefault="00C86927" w:rsidP="00C86927">
            <w:pPr>
              <w:pStyle w:val="KeinLeerraum"/>
              <w:numPr>
                <w:ilvl w:val="0"/>
                <w:numId w:val="8"/>
              </w:numPr>
              <w:spacing w:line="276" w:lineRule="auto"/>
              <w:jc w:val="left"/>
              <w:rPr>
                <w:rFonts w:cstheme="minorHAnsi"/>
              </w:rPr>
            </w:pPr>
            <w:r w:rsidRPr="00C86927">
              <w:rPr>
                <w:rFonts w:cstheme="minorHAnsi"/>
              </w:rPr>
              <w:t>Neurodegenerative diseases (dementia, Alzheimer's, etc.)</w:t>
            </w:r>
          </w:p>
          <w:p w14:paraId="126758AB" w14:textId="77777777" w:rsidR="00C86927" w:rsidRPr="00C86927" w:rsidRDefault="00C86927" w:rsidP="00C86927">
            <w:pPr>
              <w:pStyle w:val="KeinLeerraum"/>
              <w:numPr>
                <w:ilvl w:val="0"/>
                <w:numId w:val="8"/>
              </w:numPr>
              <w:rPr>
                <w:rFonts w:cstheme="minorHAnsi"/>
                <w:lang w:val="en-GB"/>
              </w:rPr>
            </w:pPr>
            <w:r w:rsidRPr="00C86927">
              <w:rPr>
                <w:rFonts w:cstheme="minorHAnsi"/>
                <w:lang w:val="en-GB"/>
              </w:rPr>
              <w:t>(Long-term) consequences of COVID-19 without recording on cognitive impairments</w:t>
            </w:r>
          </w:p>
          <w:p w14:paraId="21C15664" w14:textId="77777777" w:rsidR="00C86927" w:rsidRPr="00C86927" w:rsidRDefault="00C86927" w:rsidP="00C86927">
            <w:pPr>
              <w:pStyle w:val="KeinLeerraum"/>
              <w:numPr>
                <w:ilvl w:val="0"/>
                <w:numId w:val="8"/>
              </w:numPr>
              <w:rPr>
                <w:rFonts w:cstheme="minorHAnsi"/>
                <w:lang w:val="en-GB"/>
              </w:rPr>
            </w:pPr>
            <w:r w:rsidRPr="00C86927">
              <w:rPr>
                <w:rFonts w:cstheme="minorHAnsi"/>
                <w:lang w:val="en-GB"/>
              </w:rPr>
              <w:t>PICS without detection of cognitive impairment</w:t>
            </w:r>
          </w:p>
          <w:p w14:paraId="111BEBA2" w14:textId="77777777" w:rsidR="00C86927" w:rsidRPr="00C86927" w:rsidRDefault="00C86927" w:rsidP="00C86927">
            <w:pPr>
              <w:pStyle w:val="KeinLeerraum"/>
              <w:numPr>
                <w:ilvl w:val="0"/>
                <w:numId w:val="8"/>
              </w:numPr>
              <w:rPr>
                <w:rFonts w:cstheme="minorHAnsi"/>
                <w:lang w:val="en-GB"/>
              </w:rPr>
            </w:pPr>
            <w:r w:rsidRPr="00C86927">
              <w:rPr>
                <w:rFonts w:cstheme="minorHAnsi"/>
                <w:lang w:val="en-GB"/>
              </w:rPr>
              <w:t>Observation of ICU patients without recording cognitive impairments</w:t>
            </w:r>
          </w:p>
          <w:p w14:paraId="772B6D41" w14:textId="77777777" w:rsidR="00C86927" w:rsidRPr="00C86927" w:rsidRDefault="00C86927" w:rsidP="00C86927">
            <w:pPr>
              <w:pStyle w:val="KeinLeerraum"/>
              <w:numPr>
                <w:ilvl w:val="0"/>
                <w:numId w:val="8"/>
              </w:numPr>
              <w:spacing w:line="276" w:lineRule="auto"/>
              <w:jc w:val="left"/>
              <w:rPr>
                <w:rFonts w:cstheme="minorHAnsi"/>
                <w:lang w:val="en-GB"/>
              </w:rPr>
            </w:pPr>
            <w:r w:rsidRPr="00C86927">
              <w:rPr>
                <w:rFonts w:cstheme="minorHAnsi"/>
                <w:lang w:val="en-GB"/>
              </w:rPr>
              <w:t>Studies investigating delirium or postoperative cognitive dysfunction (POCD) on admission to the intensive care unit</w:t>
            </w:r>
          </w:p>
        </w:tc>
      </w:tr>
    </w:tbl>
    <w:p w14:paraId="46A6BABE" w14:textId="77777777" w:rsidR="00C86927" w:rsidRPr="00C86927" w:rsidRDefault="00C86927" w:rsidP="00C86927">
      <w:pPr>
        <w:rPr>
          <w:rFonts w:asciiTheme="minorHAnsi" w:hAnsiTheme="minorHAnsi" w:cstheme="minorHAnsi"/>
          <w:lang w:val="en-GB"/>
        </w:rPr>
      </w:pPr>
    </w:p>
    <w:p w14:paraId="0556F02E" w14:textId="77777777" w:rsidR="00C86927" w:rsidRPr="00C86927" w:rsidRDefault="00C86927" w:rsidP="00C86927">
      <w:pPr>
        <w:rPr>
          <w:rFonts w:asciiTheme="minorHAnsi" w:hAnsiTheme="minorHAnsi" w:cstheme="minorHAnsi"/>
        </w:rPr>
      </w:pPr>
      <w:r w:rsidRPr="00C86927">
        <w:rPr>
          <w:rFonts w:asciiTheme="minorHAnsi" w:hAnsiTheme="minorHAnsi" w:cstheme="minorHAnsi"/>
          <w:b/>
        </w:rPr>
        <w:t>Decision criteria "Exposure"</w:t>
      </w:r>
    </w:p>
    <w:tbl>
      <w:tblPr>
        <w:tblStyle w:val="Tabellenraster"/>
        <w:tblW w:w="0" w:type="auto"/>
        <w:tblLook w:val="04A0" w:firstRow="1" w:lastRow="0" w:firstColumn="1" w:lastColumn="0" w:noHBand="0" w:noVBand="1"/>
      </w:tblPr>
      <w:tblGrid>
        <w:gridCol w:w="4531"/>
        <w:gridCol w:w="4531"/>
      </w:tblGrid>
      <w:tr w:rsidR="00C86927" w:rsidRPr="00C86927" w14:paraId="43D6AA89" w14:textId="77777777" w:rsidTr="007B23A5">
        <w:trPr>
          <w:trHeight w:val="77"/>
        </w:trPr>
        <w:tc>
          <w:tcPr>
            <w:tcW w:w="4531" w:type="dxa"/>
            <w:shd w:val="clear" w:color="auto" w:fill="95B3D7" w:themeFill="accent1" w:themeFillTint="99"/>
          </w:tcPr>
          <w:p w14:paraId="7348D06D" w14:textId="77777777" w:rsidR="00C86927" w:rsidRPr="00C86927" w:rsidRDefault="00C86927" w:rsidP="007B23A5">
            <w:pPr>
              <w:pStyle w:val="KeinLeerraum"/>
              <w:spacing w:line="276" w:lineRule="auto"/>
              <w:jc w:val="center"/>
              <w:rPr>
                <w:rFonts w:cstheme="minorHAnsi"/>
                <w:b/>
              </w:rPr>
            </w:pPr>
            <w:r w:rsidRPr="00C86927">
              <w:rPr>
                <w:rFonts w:cstheme="minorHAnsi"/>
                <w:b/>
              </w:rPr>
              <w:t>Inclusion criteria</w:t>
            </w:r>
          </w:p>
        </w:tc>
        <w:tc>
          <w:tcPr>
            <w:tcW w:w="4531" w:type="dxa"/>
            <w:shd w:val="clear" w:color="auto" w:fill="95B3D7" w:themeFill="accent1" w:themeFillTint="99"/>
          </w:tcPr>
          <w:p w14:paraId="4B70DCE2" w14:textId="77777777" w:rsidR="00C86927" w:rsidRPr="00C86927" w:rsidRDefault="00C86927" w:rsidP="007B23A5">
            <w:pPr>
              <w:pStyle w:val="KeinLeerraum"/>
              <w:spacing w:line="276" w:lineRule="auto"/>
              <w:jc w:val="center"/>
              <w:rPr>
                <w:rFonts w:cstheme="minorHAnsi"/>
                <w:b/>
              </w:rPr>
            </w:pPr>
            <w:r w:rsidRPr="00C86927">
              <w:rPr>
                <w:rFonts w:cstheme="minorHAnsi"/>
                <w:b/>
              </w:rPr>
              <w:t>Exclusion criteria</w:t>
            </w:r>
          </w:p>
        </w:tc>
      </w:tr>
      <w:tr w:rsidR="00C86927" w:rsidRPr="0069243C" w14:paraId="40133533" w14:textId="77777777" w:rsidTr="007B23A5">
        <w:trPr>
          <w:trHeight w:val="127"/>
        </w:trPr>
        <w:tc>
          <w:tcPr>
            <w:tcW w:w="4531" w:type="dxa"/>
          </w:tcPr>
          <w:p w14:paraId="1D591AD8" w14:textId="77777777" w:rsidR="00C86927" w:rsidRPr="00C86927" w:rsidRDefault="00C86927" w:rsidP="00C86927">
            <w:pPr>
              <w:pStyle w:val="KeinLeerraum"/>
              <w:numPr>
                <w:ilvl w:val="0"/>
                <w:numId w:val="7"/>
              </w:numPr>
              <w:spacing w:line="276" w:lineRule="auto"/>
              <w:jc w:val="left"/>
              <w:rPr>
                <w:rFonts w:cstheme="minorHAnsi"/>
                <w:lang w:val="en-GB"/>
              </w:rPr>
            </w:pPr>
            <w:r w:rsidRPr="00C86927">
              <w:rPr>
                <w:rFonts w:cstheme="minorHAnsi"/>
                <w:lang w:val="en-GB"/>
              </w:rPr>
              <w:t>People who have survived ARDS regardless of the triggering cause (including COVID-19)</w:t>
            </w:r>
          </w:p>
          <w:p w14:paraId="7E679879" w14:textId="77777777" w:rsidR="00C86927" w:rsidRPr="00C86927" w:rsidRDefault="00C86927" w:rsidP="00C86927">
            <w:pPr>
              <w:pStyle w:val="KeinLeerraum"/>
              <w:numPr>
                <w:ilvl w:val="0"/>
                <w:numId w:val="7"/>
              </w:numPr>
              <w:spacing w:line="276" w:lineRule="auto"/>
              <w:jc w:val="left"/>
              <w:rPr>
                <w:rFonts w:cstheme="minorHAnsi"/>
                <w:lang w:val="en-GB"/>
              </w:rPr>
            </w:pPr>
            <w:r w:rsidRPr="00C86927">
              <w:rPr>
                <w:rFonts w:cstheme="minorHAnsi"/>
                <w:lang w:val="en-GB"/>
              </w:rPr>
              <w:t xml:space="preserve">All synonyms for ARDS (including </w:t>
            </w:r>
            <w:r w:rsidRPr="00C86927">
              <w:rPr>
                <w:rFonts w:eastAsia="Times New Roman" w:cstheme="minorHAnsi"/>
                <w:lang w:val="en-GB" w:eastAsia="de-DE"/>
              </w:rPr>
              <w:t>acute respiratory distress syndrome, acute respiratory failure, respiratory syndrome)</w:t>
            </w:r>
          </w:p>
          <w:p w14:paraId="67514926" w14:textId="77777777" w:rsidR="00C86927" w:rsidRPr="00C86927" w:rsidRDefault="00C86927" w:rsidP="00C86927">
            <w:pPr>
              <w:pStyle w:val="Listenabsatz"/>
              <w:numPr>
                <w:ilvl w:val="0"/>
                <w:numId w:val="7"/>
              </w:numPr>
              <w:rPr>
                <w:rFonts w:asciiTheme="minorHAnsi" w:hAnsiTheme="minorHAnsi" w:cstheme="minorHAnsi"/>
                <w:lang w:val="en-GB"/>
              </w:rPr>
            </w:pPr>
            <w:r w:rsidRPr="00C86927">
              <w:rPr>
                <w:rFonts w:asciiTheme="minorHAnsi" w:hAnsiTheme="minorHAnsi" w:cstheme="minorHAnsi"/>
                <w:lang w:val="en-GB"/>
              </w:rPr>
              <w:t xml:space="preserve">ARDS regardless of the severity of </w:t>
            </w:r>
            <w:r w:rsidRPr="00C86927">
              <w:rPr>
                <w:rStyle w:val="hgkelc"/>
                <w:rFonts w:asciiTheme="minorHAnsi" w:hAnsiTheme="minorHAnsi" w:cstheme="minorHAnsi"/>
                <w:lang w:val="en-GB"/>
              </w:rPr>
              <w:t xml:space="preserve">hypoxaemia </w:t>
            </w:r>
            <w:r w:rsidRPr="00C86927">
              <w:rPr>
                <w:rFonts w:asciiTheme="minorHAnsi" w:hAnsiTheme="minorHAnsi" w:cstheme="minorHAnsi"/>
                <w:lang w:val="en-GB"/>
              </w:rPr>
              <w:t xml:space="preserve">(mild, moderate, severe) </w:t>
            </w:r>
          </w:p>
          <w:p w14:paraId="347025ED" w14:textId="77777777" w:rsidR="00C86927" w:rsidRPr="00C86927" w:rsidRDefault="00C86927" w:rsidP="00C86927">
            <w:pPr>
              <w:pStyle w:val="KeinLeerraum"/>
              <w:numPr>
                <w:ilvl w:val="0"/>
                <w:numId w:val="7"/>
              </w:numPr>
              <w:spacing w:line="276" w:lineRule="auto"/>
              <w:jc w:val="left"/>
              <w:rPr>
                <w:rFonts w:cstheme="minorHAnsi"/>
                <w:lang w:val="en-GB"/>
              </w:rPr>
            </w:pPr>
            <w:r w:rsidRPr="00C86927">
              <w:rPr>
                <w:rFonts w:cstheme="minorHAnsi"/>
                <w:lang w:val="en-GB"/>
              </w:rPr>
              <w:t>ARDS with and without mechanical ventilation</w:t>
            </w:r>
          </w:p>
          <w:p w14:paraId="4D6BB6E2" w14:textId="77777777" w:rsidR="00C86927" w:rsidRPr="00C86927" w:rsidRDefault="00C86927" w:rsidP="00C86927">
            <w:pPr>
              <w:pStyle w:val="KeinLeerraum"/>
              <w:numPr>
                <w:ilvl w:val="0"/>
                <w:numId w:val="7"/>
              </w:numPr>
              <w:spacing w:line="276" w:lineRule="auto"/>
              <w:jc w:val="left"/>
              <w:rPr>
                <w:rFonts w:cstheme="minorHAnsi"/>
                <w:lang w:val="en-GB"/>
              </w:rPr>
            </w:pPr>
            <w:r w:rsidRPr="00C86927">
              <w:rPr>
                <w:rFonts w:cstheme="minorHAnsi"/>
                <w:lang w:val="en-GB"/>
              </w:rPr>
              <w:t xml:space="preserve">ARDS as a subcategory in PICS cohorts or ICU patients </w:t>
            </w:r>
          </w:p>
        </w:tc>
        <w:tc>
          <w:tcPr>
            <w:tcW w:w="4531" w:type="dxa"/>
          </w:tcPr>
          <w:p w14:paraId="3853E860" w14:textId="77777777" w:rsidR="00C86927" w:rsidRPr="00C86927" w:rsidRDefault="00C86927" w:rsidP="00C86927">
            <w:pPr>
              <w:pStyle w:val="KeinLeerraum"/>
              <w:numPr>
                <w:ilvl w:val="0"/>
                <w:numId w:val="7"/>
              </w:numPr>
              <w:rPr>
                <w:rFonts w:cstheme="minorHAnsi"/>
                <w:lang w:val="en-GB"/>
              </w:rPr>
            </w:pPr>
            <w:r w:rsidRPr="00C86927">
              <w:rPr>
                <w:rFonts w:cstheme="minorHAnsi"/>
                <w:lang w:val="en-GB"/>
              </w:rPr>
              <w:t xml:space="preserve">Studies that report on PICS but do not describe ARDS </w:t>
            </w:r>
          </w:p>
          <w:p w14:paraId="0606706A" w14:textId="77777777" w:rsidR="00C86927" w:rsidRPr="00C86927" w:rsidRDefault="00C86927" w:rsidP="00C86927">
            <w:pPr>
              <w:pStyle w:val="KeinLeerraum"/>
              <w:numPr>
                <w:ilvl w:val="0"/>
                <w:numId w:val="7"/>
              </w:numPr>
              <w:rPr>
                <w:rFonts w:cstheme="minorHAnsi"/>
                <w:lang w:val="en-GB"/>
              </w:rPr>
            </w:pPr>
            <w:r w:rsidRPr="00C86927">
              <w:rPr>
                <w:rFonts w:cstheme="minorHAnsi"/>
                <w:lang w:val="en-GB"/>
              </w:rPr>
              <w:t xml:space="preserve">Studies that report COVID-19 infection but do not describe ARDS </w:t>
            </w:r>
          </w:p>
        </w:tc>
      </w:tr>
    </w:tbl>
    <w:p w14:paraId="3BECC330" w14:textId="77777777" w:rsidR="00C86927" w:rsidRPr="00C86927" w:rsidRDefault="00C86927" w:rsidP="00C86927">
      <w:pPr>
        <w:rPr>
          <w:rFonts w:asciiTheme="minorHAnsi" w:hAnsiTheme="minorHAnsi" w:cstheme="minorHAnsi"/>
          <w:b/>
          <w:lang w:val="en-GB"/>
        </w:rPr>
      </w:pPr>
    </w:p>
    <w:p w14:paraId="0508E43B" w14:textId="77777777" w:rsidR="00C86927" w:rsidRPr="00C86927" w:rsidRDefault="00C86927" w:rsidP="00C86927">
      <w:pPr>
        <w:rPr>
          <w:rFonts w:asciiTheme="minorHAnsi" w:hAnsiTheme="minorHAnsi" w:cstheme="minorHAnsi"/>
          <w:b/>
        </w:rPr>
      </w:pPr>
      <w:r w:rsidRPr="00C86927">
        <w:rPr>
          <w:rFonts w:asciiTheme="minorHAnsi" w:hAnsiTheme="minorHAnsi" w:cstheme="minorHAnsi"/>
          <w:b/>
        </w:rPr>
        <w:t>Population" decision criteria</w:t>
      </w:r>
    </w:p>
    <w:tbl>
      <w:tblPr>
        <w:tblStyle w:val="Tabellenraster"/>
        <w:tblW w:w="0" w:type="auto"/>
        <w:tblLook w:val="04A0" w:firstRow="1" w:lastRow="0" w:firstColumn="1" w:lastColumn="0" w:noHBand="0" w:noVBand="1"/>
      </w:tblPr>
      <w:tblGrid>
        <w:gridCol w:w="4531"/>
        <w:gridCol w:w="4531"/>
      </w:tblGrid>
      <w:tr w:rsidR="00C86927" w:rsidRPr="00C86927" w14:paraId="0A664443" w14:textId="77777777" w:rsidTr="007B23A5">
        <w:tc>
          <w:tcPr>
            <w:tcW w:w="4531" w:type="dxa"/>
            <w:shd w:val="clear" w:color="auto" w:fill="95B3D7" w:themeFill="accent1" w:themeFillTint="99"/>
          </w:tcPr>
          <w:p w14:paraId="41284C1A" w14:textId="77777777" w:rsidR="00C86927" w:rsidRPr="00C86927" w:rsidRDefault="00C86927" w:rsidP="007B23A5">
            <w:pPr>
              <w:pStyle w:val="KeinLeerraum"/>
              <w:spacing w:line="276" w:lineRule="auto"/>
              <w:jc w:val="center"/>
              <w:rPr>
                <w:rFonts w:cstheme="minorHAnsi"/>
                <w:b/>
              </w:rPr>
            </w:pPr>
            <w:r w:rsidRPr="00C86927">
              <w:rPr>
                <w:rFonts w:cstheme="minorHAnsi"/>
                <w:b/>
              </w:rPr>
              <w:t>Inclusion criteria</w:t>
            </w:r>
          </w:p>
        </w:tc>
        <w:tc>
          <w:tcPr>
            <w:tcW w:w="4531" w:type="dxa"/>
            <w:shd w:val="clear" w:color="auto" w:fill="95B3D7" w:themeFill="accent1" w:themeFillTint="99"/>
          </w:tcPr>
          <w:p w14:paraId="41FC62C7" w14:textId="77777777" w:rsidR="00C86927" w:rsidRPr="00C86927" w:rsidRDefault="00C86927" w:rsidP="007B23A5">
            <w:pPr>
              <w:pStyle w:val="KeinLeerraum"/>
              <w:spacing w:line="276" w:lineRule="auto"/>
              <w:jc w:val="center"/>
              <w:rPr>
                <w:rFonts w:cstheme="minorHAnsi"/>
                <w:b/>
              </w:rPr>
            </w:pPr>
            <w:r w:rsidRPr="00C86927">
              <w:rPr>
                <w:rFonts w:cstheme="minorHAnsi"/>
                <w:b/>
              </w:rPr>
              <w:t>Exclusion criteria</w:t>
            </w:r>
          </w:p>
        </w:tc>
      </w:tr>
      <w:tr w:rsidR="00C86927" w:rsidRPr="0069243C" w14:paraId="54AB51D2" w14:textId="77777777" w:rsidTr="00C86927">
        <w:trPr>
          <w:trHeight w:val="425"/>
        </w:trPr>
        <w:tc>
          <w:tcPr>
            <w:tcW w:w="4531" w:type="dxa"/>
          </w:tcPr>
          <w:p w14:paraId="10557B43" w14:textId="77777777" w:rsidR="00C86927" w:rsidRPr="00C86927" w:rsidRDefault="00C86927" w:rsidP="00C86927">
            <w:pPr>
              <w:pStyle w:val="Listenabsatz"/>
              <w:numPr>
                <w:ilvl w:val="0"/>
                <w:numId w:val="10"/>
              </w:numPr>
              <w:rPr>
                <w:rFonts w:asciiTheme="minorHAnsi" w:hAnsiTheme="minorHAnsi" w:cstheme="minorHAnsi"/>
                <w:lang w:val="en-GB"/>
              </w:rPr>
            </w:pPr>
            <w:r w:rsidRPr="00C86927">
              <w:rPr>
                <w:rFonts w:asciiTheme="minorHAnsi" w:hAnsiTheme="minorHAnsi" w:cstheme="minorHAnsi"/>
                <w:lang w:val="en-GB"/>
              </w:rPr>
              <w:t xml:space="preserve">Adult patients (≥ 18 years) who have survived ARDS and have been diagnosed/observed with cognitive impairment </w:t>
            </w:r>
          </w:p>
        </w:tc>
        <w:tc>
          <w:tcPr>
            <w:tcW w:w="4531" w:type="dxa"/>
          </w:tcPr>
          <w:p w14:paraId="3A66604E" w14:textId="77777777" w:rsidR="00C86927" w:rsidRPr="00C86927" w:rsidRDefault="00C86927" w:rsidP="00C86927">
            <w:pPr>
              <w:pStyle w:val="KeinLeerraum"/>
              <w:numPr>
                <w:ilvl w:val="0"/>
                <w:numId w:val="5"/>
              </w:numPr>
              <w:spacing w:line="276" w:lineRule="auto"/>
              <w:jc w:val="left"/>
              <w:rPr>
                <w:rFonts w:cstheme="minorHAnsi"/>
                <w:lang w:val="en-AU"/>
              </w:rPr>
            </w:pPr>
            <w:r w:rsidRPr="00C86927">
              <w:rPr>
                <w:rFonts w:cstheme="minorHAnsi"/>
                <w:lang w:val="en-AU"/>
              </w:rPr>
              <w:t>Children and paediatric studies</w:t>
            </w:r>
          </w:p>
          <w:p w14:paraId="04895533" w14:textId="77777777" w:rsidR="00C86927" w:rsidRPr="00C86927" w:rsidRDefault="00C86927" w:rsidP="00C86927">
            <w:pPr>
              <w:pStyle w:val="KeinLeerraum"/>
              <w:numPr>
                <w:ilvl w:val="0"/>
                <w:numId w:val="5"/>
              </w:numPr>
              <w:spacing w:line="276" w:lineRule="auto"/>
              <w:jc w:val="left"/>
              <w:rPr>
                <w:rFonts w:cstheme="minorHAnsi"/>
                <w:lang w:val="en-GB"/>
              </w:rPr>
            </w:pPr>
            <w:r w:rsidRPr="00C86927">
              <w:rPr>
                <w:rFonts w:cstheme="minorHAnsi"/>
                <w:lang w:val="en-GB"/>
              </w:rPr>
              <w:t>Patients in whom traumatic brain injury and stroke have been reported</w:t>
            </w:r>
          </w:p>
          <w:p w14:paraId="2396363C" w14:textId="77777777" w:rsidR="00C86927" w:rsidRPr="00C86927" w:rsidRDefault="00C86927" w:rsidP="00C86927">
            <w:pPr>
              <w:pStyle w:val="KeinLeerraum"/>
              <w:numPr>
                <w:ilvl w:val="0"/>
                <w:numId w:val="5"/>
              </w:numPr>
              <w:rPr>
                <w:rFonts w:cstheme="minorHAnsi"/>
                <w:lang w:val="en-GB"/>
              </w:rPr>
            </w:pPr>
            <w:r w:rsidRPr="00C86927">
              <w:rPr>
                <w:rFonts w:cstheme="minorHAnsi"/>
                <w:lang w:val="en-GB"/>
              </w:rPr>
              <w:t xml:space="preserve">Patients after chemotherapy or during </w:t>
            </w:r>
            <w:r w:rsidRPr="00C86927">
              <w:rPr>
                <w:rFonts w:cstheme="minorHAnsi"/>
                <w:lang w:val="en-GB"/>
              </w:rPr>
              <w:lastRenderedPageBreak/>
              <w:t xml:space="preserve">chemotherapy (chemobrain) </w:t>
            </w:r>
          </w:p>
        </w:tc>
      </w:tr>
    </w:tbl>
    <w:p w14:paraId="4B6EBDB4" w14:textId="77777777" w:rsidR="00C86927" w:rsidRPr="00C86927" w:rsidRDefault="00C86927" w:rsidP="00C86927">
      <w:pPr>
        <w:rPr>
          <w:rFonts w:asciiTheme="minorHAnsi" w:hAnsiTheme="minorHAnsi" w:cstheme="minorHAnsi"/>
          <w:b/>
          <w:lang w:val="en-GB"/>
        </w:rPr>
      </w:pPr>
    </w:p>
    <w:p w14:paraId="7270891D" w14:textId="77777777" w:rsidR="00C86927" w:rsidRPr="00C86927" w:rsidRDefault="00C86927" w:rsidP="00C86927">
      <w:pPr>
        <w:rPr>
          <w:rFonts w:asciiTheme="minorHAnsi" w:hAnsiTheme="minorHAnsi" w:cstheme="minorHAnsi"/>
          <w:b/>
        </w:rPr>
      </w:pPr>
      <w:r w:rsidRPr="00C86927">
        <w:rPr>
          <w:rFonts w:asciiTheme="minorHAnsi" w:hAnsiTheme="minorHAnsi" w:cstheme="minorHAnsi"/>
          <w:b/>
        </w:rPr>
        <w:t>Decision criteria "Study design"</w:t>
      </w:r>
    </w:p>
    <w:tbl>
      <w:tblPr>
        <w:tblStyle w:val="Tabellenraster"/>
        <w:tblW w:w="9067" w:type="dxa"/>
        <w:tblLayout w:type="fixed"/>
        <w:tblLook w:val="04A0" w:firstRow="1" w:lastRow="0" w:firstColumn="1" w:lastColumn="0" w:noHBand="0" w:noVBand="1"/>
      </w:tblPr>
      <w:tblGrid>
        <w:gridCol w:w="4531"/>
        <w:gridCol w:w="4536"/>
      </w:tblGrid>
      <w:tr w:rsidR="00C86927" w:rsidRPr="00C86927" w14:paraId="535A635E" w14:textId="77777777" w:rsidTr="007B23A5">
        <w:tc>
          <w:tcPr>
            <w:tcW w:w="4531" w:type="dxa"/>
            <w:shd w:val="clear" w:color="auto" w:fill="95B3D7" w:themeFill="accent1" w:themeFillTint="99"/>
          </w:tcPr>
          <w:p w14:paraId="62491EDC" w14:textId="77777777" w:rsidR="00C86927" w:rsidRPr="00C86927" w:rsidRDefault="00C86927" w:rsidP="007B23A5">
            <w:pPr>
              <w:pStyle w:val="KeinLeerraum"/>
              <w:spacing w:line="276" w:lineRule="auto"/>
              <w:jc w:val="center"/>
              <w:rPr>
                <w:rFonts w:cstheme="minorHAnsi"/>
                <w:b/>
              </w:rPr>
            </w:pPr>
            <w:r w:rsidRPr="00C86927">
              <w:rPr>
                <w:rFonts w:cstheme="minorHAnsi"/>
                <w:b/>
              </w:rPr>
              <w:t>Inclusion criteria</w:t>
            </w:r>
          </w:p>
        </w:tc>
        <w:tc>
          <w:tcPr>
            <w:tcW w:w="4536" w:type="dxa"/>
            <w:shd w:val="clear" w:color="auto" w:fill="95B3D7" w:themeFill="accent1" w:themeFillTint="99"/>
          </w:tcPr>
          <w:p w14:paraId="2A31CB8B" w14:textId="77777777" w:rsidR="00C86927" w:rsidRPr="00C86927" w:rsidRDefault="00C86927" w:rsidP="007B23A5">
            <w:pPr>
              <w:pStyle w:val="KeinLeerraum"/>
              <w:spacing w:line="276" w:lineRule="auto"/>
              <w:jc w:val="center"/>
              <w:rPr>
                <w:rFonts w:cstheme="minorHAnsi"/>
                <w:b/>
              </w:rPr>
            </w:pPr>
            <w:r w:rsidRPr="00C86927">
              <w:rPr>
                <w:rFonts w:cstheme="minorHAnsi"/>
                <w:b/>
              </w:rPr>
              <w:t>Exclusion criteria</w:t>
            </w:r>
          </w:p>
        </w:tc>
      </w:tr>
      <w:tr w:rsidR="00C86927" w:rsidRPr="0069243C" w14:paraId="0CAD4BFD" w14:textId="77777777" w:rsidTr="007B23A5">
        <w:tc>
          <w:tcPr>
            <w:tcW w:w="4531" w:type="dxa"/>
          </w:tcPr>
          <w:p w14:paraId="4DA2FF1D" w14:textId="77777777" w:rsidR="00C86927" w:rsidRPr="00C86927" w:rsidRDefault="00C86927" w:rsidP="00C86927">
            <w:pPr>
              <w:pStyle w:val="Listenabsatz"/>
              <w:numPr>
                <w:ilvl w:val="0"/>
                <w:numId w:val="6"/>
              </w:numPr>
              <w:rPr>
                <w:rFonts w:asciiTheme="minorHAnsi" w:hAnsiTheme="minorHAnsi" w:cstheme="minorHAnsi"/>
                <w:lang w:val="en-GB"/>
              </w:rPr>
            </w:pPr>
            <w:r w:rsidRPr="00C86927">
              <w:rPr>
                <w:rFonts w:asciiTheme="minorHAnsi" w:hAnsiTheme="minorHAnsi" w:cstheme="minorHAnsi"/>
                <w:lang w:val="en-GB"/>
              </w:rPr>
              <w:t>Epidemiological observational studies (both prospective and retrospective)</w:t>
            </w:r>
          </w:p>
          <w:p w14:paraId="0121DFF1" w14:textId="77777777" w:rsidR="00C86927" w:rsidRPr="00C86927" w:rsidRDefault="00C86927" w:rsidP="00C86927">
            <w:pPr>
              <w:pStyle w:val="Listenabsatz"/>
              <w:numPr>
                <w:ilvl w:val="0"/>
                <w:numId w:val="6"/>
              </w:numPr>
              <w:rPr>
                <w:rFonts w:asciiTheme="minorHAnsi" w:hAnsiTheme="minorHAnsi" w:cstheme="minorHAnsi"/>
                <w:lang w:val="en-GB"/>
              </w:rPr>
            </w:pPr>
            <w:r w:rsidRPr="00C86927">
              <w:rPr>
                <w:rFonts w:asciiTheme="minorHAnsi" w:hAnsiTheme="minorHAnsi" w:cstheme="minorHAnsi"/>
                <w:lang w:val="en-GB"/>
              </w:rPr>
              <w:t xml:space="preserve">Intervention studies (including randomised controlled trials, controlled clinical trials and before-and-after evaluations) </w:t>
            </w:r>
          </w:p>
          <w:p w14:paraId="0B98E351" w14:textId="77777777" w:rsidR="00C86927" w:rsidRPr="00C86927" w:rsidRDefault="00C86927" w:rsidP="00C86927">
            <w:pPr>
              <w:pStyle w:val="Listenabsatz"/>
              <w:numPr>
                <w:ilvl w:val="0"/>
                <w:numId w:val="6"/>
              </w:numPr>
              <w:rPr>
                <w:rFonts w:asciiTheme="minorHAnsi" w:hAnsiTheme="minorHAnsi" w:cstheme="minorHAnsi"/>
              </w:rPr>
            </w:pPr>
            <w:r w:rsidRPr="00C86927">
              <w:rPr>
                <w:rFonts w:asciiTheme="minorHAnsi" w:hAnsiTheme="minorHAnsi" w:cstheme="minorHAnsi"/>
              </w:rPr>
              <w:t>Cross-sectional and longitudinal studies</w:t>
            </w:r>
          </w:p>
          <w:p w14:paraId="035547D6" w14:textId="77777777" w:rsidR="00C86927" w:rsidRPr="00C86927" w:rsidRDefault="00C86927" w:rsidP="00C86927">
            <w:pPr>
              <w:pStyle w:val="Listenabsatz"/>
              <w:numPr>
                <w:ilvl w:val="0"/>
                <w:numId w:val="6"/>
              </w:numPr>
              <w:rPr>
                <w:rFonts w:asciiTheme="minorHAnsi" w:hAnsiTheme="minorHAnsi" w:cstheme="minorHAnsi"/>
              </w:rPr>
            </w:pPr>
            <w:r w:rsidRPr="00C86927">
              <w:rPr>
                <w:rFonts w:asciiTheme="minorHAnsi" w:hAnsiTheme="minorHAnsi" w:cstheme="minorHAnsi"/>
              </w:rPr>
              <w:t>Prevalence studies</w:t>
            </w:r>
          </w:p>
        </w:tc>
        <w:tc>
          <w:tcPr>
            <w:tcW w:w="4536" w:type="dxa"/>
            <w:shd w:val="clear" w:color="auto" w:fill="auto"/>
          </w:tcPr>
          <w:p w14:paraId="79B19E90" w14:textId="77777777" w:rsidR="00C86927" w:rsidRPr="00C86927" w:rsidRDefault="00C86927" w:rsidP="00C86927">
            <w:pPr>
              <w:pStyle w:val="KeinLeerraum"/>
              <w:numPr>
                <w:ilvl w:val="0"/>
                <w:numId w:val="6"/>
              </w:numPr>
              <w:spacing w:line="276" w:lineRule="auto"/>
              <w:jc w:val="left"/>
              <w:rPr>
                <w:rFonts w:cstheme="minorHAnsi"/>
              </w:rPr>
            </w:pPr>
            <w:r w:rsidRPr="00C86927">
              <w:rPr>
                <w:rFonts w:cstheme="minorHAnsi"/>
              </w:rPr>
              <w:t>Experimental and quasi-experimental studies</w:t>
            </w:r>
          </w:p>
          <w:p w14:paraId="2E1CFD41" w14:textId="77777777" w:rsidR="00C86927" w:rsidRPr="00C86927" w:rsidRDefault="00C86927" w:rsidP="00C86927">
            <w:pPr>
              <w:pStyle w:val="KeinLeerraum"/>
              <w:numPr>
                <w:ilvl w:val="0"/>
                <w:numId w:val="6"/>
              </w:numPr>
              <w:spacing w:line="276" w:lineRule="auto"/>
              <w:jc w:val="left"/>
              <w:rPr>
                <w:rFonts w:cstheme="minorHAnsi"/>
                <w:lang w:val="en-GB"/>
              </w:rPr>
            </w:pPr>
            <w:r w:rsidRPr="00C86927">
              <w:rPr>
                <w:rFonts w:cstheme="minorHAnsi"/>
                <w:lang w:val="en-GB"/>
              </w:rPr>
              <w:t>Qualitative studies (interviews, focus groups)</w:t>
            </w:r>
          </w:p>
          <w:p w14:paraId="292C6E06" w14:textId="77777777" w:rsidR="00C86927" w:rsidRPr="00C86927" w:rsidRDefault="00C86927" w:rsidP="00C86927">
            <w:pPr>
              <w:pStyle w:val="Listenabsatz"/>
              <w:numPr>
                <w:ilvl w:val="0"/>
                <w:numId w:val="6"/>
              </w:numPr>
              <w:rPr>
                <w:rFonts w:asciiTheme="minorHAnsi" w:hAnsiTheme="minorHAnsi" w:cstheme="minorHAnsi"/>
              </w:rPr>
            </w:pPr>
            <w:r w:rsidRPr="00C86927">
              <w:rPr>
                <w:rFonts w:asciiTheme="minorHAnsi" w:hAnsiTheme="minorHAnsi" w:cstheme="minorHAnsi"/>
              </w:rPr>
              <w:t xml:space="preserve">Genetic tests / genetic / blood tests </w:t>
            </w:r>
          </w:p>
          <w:p w14:paraId="288593A1" w14:textId="77777777" w:rsidR="00C86927" w:rsidRPr="00C86927" w:rsidRDefault="00C86927" w:rsidP="00C86927">
            <w:pPr>
              <w:pStyle w:val="Listenabsatz"/>
              <w:numPr>
                <w:ilvl w:val="0"/>
                <w:numId w:val="6"/>
              </w:numPr>
              <w:rPr>
                <w:rFonts w:asciiTheme="minorHAnsi" w:hAnsiTheme="minorHAnsi" w:cstheme="minorHAnsi"/>
                <w:lang w:val="en-GB"/>
              </w:rPr>
            </w:pPr>
            <w:r w:rsidRPr="00C86927">
              <w:rPr>
                <w:rFonts w:asciiTheme="minorHAnsi" w:hAnsiTheme="minorHAnsi" w:cstheme="minorHAnsi"/>
                <w:lang w:val="en-GB"/>
              </w:rPr>
              <w:t>Systematic reviews (and meta-analyses)</w:t>
            </w:r>
          </w:p>
          <w:p w14:paraId="277D4ADA" w14:textId="77777777" w:rsidR="00C86927" w:rsidRPr="00C86927" w:rsidRDefault="00C86927" w:rsidP="00C86927">
            <w:pPr>
              <w:pStyle w:val="Listenabsatz"/>
              <w:numPr>
                <w:ilvl w:val="0"/>
                <w:numId w:val="6"/>
              </w:numPr>
              <w:rPr>
                <w:rFonts w:asciiTheme="minorHAnsi" w:hAnsiTheme="minorHAnsi" w:cstheme="minorHAnsi"/>
                <w:lang w:val="en-US"/>
              </w:rPr>
            </w:pPr>
            <w:r w:rsidRPr="00C86927">
              <w:rPr>
                <w:rFonts w:asciiTheme="minorHAnsi" w:hAnsiTheme="minorHAnsi" w:cstheme="minorHAnsi"/>
                <w:lang w:val="en-AU"/>
              </w:rPr>
              <w:t>Rapid reviews, scoping reviews, narrative reviews</w:t>
            </w:r>
          </w:p>
        </w:tc>
      </w:tr>
    </w:tbl>
    <w:p w14:paraId="6F48E4A0" w14:textId="77777777" w:rsidR="00C86927" w:rsidRPr="00C86927" w:rsidRDefault="00C86927" w:rsidP="00C86927">
      <w:pPr>
        <w:rPr>
          <w:rFonts w:asciiTheme="minorHAnsi" w:hAnsiTheme="minorHAnsi" w:cstheme="minorHAnsi"/>
          <w:highlight w:val="yellow"/>
          <w:lang w:val="en-GB"/>
        </w:rPr>
      </w:pPr>
    </w:p>
    <w:p w14:paraId="5A77C569" w14:textId="77777777" w:rsidR="00C86927" w:rsidRPr="00C86927" w:rsidRDefault="00C86927" w:rsidP="00C86927">
      <w:pPr>
        <w:rPr>
          <w:rFonts w:asciiTheme="minorHAnsi" w:hAnsiTheme="minorHAnsi" w:cstheme="minorHAnsi"/>
          <w:b/>
        </w:rPr>
      </w:pPr>
      <w:r w:rsidRPr="00C86927">
        <w:rPr>
          <w:rFonts w:asciiTheme="minorHAnsi" w:hAnsiTheme="minorHAnsi" w:cstheme="minorHAnsi"/>
          <w:b/>
        </w:rPr>
        <w:t>Decision criteria "Publication form"</w:t>
      </w:r>
    </w:p>
    <w:tbl>
      <w:tblPr>
        <w:tblStyle w:val="Tabellenraster"/>
        <w:tblW w:w="9180" w:type="dxa"/>
        <w:tblLayout w:type="fixed"/>
        <w:tblLook w:val="04A0" w:firstRow="1" w:lastRow="0" w:firstColumn="1" w:lastColumn="0" w:noHBand="0" w:noVBand="1"/>
      </w:tblPr>
      <w:tblGrid>
        <w:gridCol w:w="4590"/>
        <w:gridCol w:w="4590"/>
      </w:tblGrid>
      <w:tr w:rsidR="00C86927" w:rsidRPr="00C86927" w14:paraId="2A789B1D" w14:textId="77777777" w:rsidTr="007B23A5">
        <w:tc>
          <w:tcPr>
            <w:tcW w:w="4590" w:type="dxa"/>
            <w:shd w:val="clear" w:color="auto" w:fill="95B3D7" w:themeFill="accent1" w:themeFillTint="99"/>
          </w:tcPr>
          <w:p w14:paraId="3FDD2D94" w14:textId="77777777" w:rsidR="00C86927" w:rsidRPr="00C86927" w:rsidRDefault="00C86927" w:rsidP="007B23A5">
            <w:pPr>
              <w:pStyle w:val="KeinLeerraum"/>
              <w:spacing w:line="276" w:lineRule="auto"/>
              <w:jc w:val="center"/>
              <w:rPr>
                <w:rFonts w:cstheme="minorHAnsi"/>
                <w:b/>
              </w:rPr>
            </w:pPr>
            <w:r w:rsidRPr="00C86927">
              <w:rPr>
                <w:rFonts w:cstheme="minorHAnsi"/>
                <w:b/>
              </w:rPr>
              <w:t>Inclusion criteria</w:t>
            </w:r>
          </w:p>
        </w:tc>
        <w:tc>
          <w:tcPr>
            <w:tcW w:w="4590" w:type="dxa"/>
            <w:shd w:val="clear" w:color="auto" w:fill="95B3D7" w:themeFill="accent1" w:themeFillTint="99"/>
          </w:tcPr>
          <w:p w14:paraId="232A57D7" w14:textId="77777777" w:rsidR="00C86927" w:rsidRPr="00C86927" w:rsidRDefault="00C86927" w:rsidP="007B23A5">
            <w:pPr>
              <w:pStyle w:val="KeinLeerraum"/>
              <w:spacing w:line="276" w:lineRule="auto"/>
              <w:jc w:val="center"/>
              <w:rPr>
                <w:rFonts w:cstheme="minorHAnsi"/>
                <w:b/>
              </w:rPr>
            </w:pPr>
            <w:r w:rsidRPr="00C86927">
              <w:rPr>
                <w:rFonts w:cstheme="minorHAnsi"/>
                <w:b/>
              </w:rPr>
              <w:t>Exclusion criteria</w:t>
            </w:r>
          </w:p>
        </w:tc>
      </w:tr>
      <w:tr w:rsidR="00C86927" w:rsidRPr="00C86927" w14:paraId="7D51F8D3" w14:textId="77777777" w:rsidTr="007B23A5">
        <w:tc>
          <w:tcPr>
            <w:tcW w:w="4590" w:type="dxa"/>
          </w:tcPr>
          <w:p w14:paraId="6FE3705D" w14:textId="77777777" w:rsidR="00C86927" w:rsidRPr="00C86927" w:rsidRDefault="00C86927" w:rsidP="00C86927">
            <w:pPr>
              <w:pStyle w:val="KeinLeerraum"/>
              <w:numPr>
                <w:ilvl w:val="0"/>
                <w:numId w:val="6"/>
              </w:numPr>
              <w:spacing w:line="276" w:lineRule="auto"/>
              <w:jc w:val="left"/>
              <w:rPr>
                <w:rFonts w:cstheme="minorHAnsi"/>
                <w:lang w:val="en-GB"/>
              </w:rPr>
            </w:pPr>
            <w:r w:rsidRPr="00C86927">
              <w:rPr>
                <w:rFonts w:cstheme="minorHAnsi"/>
                <w:lang w:val="en-GB"/>
              </w:rPr>
              <w:t>Studies with data collection from 01.01.2013 in English or German</w:t>
            </w:r>
          </w:p>
          <w:p w14:paraId="035A8EE8" w14:textId="77777777" w:rsidR="00C86927" w:rsidRPr="00C86927" w:rsidRDefault="00C86927" w:rsidP="00C86927">
            <w:pPr>
              <w:pStyle w:val="KeinLeerraum"/>
              <w:numPr>
                <w:ilvl w:val="0"/>
                <w:numId w:val="6"/>
              </w:numPr>
              <w:spacing w:line="276" w:lineRule="auto"/>
              <w:jc w:val="left"/>
              <w:rPr>
                <w:rFonts w:cstheme="minorHAnsi"/>
              </w:rPr>
            </w:pPr>
            <w:r w:rsidRPr="00C86927">
              <w:rPr>
                <w:rFonts w:cstheme="minorHAnsi"/>
              </w:rPr>
              <w:t>Publication form:</w:t>
            </w:r>
          </w:p>
          <w:p w14:paraId="44291C25" w14:textId="77777777" w:rsidR="00C86927" w:rsidRPr="00C86927" w:rsidRDefault="00C86927" w:rsidP="00C86927">
            <w:pPr>
              <w:pStyle w:val="KeinLeerraum"/>
              <w:numPr>
                <w:ilvl w:val="0"/>
                <w:numId w:val="4"/>
              </w:numPr>
              <w:spacing w:line="276" w:lineRule="auto"/>
              <w:ind w:left="720"/>
              <w:jc w:val="left"/>
              <w:rPr>
                <w:rFonts w:cstheme="minorHAnsi"/>
              </w:rPr>
            </w:pPr>
            <w:r w:rsidRPr="00C86927">
              <w:rPr>
                <w:rFonts w:cstheme="minorHAnsi"/>
              </w:rPr>
              <w:t>Peer review</w:t>
            </w:r>
          </w:p>
          <w:p w14:paraId="78298451" w14:textId="77777777" w:rsidR="00C86927" w:rsidRPr="00C86927" w:rsidRDefault="00C86927" w:rsidP="007B23A5">
            <w:pPr>
              <w:pStyle w:val="KeinLeerraum"/>
              <w:spacing w:line="276" w:lineRule="auto"/>
              <w:ind w:left="720"/>
              <w:jc w:val="left"/>
              <w:rPr>
                <w:rFonts w:cstheme="minorHAnsi"/>
              </w:rPr>
            </w:pPr>
          </w:p>
          <w:p w14:paraId="6BC5FF33" w14:textId="77777777" w:rsidR="00C86927" w:rsidRPr="00C86927" w:rsidRDefault="00C86927" w:rsidP="007B23A5">
            <w:pPr>
              <w:pStyle w:val="KeinLeerraum"/>
              <w:spacing w:line="276" w:lineRule="auto"/>
              <w:jc w:val="left"/>
              <w:rPr>
                <w:rFonts w:cstheme="minorHAnsi"/>
              </w:rPr>
            </w:pPr>
          </w:p>
          <w:p w14:paraId="25DC3766" w14:textId="77777777" w:rsidR="00C86927" w:rsidRPr="00C86927" w:rsidRDefault="00C86927" w:rsidP="007B23A5">
            <w:pPr>
              <w:pStyle w:val="KeinLeerraum"/>
              <w:spacing w:line="276" w:lineRule="auto"/>
              <w:ind w:left="360"/>
              <w:jc w:val="left"/>
              <w:rPr>
                <w:rFonts w:cstheme="minorHAnsi"/>
              </w:rPr>
            </w:pPr>
          </w:p>
        </w:tc>
        <w:tc>
          <w:tcPr>
            <w:tcW w:w="4590" w:type="dxa"/>
          </w:tcPr>
          <w:p w14:paraId="0C45FEE0" w14:textId="77777777" w:rsidR="00C86927" w:rsidRPr="00C86927" w:rsidRDefault="00C86927" w:rsidP="00C86927">
            <w:pPr>
              <w:pStyle w:val="KeinLeerraum"/>
              <w:numPr>
                <w:ilvl w:val="0"/>
                <w:numId w:val="3"/>
              </w:numPr>
              <w:spacing w:line="276" w:lineRule="auto"/>
              <w:jc w:val="left"/>
              <w:rPr>
                <w:rFonts w:cstheme="minorHAnsi"/>
              </w:rPr>
            </w:pPr>
            <w:r w:rsidRPr="00C86927">
              <w:rPr>
                <w:rFonts w:cstheme="minorHAnsi"/>
              </w:rPr>
              <w:t>Preprints</w:t>
            </w:r>
          </w:p>
          <w:p w14:paraId="744FA167" w14:textId="77777777" w:rsidR="00C86927" w:rsidRPr="00C86927" w:rsidRDefault="00C86927" w:rsidP="00C86927">
            <w:pPr>
              <w:pStyle w:val="KeinLeerraum"/>
              <w:numPr>
                <w:ilvl w:val="0"/>
                <w:numId w:val="3"/>
              </w:numPr>
              <w:spacing w:line="276" w:lineRule="auto"/>
              <w:jc w:val="left"/>
              <w:rPr>
                <w:rFonts w:cstheme="minorHAnsi"/>
              </w:rPr>
            </w:pPr>
            <w:r w:rsidRPr="00C86927">
              <w:rPr>
                <w:rFonts w:cstheme="minorHAnsi"/>
              </w:rPr>
              <w:t>Books, book chapters, book reviews</w:t>
            </w:r>
          </w:p>
          <w:p w14:paraId="2DEFD7F1" w14:textId="77777777" w:rsidR="00C86927" w:rsidRPr="00C86927" w:rsidRDefault="00C86927" w:rsidP="00C86927">
            <w:pPr>
              <w:pStyle w:val="KeinLeerraum"/>
              <w:numPr>
                <w:ilvl w:val="0"/>
                <w:numId w:val="3"/>
              </w:numPr>
              <w:spacing w:line="276" w:lineRule="auto"/>
              <w:jc w:val="left"/>
              <w:rPr>
                <w:rFonts w:cstheme="minorHAnsi"/>
                <w:lang w:val="en-GB"/>
              </w:rPr>
            </w:pPr>
            <w:r w:rsidRPr="00C86927">
              <w:rPr>
                <w:rFonts w:cstheme="minorHAnsi"/>
                <w:lang w:val="en-GB"/>
              </w:rPr>
              <w:t>Editorial, commentary, expert opinion, corrections, letters to the editor, statements</w:t>
            </w:r>
          </w:p>
          <w:p w14:paraId="653C0533" w14:textId="77777777" w:rsidR="00C86927" w:rsidRPr="00C86927" w:rsidRDefault="00C86927" w:rsidP="00C86927">
            <w:pPr>
              <w:pStyle w:val="KeinLeerraum"/>
              <w:numPr>
                <w:ilvl w:val="0"/>
                <w:numId w:val="3"/>
              </w:numPr>
              <w:spacing w:line="276" w:lineRule="auto"/>
              <w:jc w:val="left"/>
              <w:rPr>
                <w:rFonts w:cstheme="minorHAnsi"/>
                <w:lang w:val="en-GB"/>
              </w:rPr>
            </w:pPr>
            <w:r w:rsidRPr="00C86927">
              <w:rPr>
                <w:rFonts w:cstheme="minorHAnsi"/>
                <w:lang w:val="en-GB"/>
              </w:rPr>
              <w:t>Study protocols, guidelines, treatment protocols etc.</w:t>
            </w:r>
          </w:p>
          <w:p w14:paraId="4AA06EC3" w14:textId="77777777" w:rsidR="00C86927" w:rsidRPr="00C86927" w:rsidRDefault="00C86927" w:rsidP="00C86927">
            <w:pPr>
              <w:pStyle w:val="KeinLeerraum"/>
              <w:numPr>
                <w:ilvl w:val="0"/>
                <w:numId w:val="3"/>
              </w:numPr>
              <w:spacing w:line="276" w:lineRule="auto"/>
              <w:jc w:val="left"/>
              <w:rPr>
                <w:rFonts w:cstheme="minorHAnsi"/>
              </w:rPr>
            </w:pPr>
            <w:r w:rsidRPr="00C86927">
              <w:rPr>
                <w:rFonts w:cstheme="minorHAnsi"/>
              </w:rPr>
              <w:t>Introduction, Forewords</w:t>
            </w:r>
          </w:p>
          <w:p w14:paraId="07C604A3" w14:textId="77777777" w:rsidR="00C86927" w:rsidRPr="00C86927" w:rsidRDefault="00C86927" w:rsidP="00C86927">
            <w:pPr>
              <w:pStyle w:val="KeinLeerraum"/>
              <w:numPr>
                <w:ilvl w:val="0"/>
                <w:numId w:val="3"/>
              </w:numPr>
              <w:spacing w:line="276" w:lineRule="auto"/>
              <w:jc w:val="left"/>
              <w:rPr>
                <w:rFonts w:cstheme="minorHAnsi"/>
              </w:rPr>
            </w:pPr>
            <w:r w:rsidRPr="00C86927">
              <w:rPr>
                <w:rFonts w:cstheme="minorHAnsi"/>
              </w:rPr>
              <w:t>Popular science media</w:t>
            </w:r>
          </w:p>
          <w:p w14:paraId="52AC93DE" w14:textId="77777777" w:rsidR="00C86927" w:rsidRPr="00C86927" w:rsidRDefault="00C86927" w:rsidP="00C86927">
            <w:pPr>
              <w:pStyle w:val="KeinLeerraum"/>
              <w:keepNext/>
              <w:numPr>
                <w:ilvl w:val="0"/>
                <w:numId w:val="3"/>
              </w:numPr>
              <w:spacing w:line="276" w:lineRule="auto"/>
              <w:jc w:val="left"/>
              <w:rPr>
                <w:rFonts w:cstheme="minorHAnsi"/>
              </w:rPr>
            </w:pPr>
            <w:r w:rsidRPr="00C86927">
              <w:rPr>
                <w:rFonts w:cstheme="minorHAnsi"/>
              </w:rPr>
              <w:t xml:space="preserve">Only abstract available </w:t>
            </w:r>
          </w:p>
          <w:p w14:paraId="41B17D65" w14:textId="77777777" w:rsidR="00C86927" w:rsidRPr="00C86927" w:rsidRDefault="00C86927" w:rsidP="007B23A5">
            <w:pPr>
              <w:pStyle w:val="KeinLeerraum"/>
              <w:keepNext/>
              <w:spacing w:line="276" w:lineRule="auto"/>
              <w:ind w:left="360"/>
              <w:jc w:val="left"/>
              <w:rPr>
                <w:rFonts w:cstheme="minorHAnsi"/>
              </w:rPr>
            </w:pPr>
            <w:r w:rsidRPr="00C86927">
              <w:rPr>
                <w:rFonts w:cstheme="minorHAnsi"/>
              </w:rPr>
              <w:t>e.g. workshops/ conference contributions</w:t>
            </w:r>
          </w:p>
          <w:p w14:paraId="51246C0C" w14:textId="77777777" w:rsidR="00C86927" w:rsidRPr="00C86927" w:rsidRDefault="00C86927" w:rsidP="00C86927">
            <w:pPr>
              <w:pStyle w:val="KeinLeerraum"/>
              <w:keepNext/>
              <w:numPr>
                <w:ilvl w:val="0"/>
                <w:numId w:val="3"/>
              </w:numPr>
              <w:spacing w:line="276" w:lineRule="auto"/>
              <w:jc w:val="left"/>
              <w:rPr>
                <w:rFonts w:cstheme="minorHAnsi"/>
              </w:rPr>
            </w:pPr>
            <w:r w:rsidRPr="00C86927">
              <w:rPr>
                <w:rFonts w:cstheme="minorHAnsi"/>
              </w:rPr>
              <w:t>Dissertations</w:t>
            </w:r>
          </w:p>
        </w:tc>
      </w:tr>
    </w:tbl>
    <w:p w14:paraId="4CC3A924" w14:textId="77777777" w:rsidR="00C86927" w:rsidRDefault="00C86927" w:rsidP="00C86927">
      <w:pPr>
        <w:rPr>
          <w:lang w:val="en-GB"/>
        </w:rPr>
      </w:pPr>
    </w:p>
    <w:p w14:paraId="093CB8E7" w14:textId="77777777" w:rsidR="00C86927" w:rsidRDefault="00C86927">
      <w:pPr>
        <w:rPr>
          <w:lang w:val="en-GB"/>
        </w:rPr>
      </w:pPr>
      <w:r>
        <w:rPr>
          <w:lang w:val="en-GB"/>
        </w:rPr>
        <w:br w:type="page"/>
      </w:r>
    </w:p>
    <w:p w14:paraId="798E1BD4" w14:textId="480ADC96" w:rsidR="00C86927" w:rsidRPr="00C86927" w:rsidRDefault="00C86927" w:rsidP="00C86927">
      <w:pPr>
        <w:rPr>
          <w:rFonts w:asciiTheme="minorHAnsi" w:hAnsiTheme="minorHAnsi" w:cstheme="minorHAnsi"/>
          <w:b/>
          <w:lang w:val="en-GB"/>
        </w:rPr>
      </w:pPr>
      <w:r w:rsidRPr="00C86927">
        <w:rPr>
          <w:rFonts w:asciiTheme="minorHAnsi" w:hAnsiTheme="minorHAnsi" w:cstheme="minorHAnsi"/>
          <w:b/>
          <w:lang w:val="en-GB"/>
        </w:rPr>
        <w:lastRenderedPageBreak/>
        <w:t xml:space="preserve">SC </w:t>
      </w:r>
      <w:r w:rsidR="004A2FCA">
        <w:rPr>
          <w:rFonts w:asciiTheme="minorHAnsi" w:hAnsiTheme="minorHAnsi" w:cstheme="minorHAnsi"/>
          <w:b/>
          <w:lang w:val="en-GB"/>
        </w:rPr>
        <w:t>3</w:t>
      </w:r>
    </w:p>
    <w:p w14:paraId="5BCE90C5" w14:textId="77777777" w:rsidR="00C86927" w:rsidRPr="00C86927" w:rsidRDefault="00C86927" w:rsidP="00C86927">
      <w:pPr>
        <w:rPr>
          <w:rFonts w:asciiTheme="minorHAnsi" w:hAnsiTheme="minorHAnsi" w:cstheme="minorHAnsi"/>
          <w:b/>
          <w:lang w:val="en-GB"/>
        </w:rPr>
      </w:pPr>
      <w:r w:rsidRPr="00C86927">
        <w:rPr>
          <w:rFonts w:asciiTheme="minorHAnsi" w:hAnsiTheme="minorHAnsi" w:cstheme="minorHAnsi"/>
          <w:b/>
          <w:bCs/>
          <w:lang w:val="en-GB"/>
        </w:rPr>
        <w:t>Guidelines with decision criteria for fulltext screening</w:t>
      </w:r>
    </w:p>
    <w:p w14:paraId="1E94C00B" w14:textId="77777777" w:rsidR="00C86927" w:rsidRPr="00C86927" w:rsidRDefault="00C86927" w:rsidP="00C86927">
      <w:pPr>
        <w:rPr>
          <w:rFonts w:asciiTheme="minorHAnsi" w:hAnsiTheme="minorHAnsi" w:cstheme="minorHAnsi"/>
          <w:b/>
          <w:lang w:val="en-GB"/>
        </w:rPr>
      </w:pPr>
    </w:p>
    <w:p w14:paraId="4B981DBE" w14:textId="77777777" w:rsidR="00C86927" w:rsidRPr="00C86927" w:rsidRDefault="00C86927" w:rsidP="00C86927">
      <w:pPr>
        <w:jc w:val="center"/>
        <w:rPr>
          <w:rFonts w:asciiTheme="minorHAnsi" w:hAnsiTheme="minorHAnsi" w:cstheme="minorHAnsi"/>
          <w:b/>
          <w:sz w:val="24"/>
          <w:szCs w:val="24"/>
          <w:lang w:val="en-GB"/>
        </w:rPr>
      </w:pPr>
      <w:r w:rsidRPr="00C86927">
        <w:rPr>
          <w:rFonts w:asciiTheme="minorHAnsi" w:hAnsiTheme="minorHAnsi" w:cstheme="minorHAnsi"/>
          <w:b/>
          <w:sz w:val="24"/>
          <w:szCs w:val="24"/>
          <w:lang w:val="en-GB"/>
        </w:rPr>
        <w:t>Guidelines with decision criteria for full text review</w:t>
      </w:r>
    </w:p>
    <w:p w14:paraId="25B9E142" w14:textId="77777777" w:rsidR="00C86927" w:rsidRPr="00C86927" w:rsidRDefault="00C86927" w:rsidP="00C86927">
      <w:pPr>
        <w:pBdr>
          <w:bottom w:val="single" w:sz="12" w:space="1" w:color="auto"/>
        </w:pBdr>
        <w:jc w:val="center"/>
        <w:rPr>
          <w:rFonts w:asciiTheme="minorHAnsi" w:hAnsiTheme="minorHAnsi" w:cstheme="minorHAnsi"/>
          <w:sz w:val="24"/>
          <w:szCs w:val="24"/>
          <w:lang w:val="en-GB"/>
        </w:rPr>
      </w:pPr>
      <w:r w:rsidRPr="00C86927">
        <w:rPr>
          <w:rFonts w:asciiTheme="minorHAnsi" w:hAnsiTheme="minorHAnsi" w:cstheme="minorHAnsi"/>
          <w:sz w:val="24"/>
          <w:szCs w:val="24"/>
          <w:lang w:val="en-GB"/>
        </w:rPr>
        <w:t>"Prevalence and incidence of cognitive impairment following acute respiratory distress syndrome of any cause. A systematic review and meta-analysis"</w:t>
      </w:r>
    </w:p>
    <w:p w14:paraId="670375A5" w14:textId="77777777" w:rsidR="00C86927" w:rsidRDefault="00C86927" w:rsidP="00C86927">
      <w:pPr>
        <w:rPr>
          <w:rFonts w:asciiTheme="minorHAnsi" w:hAnsiTheme="minorHAnsi" w:cstheme="minorHAnsi"/>
          <w:b/>
          <w:sz w:val="24"/>
          <w:szCs w:val="24"/>
          <w:lang w:val="en-GB"/>
        </w:rPr>
      </w:pPr>
    </w:p>
    <w:p w14:paraId="0AC51E86" w14:textId="77777777" w:rsidR="00C86927" w:rsidRPr="00A03DA7" w:rsidRDefault="00C86927" w:rsidP="00C86927">
      <w:pPr>
        <w:rPr>
          <w:rFonts w:asciiTheme="minorHAnsi" w:hAnsiTheme="minorHAnsi" w:cstheme="minorHAnsi"/>
          <w:b/>
          <w:sz w:val="24"/>
          <w:szCs w:val="24"/>
          <w:lang w:val="en-GB"/>
        </w:rPr>
      </w:pPr>
      <w:r w:rsidRPr="00A03DA7">
        <w:rPr>
          <w:rFonts w:asciiTheme="minorHAnsi" w:hAnsiTheme="minorHAnsi" w:cstheme="minorHAnsi"/>
          <w:b/>
          <w:sz w:val="24"/>
          <w:szCs w:val="24"/>
          <w:lang w:val="en-GB"/>
        </w:rPr>
        <w:t>General note for full text:</w:t>
      </w:r>
    </w:p>
    <w:p w14:paraId="4730BD84" w14:textId="77777777" w:rsidR="00C86927" w:rsidRPr="00A03DA7" w:rsidRDefault="00C86927" w:rsidP="00C86927">
      <w:pPr>
        <w:numPr>
          <w:ilvl w:val="0"/>
          <w:numId w:val="11"/>
        </w:numPr>
        <w:spacing w:after="200" w:line="276" w:lineRule="auto"/>
        <w:rPr>
          <w:rFonts w:asciiTheme="minorHAnsi" w:hAnsiTheme="minorHAnsi" w:cstheme="minorHAnsi"/>
          <w:b/>
          <w:sz w:val="24"/>
          <w:szCs w:val="24"/>
          <w:lang w:val="en-GB"/>
        </w:rPr>
      </w:pPr>
      <w:r w:rsidRPr="00A03DA7">
        <w:rPr>
          <w:rFonts w:asciiTheme="minorHAnsi" w:hAnsiTheme="minorHAnsi" w:cstheme="minorHAnsi"/>
          <w:sz w:val="24"/>
          <w:szCs w:val="24"/>
          <w:lang w:val="en-GB"/>
        </w:rPr>
        <w:t xml:space="preserve">If a full text is excluded, the </w:t>
      </w:r>
      <w:r w:rsidRPr="00A03DA7">
        <w:rPr>
          <w:rFonts w:asciiTheme="minorHAnsi" w:hAnsiTheme="minorHAnsi" w:cstheme="minorHAnsi"/>
          <w:b/>
          <w:sz w:val="24"/>
          <w:szCs w:val="24"/>
          <w:u w:val="single"/>
          <w:lang w:val="en-GB"/>
        </w:rPr>
        <w:t xml:space="preserve">reason for the exclusion </w:t>
      </w:r>
      <w:r w:rsidRPr="00A03DA7">
        <w:rPr>
          <w:rFonts w:asciiTheme="minorHAnsi" w:hAnsiTheme="minorHAnsi" w:cstheme="minorHAnsi"/>
          <w:sz w:val="24"/>
          <w:szCs w:val="24"/>
          <w:lang w:val="en-GB"/>
        </w:rPr>
        <w:t xml:space="preserve">must be noted. </w:t>
      </w:r>
    </w:p>
    <w:p w14:paraId="33E34BB1" w14:textId="77777777" w:rsidR="00C86927" w:rsidRPr="00A03DA7" w:rsidRDefault="00C86927" w:rsidP="00C86927">
      <w:pPr>
        <w:numPr>
          <w:ilvl w:val="0"/>
          <w:numId w:val="11"/>
        </w:numPr>
        <w:spacing w:after="200" w:line="276" w:lineRule="auto"/>
        <w:rPr>
          <w:rFonts w:asciiTheme="minorHAnsi" w:hAnsiTheme="minorHAnsi" w:cstheme="minorHAnsi"/>
          <w:sz w:val="24"/>
          <w:szCs w:val="24"/>
          <w:lang w:val="en-GB"/>
        </w:rPr>
      </w:pPr>
      <w:r w:rsidRPr="00A03DA7">
        <w:rPr>
          <w:rFonts w:asciiTheme="minorHAnsi" w:hAnsiTheme="minorHAnsi" w:cstheme="minorHAnsi"/>
          <w:sz w:val="24"/>
          <w:szCs w:val="24"/>
          <w:lang w:val="en-GB"/>
        </w:rPr>
        <w:t xml:space="preserve">If a full text appears to be relevant, even if a decision criterion does not apply, the study should then be included in the </w:t>
      </w:r>
      <w:r w:rsidRPr="00A03DA7">
        <w:rPr>
          <w:rFonts w:asciiTheme="minorHAnsi" w:hAnsiTheme="minorHAnsi" w:cstheme="minorHAnsi"/>
          <w:b/>
          <w:sz w:val="24"/>
          <w:szCs w:val="24"/>
          <w:u w:val="single"/>
          <w:lang w:val="en-GB"/>
        </w:rPr>
        <w:t xml:space="preserve">decision uncertain </w:t>
      </w:r>
      <w:r w:rsidRPr="00A03DA7">
        <w:rPr>
          <w:rFonts w:asciiTheme="minorHAnsi" w:hAnsiTheme="minorHAnsi" w:cstheme="minorHAnsi"/>
          <w:sz w:val="24"/>
          <w:szCs w:val="24"/>
          <w:lang w:val="en-GB"/>
        </w:rPr>
        <w:t>category and subsequently discussed in the group.</w:t>
      </w:r>
    </w:p>
    <w:p w14:paraId="31DB9DDE" w14:textId="77777777" w:rsidR="00C86927" w:rsidRPr="00A03DA7" w:rsidRDefault="00C86927" w:rsidP="00C86927">
      <w:pPr>
        <w:numPr>
          <w:ilvl w:val="0"/>
          <w:numId w:val="11"/>
        </w:numPr>
        <w:spacing w:after="200" w:line="276" w:lineRule="auto"/>
        <w:rPr>
          <w:rFonts w:asciiTheme="minorHAnsi" w:hAnsiTheme="minorHAnsi" w:cstheme="minorHAnsi"/>
          <w:b/>
          <w:sz w:val="24"/>
          <w:szCs w:val="24"/>
          <w:lang w:val="en-GB"/>
        </w:rPr>
      </w:pPr>
      <w:r w:rsidRPr="00A03DA7">
        <w:rPr>
          <w:rFonts w:asciiTheme="minorHAnsi" w:hAnsiTheme="minorHAnsi" w:cstheme="minorHAnsi"/>
          <w:sz w:val="24"/>
          <w:szCs w:val="24"/>
          <w:lang w:val="en-GB"/>
        </w:rPr>
        <w:t xml:space="preserve">The following </w:t>
      </w:r>
      <w:r w:rsidRPr="00A03DA7">
        <w:rPr>
          <w:rFonts w:asciiTheme="minorHAnsi" w:hAnsiTheme="minorHAnsi" w:cstheme="minorHAnsi"/>
          <w:b/>
          <w:sz w:val="24"/>
          <w:szCs w:val="24"/>
          <w:lang w:val="en-GB"/>
        </w:rPr>
        <w:t xml:space="preserve">thematic prioritisation </w:t>
      </w:r>
      <w:r w:rsidRPr="00A03DA7">
        <w:rPr>
          <w:rFonts w:asciiTheme="minorHAnsi" w:hAnsiTheme="minorHAnsi" w:cstheme="minorHAnsi"/>
          <w:sz w:val="24"/>
          <w:szCs w:val="24"/>
          <w:lang w:val="en-GB"/>
        </w:rPr>
        <w:t>should be applied when selecting the reason for exclusion:</w:t>
      </w:r>
    </w:p>
    <w:tbl>
      <w:tblPr>
        <w:tblW w:w="7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5245"/>
      </w:tblGrid>
      <w:tr w:rsidR="00C86927" w:rsidRPr="00A03DA7" w14:paraId="066623DC" w14:textId="77777777" w:rsidTr="007B23A5">
        <w:trPr>
          <w:trHeight w:val="145"/>
        </w:trPr>
        <w:tc>
          <w:tcPr>
            <w:tcW w:w="1980" w:type="dxa"/>
            <w:shd w:val="clear" w:color="auto" w:fill="95B3D7" w:themeFill="accent1" w:themeFillTint="99"/>
          </w:tcPr>
          <w:p w14:paraId="51441BF3" w14:textId="77777777" w:rsidR="00C86927" w:rsidRPr="00A03DA7" w:rsidRDefault="00C86927" w:rsidP="007B23A5">
            <w:pPr>
              <w:rPr>
                <w:rFonts w:asciiTheme="minorHAnsi" w:hAnsiTheme="minorHAnsi" w:cstheme="minorHAnsi"/>
                <w:b/>
                <w:sz w:val="24"/>
                <w:szCs w:val="24"/>
              </w:rPr>
            </w:pPr>
            <w:r w:rsidRPr="00A03DA7">
              <w:rPr>
                <w:rFonts w:asciiTheme="minorHAnsi" w:hAnsiTheme="minorHAnsi" w:cstheme="minorHAnsi"/>
                <w:b/>
                <w:sz w:val="24"/>
                <w:szCs w:val="24"/>
              </w:rPr>
              <w:t>Hierarchy level</w:t>
            </w:r>
          </w:p>
        </w:tc>
        <w:tc>
          <w:tcPr>
            <w:tcW w:w="5245" w:type="dxa"/>
            <w:shd w:val="clear" w:color="auto" w:fill="95B3D7" w:themeFill="accent1" w:themeFillTint="99"/>
          </w:tcPr>
          <w:p w14:paraId="3CF10C00" w14:textId="77777777" w:rsidR="00C86927" w:rsidRPr="00A03DA7" w:rsidRDefault="00C86927" w:rsidP="007B23A5">
            <w:pPr>
              <w:rPr>
                <w:rFonts w:asciiTheme="minorHAnsi" w:hAnsiTheme="minorHAnsi" w:cstheme="minorHAnsi"/>
                <w:b/>
                <w:sz w:val="24"/>
                <w:szCs w:val="24"/>
              </w:rPr>
            </w:pPr>
            <w:r w:rsidRPr="00A03DA7">
              <w:rPr>
                <w:rFonts w:asciiTheme="minorHAnsi" w:hAnsiTheme="minorHAnsi" w:cstheme="minorHAnsi"/>
                <w:b/>
                <w:sz w:val="24"/>
                <w:szCs w:val="24"/>
              </w:rPr>
              <w:t>Reason for exclusion</w:t>
            </w:r>
          </w:p>
        </w:tc>
      </w:tr>
      <w:tr w:rsidR="00C86927" w:rsidRPr="00A03DA7" w14:paraId="2CE61023" w14:textId="77777777" w:rsidTr="007B23A5">
        <w:trPr>
          <w:trHeight w:val="70"/>
        </w:trPr>
        <w:tc>
          <w:tcPr>
            <w:tcW w:w="1980" w:type="dxa"/>
          </w:tcPr>
          <w:p w14:paraId="177A69D1"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0</w:t>
            </w:r>
          </w:p>
        </w:tc>
        <w:tc>
          <w:tcPr>
            <w:tcW w:w="5245" w:type="dxa"/>
            <w:shd w:val="clear" w:color="auto" w:fill="auto"/>
            <w:vAlign w:val="bottom"/>
          </w:tcPr>
          <w:p w14:paraId="4E3A47EC"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Publication form not applicable</w:t>
            </w:r>
          </w:p>
        </w:tc>
      </w:tr>
      <w:tr w:rsidR="00C86927" w:rsidRPr="00A03DA7" w14:paraId="40CBD52C" w14:textId="77777777" w:rsidTr="007B23A5">
        <w:trPr>
          <w:trHeight w:val="70"/>
        </w:trPr>
        <w:tc>
          <w:tcPr>
            <w:tcW w:w="1980" w:type="dxa"/>
          </w:tcPr>
          <w:p w14:paraId="1105DBAB"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1</w:t>
            </w:r>
          </w:p>
        </w:tc>
        <w:tc>
          <w:tcPr>
            <w:tcW w:w="5245" w:type="dxa"/>
            <w:shd w:val="clear" w:color="auto" w:fill="auto"/>
            <w:vAlign w:val="bottom"/>
          </w:tcPr>
          <w:p w14:paraId="28C8F781"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Study design</w:t>
            </w:r>
          </w:p>
        </w:tc>
      </w:tr>
      <w:tr w:rsidR="00C86927" w:rsidRPr="0069243C" w14:paraId="706B948E" w14:textId="77777777" w:rsidTr="007B23A5">
        <w:trPr>
          <w:trHeight w:val="70"/>
        </w:trPr>
        <w:tc>
          <w:tcPr>
            <w:tcW w:w="1980" w:type="dxa"/>
          </w:tcPr>
          <w:p w14:paraId="66BDD37F"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2</w:t>
            </w:r>
          </w:p>
        </w:tc>
        <w:tc>
          <w:tcPr>
            <w:tcW w:w="5245" w:type="dxa"/>
            <w:shd w:val="clear" w:color="auto" w:fill="auto"/>
            <w:vAlign w:val="bottom"/>
          </w:tcPr>
          <w:p w14:paraId="1B67992A" w14:textId="77777777" w:rsidR="00C86927" w:rsidRPr="00A03DA7" w:rsidRDefault="00C86927" w:rsidP="007B23A5">
            <w:pPr>
              <w:rPr>
                <w:rFonts w:asciiTheme="minorHAnsi" w:hAnsiTheme="minorHAnsi" w:cstheme="minorHAnsi"/>
                <w:sz w:val="24"/>
                <w:szCs w:val="24"/>
                <w:lang w:val="en-GB"/>
              </w:rPr>
            </w:pPr>
            <w:r w:rsidRPr="00A03DA7">
              <w:rPr>
                <w:rFonts w:asciiTheme="minorHAnsi" w:hAnsiTheme="minorHAnsi" w:cstheme="minorHAnsi"/>
                <w:sz w:val="24"/>
                <w:szCs w:val="24"/>
                <w:lang w:val="en-GB"/>
              </w:rPr>
              <w:t>Exposure not applicable (or ARDS not clearly described)</w:t>
            </w:r>
          </w:p>
        </w:tc>
      </w:tr>
      <w:tr w:rsidR="00C86927" w:rsidRPr="00A03DA7" w14:paraId="4BF0505F" w14:textId="77777777" w:rsidTr="007B23A5">
        <w:trPr>
          <w:trHeight w:val="145"/>
        </w:trPr>
        <w:tc>
          <w:tcPr>
            <w:tcW w:w="1980" w:type="dxa"/>
          </w:tcPr>
          <w:p w14:paraId="6A2F038B"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3</w:t>
            </w:r>
          </w:p>
        </w:tc>
        <w:tc>
          <w:tcPr>
            <w:tcW w:w="5245" w:type="dxa"/>
            <w:shd w:val="clear" w:color="auto" w:fill="auto"/>
            <w:vAlign w:val="bottom"/>
          </w:tcPr>
          <w:p w14:paraId="28A7E45B" w14:textId="77777777" w:rsidR="00C86927" w:rsidRPr="00A03DA7" w:rsidRDefault="00C86927" w:rsidP="007B23A5">
            <w:pPr>
              <w:rPr>
                <w:rFonts w:asciiTheme="minorHAnsi" w:hAnsiTheme="minorHAnsi" w:cstheme="minorHAnsi"/>
                <w:sz w:val="24"/>
                <w:szCs w:val="24"/>
              </w:rPr>
            </w:pPr>
            <w:bookmarkStart w:id="0" w:name="RANGE!A1:A7"/>
            <w:r w:rsidRPr="00A03DA7">
              <w:rPr>
                <w:rFonts w:asciiTheme="minorHAnsi" w:hAnsiTheme="minorHAnsi" w:cstheme="minorHAnsi"/>
                <w:sz w:val="24"/>
                <w:szCs w:val="24"/>
              </w:rPr>
              <w:t>Population not applicable</w:t>
            </w:r>
            <w:bookmarkEnd w:id="0"/>
          </w:p>
        </w:tc>
      </w:tr>
      <w:tr w:rsidR="00C86927" w:rsidRPr="00A03DA7" w14:paraId="6F8E4EAC" w14:textId="77777777" w:rsidTr="007B23A5">
        <w:trPr>
          <w:trHeight w:val="195"/>
        </w:trPr>
        <w:tc>
          <w:tcPr>
            <w:tcW w:w="1980" w:type="dxa"/>
          </w:tcPr>
          <w:p w14:paraId="5D483A21"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4</w:t>
            </w:r>
          </w:p>
        </w:tc>
        <w:tc>
          <w:tcPr>
            <w:tcW w:w="5245" w:type="dxa"/>
            <w:shd w:val="clear" w:color="auto" w:fill="auto"/>
            <w:vAlign w:val="bottom"/>
          </w:tcPr>
          <w:p w14:paraId="36EAFA3A"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Outcome not applicable</w:t>
            </w:r>
          </w:p>
        </w:tc>
      </w:tr>
      <w:tr w:rsidR="00C86927" w:rsidRPr="0069243C" w14:paraId="49F28DA0" w14:textId="77777777" w:rsidTr="007B23A5">
        <w:trPr>
          <w:trHeight w:val="195"/>
        </w:trPr>
        <w:tc>
          <w:tcPr>
            <w:tcW w:w="1980" w:type="dxa"/>
          </w:tcPr>
          <w:p w14:paraId="416D00E3" w14:textId="77777777" w:rsidR="00C86927" w:rsidRPr="00A03DA7" w:rsidRDefault="00C86927" w:rsidP="007B23A5">
            <w:pPr>
              <w:rPr>
                <w:rFonts w:asciiTheme="minorHAnsi" w:hAnsiTheme="minorHAnsi" w:cstheme="minorHAnsi"/>
                <w:sz w:val="24"/>
                <w:szCs w:val="24"/>
              </w:rPr>
            </w:pPr>
            <w:r w:rsidRPr="00A03DA7">
              <w:rPr>
                <w:rFonts w:asciiTheme="minorHAnsi" w:hAnsiTheme="minorHAnsi" w:cstheme="minorHAnsi"/>
                <w:sz w:val="24"/>
                <w:szCs w:val="24"/>
              </w:rPr>
              <w:t>5</w:t>
            </w:r>
          </w:p>
        </w:tc>
        <w:tc>
          <w:tcPr>
            <w:tcW w:w="5245" w:type="dxa"/>
            <w:shd w:val="clear" w:color="auto" w:fill="auto"/>
            <w:vAlign w:val="bottom"/>
          </w:tcPr>
          <w:p w14:paraId="0DC7ED98" w14:textId="77777777" w:rsidR="00C86927" w:rsidRPr="00A03DA7" w:rsidRDefault="00C86927" w:rsidP="007B23A5">
            <w:pPr>
              <w:rPr>
                <w:rFonts w:asciiTheme="minorHAnsi" w:hAnsiTheme="minorHAnsi" w:cstheme="minorHAnsi"/>
                <w:sz w:val="24"/>
                <w:szCs w:val="24"/>
                <w:lang w:val="en-GB"/>
              </w:rPr>
            </w:pPr>
            <w:r w:rsidRPr="00A03DA7">
              <w:rPr>
                <w:rFonts w:asciiTheme="minorHAnsi" w:hAnsiTheme="minorHAnsi" w:cstheme="minorHAnsi"/>
                <w:sz w:val="24"/>
                <w:szCs w:val="24"/>
                <w:lang w:val="en-GB"/>
              </w:rPr>
              <w:t>Other (e.g. data collection before 2013 or not in English ch or German)</w:t>
            </w:r>
          </w:p>
        </w:tc>
      </w:tr>
    </w:tbl>
    <w:p w14:paraId="79300FCF" w14:textId="77777777" w:rsidR="00C86927" w:rsidRPr="00C86927" w:rsidRDefault="00C86927" w:rsidP="00C86927">
      <w:pPr>
        <w:rPr>
          <w:rFonts w:asciiTheme="minorHAnsi" w:hAnsiTheme="minorHAnsi" w:cstheme="minorHAnsi"/>
          <w:sz w:val="24"/>
          <w:szCs w:val="24"/>
          <w:lang w:val="en-GB"/>
        </w:rPr>
      </w:pPr>
    </w:p>
    <w:p w14:paraId="43DB6C7D" w14:textId="77777777" w:rsidR="00C86927" w:rsidRPr="00A03DA7" w:rsidRDefault="00C86927" w:rsidP="00C86927">
      <w:pPr>
        <w:rPr>
          <w:rFonts w:asciiTheme="minorHAnsi" w:hAnsiTheme="minorHAnsi" w:cstheme="minorHAnsi"/>
          <w:sz w:val="24"/>
          <w:szCs w:val="24"/>
          <w:lang w:val="en-GB"/>
        </w:rPr>
      </w:pPr>
      <w:r w:rsidRPr="00A03DA7">
        <w:rPr>
          <w:rFonts w:asciiTheme="minorHAnsi" w:hAnsiTheme="minorHAnsi" w:cstheme="minorHAnsi"/>
          <w:sz w:val="24"/>
          <w:szCs w:val="24"/>
        </w:rPr>
        <w:sym w:font="Wingdings" w:char="F0E0"/>
      </w:r>
      <w:r w:rsidRPr="00A03DA7">
        <w:rPr>
          <w:rFonts w:asciiTheme="minorHAnsi" w:hAnsiTheme="minorHAnsi" w:cstheme="minorHAnsi"/>
          <w:sz w:val="24"/>
          <w:szCs w:val="24"/>
          <w:lang w:val="en-GB"/>
        </w:rPr>
        <w:t xml:space="preserve"> If a full text is available in English or German, but the study design or publication form does not apply (e.g. it is an editorial, commentary, case report, interviews, etc.), "</w:t>
      </w:r>
      <w:r w:rsidRPr="00A03DA7">
        <w:rPr>
          <w:rFonts w:asciiTheme="minorHAnsi" w:hAnsiTheme="minorHAnsi" w:cstheme="minorHAnsi"/>
          <w:b/>
          <w:sz w:val="24"/>
          <w:szCs w:val="24"/>
          <w:lang w:val="en-GB"/>
        </w:rPr>
        <w:t>Study design/publication form not applicable</w:t>
      </w:r>
      <w:r w:rsidRPr="00A03DA7">
        <w:rPr>
          <w:rFonts w:asciiTheme="minorHAnsi" w:hAnsiTheme="minorHAnsi" w:cstheme="minorHAnsi"/>
          <w:sz w:val="24"/>
          <w:szCs w:val="24"/>
          <w:lang w:val="en-GB"/>
        </w:rPr>
        <w:t>" is given as the reason for exclusion.</w:t>
      </w:r>
    </w:p>
    <w:p w14:paraId="53DDCDA7" w14:textId="77777777" w:rsidR="00C86927" w:rsidRPr="00A03DA7" w:rsidRDefault="00C86927" w:rsidP="00C86927">
      <w:pPr>
        <w:rPr>
          <w:rFonts w:asciiTheme="minorHAnsi" w:hAnsiTheme="minorHAnsi" w:cstheme="minorHAnsi"/>
          <w:sz w:val="24"/>
          <w:szCs w:val="24"/>
          <w:lang w:val="en-GB"/>
        </w:rPr>
      </w:pPr>
      <w:r w:rsidRPr="00A03DA7">
        <w:rPr>
          <w:rFonts w:asciiTheme="minorHAnsi" w:hAnsiTheme="minorHAnsi" w:cstheme="minorHAnsi"/>
          <w:sz w:val="24"/>
          <w:szCs w:val="24"/>
        </w:rPr>
        <w:sym w:font="Wingdings" w:char="F0E0"/>
      </w:r>
      <w:r w:rsidRPr="00A03DA7">
        <w:rPr>
          <w:rFonts w:asciiTheme="minorHAnsi" w:hAnsiTheme="minorHAnsi" w:cstheme="minorHAnsi"/>
          <w:sz w:val="24"/>
          <w:szCs w:val="24"/>
          <w:lang w:val="en-GB"/>
        </w:rPr>
        <w:t xml:space="preserve"> If a full text is available in English or German, the study design is appropriate, but the exposure does not apply (patients after ARDS incident of any kind), "</w:t>
      </w:r>
      <w:r w:rsidRPr="00A03DA7">
        <w:rPr>
          <w:rFonts w:asciiTheme="minorHAnsi" w:hAnsiTheme="minorHAnsi" w:cstheme="minorHAnsi"/>
          <w:b/>
          <w:sz w:val="24"/>
          <w:szCs w:val="24"/>
          <w:lang w:val="en-GB"/>
        </w:rPr>
        <w:t>Exposure not applicable</w:t>
      </w:r>
      <w:r w:rsidRPr="00A03DA7">
        <w:rPr>
          <w:rFonts w:asciiTheme="minorHAnsi" w:hAnsiTheme="minorHAnsi" w:cstheme="minorHAnsi"/>
          <w:sz w:val="24"/>
          <w:szCs w:val="24"/>
          <w:lang w:val="en-GB"/>
        </w:rPr>
        <w:t>" is given as the reason for exclusion</w:t>
      </w:r>
    </w:p>
    <w:p w14:paraId="7F275C20" w14:textId="77777777" w:rsidR="00C86927" w:rsidRPr="00A03DA7" w:rsidRDefault="00C86927" w:rsidP="00C86927">
      <w:pPr>
        <w:rPr>
          <w:rFonts w:asciiTheme="minorHAnsi" w:hAnsiTheme="minorHAnsi" w:cstheme="minorHAnsi"/>
          <w:sz w:val="24"/>
          <w:szCs w:val="24"/>
          <w:lang w:val="en-GB"/>
        </w:rPr>
      </w:pPr>
      <w:r w:rsidRPr="00A03DA7">
        <w:rPr>
          <w:rFonts w:asciiTheme="minorHAnsi" w:hAnsiTheme="minorHAnsi" w:cstheme="minorHAnsi"/>
          <w:sz w:val="24"/>
          <w:szCs w:val="24"/>
        </w:rPr>
        <w:sym w:font="Wingdings" w:char="F0E0"/>
      </w:r>
      <w:r w:rsidRPr="00A03DA7">
        <w:rPr>
          <w:rFonts w:asciiTheme="minorHAnsi" w:hAnsiTheme="minorHAnsi" w:cstheme="minorHAnsi"/>
          <w:sz w:val="24"/>
          <w:szCs w:val="24"/>
          <w:lang w:val="en-GB"/>
        </w:rPr>
        <w:t xml:space="preserve"> If a full text is available in English or German, the study design and exposure are appropriate, but the population does not apply (e.g. paediatric cohorts with children or adolescents), "</w:t>
      </w:r>
      <w:r w:rsidRPr="00A03DA7">
        <w:rPr>
          <w:rFonts w:asciiTheme="minorHAnsi" w:hAnsiTheme="minorHAnsi" w:cstheme="minorHAnsi"/>
          <w:b/>
          <w:sz w:val="24"/>
          <w:szCs w:val="24"/>
          <w:lang w:val="en-GB"/>
        </w:rPr>
        <w:t>Population not applicable</w:t>
      </w:r>
      <w:r w:rsidRPr="00A03DA7">
        <w:rPr>
          <w:rFonts w:asciiTheme="minorHAnsi" w:hAnsiTheme="minorHAnsi" w:cstheme="minorHAnsi"/>
          <w:sz w:val="24"/>
          <w:szCs w:val="24"/>
          <w:lang w:val="en-GB"/>
        </w:rPr>
        <w:t>" is given as the reason for exclusion</w:t>
      </w:r>
    </w:p>
    <w:p w14:paraId="24063D60" w14:textId="77777777" w:rsidR="00C86927" w:rsidRPr="00A03DA7" w:rsidRDefault="00C86927" w:rsidP="00C86927">
      <w:pPr>
        <w:rPr>
          <w:rFonts w:asciiTheme="minorHAnsi" w:hAnsiTheme="minorHAnsi" w:cstheme="minorHAnsi"/>
          <w:sz w:val="24"/>
          <w:szCs w:val="24"/>
          <w:lang w:val="en-GB"/>
        </w:rPr>
      </w:pPr>
      <w:r w:rsidRPr="00A03DA7">
        <w:rPr>
          <w:rFonts w:asciiTheme="minorHAnsi" w:hAnsiTheme="minorHAnsi" w:cstheme="minorHAnsi"/>
          <w:sz w:val="24"/>
          <w:szCs w:val="24"/>
        </w:rPr>
        <w:sym w:font="Wingdings" w:char="F0E0"/>
      </w:r>
      <w:r w:rsidRPr="00A03DA7">
        <w:rPr>
          <w:rFonts w:asciiTheme="minorHAnsi" w:hAnsiTheme="minorHAnsi" w:cstheme="minorHAnsi"/>
          <w:sz w:val="24"/>
          <w:szCs w:val="24"/>
          <w:lang w:val="en-GB"/>
        </w:rPr>
        <w:t xml:space="preserve"> If a full text is available in English or German, the study design, exposure and population are appropriate, but the required outcome (cognitive impairment of any kind) does not fit (e.g. neurodegenerative diseases are reported), the reason for exclusion is "</w:t>
      </w:r>
      <w:r w:rsidRPr="00A03DA7">
        <w:rPr>
          <w:rFonts w:asciiTheme="minorHAnsi" w:hAnsiTheme="minorHAnsi" w:cstheme="minorHAnsi"/>
          <w:b/>
          <w:sz w:val="24"/>
          <w:szCs w:val="24"/>
          <w:lang w:val="en-GB"/>
        </w:rPr>
        <w:t>Outcome not applicable</w:t>
      </w:r>
      <w:r w:rsidRPr="00A03DA7">
        <w:rPr>
          <w:rFonts w:asciiTheme="minorHAnsi" w:hAnsiTheme="minorHAnsi" w:cstheme="minorHAnsi"/>
          <w:sz w:val="24"/>
          <w:szCs w:val="24"/>
          <w:lang w:val="en-GB"/>
        </w:rPr>
        <w:t>".</w:t>
      </w:r>
    </w:p>
    <w:p w14:paraId="1E6D4832" w14:textId="77777777" w:rsidR="00C86927" w:rsidRPr="00C86927" w:rsidRDefault="00C86927" w:rsidP="00C86927">
      <w:pPr>
        <w:rPr>
          <w:rFonts w:asciiTheme="minorHAnsi" w:hAnsiTheme="minorHAnsi" w:cstheme="minorHAnsi"/>
          <w:sz w:val="24"/>
          <w:szCs w:val="24"/>
          <w:lang w:val="en-GB"/>
        </w:rPr>
      </w:pPr>
      <w:r w:rsidRPr="00A03DA7">
        <w:rPr>
          <w:rFonts w:asciiTheme="minorHAnsi" w:hAnsiTheme="minorHAnsi" w:cstheme="minorHAnsi"/>
          <w:sz w:val="24"/>
          <w:szCs w:val="24"/>
        </w:rPr>
        <w:sym w:font="Wingdings" w:char="F0E0"/>
      </w:r>
      <w:r w:rsidRPr="00A03DA7">
        <w:rPr>
          <w:rFonts w:asciiTheme="minorHAnsi" w:hAnsiTheme="minorHAnsi" w:cstheme="minorHAnsi"/>
          <w:sz w:val="24"/>
          <w:szCs w:val="24"/>
          <w:lang w:val="en-GB"/>
        </w:rPr>
        <w:t xml:space="preserve"> If there is a completely different reason for exclusion not mentioned here, "Other" should be selected and the reason documented in writing (e.g. no thematic reference)</w:t>
      </w:r>
    </w:p>
    <w:p w14:paraId="6177621B" w14:textId="77777777" w:rsidR="00C86927" w:rsidRPr="00C86927" w:rsidRDefault="00C86927" w:rsidP="00C86927">
      <w:pPr>
        <w:rPr>
          <w:rFonts w:asciiTheme="minorHAnsi" w:hAnsiTheme="minorHAnsi" w:cstheme="minorHAnsi"/>
          <w:sz w:val="24"/>
          <w:szCs w:val="24"/>
          <w:lang w:val="en-GB"/>
        </w:rPr>
      </w:pPr>
    </w:p>
    <w:p w14:paraId="3BFB8BA3" w14:textId="77777777" w:rsidR="00C86927" w:rsidRPr="00C86927" w:rsidRDefault="00C86927" w:rsidP="00C86927">
      <w:pPr>
        <w:rPr>
          <w:rFonts w:asciiTheme="minorHAnsi" w:hAnsiTheme="minorHAnsi" w:cstheme="minorHAnsi"/>
          <w:sz w:val="24"/>
          <w:szCs w:val="24"/>
          <w:lang w:val="en-GB"/>
        </w:rPr>
      </w:pPr>
      <w:r w:rsidRPr="00C86927">
        <w:rPr>
          <w:rFonts w:asciiTheme="minorHAnsi" w:hAnsiTheme="minorHAnsi" w:cstheme="minorHAnsi"/>
          <w:b/>
          <w:sz w:val="24"/>
          <w:szCs w:val="24"/>
          <w:lang w:val="en-GB"/>
        </w:rPr>
        <w:t>Decision criteria:</w:t>
      </w:r>
    </w:p>
    <w:p w14:paraId="3C28C049" w14:textId="77777777" w:rsidR="00C86927" w:rsidRPr="00C86927" w:rsidRDefault="00C86927" w:rsidP="00C86927">
      <w:pPr>
        <w:rPr>
          <w:rFonts w:asciiTheme="minorHAnsi" w:hAnsiTheme="minorHAnsi" w:cstheme="minorHAnsi"/>
          <w:sz w:val="24"/>
          <w:szCs w:val="24"/>
          <w:lang w:val="en-GB"/>
        </w:rPr>
      </w:pPr>
      <w:r w:rsidRPr="00C86927">
        <w:rPr>
          <w:rFonts w:asciiTheme="minorHAnsi" w:hAnsiTheme="minorHAnsi" w:cstheme="minorHAnsi"/>
          <w:sz w:val="24"/>
          <w:szCs w:val="24"/>
          <w:lang w:val="en-GB"/>
        </w:rPr>
        <w:t xml:space="preserve">These criteria apply to the entire review. The criteria remain the same throughout the entire review process. </w:t>
      </w:r>
    </w:p>
    <w:p w14:paraId="026582B8" w14:textId="77777777" w:rsidR="00C86927" w:rsidRPr="00C86927" w:rsidRDefault="00C86927" w:rsidP="00C86927">
      <w:pPr>
        <w:rPr>
          <w:rFonts w:asciiTheme="minorHAnsi" w:hAnsiTheme="minorHAnsi" w:cstheme="minorHAnsi"/>
          <w:b/>
          <w:sz w:val="24"/>
          <w:szCs w:val="24"/>
        </w:rPr>
      </w:pPr>
      <w:r w:rsidRPr="00C86927">
        <w:rPr>
          <w:rFonts w:asciiTheme="minorHAnsi" w:hAnsiTheme="minorHAnsi" w:cstheme="minorHAnsi"/>
          <w:b/>
          <w:sz w:val="24"/>
          <w:szCs w:val="24"/>
        </w:rPr>
        <w:t xml:space="preserve">decision criteria "Outcome" </w:t>
      </w:r>
    </w:p>
    <w:tbl>
      <w:tblPr>
        <w:tblStyle w:val="Tabellenraster"/>
        <w:tblW w:w="9062" w:type="dxa"/>
        <w:tblLook w:val="04A0" w:firstRow="1" w:lastRow="0" w:firstColumn="1" w:lastColumn="0" w:noHBand="0" w:noVBand="1"/>
      </w:tblPr>
      <w:tblGrid>
        <w:gridCol w:w="4248"/>
        <w:gridCol w:w="4814"/>
      </w:tblGrid>
      <w:tr w:rsidR="00C86927" w:rsidRPr="00C86927" w14:paraId="3FACF1B5" w14:textId="77777777" w:rsidTr="007B23A5">
        <w:tc>
          <w:tcPr>
            <w:tcW w:w="4248" w:type="dxa"/>
            <w:shd w:val="clear" w:color="auto" w:fill="95B3D7" w:themeFill="accent1" w:themeFillTint="99"/>
          </w:tcPr>
          <w:p w14:paraId="0B548A4A"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Inclusion criteria</w:t>
            </w:r>
          </w:p>
        </w:tc>
        <w:tc>
          <w:tcPr>
            <w:tcW w:w="4814" w:type="dxa"/>
            <w:shd w:val="clear" w:color="auto" w:fill="95B3D7" w:themeFill="accent1" w:themeFillTint="99"/>
          </w:tcPr>
          <w:p w14:paraId="4549EA43"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Exclusion criteria</w:t>
            </w:r>
          </w:p>
        </w:tc>
      </w:tr>
      <w:tr w:rsidR="00C86927" w:rsidRPr="00C86927" w14:paraId="38E610D9" w14:textId="77777777" w:rsidTr="007B23A5">
        <w:tc>
          <w:tcPr>
            <w:tcW w:w="4248" w:type="dxa"/>
          </w:tcPr>
          <w:p w14:paraId="68C19474" w14:textId="77777777" w:rsidR="00C86927" w:rsidRPr="00C86927" w:rsidRDefault="00C86927" w:rsidP="00C86927">
            <w:pPr>
              <w:pStyle w:val="KeinLeerraum"/>
              <w:numPr>
                <w:ilvl w:val="0"/>
                <w:numId w:val="9"/>
              </w:numPr>
              <w:rPr>
                <w:rFonts w:cstheme="minorHAnsi"/>
                <w:sz w:val="24"/>
                <w:szCs w:val="24"/>
                <w:lang w:val="en-GB"/>
              </w:rPr>
            </w:pPr>
            <w:r w:rsidRPr="00C86927">
              <w:rPr>
                <w:rFonts w:cstheme="minorHAnsi"/>
                <w:sz w:val="24"/>
                <w:szCs w:val="24"/>
                <w:lang w:val="en-GB"/>
              </w:rPr>
              <w:lastRenderedPageBreak/>
              <w:t xml:space="preserve">Observed or recorded event rate of cognitive impairment </w:t>
            </w:r>
          </w:p>
          <w:p w14:paraId="65690EF7" w14:textId="77777777" w:rsidR="00C86927" w:rsidRPr="00C86927" w:rsidRDefault="00C86927" w:rsidP="00C86927">
            <w:pPr>
              <w:pStyle w:val="KeinLeerraum"/>
              <w:numPr>
                <w:ilvl w:val="0"/>
                <w:numId w:val="9"/>
              </w:numPr>
              <w:rPr>
                <w:rFonts w:cstheme="minorHAnsi"/>
                <w:sz w:val="24"/>
                <w:szCs w:val="24"/>
                <w:lang w:val="en-GB"/>
              </w:rPr>
            </w:pPr>
            <w:r w:rsidRPr="00C86927">
              <w:rPr>
                <w:rFonts w:cstheme="minorHAnsi"/>
                <w:sz w:val="24"/>
                <w:szCs w:val="24"/>
                <w:lang w:val="en-GB"/>
              </w:rPr>
              <w:t>Observed or recorded event rate of all synonyms for cognitive impairments (</w:t>
            </w:r>
            <w:r w:rsidRPr="00C86927">
              <w:rPr>
                <w:rFonts w:eastAsia="Times New Roman" w:cstheme="minorHAnsi"/>
                <w:sz w:val="24"/>
                <w:szCs w:val="24"/>
                <w:lang w:val="en-GB" w:eastAsia="de-DE"/>
              </w:rPr>
              <w:t>cognitive deficits, memory disorders, thinking problems, mental disorders, mental limitations, mental impairments, cognitive dysfunctions, thinking disorders</w:t>
            </w:r>
            <w:r w:rsidRPr="00C86927">
              <w:rPr>
                <w:rFonts w:cstheme="minorHAnsi"/>
                <w:sz w:val="24"/>
                <w:szCs w:val="24"/>
                <w:lang w:val="en-GB"/>
              </w:rPr>
              <w:t xml:space="preserve">) </w:t>
            </w:r>
          </w:p>
          <w:p w14:paraId="0A6FF7FE" w14:textId="77777777" w:rsidR="00C86927" w:rsidRPr="00C86927" w:rsidRDefault="00C86927" w:rsidP="00C86927">
            <w:pPr>
              <w:pStyle w:val="KeinLeerraum"/>
              <w:numPr>
                <w:ilvl w:val="0"/>
                <w:numId w:val="9"/>
              </w:numPr>
              <w:rPr>
                <w:rFonts w:cstheme="minorHAnsi"/>
                <w:sz w:val="24"/>
                <w:szCs w:val="24"/>
                <w:lang w:val="en-GB"/>
              </w:rPr>
            </w:pPr>
            <w:r w:rsidRPr="00C86927">
              <w:rPr>
                <w:rFonts w:cstheme="minorHAnsi"/>
                <w:sz w:val="24"/>
                <w:szCs w:val="24"/>
                <w:lang w:val="en-GB"/>
              </w:rPr>
              <w:t>Event rate of cognitive impairment as a result of COVID-19, ICU or PICS (</w:t>
            </w:r>
            <w:r w:rsidRPr="00C86927">
              <w:rPr>
                <w:rFonts w:cstheme="minorHAnsi"/>
                <w:b/>
                <w:sz w:val="24"/>
                <w:szCs w:val="24"/>
                <w:lang w:val="en-GB"/>
              </w:rPr>
              <w:t>if ARDS is clearly reported</w:t>
            </w:r>
            <w:r w:rsidRPr="00C86927">
              <w:rPr>
                <w:rFonts w:cstheme="minorHAnsi"/>
                <w:sz w:val="24"/>
                <w:szCs w:val="24"/>
                <w:lang w:val="en-GB"/>
              </w:rPr>
              <w:t>)</w:t>
            </w:r>
          </w:p>
        </w:tc>
        <w:tc>
          <w:tcPr>
            <w:tcW w:w="4814" w:type="dxa"/>
          </w:tcPr>
          <w:p w14:paraId="04899216" w14:textId="77777777" w:rsidR="00C86927" w:rsidRPr="00C86927" w:rsidRDefault="00C86927" w:rsidP="00C86927">
            <w:pPr>
              <w:pStyle w:val="KeinLeerraum"/>
              <w:numPr>
                <w:ilvl w:val="0"/>
                <w:numId w:val="8"/>
              </w:numPr>
              <w:spacing w:line="276" w:lineRule="auto"/>
              <w:jc w:val="left"/>
              <w:rPr>
                <w:rFonts w:cstheme="minorHAnsi"/>
                <w:sz w:val="24"/>
                <w:szCs w:val="24"/>
              </w:rPr>
            </w:pPr>
            <w:r w:rsidRPr="00C86927">
              <w:rPr>
                <w:rFonts w:cstheme="minorHAnsi"/>
                <w:sz w:val="24"/>
                <w:szCs w:val="24"/>
              </w:rPr>
              <w:t>Neurodegenerative diseases (dementia, Alzheimer's, etc.)</w:t>
            </w:r>
          </w:p>
          <w:p w14:paraId="2CB5FC0F" w14:textId="77777777" w:rsidR="00C86927" w:rsidRPr="00C86927" w:rsidRDefault="00C86927" w:rsidP="00C86927">
            <w:pPr>
              <w:pStyle w:val="KeinLeerraum"/>
              <w:numPr>
                <w:ilvl w:val="0"/>
                <w:numId w:val="8"/>
              </w:numPr>
              <w:rPr>
                <w:rFonts w:cstheme="minorHAnsi"/>
                <w:sz w:val="24"/>
                <w:szCs w:val="24"/>
                <w:lang w:val="en-GB"/>
              </w:rPr>
            </w:pPr>
            <w:r w:rsidRPr="00C86927">
              <w:rPr>
                <w:rFonts w:cstheme="minorHAnsi"/>
                <w:sz w:val="24"/>
                <w:szCs w:val="24"/>
                <w:lang w:val="en-GB"/>
              </w:rPr>
              <w:t>(Long-term) consequences of COVID-19 without recording on cognitive impairments</w:t>
            </w:r>
          </w:p>
          <w:p w14:paraId="5C93896A" w14:textId="77777777" w:rsidR="00C86927" w:rsidRPr="00C86927" w:rsidRDefault="00C86927" w:rsidP="00C86927">
            <w:pPr>
              <w:pStyle w:val="KeinLeerraum"/>
              <w:numPr>
                <w:ilvl w:val="0"/>
                <w:numId w:val="8"/>
              </w:numPr>
              <w:rPr>
                <w:rFonts w:cstheme="minorHAnsi"/>
                <w:sz w:val="24"/>
                <w:szCs w:val="24"/>
                <w:lang w:val="en-GB"/>
              </w:rPr>
            </w:pPr>
            <w:r w:rsidRPr="00C86927">
              <w:rPr>
                <w:rFonts w:cstheme="minorHAnsi"/>
                <w:sz w:val="24"/>
                <w:szCs w:val="24"/>
                <w:lang w:val="en-GB"/>
              </w:rPr>
              <w:t>PICS without detection of cognitive impairment</w:t>
            </w:r>
          </w:p>
          <w:p w14:paraId="230B89AA" w14:textId="77777777" w:rsidR="00C86927" w:rsidRPr="00C86927" w:rsidRDefault="00C86927" w:rsidP="00C86927">
            <w:pPr>
              <w:pStyle w:val="KeinLeerraum"/>
              <w:numPr>
                <w:ilvl w:val="0"/>
                <w:numId w:val="8"/>
              </w:numPr>
              <w:rPr>
                <w:rFonts w:cstheme="minorHAnsi"/>
                <w:sz w:val="24"/>
                <w:szCs w:val="24"/>
                <w:lang w:val="en-GB"/>
              </w:rPr>
            </w:pPr>
            <w:r w:rsidRPr="00C86927">
              <w:rPr>
                <w:rFonts w:cstheme="minorHAnsi"/>
                <w:sz w:val="24"/>
                <w:szCs w:val="24"/>
                <w:lang w:val="en-GB"/>
              </w:rPr>
              <w:t>Observation of ICU patients without recording cognitive impairments</w:t>
            </w:r>
          </w:p>
          <w:p w14:paraId="0CAD16A7" w14:textId="77777777" w:rsidR="00C86927" w:rsidRPr="00C86927" w:rsidRDefault="00C86927" w:rsidP="00C86927">
            <w:pPr>
              <w:pStyle w:val="KeinLeerraum"/>
              <w:numPr>
                <w:ilvl w:val="0"/>
                <w:numId w:val="8"/>
              </w:numPr>
              <w:rPr>
                <w:rFonts w:cstheme="minorHAnsi"/>
                <w:sz w:val="24"/>
                <w:szCs w:val="24"/>
                <w:lang w:val="en-GB"/>
              </w:rPr>
            </w:pPr>
            <w:r w:rsidRPr="00C86927">
              <w:rPr>
                <w:rFonts w:cstheme="minorHAnsi"/>
                <w:sz w:val="24"/>
                <w:szCs w:val="24"/>
                <w:lang w:val="en-GB"/>
              </w:rPr>
              <w:t xml:space="preserve">Studies investigating only delirium or postoperative cognitive dysfunction (POCD) on admission to the ICU </w:t>
            </w:r>
          </w:p>
          <w:p w14:paraId="674ABA9D" w14:textId="77777777" w:rsidR="00C86927" w:rsidRPr="00C86927" w:rsidRDefault="00C86927" w:rsidP="00C86927">
            <w:pPr>
              <w:pStyle w:val="KeinLeerraum"/>
              <w:numPr>
                <w:ilvl w:val="0"/>
                <w:numId w:val="9"/>
              </w:numPr>
              <w:rPr>
                <w:rFonts w:cstheme="minorHAnsi"/>
                <w:sz w:val="24"/>
                <w:szCs w:val="24"/>
              </w:rPr>
            </w:pPr>
            <w:r w:rsidRPr="00C86927">
              <w:rPr>
                <w:rFonts w:cstheme="minorHAnsi"/>
                <w:sz w:val="24"/>
                <w:szCs w:val="24"/>
              </w:rPr>
              <w:t>Delirium/Delirium</w:t>
            </w:r>
          </w:p>
        </w:tc>
      </w:tr>
    </w:tbl>
    <w:p w14:paraId="6D211950" w14:textId="77777777" w:rsidR="00C86927" w:rsidRPr="00C86927" w:rsidRDefault="00C86927" w:rsidP="00C86927">
      <w:pPr>
        <w:rPr>
          <w:rFonts w:asciiTheme="minorHAnsi" w:hAnsiTheme="minorHAnsi" w:cstheme="minorHAnsi"/>
          <w:sz w:val="24"/>
          <w:szCs w:val="24"/>
        </w:rPr>
      </w:pPr>
    </w:p>
    <w:p w14:paraId="29D51304" w14:textId="77777777" w:rsidR="00C86927" w:rsidRPr="00C86927" w:rsidRDefault="00C86927" w:rsidP="00C86927">
      <w:pPr>
        <w:rPr>
          <w:rFonts w:asciiTheme="minorHAnsi" w:hAnsiTheme="minorHAnsi" w:cstheme="minorHAnsi"/>
          <w:sz w:val="24"/>
          <w:szCs w:val="24"/>
        </w:rPr>
      </w:pPr>
      <w:r w:rsidRPr="00C86927">
        <w:rPr>
          <w:rFonts w:asciiTheme="minorHAnsi" w:hAnsiTheme="minorHAnsi" w:cstheme="minorHAnsi"/>
          <w:b/>
          <w:sz w:val="24"/>
          <w:szCs w:val="24"/>
        </w:rPr>
        <w:t>Decision criteria "Exposure"</w:t>
      </w:r>
    </w:p>
    <w:tbl>
      <w:tblPr>
        <w:tblStyle w:val="Tabellenraster"/>
        <w:tblW w:w="0" w:type="auto"/>
        <w:tblLook w:val="04A0" w:firstRow="1" w:lastRow="0" w:firstColumn="1" w:lastColumn="0" w:noHBand="0" w:noVBand="1"/>
      </w:tblPr>
      <w:tblGrid>
        <w:gridCol w:w="4531"/>
        <w:gridCol w:w="4531"/>
      </w:tblGrid>
      <w:tr w:rsidR="00C86927" w:rsidRPr="00C86927" w14:paraId="6AE942D8" w14:textId="77777777" w:rsidTr="007B23A5">
        <w:trPr>
          <w:trHeight w:val="77"/>
        </w:trPr>
        <w:tc>
          <w:tcPr>
            <w:tcW w:w="4531" w:type="dxa"/>
            <w:shd w:val="clear" w:color="auto" w:fill="95B3D7" w:themeFill="accent1" w:themeFillTint="99"/>
          </w:tcPr>
          <w:p w14:paraId="6E474B27"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Inclusion criteria</w:t>
            </w:r>
          </w:p>
        </w:tc>
        <w:tc>
          <w:tcPr>
            <w:tcW w:w="4531" w:type="dxa"/>
            <w:shd w:val="clear" w:color="auto" w:fill="95B3D7" w:themeFill="accent1" w:themeFillTint="99"/>
          </w:tcPr>
          <w:p w14:paraId="401B1B0B"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Exclusion criteria</w:t>
            </w:r>
          </w:p>
        </w:tc>
      </w:tr>
      <w:tr w:rsidR="00C86927" w:rsidRPr="0069243C" w14:paraId="13C9C9AB" w14:textId="77777777" w:rsidTr="007B23A5">
        <w:trPr>
          <w:trHeight w:val="127"/>
        </w:trPr>
        <w:tc>
          <w:tcPr>
            <w:tcW w:w="4531" w:type="dxa"/>
          </w:tcPr>
          <w:p w14:paraId="11B64E1C" w14:textId="77777777" w:rsidR="00C86927" w:rsidRPr="00C86927" w:rsidRDefault="00C86927" w:rsidP="00C86927">
            <w:pPr>
              <w:pStyle w:val="KeinLeerraum"/>
              <w:numPr>
                <w:ilvl w:val="0"/>
                <w:numId w:val="7"/>
              </w:numPr>
              <w:spacing w:line="276" w:lineRule="auto"/>
              <w:jc w:val="left"/>
              <w:rPr>
                <w:rFonts w:cstheme="minorHAnsi"/>
                <w:sz w:val="24"/>
                <w:szCs w:val="24"/>
                <w:lang w:val="en-GB"/>
              </w:rPr>
            </w:pPr>
            <w:r w:rsidRPr="00C86927">
              <w:rPr>
                <w:rFonts w:cstheme="minorHAnsi"/>
                <w:sz w:val="24"/>
                <w:szCs w:val="24"/>
                <w:lang w:val="en-GB"/>
              </w:rPr>
              <w:t>People who have survived ARDS regardless of the triggering cause (including COVID-19)</w:t>
            </w:r>
          </w:p>
          <w:p w14:paraId="19DF428B" w14:textId="77777777" w:rsidR="00C86927" w:rsidRPr="00C86927" w:rsidRDefault="00C86927" w:rsidP="00C86927">
            <w:pPr>
              <w:pStyle w:val="KeinLeerraum"/>
              <w:numPr>
                <w:ilvl w:val="0"/>
                <w:numId w:val="7"/>
              </w:numPr>
              <w:spacing w:line="276" w:lineRule="auto"/>
              <w:jc w:val="left"/>
              <w:rPr>
                <w:rFonts w:cstheme="minorHAnsi"/>
                <w:sz w:val="24"/>
                <w:szCs w:val="24"/>
                <w:lang w:val="en-GB"/>
              </w:rPr>
            </w:pPr>
            <w:r w:rsidRPr="00C86927">
              <w:rPr>
                <w:rFonts w:cstheme="minorHAnsi"/>
                <w:sz w:val="24"/>
                <w:szCs w:val="24"/>
                <w:lang w:val="en-GB"/>
              </w:rPr>
              <w:t xml:space="preserve">All synonyms for ARDS (including </w:t>
            </w:r>
            <w:r w:rsidRPr="00C86927">
              <w:rPr>
                <w:rFonts w:eastAsia="Times New Roman" w:cstheme="minorHAnsi"/>
                <w:sz w:val="24"/>
                <w:szCs w:val="24"/>
                <w:lang w:val="en-GB" w:eastAsia="de-DE"/>
              </w:rPr>
              <w:t>acute respiratory distress syndrome, acute respiratory failure, respiratory syndrome)</w:t>
            </w:r>
          </w:p>
          <w:p w14:paraId="25089515" w14:textId="77777777" w:rsidR="00C86927" w:rsidRPr="00C86927" w:rsidRDefault="00C86927" w:rsidP="00C86927">
            <w:pPr>
              <w:pStyle w:val="Listenabsatz"/>
              <w:numPr>
                <w:ilvl w:val="0"/>
                <w:numId w:val="7"/>
              </w:numPr>
              <w:rPr>
                <w:rFonts w:asciiTheme="minorHAnsi" w:hAnsiTheme="minorHAnsi" w:cstheme="minorHAnsi"/>
                <w:sz w:val="24"/>
                <w:szCs w:val="24"/>
                <w:lang w:val="en-GB"/>
              </w:rPr>
            </w:pPr>
            <w:r w:rsidRPr="00C86927">
              <w:rPr>
                <w:rFonts w:asciiTheme="minorHAnsi" w:hAnsiTheme="minorHAnsi" w:cstheme="minorHAnsi"/>
                <w:sz w:val="24"/>
                <w:szCs w:val="24"/>
                <w:lang w:val="en-GB"/>
              </w:rPr>
              <w:t xml:space="preserve">ARDS regardless of the severity of </w:t>
            </w:r>
            <w:r w:rsidRPr="00C86927">
              <w:rPr>
                <w:rStyle w:val="hgkelc"/>
                <w:rFonts w:asciiTheme="minorHAnsi" w:hAnsiTheme="minorHAnsi" w:cstheme="minorHAnsi"/>
                <w:sz w:val="24"/>
                <w:szCs w:val="24"/>
                <w:lang w:val="en-GB"/>
              </w:rPr>
              <w:t xml:space="preserve">hypoxaemia </w:t>
            </w:r>
            <w:r w:rsidRPr="00C86927">
              <w:rPr>
                <w:rFonts w:asciiTheme="minorHAnsi" w:hAnsiTheme="minorHAnsi" w:cstheme="minorHAnsi"/>
                <w:sz w:val="24"/>
                <w:szCs w:val="24"/>
                <w:lang w:val="en-GB"/>
              </w:rPr>
              <w:t xml:space="preserve">(mild, moderate, severe) </w:t>
            </w:r>
          </w:p>
          <w:p w14:paraId="554BFE26" w14:textId="77777777" w:rsidR="00C86927" w:rsidRPr="00C86927" w:rsidRDefault="00C86927" w:rsidP="00C86927">
            <w:pPr>
              <w:pStyle w:val="KeinLeerraum"/>
              <w:numPr>
                <w:ilvl w:val="0"/>
                <w:numId w:val="7"/>
              </w:numPr>
              <w:spacing w:line="276" w:lineRule="auto"/>
              <w:jc w:val="left"/>
              <w:rPr>
                <w:rFonts w:cstheme="minorHAnsi"/>
                <w:sz w:val="24"/>
                <w:szCs w:val="24"/>
                <w:lang w:val="en-GB"/>
              </w:rPr>
            </w:pPr>
            <w:r w:rsidRPr="00C86927">
              <w:rPr>
                <w:rFonts w:cstheme="minorHAnsi"/>
                <w:sz w:val="24"/>
                <w:szCs w:val="24"/>
                <w:lang w:val="en-GB"/>
              </w:rPr>
              <w:t>ARDS with and without mechanical ventilation</w:t>
            </w:r>
          </w:p>
          <w:p w14:paraId="5F61E87F" w14:textId="77777777" w:rsidR="00C86927" w:rsidRPr="00C86927" w:rsidRDefault="00C86927" w:rsidP="00C86927">
            <w:pPr>
              <w:pStyle w:val="KeinLeerraum"/>
              <w:numPr>
                <w:ilvl w:val="0"/>
                <w:numId w:val="7"/>
              </w:numPr>
              <w:spacing w:line="276" w:lineRule="auto"/>
              <w:jc w:val="left"/>
              <w:rPr>
                <w:rFonts w:cstheme="minorHAnsi"/>
                <w:sz w:val="24"/>
                <w:szCs w:val="24"/>
                <w:lang w:val="en-GB"/>
              </w:rPr>
            </w:pPr>
            <w:r w:rsidRPr="00C86927">
              <w:rPr>
                <w:rFonts w:cstheme="minorHAnsi"/>
                <w:sz w:val="24"/>
                <w:szCs w:val="24"/>
                <w:lang w:val="en-GB"/>
              </w:rPr>
              <w:t xml:space="preserve">ARDS as a subcategory in PICS cohorts or ICU patients </w:t>
            </w:r>
          </w:p>
        </w:tc>
        <w:tc>
          <w:tcPr>
            <w:tcW w:w="4531" w:type="dxa"/>
          </w:tcPr>
          <w:p w14:paraId="4A21312B" w14:textId="77777777" w:rsidR="00C86927" w:rsidRPr="00C86927" w:rsidRDefault="00C86927" w:rsidP="00C86927">
            <w:pPr>
              <w:pStyle w:val="KeinLeerraum"/>
              <w:numPr>
                <w:ilvl w:val="0"/>
                <w:numId w:val="7"/>
              </w:numPr>
              <w:rPr>
                <w:rFonts w:cstheme="minorHAnsi"/>
                <w:sz w:val="24"/>
                <w:szCs w:val="24"/>
                <w:lang w:val="en-GB"/>
              </w:rPr>
            </w:pPr>
            <w:r w:rsidRPr="00C86927">
              <w:rPr>
                <w:rFonts w:cstheme="minorHAnsi"/>
                <w:sz w:val="24"/>
                <w:szCs w:val="24"/>
                <w:lang w:val="en-GB"/>
              </w:rPr>
              <w:t xml:space="preserve">Studies that report on PICS but do not describe ARDS </w:t>
            </w:r>
          </w:p>
          <w:p w14:paraId="76682113" w14:textId="77777777" w:rsidR="00C86927" w:rsidRPr="00C86927" w:rsidRDefault="00C86927" w:rsidP="00C86927">
            <w:pPr>
              <w:pStyle w:val="KeinLeerraum"/>
              <w:numPr>
                <w:ilvl w:val="0"/>
                <w:numId w:val="7"/>
              </w:numPr>
              <w:rPr>
                <w:rFonts w:cstheme="minorHAnsi"/>
                <w:sz w:val="24"/>
                <w:szCs w:val="24"/>
                <w:lang w:val="en-GB"/>
              </w:rPr>
            </w:pPr>
            <w:r w:rsidRPr="00C86927">
              <w:rPr>
                <w:rFonts w:cstheme="minorHAnsi"/>
                <w:sz w:val="24"/>
                <w:szCs w:val="24"/>
                <w:lang w:val="en-GB"/>
              </w:rPr>
              <w:t xml:space="preserve">Studies that report COVID-19 infection but do not describe ARDS </w:t>
            </w:r>
          </w:p>
        </w:tc>
      </w:tr>
    </w:tbl>
    <w:p w14:paraId="5E1E750D" w14:textId="77777777" w:rsidR="00C86927" w:rsidRPr="00C86927" w:rsidRDefault="00C86927" w:rsidP="00C86927">
      <w:pPr>
        <w:rPr>
          <w:rFonts w:asciiTheme="minorHAnsi" w:hAnsiTheme="minorHAnsi" w:cstheme="minorHAnsi"/>
          <w:b/>
          <w:sz w:val="24"/>
          <w:szCs w:val="24"/>
          <w:lang w:val="en-GB"/>
        </w:rPr>
      </w:pPr>
    </w:p>
    <w:p w14:paraId="517D49E4" w14:textId="77777777" w:rsidR="00C86927" w:rsidRPr="00C86927" w:rsidRDefault="00C86927" w:rsidP="00C86927">
      <w:pPr>
        <w:rPr>
          <w:rFonts w:asciiTheme="minorHAnsi" w:hAnsiTheme="minorHAnsi" w:cstheme="minorHAnsi"/>
          <w:b/>
          <w:sz w:val="24"/>
          <w:szCs w:val="24"/>
        </w:rPr>
      </w:pPr>
      <w:r w:rsidRPr="00C86927">
        <w:rPr>
          <w:rFonts w:asciiTheme="minorHAnsi" w:hAnsiTheme="minorHAnsi" w:cstheme="minorHAnsi"/>
          <w:b/>
          <w:sz w:val="24"/>
          <w:szCs w:val="24"/>
        </w:rPr>
        <w:t>Population" decision criteria</w:t>
      </w:r>
    </w:p>
    <w:tbl>
      <w:tblPr>
        <w:tblStyle w:val="Tabellenraster"/>
        <w:tblW w:w="0" w:type="auto"/>
        <w:tblLook w:val="04A0" w:firstRow="1" w:lastRow="0" w:firstColumn="1" w:lastColumn="0" w:noHBand="0" w:noVBand="1"/>
      </w:tblPr>
      <w:tblGrid>
        <w:gridCol w:w="4531"/>
        <w:gridCol w:w="4531"/>
      </w:tblGrid>
      <w:tr w:rsidR="00C86927" w:rsidRPr="00C86927" w14:paraId="5E4CE57A" w14:textId="77777777" w:rsidTr="007B23A5">
        <w:tc>
          <w:tcPr>
            <w:tcW w:w="4531" w:type="dxa"/>
            <w:shd w:val="clear" w:color="auto" w:fill="95B3D7" w:themeFill="accent1" w:themeFillTint="99"/>
          </w:tcPr>
          <w:p w14:paraId="4E888552"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Inclusion criteria</w:t>
            </w:r>
          </w:p>
        </w:tc>
        <w:tc>
          <w:tcPr>
            <w:tcW w:w="4531" w:type="dxa"/>
            <w:shd w:val="clear" w:color="auto" w:fill="95B3D7" w:themeFill="accent1" w:themeFillTint="99"/>
          </w:tcPr>
          <w:p w14:paraId="666F7E4B"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Exclusion criteria</w:t>
            </w:r>
          </w:p>
        </w:tc>
      </w:tr>
      <w:tr w:rsidR="00C86927" w:rsidRPr="0069243C" w14:paraId="127B7091" w14:textId="77777777" w:rsidTr="007B23A5">
        <w:trPr>
          <w:trHeight w:val="1047"/>
        </w:trPr>
        <w:tc>
          <w:tcPr>
            <w:tcW w:w="4531" w:type="dxa"/>
          </w:tcPr>
          <w:p w14:paraId="470C582E" w14:textId="77777777" w:rsidR="00C86927" w:rsidRPr="00C86927" w:rsidRDefault="00C86927" w:rsidP="00C86927">
            <w:pPr>
              <w:pStyle w:val="Listenabsatz"/>
              <w:numPr>
                <w:ilvl w:val="0"/>
                <w:numId w:val="10"/>
              </w:numPr>
              <w:rPr>
                <w:rFonts w:asciiTheme="minorHAnsi" w:hAnsiTheme="minorHAnsi" w:cstheme="minorHAnsi"/>
                <w:sz w:val="24"/>
                <w:szCs w:val="24"/>
                <w:lang w:val="en-GB"/>
              </w:rPr>
            </w:pPr>
            <w:r w:rsidRPr="00C86927">
              <w:rPr>
                <w:rFonts w:asciiTheme="minorHAnsi" w:hAnsiTheme="minorHAnsi" w:cstheme="minorHAnsi"/>
                <w:sz w:val="24"/>
                <w:szCs w:val="24"/>
                <w:lang w:val="en-GB"/>
              </w:rPr>
              <w:t xml:space="preserve">Adult patients (≥ 18 years) who have survived ARDS and have been diagnosed/observed with cognitive impairment </w:t>
            </w:r>
          </w:p>
          <w:p w14:paraId="3F9FB4E7" w14:textId="77777777" w:rsidR="00C86927" w:rsidRPr="00C86927" w:rsidRDefault="00C86927" w:rsidP="007B23A5">
            <w:pPr>
              <w:pStyle w:val="KeinLeerraum"/>
              <w:spacing w:line="276" w:lineRule="auto"/>
              <w:ind w:left="360"/>
              <w:jc w:val="left"/>
              <w:rPr>
                <w:rFonts w:cstheme="minorHAnsi"/>
                <w:sz w:val="24"/>
                <w:szCs w:val="24"/>
                <w:lang w:val="en-GB"/>
              </w:rPr>
            </w:pPr>
            <w:r w:rsidRPr="00C86927">
              <w:rPr>
                <w:rFonts w:cstheme="minorHAnsi"/>
                <w:sz w:val="24"/>
                <w:szCs w:val="24"/>
                <w:lang w:val="en-GB"/>
              </w:rPr>
              <w:t xml:space="preserve"> </w:t>
            </w:r>
          </w:p>
        </w:tc>
        <w:tc>
          <w:tcPr>
            <w:tcW w:w="4531" w:type="dxa"/>
          </w:tcPr>
          <w:p w14:paraId="6CEBD3BD" w14:textId="77777777" w:rsidR="00C86927" w:rsidRPr="00C86927" w:rsidRDefault="00C86927" w:rsidP="00C86927">
            <w:pPr>
              <w:pStyle w:val="KeinLeerraum"/>
              <w:numPr>
                <w:ilvl w:val="0"/>
                <w:numId w:val="5"/>
              </w:numPr>
              <w:spacing w:line="276" w:lineRule="auto"/>
              <w:jc w:val="left"/>
              <w:rPr>
                <w:rFonts w:cstheme="minorHAnsi"/>
                <w:sz w:val="24"/>
                <w:szCs w:val="24"/>
                <w:lang w:val="en-AU"/>
              </w:rPr>
            </w:pPr>
            <w:r w:rsidRPr="00C86927">
              <w:rPr>
                <w:rFonts w:cstheme="minorHAnsi"/>
                <w:sz w:val="24"/>
                <w:szCs w:val="24"/>
                <w:lang w:val="en-AU"/>
              </w:rPr>
              <w:t>Children and paediatric studies</w:t>
            </w:r>
          </w:p>
          <w:p w14:paraId="2E26E0FD" w14:textId="77777777" w:rsidR="00C86927" w:rsidRPr="00C86927" w:rsidRDefault="00C86927" w:rsidP="00C86927">
            <w:pPr>
              <w:pStyle w:val="KeinLeerraum"/>
              <w:numPr>
                <w:ilvl w:val="0"/>
                <w:numId w:val="5"/>
              </w:numPr>
              <w:spacing w:line="276" w:lineRule="auto"/>
              <w:jc w:val="left"/>
              <w:rPr>
                <w:rFonts w:cstheme="minorHAnsi"/>
                <w:sz w:val="24"/>
                <w:szCs w:val="24"/>
                <w:lang w:val="en-GB"/>
              </w:rPr>
            </w:pPr>
            <w:r w:rsidRPr="00C86927">
              <w:rPr>
                <w:rFonts w:cstheme="minorHAnsi"/>
                <w:sz w:val="24"/>
                <w:szCs w:val="24"/>
                <w:lang w:val="en-GB"/>
              </w:rPr>
              <w:t>Patients in whom traumatic brain injury and stroke have been reported</w:t>
            </w:r>
          </w:p>
          <w:p w14:paraId="24920FF8" w14:textId="77777777" w:rsidR="00C86927" w:rsidRPr="00C86927" w:rsidRDefault="00C86927" w:rsidP="00C86927">
            <w:pPr>
              <w:pStyle w:val="KeinLeerraum"/>
              <w:numPr>
                <w:ilvl w:val="0"/>
                <w:numId w:val="5"/>
              </w:numPr>
              <w:rPr>
                <w:rFonts w:cstheme="minorHAnsi"/>
                <w:sz w:val="24"/>
                <w:szCs w:val="24"/>
                <w:lang w:val="en-GB"/>
              </w:rPr>
            </w:pPr>
            <w:r w:rsidRPr="00C86927">
              <w:rPr>
                <w:rFonts w:cstheme="minorHAnsi"/>
                <w:sz w:val="24"/>
                <w:szCs w:val="24"/>
                <w:lang w:val="en-GB"/>
              </w:rPr>
              <w:t xml:space="preserve">Patients after chemotherapy or during chemotherapy (chemobrain) </w:t>
            </w:r>
          </w:p>
        </w:tc>
      </w:tr>
    </w:tbl>
    <w:p w14:paraId="249A2B7E" w14:textId="77777777" w:rsidR="00C86927" w:rsidRPr="00C86927" w:rsidRDefault="00C86927" w:rsidP="00C86927">
      <w:pPr>
        <w:rPr>
          <w:rFonts w:asciiTheme="minorHAnsi" w:hAnsiTheme="minorHAnsi" w:cstheme="minorHAnsi"/>
          <w:b/>
          <w:sz w:val="24"/>
          <w:szCs w:val="24"/>
          <w:lang w:val="en-GB"/>
        </w:rPr>
      </w:pPr>
    </w:p>
    <w:p w14:paraId="498338D2" w14:textId="77777777" w:rsidR="00C86927" w:rsidRPr="00C86927" w:rsidRDefault="00C86927" w:rsidP="00C86927">
      <w:pPr>
        <w:rPr>
          <w:rFonts w:asciiTheme="minorHAnsi" w:hAnsiTheme="minorHAnsi" w:cstheme="minorHAnsi"/>
          <w:b/>
          <w:sz w:val="24"/>
          <w:szCs w:val="24"/>
        </w:rPr>
      </w:pPr>
      <w:r w:rsidRPr="00C86927">
        <w:rPr>
          <w:rFonts w:asciiTheme="minorHAnsi" w:hAnsiTheme="minorHAnsi" w:cstheme="minorHAnsi"/>
          <w:b/>
          <w:sz w:val="24"/>
          <w:szCs w:val="24"/>
        </w:rPr>
        <w:t>Decision criteria "Study design"</w:t>
      </w:r>
    </w:p>
    <w:tbl>
      <w:tblPr>
        <w:tblStyle w:val="Tabellenraster"/>
        <w:tblW w:w="9067" w:type="dxa"/>
        <w:tblLayout w:type="fixed"/>
        <w:tblLook w:val="04A0" w:firstRow="1" w:lastRow="0" w:firstColumn="1" w:lastColumn="0" w:noHBand="0" w:noVBand="1"/>
      </w:tblPr>
      <w:tblGrid>
        <w:gridCol w:w="4531"/>
        <w:gridCol w:w="4536"/>
      </w:tblGrid>
      <w:tr w:rsidR="00C86927" w:rsidRPr="00C86927" w14:paraId="207E5D39" w14:textId="77777777" w:rsidTr="007B23A5">
        <w:tc>
          <w:tcPr>
            <w:tcW w:w="4531" w:type="dxa"/>
            <w:shd w:val="clear" w:color="auto" w:fill="95B3D7" w:themeFill="accent1" w:themeFillTint="99"/>
          </w:tcPr>
          <w:p w14:paraId="4A27A508"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Inclusion criteria</w:t>
            </w:r>
          </w:p>
        </w:tc>
        <w:tc>
          <w:tcPr>
            <w:tcW w:w="4536" w:type="dxa"/>
            <w:shd w:val="clear" w:color="auto" w:fill="95B3D7" w:themeFill="accent1" w:themeFillTint="99"/>
          </w:tcPr>
          <w:p w14:paraId="6DF30E74"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Exclusion criteria</w:t>
            </w:r>
          </w:p>
        </w:tc>
      </w:tr>
      <w:tr w:rsidR="00C86927" w:rsidRPr="0069243C" w14:paraId="3C848913" w14:textId="77777777" w:rsidTr="007B23A5">
        <w:tc>
          <w:tcPr>
            <w:tcW w:w="4531" w:type="dxa"/>
          </w:tcPr>
          <w:p w14:paraId="2ACB0888" w14:textId="77777777" w:rsidR="00C86927" w:rsidRPr="00C86927" w:rsidRDefault="00C86927" w:rsidP="00C86927">
            <w:pPr>
              <w:pStyle w:val="Listenabsatz"/>
              <w:numPr>
                <w:ilvl w:val="0"/>
                <w:numId w:val="6"/>
              </w:numPr>
              <w:rPr>
                <w:rFonts w:asciiTheme="minorHAnsi" w:hAnsiTheme="minorHAnsi" w:cstheme="minorHAnsi"/>
                <w:sz w:val="24"/>
                <w:szCs w:val="24"/>
                <w:lang w:val="en-GB"/>
              </w:rPr>
            </w:pPr>
            <w:r w:rsidRPr="00C86927">
              <w:rPr>
                <w:rFonts w:asciiTheme="minorHAnsi" w:hAnsiTheme="minorHAnsi" w:cstheme="minorHAnsi"/>
                <w:sz w:val="24"/>
                <w:szCs w:val="24"/>
                <w:lang w:val="en-GB"/>
              </w:rPr>
              <w:t>Epidemiological observational studies (both prospective and retrospective)</w:t>
            </w:r>
          </w:p>
          <w:p w14:paraId="4A13256B" w14:textId="77777777" w:rsidR="00C86927" w:rsidRPr="00C86927" w:rsidRDefault="00C86927" w:rsidP="00C86927">
            <w:pPr>
              <w:pStyle w:val="Listenabsatz"/>
              <w:numPr>
                <w:ilvl w:val="0"/>
                <w:numId w:val="6"/>
              </w:numPr>
              <w:rPr>
                <w:rFonts w:asciiTheme="minorHAnsi" w:hAnsiTheme="minorHAnsi" w:cstheme="minorHAnsi"/>
                <w:sz w:val="24"/>
                <w:szCs w:val="24"/>
                <w:lang w:val="en-GB"/>
              </w:rPr>
            </w:pPr>
            <w:r w:rsidRPr="00C86927">
              <w:rPr>
                <w:rFonts w:asciiTheme="minorHAnsi" w:hAnsiTheme="minorHAnsi" w:cstheme="minorHAnsi"/>
                <w:sz w:val="24"/>
                <w:szCs w:val="24"/>
                <w:lang w:val="en-GB"/>
              </w:rPr>
              <w:t xml:space="preserve">Intervention studies (including randomised controlled trials, controlled </w:t>
            </w:r>
            <w:r w:rsidRPr="00C86927">
              <w:rPr>
                <w:rFonts w:asciiTheme="minorHAnsi" w:hAnsiTheme="minorHAnsi" w:cstheme="minorHAnsi"/>
                <w:sz w:val="24"/>
                <w:szCs w:val="24"/>
                <w:lang w:val="en-GB"/>
              </w:rPr>
              <w:lastRenderedPageBreak/>
              <w:t xml:space="preserve">clinical trials and before-and-after evaluations) </w:t>
            </w:r>
          </w:p>
          <w:p w14:paraId="5B8F55CF" w14:textId="77777777" w:rsidR="00C86927" w:rsidRPr="00C86927" w:rsidRDefault="00C86927" w:rsidP="00C86927">
            <w:pPr>
              <w:pStyle w:val="Listenabsatz"/>
              <w:numPr>
                <w:ilvl w:val="0"/>
                <w:numId w:val="6"/>
              </w:numPr>
              <w:rPr>
                <w:rFonts w:asciiTheme="minorHAnsi" w:hAnsiTheme="minorHAnsi" w:cstheme="minorHAnsi"/>
                <w:sz w:val="24"/>
                <w:szCs w:val="24"/>
              </w:rPr>
            </w:pPr>
            <w:r w:rsidRPr="00C86927">
              <w:rPr>
                <w:rFonts w:asciiTheme="minorHAnsi" w:hAnsiTheme="minorHAnsi" w:cstheme="minorHAnsi"/>
                <w:sz w:val="24"/>
                <w:szCs w:val="24"/>
              </w:rPr>
              <w:t>Cross-sectional and longitudinal studies</w:t>
            </w:r>
          </w:p>
          <w:p w14:paraId="24DBBB2B" w14:textId="77777777" w:rsidR="00C86927" w:rsidRPr="00C86927" w:rsidRDefault="00C86927" w:rsidP="00C86927">
            <w:pPr>
              <w:pStyle w:val="Listenabsatz"/>
              <w:numPr>
                <w:ilvl w:val="0"/>
                <w:numId w:val="6"/>
              </w:numPr>
              <w:rPr>
                <w:rFonts w:asciiTheme="minorHAnsi" w:hAnsiTheme="minorHAnsi" w:cstheme="minorHAnsi"/>
                <w:sz w:val="24"/>
                <w:szCs w:val="24"/>
              </w:rPr>
            </w:pPr>
            <w:r w:rsidRPr="00C86927">
              <w:rPr>
                <w:rFonts w:asciiTheme="minorHAnsi" w:hAnsiTheme="minorHAnsi" w:cstheme="minorHAnsi"/>
                <w:sz w:val="24"/>
                <w:szCs w:val="24"/>
              </w:rPr>
              <w:t>Prevalence studies</w:t>
            </w:r>
          </w:p>
        </w:tc>
        <w:tc>
          <w:tcPr>
            <w:tcW w:w="4536" w:type="dxa"/>
            <w:shd w:val="clear" w:color="auto" w:fill="auto"/>
          </w:tcPr>
          <w:p w14:paraId="1CA839B7" w14:textId="77777777" w:rsidR="00C86927" w:rsidRPr="00C86927" w:rsidRDefault="00C86927" w:rsidP="00C86927">
            <w:pPr>
              <w:pStyle w:val="KeinLeerraum"/>
              <w:numPr>
                <w:ilvl w:val="0"/>
                <w:numId w:val="6"/>
              </w:numPr>
              <w:spacing w:line="276" w:lineRule="auto"/>
              <w:jc w:val="left"/>
              <w:rPr>
                <w:rFonts w:cstheme="minorHAnsi"/>
                <w:sz w:val="24"/>
                <w:szCs w:val="24"/>
              </w:rPr>
            </w:pPr>
            <w:r w:rsidRPr="00C86927">
              <w:rPr>
                <w:rFonts w:cstheme="minorHAnsi"/>
                <w:sz w:val="24"/>
                <w:szCs w:val="24"/>
              </w:rPr>
              <w:lastRenderedPageBreak/>
              <w:t>Experimental and quasi-experimental studies</w:t>
            </w:r>
          </w:p>
          <w:p w14:paraId="7CBAD3D4" w14:textId="77777777" w:rsidR="00C86927" w:rsidRPr="00C86927" w:rsidRDefault="00C86927" w:rsidP="00C86927">
            <w:pPr>
              <w:pStyle w:val="KeinLeerraum"/>
              <w:numPr>
                <w:ilvl w:val="0"/>
                <w:numId w:val="6"/>
              </w:numPr>
              <w:spacing w:line="276" w:lineRule="auto"/>
              <w:jc w:val="left"/>
              <w:rPr>
                <w:rFonts w:cstheme="minorHAnsi"/>
                <w:sz w:val="24"/>
                <w:szCs w:val="24"/>
                <w:lang w:val="en-GB"/>
              </w:rPr>
            </w:pPr>
            <w:r w:rsidRPr="00C86927">
              <w:rPr>
                <w:rFonts w:cstheme="minorHAnsi"/>
                <w:sz w:val="24"/>
                <w:szCs w:val="24"/>
                <w:lang w:val="en-GB"/>
              </w:rPr>
              <w:t>Qualitative studies (interviews, focus groups)</w:t>
            </w:r>
          </w:p>
          <w:p w14:paraId="265D6E9E" w14:textId="77777777" w:rsidR="00C86927" w:rsidRPr="00C86927" w:rsidRDefault="00C86927" w:rsidP="00C86927">
            <w:pPr>
              <w:pStyle w:val="Listenabsatz"/>
              <w:numPr>
                <w:ilvl w:val="0"/>
                <w:numId w:val="6"/>
              </w:numPr>
              <w:rPr>
                <w:rFonts w:asciiTheme="minorHAnsi" w:hAnsiTheme="minorHAnsi" w:cstheme="minorHAnsi"/>
                <w:sz w:val="24"/>
                <w:szCs w:val="24"/>
              </w:rPr>
            </w:pPr>
            <w:r w:rsidRPr="00C86927">
              <w:rPr>
                <w:rFonts w:asciiTheme="minorHAnsi" w:hAnsiTheme="minorHAnsi" w:cstheme="minorHAnsi"/>
                <w:sz w:val="24"/>
                <w:szCs w:val="24"/>
              </w:rPr>
              <w:lastRenderedPageBreak/>
              <w:t xml:space="preserve">Genetic tests / genetic / blood tests </w:t>
            </w:r>
          </w:p>
          <w:p w14:paraId="69696DF3" w14:textId="77777777" w:rsidR="00C86927" w:rsidRPr="00C86927" w:rsidRDefault="00C86927" w:rsidP="00C86927">
            <w:pPr>
              <w:pStyle w:val="Listenabsatz"/>
              <w:numPr>
                <w:ilvl w:val="0"/>
                <w:numId w:val="6"/>
              </w:numPr>
              <w:rPr>
                <w:rFonts w:asciiTheme="minorHAnsi" w:hAnsiTheme="minorHAnsi" w:cstheme="minorHAnsi"/>
                <w:sz w:val="24"/>
                <w:szCs w:val="24"/>
                <w:lang w:val="en-GB"/>
              </w:rPr>
            </w:pPr>
            <w:r w:rsidRPr="00C86927">
              <w:rPr>
                <w:rFonts w:asciiTheme="minorHAnsi" w:hAnsiTheme="minorHAnsi" w:cstheme="minorHAnsi"/>
                <w:sz w:val="24"/>
                <w:szCs w:val="24"/>
                <w:lang w:val="en-GB"/>
              </w:rPr>
              <w:t>Systematic reviews (and meta-analyses)</w:t>
            </w:r>
          </w:p>
          <w:p w14:paraId="0CABF938" w14:textId="77777777" w:rsidR="00C86927" w:rsidRPr="00C86927" w:rsidRDefault="00C86927" w:rsidP="00C86927">
            <w:pPr>
              <w:pStyle w:val="Listenabsatz"/>
              <w:numPr>
                <w:ilvl w:val="0"/>
                <w:numId w:val="6"/>
              </w:numPr>
              <w:rPr>
                <w:rFonts w:asciiTheme="minorHAnsi" w:hAnsiTheme="minorHAnsi" w:cstheme="minorHAnsi"/>
                <w:sz w:val="24"/>
                <w:szCs w:val="24"/>
                <w:lang w:val="en-US"/>
              </w:rPr>
            </w:pPr>
            <w:r w:rsidRPr="00C86927">
              <w:rPr>
                <w:rFonts w:asciiTheme="minorHAnsi" w:hAnsiTheme="minorHAnsi" w:cstheme="minorHAnsi"/>
                <w:sz w:val="24"/>
                <w:szCs w:val="24"/>
                <w:lang w:val="en-AU"/>
              </w:rPr>
              <w:t>Rapid reviews, scoping reviews, narrative reviews</w:t>
            </w:r>
          </w:p>
        </w:tc>
      </w:tr>
    </w:tbl>
    <w:p w14:paraId="438B6C6D" w14:textId="77777777" w:rsidR="00C86927" w:rsidRPr="00C86927" w:rsidRDefault="00C86927" w:rsidP="00C86927">
      <w:pPr>
        <w:rPr>
          <w:rFonts w:asciiTheme="minorHAnsi" w:hAnsiTheme="minorHAnsi" w:cstheme="minorHAnsi"/>
          <w:sz w:val="24"/>
          <w:szCs w:val="24"/>
          <w:highlight w:val="yellow"/>
          <w:lang w:val="en-GB"/>
        </w:rPr>
      </w:pPr>
    </w:p>
    <w:p w14:paraId="56CB7939" w14:textId="77777777" w:rsidR="00C86927" w:rsidRPr="00C86927" w:rsidRDefault="00C86927" w:rsidP="00C86927">
      <w:pPr>
        <w:rPr>
          <w:rFonts w:asciiTheme="minorHAnsi" w:hAnsiTheme="minorHAnsi" w:cstheme="minorHAnsi"/>
          <w:b/>
          <w:sz w:val="24"/>
          <w:szCs w:val="24"/>
        </w:rPr>
      </w:pPr>
      <w:r w:rsidRPr="00C86927">
        <w:rPr>
          <w:rFonts w:asciiTheme="minorHAnsi" w:hAnsiTheme="minorHAnsi" w:cstheme="minorHAnsi"/>
          <w:b/>
          <w:sz w:val="24"/>
          <w:szCs w:val="24"/>
        </w:rPr>
        <w:t>Decision criteria "Publication form"</w:t>
      </w:r>
    </w:p>
    <w:tbl>
      <w:tblPr>
        <w:tblStyle w:val="Tabellenraster"/>
        <w:tblW w:w="9180" w:type="dxa"/>
        <w:tblLayout w:type="fixed"/>
        <w:tblLook w:val="04A0" w:firstRow="1" w:lastRow="0" w:firstColumn="1" w:lastColumn="0" w:noHBand="0" w:noVBand="1"/>
      </w:tblPr>
      <w:tblGrid>
        <w:gridCol w:w="4590"/>
        <w:gridCol w:w="4590"/>
      </w:tblGrid>
      <w:tr w:rsidR="00C86927" w:rsidRPr="00C86927" w14:paraId="203F7A19" w14:textId="77777777" w:rsidTr="007B23A5">
        <w:tc>
          <w:tcPr>
            <w:tcW w:w="4590" w:type="dxa"/>
            <w:shd w:val="clear" w:color="auto" w:fill="95B3D7" w:themeFill="accent1" w:themeFillTint="99"/>
          </w:tcPr>
          <w:p w14:paraId="56F66190"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Inclusion criteria</w:t>
            </w:r>
          </w:p>
        </w:tc>
        <w:tc>
          <w:tcPr>
            <w:tcW w:w="4590" w:type="dxa"/>
            <w:shd w:val="clear" w:color="auto" w:fill="95B3D7" w:themeFill="accent1" w:themeFillTint="99"/>
          </w:tcPr>
          <w:p w14:paraId="4509B3B2" w14:textId="77777777" w:rsidR="00C86927" w:rsidRPr="00C86927" w:rsidRDefault="00C86927" w:rsidP="007B23A5">
            <w:pPr>
              <w:pStyle w:val="KeinLeerraum"/>
              <w:spacing w:line="276" w:lineRule="auto"/>
              <w:jc w:val="center"/>
              <w:rPr>
                <w:rFonts w:cstheme="minorHAnsi"/>
                <w:b/>
                <w:sz w:val="24"/>
                <w:szCs w:val="24"/>
              </w:rPr>
            </w:pPr>
            <w:r w:rsidRPr="00C86927">
              <w:rPr>
                <w:rFonts w:cstheme="minorHAnsi"/>
                <w:b/>
                <w:sz w:val="24"/>
                <w:szCs w:val="24"/>
              </w:rPr>
              <w:t>Exclusion criteria</w:t>
            </w:r>
          </w:p>
        </w:tc>
      </w:tr>
      <w:tr w:rsidR="00C86927" w:rsidRPr="00C86927" w14:paraId="66BD8BE8" w14:textId="77777777" w:rsidTr="007B23A5">
        <w:tc>
          <w:tcPr>
            <w:tcW w:w="4590" w:type="dxa"/>
          </w:tcPr>
          <w:p w14:paraId="3E3BE108" w14:textId="77777777" w:rsidR="00C86927" w:rsidRPr="00C86927" w:rsidRDefault="00C86927" w:rsidP="00C86927">
            <w:pPr>
              <w:pStyle w:val="KeinLeerraum"/>
              <w:numPr>
                <w:ilvl w:val="0"/>
                <w:numId w:val="6"/>
              </w:numPr>
              <w:spacing w:line="276" w:lineRule="auto"/>
              <w:jc w:val="left"/>
              <w:rPr>
                <w:rFonts w:cstheme="minorHAnsi"/>
                <w:sz w:val="24"/>
                <w:szCs w:val="24"/>
                <w:lang w:val="en-GB"/>
              </w:rPr>
            </w:pPr>
            <w:r w:rsidRPr="00C86927">
              <w:rPr>
                <w:rFonts w:cstheme="minorHAnsi"/>
                <w:sz w:val="24"/>
                <w:szCs w:val="24"/>
                <w:lang w:val="en-GB"/>
              </w:rPr>
              <w:t xml:space="preserve">Studies with data collection from 01.01.2013 in English or German </w:t>
            </w:r>
          </w:p>
          <w:p w14:paraId="1A34C27B" w14:textId="77777777" w:rsidR="00C86927" w:rsidRPr="00C86927" w:rsidRDefault="00C86927" w:rsidP="00C86927">
            <w:pPr>
              <w:pStyle w:val="KeinLeerraum"/>
              <w:numPr>
                <w:ilvl w:val="0"/>
                <w:numId w:val="6"/>
              </w:numPr>
              <w:spacing w:line="276" w:lineRule="auto"/>
              <w:jc w:val="left"/>
              <w:rPr>
                <w:rFonts w:cstheme="minorHAnsi"/>
                <w:sz w:val="24"/>
                <w:szCs w:val="24"/>
              </w:rPr>
            </w:pPr>
            <w:r w:rsidRPr="00C86927">
              <w:rPr>
                <w:rFonts w:cstheme="minorHAnsi"/>
                <w:sz w:val="24"/>
                <w:szCs w:val="24"/>
              </w:rPr>
              <w:t>Cohorts from 01.01.2013</w:t>
            </w:r>
          </w:p>
          <w:p w14:paraId="7515A29A" w14:textId="77777777" w:rsidR="00C86927" w:rsidRPr="00C86927" w:rsidRDefault="00C86927" w:rsidP="00C86927">
            <w:pPr>
              <w:pStyle w:val="KeinLeerraum"/>
              <w:numPr>
                <w:ilvl w:val="0"/>
                <w:numId w:val="6"/>
              </w:numPr>
              <w:spacing w:line="276" w:lineRule="auto"/>
              <w:jc w:val="left"/>
              <w:rPr>
                <w:rFonts w:cstheme="minorHAnsi"/>
                <w:sz w:val="24"/>
                <w:szCs w:val="24"/>
              </w:rPr>
            </w:pPr>
            <w:r w:rsidRPr="00C86927">
              <w:rPr>
                <w:rFonts w:cstheme="minorHAnsi"/>
                <w:sz w:val="24"/>
                <w:szCs w:val="24"/>
              </w:rPr>
              <w:t>Publication form:</w:t>
            </w:r>
          </w:p>
          <w:p w14:paraId="5A0BD771" w14:textId="77777777" w:rsidR="00C86927" w:rsidRPr="00C86927" w:rsidRDefault="00C86927" w:rsidP="00C86927">
            <w:pPr>
              <w:pStyle w:val="KeinLeerraum"/>
              <w:numPr>
                <w:ilvl w:val="0"/>
                <w:numId w:val="4"/>
              </w:numPr>
              <w:spacing w:line="276" w:lineRule="auto"/>
              <w:ind w:left="720"/>
              <w:jc w:val="left"/>
              <w:rPr>
                <w:rFonts w:cstheme="minorHAnsi"/>
                <w:sz w:val="24"/>
                <w:szCs w:val="24"/>
              </w:rPr>
            </w:pPr>
            <w:r w:rsidRPr="00C86927">
              <w:rPr>
                <w:rFonts w:cstheme="minorHAnsi"/>
                <w:sz w:val="24"/>
                <w:szCs w:val="24"/>
              </w:rPr>
              <w:t>Peer review</w:t>
            </w:r>
          </w:p>
          <w:p w14:paraId="135500AA" w14:textId="77777777" w:rsidR="00C86927" w:rsidRPr="00C86927" w:rsidRDefault="00C86927" w:rsidP="007B23A5">
            <w:pPr>
              <w:pStyle w:val="KeinLeerraum"/>
              <w:spacing w:line="276" w:lineRule="auto"/>
              <w:ind w:left="720"/>
              <w:jc w:val="left"/>
              <w:rPr>
                <w:rFonts w:cstheme="minorHAnsi"/>
                <w:sz w:val="24"/>
                <w:szCs w:val="24"/>
              </w:rPr>
            </w:pPr>
          </w:p>
          <w:p w14:paraId="3F0741D7" w14:textId="77777777" w:rsidR="00C86927" w:rsidRPr="00C86927" w:rsidRDefault="00C86927" w:rsidP="007B23A5">
            <w:pPr>
              <w:pStyle w:val="KeinLeerraum"/>
              <w:spacing w:line="276" w:lineRule="auto"/>
              <w:jc w:val="left"/>
              <w:rPr>
                <w:rFonts w:cstheme="minorHAnsi"/>
                <w:sz w:val="24"/>
                <w:szCs w:val="24"/>
              </w:rPr>
            </w:pPr>
          </w:p>
          <w:p w14:paraId="1475A4E8" w14:textId="77777777" w:rsidR="00C86927" w:rsidRPr="00C86927" w:rsidRDefault="00C86927" w:rsidP="007B23A5">
            <w:pPr>
              <w:pStyle w:val="KeinLeerraum"/>
              <w:spacing w:line="276" w:lineRule="auto"/>
              <w:ind w:left="360"/>
              <w:jc w:val="left"/>
              <w:rPr>
                <w:rFonts w:cstheme="minorHAnsi"/>
                <w:sz w:val="24"/>
                <w:szCs w:val="24"/>
              </w:rPr>
            </w:pPr>
          </w:p>
        </w:tc>
        <w:tc>
          <w:tcPr>
            <w:tcW w:w="4590" w:type="dxa"/>
          </w:tcPr>
          <w:p w14:paraId="00441CEB" w14:textId="77777777" w:rsidR="00C86927" w:rsidRPr="00C86927" w:rsidRDefault="00C86927" w:rsidP="00C86927">
            <w:pPr>
              <w:pStyle w:val="KeinLeerraum"/>
              <w:numPr>
                <w:ilvl w:val="0"/>
                <w:numId w:val="3"/>
              </w:numPr>
              <w:spacing w:line="276" w:lineRule="auto"/>
              <w:jc w:val="left"/>
              <w:rPr>
                <w:rFonts w:cstheme="minorHAnsi"/>
                <w:sz w:val="24"/>
                <w:szCs w:val="24"/>
              </w:rPr>
            </w:pPr>
            <w:r w:rsidRPr="00C86927">
              <w:rPr>
                <w:rFonts w:cstheme="minorHAnsi"/>
                <w:sz w:val="24"/>
                <w:szCs w:val="24"/>
              </w:rPr>
              <w:t>Preprints</w:t>
            </w:r>
          </w:p>
          <w:p w14:paraId="50162588" w14:textId="77777777" w:rsidR="00C86927" w:rsidRPr="00C86927" w:rsidRDefault="00C86927" w:rsidP="00C86927">
            <w:pPr>
              <w:pStyle w:val="KeinLeerraum"/>
              <w:numPr>
                <w:ilvl w:val="0"/>
                <w:numId w:val="3"/>
              </w:numPr>
              <w:spacing w:line="276" w:lineRule="auto"/>
              <w:jc w:val="left"/>
              <w:rPr>
                <w:rFonts w:cstheme="minorHAnsi"/>
                <w:sz w:val="24"/>
                <w:szCs w:val="24"/>
              </w:rPr>
            </w:pPr>
            <w:r w:rsidRPr="00C86927">
              <w:rPr>
                <w:rFonts w:cstheme="minorHAnsi"/>
                <w:sz w:val="24"/>
                <w:szCs w:val="24"/>
              </w:rPr>
              <w:t>Books, book chapters, book reviews</w:t>
            </w:r>
          </w:p>
          <w:p w14:paraId="7CAABB27" w14:textId="77777777" w:rsidR="00C86927" w:rsidRPr="00C86927" w:rsidRDefault="00C86927" w:rsidP="00C86927">
            <w:pPr>
              <w:pStyle w:val="KeinLeerraum"/>
              <w:numPr>
                <w:ilvl w:val="0"/>
                <w:numId w:val="3"/>
              </w:numPr>
              <w:spacing w:line="276" w:lineRule="auto"/>
              <w:jc w:val="left"/>
              <w:rPr>
                <w:rFonts w:cstheme="minorHAnsi"/>
                <w:sz w:val="24"/>
                <w:szCs w:val="24"/>
                <w:lang w:val="en-GB"/>
              </w:rPr>
            </w:pPr>
            <w:r w:rsidRPr="00C86927">
              <w:rPr>
                <w:rFonts w:cstheme="minorHAnsi"/>
                <w:sz w:val="24"/>
                <w:szCs w:val="24"/>
                <w:lang w:val="en-GB"/>
              </w:rPr>
              <w:t>Editorial, commentary, expert opinion, corrections, letters to the editor, statements</w:t>
            </w:r>
          </w:p>
          <w:p w14:paraId="3CDAD336" w14:textId="77777777" w:rsidR="00C86927" w:rsidRPr="00C86927" w:rsidRDefault="00C86927" w:rsidP="00C86927">
            <w:pPr>
              <w:pStyle w:val="KeinLeerraum"/>
              <w:numPr>
                <w:ilvl w:val="0"/>
                <w:numId w:val="3"/>
              </w:numPr>
              <w:spacing w:line="276" w:lineRule="auto"/>
              <w:jc w:val="left"/>
              <w:rPr>
                <w:rFonts w:cstheme="minorHAnsi"/>
                <w:sz w:val="24"/>
                <w:szCs w:val="24"/>
                <w:lang w:val="en-GB"/>
              </w:rPr>
            </w:pPr>
            <w:r w:rsidRPr="00C86927">
              <w:rPr>
                <w:rFonts w:cstheme="minorHAnsi"/>
                <w:sz w:val="24"/>
                <w:szCs w:val="24"/>
                <w:lang w:val="en-GB"/>
              </w:rPr>
              <w:t>Study protocols, guidelines, treatment protocols etc.</w:t>
            </w:r>
          </w:p>
          <w:p w14:paraId="31E584D4" w14:textId="77777777" w:rsidR="00C86927" w:rsidRPr="00C86927" w:rsidRDefault="00C86927" w:rsidP="00C86927">
            <w:pPr>
              <w:pStyle w:val="KeinLeerraum"/>
              <w:numPr>
                <w:ilvl w:val="0"/>
                <w:numId w:val="3"/>
              </w:numPr>
              <w:spacing w:line="276" w:lineRule="auto"/>
              <w:jc w:val="left"/>
              <w:rPr>
                <w:rFonts w:cstheme="minorHAnsi"/>
                <w:sz w:val="24"/>
                <w:szCs w:val="24"/>
              </w:rPr>
            </w:pPr>
            <w:r w:rsidRPr="00C86927">
              <w:rPr>
                <w:rFonts w:cstheme="minorHAnsi"/>
                <w:sz w:val="24"/>
                <w:szCs w:val="24"/>
              </w:rPr>
              <w:t>Introduction, Forewords</w:t>
            </w:r>
          </w:p>
          <w:p w14:paraId="4D25740F" w14:textId="77777777" w:rsidR="00C86927" w:rsidRPr="00C86927" w:rsidRDefault="00C86927" w:rsidP="00C86927">
            <w:pPr>
              <w:pStyle w:val="KeinLeerraum"/>
              <w:numPr>
                <w:ilvl w:val="0"/>
                <w:numId w:val="3"/>
              </w:numPr>
              <w:spacing w:line="276" w:lineRule="auto"/>
              <w:jc w:val="left"/>
              <w:rPr>
                <w:rFonts w:cstheme="minorHAnsi"/>
                <w:sz w:val="24"/>
                <w:szCs w:val="24"/>
              </w:rPr>
            </w:pPr>
            <w:r w:rsidRPr="00C86927">
              <w:rPr>
                <w:rFonts w:cstheme="minorHAnsi"/>
                <w:sz w:val="24"/>
                <w:szCs w:val="24"/>
              </w:rPr>
              <w:t>Popular science media</w:t>
            </w:r>
          </w:p>
          <w:p w14:paraId="30E24262" w14:textId="77777777" w:rsidR="00C86927" w:rsidRPr="00C86927" w:rsidRDefault="00C86927" w:rsidP="00C86927">
            <w:pPr>
              <w:pStyle w:val="KeinLeerraum"/>
              <w:keepNext/>
              <w:numPr>
                <w:ilvl w:val="0"/>
                <w:numId w:val="3"/>
              </w:numPr>
              <w:spacing w:line="276" w:lineRule="auto"/>
              <w:jc w:val="left"/>
              <w:rPr>
                <w:rFonts w:cstheme="minorHAnsi"/>
                <w:sz w:val="24"/>
                <w:szCs w:val="24"/>
              </w:rPr>
            </w:pPr>
            <w:r w:rsidRPr="00C86927">
              <w:rPr>
                <w:rFonts w:cstheme="minorHAnsi"/>
                <w:sz w:val="24"/>
                <w:szCs w:val="24"/>
              </w:rPr>
              <w:t xml:space="preserve">Only abstract available </w:t>
            </w:r>
          </w:p>
          <w:p w14:paraId="731988C2" w14:textId="77777777" w:rsidR="00C86927" w:rsidRPr="00C86927" w:rsidRDefault="00C86927" w:rsidP="007B23A5">
            <w:pPr>
              <w:pStyle w:val="KeinLeerraum"/>
              <w:keepNext/>
              <w:spacing w:line="276" w:lineRule="auto"/>
              <w:ind w:left="360"/>
              <w:jc w:val="left"/>
              <w:rPr>
                <w:rFonts w:cstheme="minorHAnsi"/>
                <w:sz w:val="24"/>
                <w:szCs w:val="24"/>
              </w:rPr>
            </w:pPr>
            <w:r w:rsidRPr="00C86927">
              <w:rPr>
                <w:rFonts w:cstheme="minorHAnsi"/>
                <w:sz w:val="24"/>
                <w:szCs w:val="24"/>
              </w:rPr>
              <w:t>e.g. workshops/ conference contributions</w:t>
            </w:r>
          </w:p>
          <w:p w14:paraId="35A06E8B" w14:textId="77777777" w:rsidR="00C86927" w:rsidRPr="00C86927" w:rsidRDefault="00C86927" w:rsidP="00C86927">
            <w:pPr>
              <w:pStyle w:val="KeinLeerraum"/>
              <w:keepNext/>
              <w:numPr>
                <w:ilvl w:val="0"/>
                <w:numId w:val="3"/>
              </w:numPr>
              <w:spacing w:line="276" w:lineRule="auto"/>
              <w:jc w:val="left"/>
              <w:rPr>
                <w:rFonts w:cstheme="minorHAnsi"/>
                <w:sz w:val="24"/>
                <w:szCs w:val="24"/>
              </w:rPr>
            </w:pPr>
            <w:r w:rsidRPr="00C86927">
              <w:rPr>
                <w:rFonts w:cstheme="minorHAnsi"/>
                <w:sz w:val="24"/>
                <w:szCs w:val="24"/>
              </w:rPr>
              <w:t>Dissertations</w:t>
            </w:r>
          </w:p>
        </w:tc>
      </w:tr>
    </w:tbl>
    <w:p w14:paraId="10AD3314" w14:textId="77777777" w:rsidR="00CE691E" w:rsidRPr="00C86927" w:rsidRDefault="00CE691E">
      <w:pPr>
        <w:rPr>
          <w:lang w:val="en-GB"/>
        </w:rPr>
      </w:pPr>
    </w:p>
    <w:p w14:paraId="5F8D3A0A" w14:textId="77777777" w:rsidR="00CE691E" w:rsidRDefault="00CE691E">
      <w:pPr>
        <w:rPr>
          <w:rFonts w:asciiTheme="minorHAnsi" w:hAnsiTheme="minorHAnsi" w:cstheme="minorHAnsi"/>
          <w:b/>
          <w:iCs/>
          <w:sz w:val="24"/>
          <w:szCs w:val="24"/>
          <w:lang w:val="en-GB"/>
        </w:rPr>
      </w:pPr>
      <w:r>
        <w:rPr>
          <w:rFonts w:asciiTheme="minorHAnsi" w:hAnsiTheme="minorHAnsi" w:cstheme="minorHAnsi"/>
          <w:b/>
          <w:i/>
          <w:sz w:val="24"/>
          <w:szCs w:val="24"/>
          <w:lang w:val="en-GB"/>
        </w:rPr>
        <w:br w:type="page"/>
      </w:r>
    </w:p>
    <w:p w14:paraId="47F87F2E" w14:textId="7A1272F3" w:rsidR="00C86927" w:rsidRPr="00C86927" w:rsidRDefault="00C86927" w:rsidP="00C86927">
      <w:pPr>
        <w:rPr>
          <w:rFonts w:asciiTheme="minorHAnsi" w:hAnsiTheme="minorHAnsi" w:cstheme="minorHAnsi"/>
          <w:b/>
          <w:color w:val="000000"/>
          <w:szCs w:val="24"/>
          <w:lang w:val="en-GB"/>
        </w:rPr>
      </w:pPr>
      <w:r w:rsidRPr="00C86927">
        <w:rPr>
          <w:rFonts w:asciiTheme="minorHAnsi" w:hAnsiTheme="minorHAnsi" w:cstheme="minorHAnsi"/>
          <w:b/>
          <w:color w:val="000000"/>
          <w:szCs w:val="24"/>
          <w:lang w:val="en-GB"/>
        </w:rPr>
        <w:lastRenderedPageBreak/>
        <w:t xml:space="preserve">SC </w:t>
      </w:r>
      <w:r w:rsidR="004A2FCA">
        <w:rPr>
          <w:rFonts w:asciiTheme="minorHAnsi" w:hAnsiTheme="minorHAnsi" w:cstheme="minorHAnsi"/>
          <w:b/>
          <w:color w:val="000000"/>
          <w:szCs w:val="24"/>
          <w:lang w:val="en-GB"/>
        </w:rPr>
        <w:t>4</w:t>
      </w:r>
    </w:p>
    <w:p w14:paraId="2333D09E" w14:textId="77777777" w:rsidR="00C86927" w:rsidRPr="00C86927" w:rsidRDefault="00C86927" w:rsidP="00C86927">
      <w:pPr>
        <w:rPr>
          <w:rFonts w:asciiTheme="minorHAnsi" w:hAnsiTheme="minorHAnsi" w:cstheme="minorHAnsi"/>
          <w:b/>
          <w:color w:val="000000"/>
          <w:szCs w:val="24"/>
          <w:lang w:val="en-GB"/>
        </w:rPr>
      </w:pPr>
      <w:r w:rsidRPr="00C86927">
        <w:rPr>
          <w:rFonts w:asciiTheme="minorHAnsi" w:hAnsiTheme="minorHAnsi" w:cstheme="minorHAnsi"/>
          <w:b/>
          <w:color w:val="000000"/>
          <w:szCs w:val="24"/>
          <w:lang w:val="en-GB"/>
        </w:rPr>
        <w:t>Fulltext screening: Excluded studies and reasons for exclusion</w:t>
      </w:r>
    </w:p>
    <w:p w14:paraId="15D70D20" w14:textId="77777777" w:rsidR="00D04FDA" w:rsidRPr="00C86927" w:rsidRDefault="00D04FDA">
      <w:pPr>
        <w:rPr>
          <w:lang w:val="en-GB"/>
        </w:rPr>
      </w:pPr>
    </w:p>
    <w:tbl>
      <w:tblPr>
        <w:tblStyle w:val="Tabellenraster"/>
        <w:tblW w:w="9180" w:type="dxa"/>
        <w:tblLook w:val="04A0" w:firstRow="1" w:lastRow="0" w:firstColumn="1" w:lastColumn="0" w:noHBand="0" w:noVBand="1"/>
      </w:tblPr>
      <w:tblGrid>
        <w:gridCol w:w="421"/>
        <w:gridCol w:w="7465"/>
        <w:gridCol w:w="1294"/>
      </w:tblGrid>
      <w:tr w:rsidR="002016B8" w:rsidRPr="00D41829" w14:paraId="3E9BFF6D" w14:textId="77777777" w:rsidTr="0040370E">
        <w:tc>
          <w:tcPr>
            <w:tcW w:w="421" w:type="dxa"/>
            <w:shd w:val="clear" w:color="auto" w:fill="D9D9D9" w:themeFill="background1" w:themeFillShade="D9"/>
          </w:tcPr>
          <w:p w14:paraId="761F424A" w14:textId="77777777" w:rsidR="002016B8" w:rsidRPr="00D41829" w:rsidRDefault="002016B8" w:rsidP="007B23A5">
            <w:pPr>
              <w:rPr>
                <w:rFonts w:cs="Arial"/>
                <w:b/>
                <w:szCs w:val="22"/>
              </w:rPr>
            </w:pPr>
            <w:r w:rsidRPr="00D41829">
              <w:rPr>
                <w:rFonts w:cs="Arial"/>
                <w:b/>
                <w:szCs w:val="22"/>
              </w:rPr>
              <w:t>#</w:t>
            </w:r>
          </w:p>
        </w:tc>
        <w:tc>
          <w:tcPr>
            <w:tcW w:w="7465" w:type="dxa"/>
            <w:shd w:val="clear" w:color="auto" w:fill="D9D9D9" w:themeFill="background1" w:themeFillShade="D9"/>
          </w:tcPr>
          <w:p w14:paraId="283EFD88" w14:textId="77777777" w:rsidR="002016B8" w:rsidRPr="00D41829" w:rsidRDefault="002016B8" w:rsidP="007B23A5">
            <w:pPr>
              <w:rPr>
                <w:rFonts w:cs="Arial"/>
                <w:b/>
                <w:szCs w:val="22"/>
              </w:rPr>
            </w:pPr>
            <w:r w:rsidRPr="00D41829">
              <w:rPr>
                <w:rFonts w:cs="Arial"/>
                <w:b/>
                <w:szCs w:val="22"/>
              </w:rPr>
              <w:t>Study</w:t>
            </w:r>
          </w:p>
        </w:tc>
        <w:tc>
          <w:tcPr>
            <w:tcW w:w="1294" w:type="dxa"/>
            <w:tcBorders>
              <w:bottom w:val="single" w:sz="4" w:space="0" w:color="auto"/>
            </w:tcBorders>
            <w:shd w:val="clear" w:color="auto" w:fill="D9D9D9" w:themeFill="background1" w:themeFillShade="D9"/>
          </w:tcPr>
          <w:p w14:paraId="13910C92" w14:textId="77777777" w:rsidR="002016B8" w:rsidRPr="00D41829" w:rsidRDefault="002016B8" w:rsidP="007B23A5">
            <w:pPr>
              <w:spacing w:after="120"/>
              <w:rPr>
                <w:rFonts w:cs="Arial"/>
                <w:i/>
                <w:szCs w:val="22"/>
              </w:rPr>
            </w:pPr>
            <w:r w:rsidRPr="00D41829">
              <w:rPr>
                <w:rFonts w:cs="Arial"/>
                <w:b/>
                <w:szCs w:val="22"/>
              </w:rPr>
              <w:t xml:space="preserve">Reason for exclusion </w:t>
            </w:r>
          </w:p>
        </w:tc>
      </w:tr>
      <w:tr w:rsidR="002016B8" w:rsidRPr="0023076A" w14:paraId="54F03C5B" w14:textId="77777777" w:rsidTr="0040370E">
        <w:tc>
          <w:tcPr>
            <w:tcW w:w="421" w:type="dxa"/>
          </w:tcPr>
          <w:p w14:paraId="01A2CFE5" w14:textId="77777777" w:rsidR="002016B8" w:rsidRPr="00D41829" w:rsidRDefault="002016B8" w:rsidP="002016B8">
            <w:pPr>
              <w:pStyle w:val="Listenabsatz"/>
              <w:numPr>
                <w:ilvl w:val="0"/>
                <w:numId w:val="2"/>
              </w:numPr>
              <w:tabs>
                <w:tab w:val="left" w:pos="997"/>
              </w:tabs>
              <w:rPr>
                <w:rFonts w:cs="Arial"/>
                <w:szCs w:val="22"/>
                <w:lang w:val="en-GB"/>
              </w:rPr>
            </w:pPr>
          </w:p>
        </w:tc>
        <w:tc>
          <w:tcPr>
            <w:tcW w:w="7465" w:type="dxa"/>
          </w:tcPr>
          <w:p w14:paraId="5E0E28C1" w14:textId="77777777" w:rsidR="002016B8" w:rsidRPr="0023076A" w:rsidRDefault="0023076A" w:rsidP="001F44BC">
            <w:pPr>
              <w:pStyle w:val="CitaviBibliographyEntry"/>
              <w:ind w:left="146" w:hanging="142"/>
              <w:jc w:val="both"/>
              <w:rPr>
                <w:rFonts w:asciiTheme="minorHAnsi" w:hAnsiTheme="minorHAnsi" w:cstheme="minorHAnsi"/>
                <w:sz w:val="24"/>
                <w:szCs w:val="24"/>
              </w:rPr>
            </w:pPr>
            <w:bookmarkStart w:id="1" w:name="_CTVL0019e11c83f1bd14a7a8c13a6360747a838"/>
            <w:r w:rsidRPr="0023076A">
              <w:rPr>
                <w:rFonts w:asciiTheme="minorHAnsi" w:hAnsiTheme="minorHAnsi" w:cstheme="minorHAnsi"/>
                <w:sz w:val="24"/>
                <w:szCs w:val="24"/>
              </w:rPr>
              <w:t>Neufeld KJ, Leoutsakos J-MS, Yan H, et al. Fatigue Symptoms During the First Year Following ARDS.</w:t>
            </w:r>
            <w:bookmarkEnd w:id="1"/>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Chest</w:t>
            </w:r>
            <w:r w:rsidRPr="0023076A">
              <w:rPr>
                <w:rFonts w:asciiTheme="minorHAnsi" w:hAnsiTheme="minorHAnsi" w:cstheme="minorHAnsi"/>
                <w:sz w:val="24"/>
                <w:szCs w:val="24"/>
              </w:rPr>
              <w:t>. 2020;158(3):999-1007. doi:10.1016/j.chest.2020.03.059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03E6687" w14:textId="77777777" w:rsidR="002016B8" w:rsidRPr="001F44BC" w:rsidRDefault="0040370E" w:rsidP="001F44BC">
            <w:pPr>
              <w:pStyle w:val="StandardWeb"/>
              <w:rPr>
                <w:rFonts w:asciiTheme="minorHAnsi" w:hAnsiTheme="minorHAnsi" w:cstheme="minorHAnsi"/>
                <w:lang w:val="en-GB"/>
              </w:rPr>
            </w:pPr>
            <w:r w:rsidRPr="001F44BC">
              <w:rPr>
                <w:rFonts w:asciiTheme="minorHAnsi" w:hAnsiTheme="minorHAnsi" w:cstheme="minorHAnsi"/>
                <w:bCs/>
                <w:lang w:val="en-GB"/>
              </w:rPr>
              <w:t>2</w:t>
            </w:r>
          </w:p>
        </w:tc>
      </w:tr>
      <w:tr w:rsidR="002016B8" w:rsidRPr="002016B8" w14:paraId="6147C0AA" w14:textId="77777777" w:rsidTr="0040370E">
        <w:tc>
          <w:tcPr>
            <w:tcW w:w="421" w:type="dxa"/>
          </w:tcPr>
          <w:p w14:paraId="1F485DCE" w14:textId="77777777" w:rsidR="002016B8" w:rsidRPr="00D41829" w:rsidRDefault="002016B8" w:rsidP="002016B8">
            <w:pPr>
              <w:pStyle w:val="Listenabsatz"/>
              <w:numPr>
                <w:ilvl w:val="0"/>
                <w:numId w:val="2"/>
              </w:numPr>
              <w:rPr>
                <w:rFonts w:cs="Arial"/>
                <w:szCs w:val="22"/>
                <w:lang w:val="en-GB"/>
              </w:rPr>
            </w:pPr>
          </w:p>
        </w:tc>
        <w:tc>
          <w:tcPr>
            <w:tcW w:w="7465" w:type="dxa"/>
          </w:tcPr>
          <w:p w14:paraId="36436D25"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2" w:name="_CTVL001fe7aafca292a4bcb8963c232b8d9a2fa"/>
            <w:r w:rsidRPr="0023076A">
              <w:rPr>
                <w:rFonts w:asciiTheme="minorHAnsi" w:hAnsiTheme="minorHAnsi" w:cstheme="minorHAnsi"/>
                <w:sz w:val="24"/>
                <w:szCs w:val="24"/>
              </w:rPr>
              <w:t>Nanwani-Nanwani K, López-Pérez L, Giménez-Esparza C, et al. Prevalence of post-intensive care syndrome in mechanically ventilated patients with COVID-19.</w:t>
            </w:r>
            <w:bookmarkEnd w:id="2"/>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Sci Rep</w:t>
            </w:r>
            <w:r w:rsidRPr="0023076A">
              <w:rPr>
                <w:rFonts w:asciiTheme="minorHAnsi" w:hAnsiTheme="minorHAnsi" w:cstheme="minorHAnsi"/>
                <w:sz w:val="24"/>
                <w:szCs w:val="24"/>
              </w:rPr>
              <w:t>. 2022;12(1):7977. doi:10.1038/s41598-022-11929-8</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3BEFEF4" w14:textId="77777777" w:rsidR="002016B8" w:rsidRPr="001F44BC" w:rsidRDefault="0040370E" w:rsidP="001F44BC">
            <w:pPr>
              <w:pStyle w:val="StandardWeb"/>
              <w:rPr>
                <w:rFonts w:asciiTheme="minorHAnsi" w:hAnsiTheme="minorHAnsi" w:cstheme="minorHAnsi"/>
              </w:rPr>
            </w:pPr>
            <w:r w:rsidRPr="001F44BC">
              <w:rPr>
                <w:rFonts w:asciiTheme="minorHAnsi" w:hAnsiTheme="minorHAnsi" w:cstheme="minorHAnsi"/>
                <w:bCs/>
              </w:rPr>
              <w:t>5</w:t>
            </w:r>
          </w:p>
        </w:tc>
      </w:tr>
      <w:tr w:rsidR="002016B8" w:rsidRPr="002016B8" w14:paraId="507297D1" w14:textId="77777777" w:rsidTr="0040370E">
        <w:tc>
          <w:tcPr>
            <w:tcW w:w="421" w:type="dxa"/>
          </w:tcPr>
          <w:p w14:paraId="18B7146C" w14:textId="77777777" w:rsidR="002016B8" w:rsidRPr="00D41829" w:rsidRDefault="002016B8" w:rsidP="002016B8">
            <w:pPr>
              <w:pStyle w:val="Listenabsatz"/>
              <w:numPr>
                <w:ilvl w:val="0"/>
                <w:numId w:val="2"/>
              </w:numPr>
              <w:rPr>
                <w:rFonts w:cs="Arial"/>
                <w:szCs w:val="22"/>
                <w:lang w:val="en-GB"/>
              </w:rPr>
            </w:pPr>
          </w:p>
        </w:tc>
        <w:tc>
          <w:tcPr>
            <w:tcW w:w="7465" w:type="dxa"/>
          </w:tcPr>
          <w:p w14:paraId="429744D5" w14:textId="77777777" w:rsidR="002016B8" w:rsidRPr="0023076A" w:rsidRDefault="0023076A" w:rsidP="0023076A">
            <w:pPr>
              <w:keepNext/>
              <w:keepLines/>
              <w:autoSpaceDE w:val="0"/>
              <w:autoSpaceDN w:val="0"/>
              <w:adjustRightInd w:val="0"/>
              <w:ind w:left="146" w:hanging="142"/>
              <w:contextualSpacing/>
              <w:jc w:val="both"/>
              <w:rPr>
                <w:rFonts w:asciiTheme="minorHAnsi" w:hAnsiTheme="minorHAnsi" w:cstheme="minorHAnsi"/>
                <w:sz w:val="24"/>
                <w:szCs w:val="24"/>
                <w:lang w:val="en-GB"/>
              </w:rPr>
            </w:pPr>
            <w:bookmarkStart w:id="3" w:name="_CTVL00152f1bbe0e47946749276372390b681d1"/>
            <w:r w:rsidRPr="0023076A">
              <w:rPr>
                <w:rFonts w:asciiTheme="minorHAnsi" w:hAnsiTheme="minorHAnsi" w:cstheme="minorHAnsi"/>
                <w:sz w:val="24"/>
                <w:szCs w:val="24"/>
                <w:lang w:val="en-GB"/>
              </w:rPr>
              <w:t>Nelliot A, Dinglas VD, O’Toole J, et al. Acute Respiratory Failure Survivors’ Physical, Cognitive, and Mental Health Outcomes: Quantitative Measures versus Semistructured Interviews.</w:t>
            </w:r>
            <w:bookmarkEnd w:id="3"/>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Ann Am Thorac Soc</w:t>
            </w:r>
            <w:r w:rsidRPr="0023076A">
              <w:rPr>
                <w:rFonts w:asciiTheme="minorHAnsi" w:hAnsiTheme="minorHAnsi" w:cstheme="minorHAnsi"/>
                <w:sz w:val="24"/>
                <w:szCs w:val="24"/>
                <w:lang w:val="en-GB"/>
              </w:rPr>
              <w:t>. 2019;16(6):731-737. doi:10.1513/AnnalsATS.201812-851OC</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03871CD"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1</w:t>
            </w:r>
          </w:p>
        </w:tc>
      </w:tr>
      <w:tr w:rsidR="002016B8" w:rsidRPr="002016B8" w14:paraId="672D6E1C" w14:textId="77777777" w:rsidTr="0040370E">
        <w:tc>
          <w:tcPr>
            <w:tcW w:w="421" w:type="dxa"/>
          </w:tcPr>
          <w:p w14:paraId="57371EAA" w14:textId="77777777" w:rsidR="002016B8" w:rsidRPr="00D41829" w:rsidRDefault="002016B8" w:rsidP="002016B8">
            <w:pPr>
              <w:pStyle w:val="Listenabsatz"/>
              <w:numPr>
                <w:ilvl w:val="0"/>
                <w:numId w:val="2"/>
              </w:numPr>
              <w:rPr>
                <w:rFonts w:cs="Arial"/>
                <w:szCs w:val="22"/>
                <w:lang w:val="en-GB"/>
              </w:rPr>
            </w:pPr>
          </w:p>
        </w:tc>
        <w:tc>
          <w:tcPr>
            <w:tcW w:w="7465" w:type="dxa"/>
          </w:tcPr>
          <w:p w14:paraId="78A0559E"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 w:name="_CTVL00106c5e17eb0944a9095c4a6bb9f0bd8d3"/>
            <w:r w:rsidRPr="0023076A">
              <w:rPr>
                <w:rFonts w:asciiTheme="minorHAnsi" w:hAnsiTheme="minorHAnsi" w:cstheme="minorHAnsi"/>
                <w:sz w:val="24"/>
                <w:szCs w:val="24"/>
              </w:rPr>
              <w:t xml:space="preserve">Needham DM, Colantuoni E, Dinglas VD, et al. </w:t>
            </w:r>
            <w:r w:rsidRPr="0023076A">
              <w:rPr>
                <w:rFonts w:asciiTheme="minorHAnsi" w:hAnsiTheme="minorHAnsi" w:cstheme="minorHAnsi"/>
                <w:sz w:val="24"/>
                <w:szCs w:val="24"/>
                <w:lang w:val="en-GB"/>
              </w:rPr>
              <w:t>Rosuvastatin versus placebo for delirium in intensive care and subsequent cognitive impairment in patients with sepsis-associated acute respiratory distress syndrome: an ancillary study to a randomised controlled trial.</w:t>
            </w:r>
            <w:bookmarkEnd w:id="4"/>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Lancet Respir Med</w:t>
            </w:r>
            <w:r w:rsidRPr="0023076A">
              <w:rPr>
                <w:rFonts w:asciiTheme="minorHAnsi" w:hAnsiTheme="minorHAnsi" w:cstheme="minorHAnsi"/>
                <w:sz w:val="24"/>
                <w:szCs w:val="24"/>
                <w:lang w:val="en-GB"/>
              </w:rPr>
              <w:t>. 2016;4(3):203-212. doi:10.1016/S2213-2600(16)00005-9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3A0183E3"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016B8" w14:paraId="4B12B1F4" w14:textId="77777777" w:rsidTr="0040370E">
        <w:tc>
          <w:tcPr>
            <w:tcW w:w="421" w:type="dxa"/>
          </w:tcPr>
          <w:p w14:paraId="54E60F6C" w14:textId="77777777" w:rsidR="002016B8" w:rsidRPr="00D41829" w:rsidRDefault="002016B8" w:rsidP="002016B8">
            <w:pPr>
              <w:pStyle w:val="Listenabsatz"/>
              <w:numPr>
                <w:ilvl w:val="0"/>
                <w:numId w:val="2"/>
              </w:numPr>
              <w:rPr>
                <w:rFonts w:cs="Arial"/>
                <w:szCs w:val="22"/>
                <w:lang w:val="en-GB"/>
              </w:rPr>
            </w:pPr>
          </w:p>
        </w:tc>
        <w:tc>
          <w:tcPr>
            <w:tcW w:w="7465" w:type="dxa"/>
          </w:tcPr>
          <w:p w14:paraId="18EA879D"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5" w:name="_CTVL001639746d84ad4412e8270476164f79af3"/>
            <w:r w:rsidRPr="0023076A">
              <w:rPr>
                <w:rFonts w:asciiTheme="minorHAnsi" w:hAnsiTheme="minorHAnsi" w:cstheme="minorHAnsi"/>
                <w:sz w:val="24"/>
                <w:szCs w:val="24"/>
              </w:rPr>
              <w:t xml:space="preserve">Needham DM, Dinglas VD, Bienvenu OJ, et al. </w:t>
            </w:r>
            <w:r w:rsidRPr="0023076A">
              <w:rPr>
                <w:rFonts w:asciiTheme="minorHAnsi" w:hAnsiTheme="minorHAnsi" w:cstheme="minorHAnsi"/>
                <w:sz w:val="24"/>
                <w:szCs w:val="24"/>
                <w:lang w:val="en-GB"/>
              </w:rPr>
              <w:t>One year outcomes in patients with acute lung injury randomised to initial trophic or full enteral feeding: prospective follow-up of EDEN randomised trial.</w:t>
            </w:r>
            <w:bookmarkEnd w:id="5"/>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BMJ</w:t>
            </w:r>
            <w:r w:rsidRPr="0023076A">
              <w:rPr>
                <w:rFonts w:asciiTheme="minorHAnsi" w:hAnsiTheme="minorHAnsi" w:cstheme="minorHAnsi"/>
                <w:sz w:val="24"/>
                <w:szCs w:val="24"/>
                <w:lang w:val="en-GB"/>
              </w:rPr>
              <w:t>. 2013;346:f1532. doi:10.1136/bmj.f1532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786162A8"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472F7E17" w14:textId="77777777" w:rsidTr="0040370E">
        <w:tc>
          <w:tcPr>
            <w:tcW w:w="421" w:type="dxa"/>
          </w:tcPr>
          <w:p w14:paraId="2741BF46" w14:textId="77777777" w:rsidR="002016B8" w:rsidRPr="00D41829" w:rsidRDefault="002016B8" w:rsidP="002016B8">
            <w:pPr>
              <w:pStyle w:val="Listenabsatz"/>
              <w:numPr>
                <w:ilvl w:val="0"/>
                <w:numId w:val="2"/>
              </w:numPr>
              <w:rPr>
                <w:rFonts w:cs="Arial"/>
                <w:szCs w:val="22"/>
                <w:lang w:val="en-GB"/>
              </w:rPr>
            </w:pPr>
          </w:p>
        </w:tc>
        <w:tc>
          <w:tcPr>
            <w:tcW w:w="7465" w:type="dxa"/>
          </w:tcPr>
          <w:p w14:paraId="2053ADE8"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 w:name="_CTVL0016c3744519a064d9aaca2ad8ef6176485"/>
            <w:r w:rsidRPr="0023076A">
              <w:rPr>
                <w:rFonts w:asciiTheme="minorHAnsi" w:hAnsiTheme="minorHAnsi" w:cstheme="minorHAnsi"/>
                <w:sz w:val="24"/>
                <w:szCs w:val="24"/>
                <w:lang w:val="en-GB"/>
              </w:rPr>
              <w:t>Needham DM, Dinglas VD, Morris PE, et al. Physical and cognitive performance of patients with acute lung injury 1 year after initial trophic versus full enteral feeding. EDEN trial follow-up.</w:t>
            </w:r>
            <w:bookmarkEnd w:id="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Am J Respir Crit Care Med</w:t>
            </w:r>
            <w:r w:rsidRPr="0023076A">
              <w:rPr>
                <w:rFonts w:asciiTheme="minorHAnsi" w:hAnsiTheme="minorHAnsi" w:cstheme="minorHAnsi"/>
                <w:sz w:val="24"/>
                <w:szCs w:val="24"/>
                <w:lang w:val="en-GB"/>
              </w:rPr>
              <w:t>. 2013;188(5):567-576. doi:10.1164/rccm.201304-0651OC</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5437014"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48D16F80" w14:textId="77777777" w:rsidTr="0040370E">
        <w:tc>
          <w:tcPr>
            <w:tcW w:w="421" w:type="dxa"/>
          </w:tcPr>
          <w:p w14:paraId="0405157F" w14:textId="77777777" w:rsidR="002016B8" w:rsidRPr="00D41829" w:rsidRDefault="002016B8" w:rsidP="002016B8">
            <w:pPr>
              <w:pStyle w:val="Listenabsatz"/>
              <w:numPr>
                <w:ilvl w:val="0"/>
                <w:numId w:val="2"/>
              </w:numPr>
              <w:rPr>
                <w:rFonts w:cs="Arial"/>
                <w:szCs w:val="22"/>
                <w:lang w:val="en-GB"/>
              </w:rPr>
            </w:pPr>
          </w:p>
        </w:tc>
        <w:tc>
          <w:tcPr>
            <w:tcW w:w="7465" w:type="dxa"/>
          </w:tcPr>
          <w:p w14:paraId="52165425"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7" w:name="_CTVL0016ecb744e53ba4acca83f73ab954b224a"/>
            <w:r w:rsidRPr="0023076A">
              <w:rPr>
                <w:rFonts w:asciiTheme="minorHAnsi" w:hAnsiTheme="minorHAnsi" w:cstheme="minorHAnsi"/>
                <w:sz w:val="24"/>
                <w:szCs w:val="24"/>
                <w:lang w:val="en-GB"/>
              </w:rPr>
              <w:t>Oh TK, Park HY, Song I-A. Factors associated with delirium among survivors of acute respiratory distress syndrome: a nationwide cohort study.</w:t>
            </w:r>
            <w:bookmarkEnd w:id="7"/>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BMC Pulm Med</w:t>
            </w:r>
            <w:r w:rsidRPr="0023076A">
              <w:rPr>
                <w:rFonts w:asciiTheme="minorHAnsi" w:hAnsiTheme="minorHAnsi" w:cstheme="minorHAnsi"/>
                <w:sz w:val="24"/>
                <w:szCs w:val="24"/>
                <w:lang w:val="en-GB"/>
              </w:rPr>
              <w:t>. 2021;21(1):341. doi:10.1186/s12890-021-01714-0</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3DA6F352"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40A9D220" w14:textId="77777777" w:rsidTr="0040370E">
        <w:tc>
          <w:tcPr>
            <w:tcW w:w="421" w:type="dxa"/>
          </w:tcPr>
          <w:p w14:paraId="25AF4BC2" w14:textId="77777777" w:rsidR="002016B8" w:rsidRPr="00D41829" w:rsidRDefault="002016B8" w:rsidP="002016B8">
            <w:pPr>
              <w:pStyle w:val="Listenabsatz"/>
              <w:numPr>
                <w:ilvl w:val="0"/>
                <w:numId w:val="2"/>
              </w:numPr>
              <w:rPr>
                <w:rFonts w:cs="Arial"/>
                <w:szCs w:val="22"/>
                <w:lang w:val="en-GB"/>
              </w:rPr>
            </w:pPr>
          </w:p>
        </w:tc>
        <w:tc>
          <w:tcPr>
            <w:tcW w:w="7465" w:type="dxa"/>
          </w:tcPr>
          <w:p w14:paraId="50FA052D"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8" w:name="_CTVL001bdf96f2b073a4da88b52c415fbd19034"/>
            <w:r w:rsidRPr="0023076A">
              <w:rPr>
                <w:rFonts w:asciiTheme="minorHAnsi" w:hAnsiTheme="minorHAnsi" w:cstheme="minorHAnsi"/>
                <w:sz w:val="24"/>
                <w:szCs w:val="24"/>
              </w:rPr>
              <w:t xml:space="preserve">Ofoma UR, Reriani MK, Biehl M, et al. </w:t>
            </w:r>
            <w:r w:rsidRPr="0023076A">
              <w:rPr>
                <w:rFonts w:asciiTheme="minorHAnsi" w:hAnsiTheme="minorHAnsi" w:cstheme="minorHAnsi"/>
                <w:sz w:val="24"/>
                <w:szCs w:val="24"/>
                <w:lang w:val="en-GB"/>
              </w:rPr>
              <w:t>Neuromuscular and neuropsychological assessments in survivors of acute respiratory distress syndrome: exploratory comparisons with an at-risk cohort.</w:t>
            </w:r>
            <w:bookmarkEnd w:id="8"/>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Neurocrit Care</w:t>
            </w:r>
            <w:r w:rsidRPr="0023076A">
              <w:rPr>
                <w:rFonts w:asciiTheme="minorHAnsi" w:hAnsiTheme="minorHAnsi" w:cstheme="minorHAnsi"/>
                <w:sz w:val="24"/>
                <w:szCs w:val="24"/>
                <w:lang w:val="en-GB"/>
              </w:rPr>
              <w:t>. 2015;22(3):395-402. doi:10.1007/s12028-014-0087-4</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22A575ED"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2C46048A" w14:textId="77777777" w:rsidTr="0040370E">
        <w:tc>
          <w:tcPr>
            <w:tcW w:w="421" w:type="dxa"/>
          </w:tcPr>
          <w:p w14:paraId="4DEEE4F9" w14:textId="77777777" w:rsidR="002016B8" w:rsidRPr="00D41829" w:rsidRDefault="002016B8" w:rsidP="002016B8">
            <w:pPr>
              <w:pStyle w:val="Listenabsatz"/>
              <w:numPr>
                <w:ilvl w:val="0"/>
                <w:numId w:val="2"/>
              </w:numPr>
              <w:rPr>
                <w:rFonts w:cs="Arial"/>
                <w:szCs w:val="22"/>
                <w:lang w:val="en-GB"/>
              </w:rPr>
            </w:pPr>
          </w:p>
        </w:tc>
        <w:tc>
          <w:tcPr>
            <w:tcW w:w="7465" w:type="dxa"/>
          </w:tcPr>
          <w:p w14:paraId="60D30C02"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9" w:name="_CTVL0019af01195c6c447788a160d62fedf7ae9"/>
            <w:r w:rsidRPr="0023076A">
              <w:rPr>
                <w:rFonts w:asciiTheme="minorHAnsi" w:hAnsiTheme="minorHAnsi" w:cstheme="minorHAnsi"/>
                <w:sz w:val="24"/>
                <w:szCs w:val="24"/>
              </w:rPr>
              <w:t>Norman BC, Jackson JC, Graves JA, et al. Employment Outcomes After Critical Illness: An Analysis of the Bringing to Light the Risk Factors and Incidence of Neuropsychological Dysfunction in ICU Survivors Cohort.</w:t>
            </w:r>
            <w:bookmarkEnd w:id="9"/>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Crit Care Med</w:t>
            </w:r>
            <w:r w:rsidRPr="0023076A">
              <w:rPr>
                <w:rFonts w:asciiTheme="minorHAnsi" w:hAnsiTheme="minorHAnsi" w:cstheme="minorHAnsi"/>
                <w:sz w:val="24"/>
                <w:szCs w:val="24"/>
              </w:rPr>
              <w:t>. 2016;44(11):2003-2009. doi:10.1097/CCM.0000000000001849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B80839E"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2, 5</w:t>
            </w:r>
          </w:p>
        </w:tc>
      </w:tr>
      <w:tr w:rsidR="002016B8" w:rsidRPr="0023076A" w14:paraId="385CF9EF" w14:textId="77777777" w:rsidTr="0040370E">
        <w:tc>
          <w:tcPr>
            <w:tcW w:w="421" w:type="dxa"/>
          </w:tcPr>
          <w:p w14:paraId="1528E832" w14:textId="77777777" w:rsidR="002016B8" w:rsidRPr="00D41829" w:rsidRDefault="002016B8" w:rsidP="002016B8">
            <w:pPr>
              <w:pStyle w:val="Listenabsatz"/>
              <w:numPr>
                <w:ilvl w:val="0"/>
                <w:numId w:val="2"/>
              </w:numPr>
              <w:rPr>
                <w:rFonts w:cs="Arial"/>
                <w:szCs w:val="22"/>
                <w:lang w:val="en-GB"/>
              </w:rPr>
            </w:pPr>
          </w:p>
        </w:tc>
        <w:tc>
          <w:tcPr>
            <w:tcW w:w="7465" w:type="dxa"/>
          </w:tcPr>
          <w:p w14:paraId="5D607345" w14:textId="77777777" w:rsidR="002016B8" w:rsidRPr="0023076A" w:rsidRDefault="0023076A" w:rsidP="0023076A">
            <w:pPr>
              <w:pStyle w:val="CitaviBibliographyEntry"/>
              <w:tabs>
                <w:tab w:val="clear" w:pos="340"/>
                <w:tab w:val="left" w:pos="0"/>
              </w:tabs>
              <w:ind w:left="146" w:hanging="142"/>
              <w:jc w:val="both"/>
              <w:rPr>
                <w:rFonts w:asciiTheme="minorHAnsi" w:hAnsiTheme="minorHAnsi" w:cstheme="minorHAnsi"/>
                <w:sz w:val="24"/>
                <w:szCs w:val="24"/>
              </w:rPr>
            </w:pPr>
            <w:bookmarkStart w:id="10" w:name="_CTVL001365e929aae55423ab9753c4959750695"/>
            <w:r w:rsidRPr="0023076A">
              <w:rPr>
                <w:rFonts w:asciiTheme="minorHAnsi" w:hAnsiTheme="minorHAnsi" w:cstheme="minorHAnsi"/>
                <w:sz w:val="24"/>
                <w:szCs w:val="24"/>
              </w:rPr>
              <w:t>Peghin M, Palese A, Venturini M, et al. Post-COVID-19 symptoms 6 months after acute infection among hospitalized and non-hospitalized patients.</w:t>
            </w:r>
            <w:bookmarkEnd w:id="10"/>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Clin Microbiol Infect</w:t>
            </w:r>
            <w:r w:rsidRPr="0023076A">
              <w:rPr>
                <w:rFonts w:asciiTheme="minorHAnsi" w:hAnsiTheme="minorHAnsi" w:cstheme="minorHAnsi"/>
                <w:sz w:val="24"/>
                <w:szCs w:val="24"/>
              </w:rPr>
              <w:t>. 2021;27(10):1507-1513. doi:10.1016/j.cmi.2021.05.033</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833053E"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1, 4</w:t>
            </w:r>
          </w:p>
        </w:tc>
      </w:tr>
      <w:tr w:rsidR="002016B8" w:rsidRPr="0023076A" w14:paraId="31645C22" w14:textId="77777777" w:rsidTr="0040370E">
        <w:tc>
          <w:tcPr>
            <w:tcW w:w="421" w:type="dxa"/>
          </w:tcPr>
          <w:p w14:paraId="61ED1A91" w14:textId="77777777" w:rsidR="002016B8" w:rsidRPr="00D41829" w:rsidRDefault="002016B8" w:rsidP="002016B8">
            <w:pPr>
              <w:pStyle w:val="Listenabsatz"/>
              <w:numPr>
                <w:ilvl w:val="0"/>
                <w:numId w:val="2"/>
              </w:numPr>
              <w:rPr>
                <w:rFonts w:cs="Arial"/>
                <w:szCs w:val="22"/>
                <w:lang w:val="en-GB"/>
              </w:rPr>
            </w:pPr>
          </w:p>
        </w:tc>
        <w:tc>
          <w:tcPr>
            <w:tcW w:w="7465" w:type="dxa"/>
          </w:tcPr>
          <w:p w14:paraId="60211739"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1" w:name="_CTVL001691bdb8109e04bab94eddc6f807b6742"/>
            <w:r w:rsidRPr="0023076A">
              <w:rPr>
                <w:rFonts w:asciiTheme="minorHAnsi" w:hAnsiTheme="minorHAnsi" w:cstheme="minorHAnsi"/>
                <w:sz w:val="24"/>
                <w:szCs w:val="24"/>
              </w:rPr>
              <w:t xml:space="preserve">Roedl K, Söffker G, Fischer D, et al. </w:t>
            </w:r>
            <w:r w:rsidRPr="0023076A">
              <w:rPr>
                <w:rFonts w:asciiTheme="minorHAnsi" w:hAnsiTheme="minorHAnsi" w:cstheme="minorHAnsi"/>
                <w:sz w:val="24"/>
                <w:szCs w:val="24"/>
                <w:lang w:val="en-GB"/>
              </w:rPr>
              <w:t xml:space="preserve">Effects of COVID-19 on in-hospital cardiac arrest: incidence, causes, and outcome - a retrospective cohort </w:t>
            </w:r>
            <w:r w:rsidRPr="0023076A">
              <w:rPr>
                <w:rFonts w:asciiTheme="minorHAnsi" w:hAnsiTheme="minorHAnsi" w:cstheme="minorHAnsi"/>
                <w:sz w:val="24"/>
                <w:szCs w:val="24"/>
                <w:lang w:val="en-GB"/>
              </w:rPr>
              <w:lastRenderedPageBreak/>
              <w:t>study.</w:t>
            </w:r>
            <w:bookmarkEnd w:id="11"/>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Scand J Trauma Resusc Emerg Med</w:t>
            </w:r>
            <w:r w:rsidRPr="0023076A">
              <w:rPr>
                <w:rFonts w:asciiTheme="minorHAnsi" w:hAnsiTheme="minorHAnsi" w:cstheme="minorHAnsi"/>
                <w:sz w:val="24"/>
                <w:szCs w:val="24"/>
                <w:lang w:val="en-GB"/>
              </w:rPr>
              <w:t>. 2021;29(1):30. doi:10.1186/s13049-021-00846-w</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7084CAC8"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lastRenderedPageBreak/>
              <w:t>4</w:t>
            </w:r>
          </w:p>
        </w:tc>
      </w:tr>
      <w:tr w:rsidR="002016B8" w:rsidRPr="0023076A" w14:paraId="2E050D53" w14:textId="77777777" w:rsidTr="0040370E">
        <w:tc>
          <w:tcPr>
            <w:tcW w:w="421" w:type="dxa"/>
          </w:tcPr>
          <w:p w14:paraId="722F5964" w14:textId="77777777" w:rsidR="002016B8" w:rsidRPr="00D41829" w:rsidRDefault="002016B8" w:rsidP="002016B8">
            <w:pPr>
              <w:pStyle w:val="Listenabsatz"/>
              <w:numPr>
                <w:ilvl w:val="0"/>
                <w:numId w:val="2"/>
              </w:numPr>
              <w:rPr>
                <w:rFonts w:cs="Arial"/>
                <w:szCs w:val="22"/>
                <w:lang w:val="en-GB"/>
              </w:rPr>
            </w:pPr>
          </w:p>
        </w:tc>
        <w:tc>
          <w:tcPr>
            <w:tcW w:w="7465" w:type="dxa"/>
          </w:tcPr>
          <w:p w14:paraId="1D8557C0"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2" w:name="_CTVL001f0dbede7ff634cee91f2f5c612054c2f"/>
            <w:r w:rsidRPr="0023076A">
              <w:rPr>
                <w:rFonts w:asciiTheme="minorHAnsi" w:hAnsiTheme="minorHAnsi" w:cstheme="minorHAnsi"/>
                <w:sz w:val="24"/>
                <w:szCs w:val="24"/>
              </w:rPr>
              <w:t xml:space="preserve">Pfoh ER, Chan KS, Dinglas VD, et al. </w:t>
            </w:r>
            <w:r w:rsidRPr="0023076A">
              <w:rPr>
                <w:rFonts w:asciiTheme="minorHAnsi" w:hAnsiTheme="minorHAnsi" w:cstheme="minorHAnsi"/>
                <w:sz w:val="24"/>
                <w:szCs w:val="24"/>
                <w:lang w:val="en-GB"/>
              </w:rPr>
              <w:t>Cognitive screening among acute respiratory failure survivors: a cross-sectional evaluation of the Mini-Mental State Examination.</w:t>
            </w:r>
            <w:bookmarkEnd w:id="12"/>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Crit Care</w:t>
            </w:r>
            <w:r w:rsidRPr="0023076A">
              <w:rPr>
                <w:rFonts w:asciiTheme="minorHAnsi" w:hAnsiTheme="minorHAnsi" w:cstheme="minorHAnsi"/>
                <w:sz w:val="24"/>
                <w:szCs w:val="24"/>
                <w:lang w:val="en-GB"/>
              </w:rPr>
              <w:t>. 2015;19(1):220. doi:10.1186/s13054-015-0934-5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F84357F"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1445512A" w14:textId="77777777" w:rsidTr="0040370E">
        <w:tc>
          <w:tcPr>
            <w:tcW w:w="421" w:type="dxa"/>
          </w:tcPr>
          <w:p w14:paraId="12DCE7DF" w14:textId="77777777" w:rsidR="002016B8" w:rsidRPr="00D41829" w:rsidRDefault="002016B8" w:rsidP="002016B8">
            <w:pPr>
              <w:pStyle w:val="Listenabsatz"/>
              <w:numPr>
                <w:ilvl w:val="0"/>
                <w:numId w:val="2"/>
              </w:numPr>
              <w:rPr>
                <w:rFonts w:cs="Arial"/>
                <w:szCs w:val="22"/>
                <w:lang w:val="en-GB"/>
              </w:rPr>
            </w:pPr>
          </w:p>
        </w:tc>
        <w:tc>
          <w:tcPr>
            <w:tcW w:w="7465" w:type="dxa"/>
          </w:tcPr>
          <w:p w14:paraId="3FB80AC3"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3" w:name="_CTVL00122d59e3aa281408e9bfac83beb49f052"/>
            <w:r w:rsidRPr="0023076A">
              <w:rPr>
                <w:rFonts w:asciiTheme="minorHAnsi" w:hAnsiTheme="minorHAnsi" w:cstheme="minorHAnsi"/>
                <w:sz w:val="24"/>
                <w:szCs w:val="24"/>
                <w:lang w:val="en-GB"/>
              </w:rPr>
              <w:t>Piva S, Pozzi M, Bellani G, et al. Long-term physical impairments in survivors of COVID-19-associated ARDS compared with classic ARDS: A two-center study.</w:t>
            </w:r>
            <w:bookmarkEnd w:id="13"/>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Crit Care</w:t>
            </w:r>
            <w:r w:rsidRPr="0023076A">
              <w:rPr>
                <w:rFonts w:asciiTheme="minorHAnsi" w:hAnsiTheme="minorHAnsi" w:cstheme="minorHAnsi"/>
                <w:sz w:val="24"/>
                <w:szCs w:val="24"/>
                <w:lang w:val="en-GB"/>
              </w:rPr>
              <w:t>. 2023;76:154285. doi:10.1016/j.jcrc.2023.154285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281AFE3"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22D34815" w14:textId="77777777" w:rsidTr="0040370E">
        <w:tc>
          <w:tcPr>
            <w:tcW w:w="421" w:type="dxa"/>
          </w:tcPr>
          <w:p w14:paraId="4247667D" w14:textId="77777777" w:rsidR="002016B8" w:rsidRPr="00D41829" w:rsidRDefault="002016B8" w:rsidP="002016B8">
            <w:pPr>
              <w:pStyle w:val="Listenabsatz"/>
              <w:numPr>
                <w:ilvl w:val="0"/>
                <w:numId w:val="2"/>
              </w:numPr>
              <w:rPr>
                <w:rFonts w:cs="Arial"/>
                <w:szCs w:val="22"/>
                <w:lang w:val="en-GB"/>
              </w:rPr>
            </w:pPr>
          </w:p>
        </w:tc>
        <w:tc>
          <w:tcPr>
            <w:tcW w:w="7465" w:type="dxa"/>
          </w:tcPr>
          <w:p w14:paraId="4833A605"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4" w:name="_CTVL001dccf58cd2fa443a0b5426aa1ef944cfd"/>
            <w:r w:rsidRPr="0023076A">
              <w:rPr>
                <w:rFonts w:asciiTheme="minorHAnsi" w:hAnsiTheme="minorHAnsi" w:cstheme="minorHAnsi"/>
                <w:sz w:val="24"/>
                <w:szCs w:val="24"/>
                <w:lang w:val="en-GB"/>
              </w:rPr>
              <w:t>Probert JM, Lin S, Yan H, et al. Bodily pain in survivors of acute respiratory distress syndrome: A 1-year longitudinal follow-up study.</w:t>
            </w:r>
            <w:bookmarkEnd w:id="14"/>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Psychosom Res</w:t>
            </w:r>
            <w:r w:rsidRPr="0023076A">
              <w:rPr>
                <w:rFonts w:asciiTheme="minorHAnsi" w:hAnsiTheme="minorHAnsi" w:cstheme="minorHAnsi"/>
                <w:sz w:val="24"/>
                <w:szCs w:val="24"/>
                <w:lang w:val="en-GB"/>
              </w:rPr>
              <w:t>. 2021;144:110418. doi:10.1016/j.jpsychores.2021.110418</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074FB24"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66FA3D76" w14:textId="77777777" w:rsidTr="0040370E">
        <w:tc>
          <w:tcPr>
            <w:tcW w:w="421" w:type="dxa"/>
          </w:tcPr>
          <w:p w14:paraId="1E81035B" w14:textId="77777777" w:rsidR="002016B8" w:rsidRPr="00D41829" w:rsidRDefault="002016B8" w:rsidP="002016B8">
            <w:pPr>
              <w:pStyle w:val="Listenabsatz"/>
              <w:numPr>
                <w:ilvl w:val="0"/>
                <w:numId w:val="2"/>
              </w:numPr>
              <w:rPr>
                <w:rFonts w:cs="Arial"/>
                <w:szCs w:val="22"/>
                <w:lang w:val="en-GB"/>
              </w:rPr>
            </w:pPr>
          </w:p>
        </w:tc>
        <w:tc>
          <w:tcPr>
            <w:tcW w:w="7465" w:type="dxa"/>
          </w:tcPr>
          <w:p w14:paraId="566A821A"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5" w:name="_CTVL001edc1e64a6d7749ccac5ff247ff3fb7a0"/>
            <w:r w:rsidRPr="0023076A">
              <w:rPr>
                <w:rFonts w:asciiTheme="minorHAnsi" w:hAnsiTheme="minorHAnsi" w:cstheme="minorHAnsi"/>
                <w:sz w:val="24"/>
                <w:szCs w:val="24"/>
              </w:rPr>
              <w:t xml:space="preserve">Martín-Jiménez P, Muñoz-García MI, Seoane D, et al. </w:t>
            </w:r>
            <w:r w:rsidRPr="0023076A">
              <w:rPr>
                <w:rFonts w:asciiTheme="minorHAnsi" w:hAnsiTheme="minorHAnsi" w:cstheme="minorHAnsi"/>
                <w:sz w:val="24"/>
                <w:szCs w:val="24"/>
                <w:lang w:val="en-GB"/>
              </w:rPr>
              <w:t>Cognitive Impairment Is a Common Comorbidity in Deceased COVID-19 Patients: A Hospital-Based Retrospective Cohort Study.</w:t>
            </w:r>
            <w:bookmarkEnd w:id="15"/>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Alzheimers Dis</w:t>
            </w:r>
            <w:r w:rsidRPr="0023076A">
              <w:rPr>
                <w:rFonts w:asciiTheme="minorHAnsi" w:hAnsiTheme="minorHAnsi" w:cstheme="minorHAnsi"/>
                <w:sz w:val="24"/>
                <w:szCs w:val="24"/>
                <w:lang w:val="en-GB"/>
              </w:rPr>
              <w:t>. 2020;78(4):1367-1372. doi:10.3233/JAD-200937</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F0DFEF1"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3</w:t>
            </w:r>
          </w:p>
        </w:tc>
      </w:tr>
      <w:tr w:rsidR="002016B8" w:rsidRPr="0023076A" w14:paraId="267480B6" w14:textId="77777777" w:rsidTr="0040370E">
        <w:tc>
          <w:tcPr>
            <w:tcW w:w="421" w:type="dxa"/>
          </w:tcPr>
          <w:p w14:paraId="2914D6DF" w14:textId="77777777" w:rsidR="002016B8" w:rsidRPr="00D41829" w:rsidRDefault="002016B8" w:rsidP="002016B8">
            <w:pPr>
              <w:pStyle w:val="Listenabsatz"/>
              <w:numPr>
                <w:ilvl w:val="0"/>
                <w:numId w:val="2"/>
              </w:numPr>
              <w:rPr>
                <w:rFonts w:cs="Arial"/>
                <w:szCs w:val="22"/>
                <w:lang w:val="en-GB"/>
              </w:rPr>
            </w:pPr>
          </w:p>
        </w:tc>
        <w:tc>
          <w:tcPr>
            <w:tcW w:w="7465" w:type="dxa"/>
          </w:tcPr>
          <w:p w14:paraId="1F83FE48"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6" w:name="_CTVL00127c9b5ae18874964884cade612ed8e53"/>
            <w:r w:rsidRPr="0023076A">
              <w:rPr>
                <w:rFonts w:asciiTheme="minorHAnsi" w:hAnsiTheme="minorHAnsi" w:cstheme="minorHAnsi"/>
                <w:sz w:val="24"/>
                <w:szCs w:val="24"/>
                <w:lang w:val="en-GB"/>
              </w:rPr>
              <w:t>Marra A, Pandharipande PP, Girard TD, et al. Co-Occurrence of Post-Intensive Care Syndrome Problems Among 406 Survivors of Critical Illness.</w:t>
            </w:r>
            <w:bookmarkEnd w:id="1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Crit Care Med</w:t>
            </w:r>
            <w:r w:rsidRPr="0023076A">
              <w:rPr>
                <w:rFonts w:asciiTheme="minorHAnsi" w:hAnsiTheme="minorHAnsi" w:cstheme="minorHAnsi"/>
                <w:sz w:val="24"/>
                <w:szCs w:val="24"/>
                <w:lang w:val="en-GB"/>
              </w:rPr>
              <w:t>. 2018;46(9):1393-1401. doi:10.1097/CCM.0000000000003218</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25BEDEC2"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6158A61C" w14:textId="77777777" w:rsidTr="0040370E">
        <w:tc>
          <w:tcPr>
            <w:tcW w:w="421" w:type="dxa"/>
          </w:tcPr>
          <w:p w14:paraId="5E7A7D7D" w14:textId="77777777" w:rsidR="002016B8" w:rsidRPr="00D41829" w:rsidRDefault="002016B8" w:rsidP="002016B8">
            <w:pPr>
              <w:pStyle w:val="Listenabsatz"/>
              <w:numPr>
                <w:ilvl w:val="0"/>
                <w:numId w:val="2"/>
              </w:numPr>
              <w:rPr>
                <w:rFonts w:cs="Arial"/>
                <w:szCs w:val="22"/>
                <w:lang w:val="en-GB"/>
              </w:rPr>
            </w:pPr>
          </w:p>
        </w:tc>
        <w:tc>
          <w:tcPr>
            <w:tcW w:w="7465" w:type="dxa"/>
          </w:tcPr>
          <w:p w14:paraId="1C2D072B"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7" w:name="_CTVL0012e0d71c443ba4f04b13bbc85c826c806"/>
            <w:r w:rsidRPr="0023076A">
              <w:rPr>
                <w:rFonts w:asciiTheme="minorHAnsi" w:hAnsiTheme="minorHAnsi" w:cstheme="minorHAnsi"/>
                <w:sz w:val="24"/>
                <w:szCs w:val="24"/>
                <w:lang w:val="en-GB"/>
              </w:rPr>
              <w:t>Marsh LC, Leach RM, Blane J, et al. Long-term cognitive and psychiatric outcomes of acute respiratory distress syndrome managed with Extracorporeal Membrane Oxygenation.</w:t>
            </w:r>
            <w:bookmarkEnd w:id="17"/>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Respir Med</w:t>
            </w:r>
            <w:r w:rsidRPr="0023076A">
              <w:rPr>
                <w:rFonts w:asciiTheme="minorHAnsi" w:hAnsiTheme="minorHAnsi" w:cstheme="minorHAnsi"/>
                <w:sz w:val="24"/>
                <w:szCs w:val="24"/>
                <w:lang w:val="en-GB"/>
              </w:rPr>
              <w:t>. 2021;183:106419. doi:10.1016/j.rmed.2021.106419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678BF89"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48B12EE0" w14:textId="77777777" w:rsidTr="0040370E">
        <w:tc>
          <w:tcPr>
            <w:tcW w:w="421" w:type="dxa"/>
          </w:tcPr>
          <w:p w14:paraId="20E97AFB" w14:textId="77777777" w:rsidR="002016B8" w:rsidRPr="00D41829" w:rsidRDefault="002016B8" w:rsidP="002016B8">
            <w:pPr>
              <w:pStyle w:val="Listenabsatz"/>
              <w:numPr>
                <w:ilvl w:val="0"/>
                <w:numId w:val="2"/>
              </w:numPr>
              <w:jc w:val="both"/>
              <w:rPr>
                <w:rFonts w:cs="Arial"/>
                <w:szCs w:val="22"/>
                <w:lang w:val="en-GB"/>
              </w:rPr>
            </w:pPr>
          </w:p>
        </w:tc>
        <w:tc>
          <w:tcPr>
            <w:tcW w:w="7465" w:type="dxa"/>
          </w:tcPr>
          <w:p w14:paraId="381FBDDC"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8" w:name="_CTVL00166882c87a53941b887e8b00e13ab9062"/>
            <w:r w:rsidRPr="0023076A">
              <w:rPr>
                <w:rFonts w:asciiTheme="minorHAnsi" w:hAnsiTheme="minorHAnsi" w:cstheme="minorHAnsi"/>
                <w:sz w:val="24"/>
                <w:szCs w:val="24"/>
              </w:rPr>
              <w:t xml:space="preserve">Möller CM, Ellmauer P-P, Zeman F, et al. </w:t>
            </w:r>
            <w:r w:rsidRPr="0023076A">
              <w:rPr>
                <w:rFonts w:asciiTheme="minorHAnsi" w:hAnsiTheme="minorHAnsi" w:cstheme="minorHAnsi"/>
                <w:sz w:val="24"/>
                <w:szCs w:val="24"/>
                <w:lang w:val="en-GB"/>
              </w:rPr>
              <w:t>Postoperative acute respiratory dysfunction and the influence of antibiotics after acute type A aortic dissection surgery: A retrospective analysis.</w:t>
            </w:r>
            <w:bookmarkEnd w:id="18"/>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PLoS One</w:t>
            </w:r>
            <w:r w:rsidRPr="0023076A">
              <w:rPr>
                <w:rFonts w:asciiTheme="minorHAnsi" w:hAnsiTheme="minorHAnsi" w:cstheme="minorHAnsi"/>
                <w:sz w:val="24"/>
                <w:szCs w:val="24"/>
                <w:lang w:val="en-GB"/>
              </w:rPr>
              <w:t>. 2021;16(2):e0246724. doi:10.1371/journal.pone.0246724</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34C3701F"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0F4CB2D2" w14:textId="77777777" w:rsidTr="0040370E">
        <w:tc>
          <w:tcPr>
            <w:tcW w:w="421" w:type="dxa"/>
          </w:tcPr>
          <w:p w14:paraId="50602A81" w14:textId="77777777" w:rsidR="002016B8" w:rsidRPr="00D41829" w:rsidRDefault="002016B8" w:rsidP="002016B8">
            <w:pPr>
              <w:pStyle w:val="Listenabsatz"/>
              <w:numPr>
                <w:ilvl w:val="0"/>
                <w:numId w:val="2"/>
              </w:numPr>
              <w:rPr>
                <w:rFonts w:cs="Arial"/>
                <w:szCs w:val="22"/>
                <w:lang w:val="en-GB"/>
              </w:rPr>
            </w:pPr>
          </w:p>
        </w:tc>
        <w:tc>
          <w:tcPr>
            <w:tcW w:w="7465" w:type="dxa"/>
          </w:tcPr>
          <w:p w14:paraId="144B7C9E"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19" w:name="_CTVL0019a844a4bcc894b7b9c48ddf86d452fd7"/>
            <w:r w:rsidRPr="0023076A">
              <w:rPr>
                <w:rFonts w:asciiTheme="minorHAnsi" w:hAnsiTheme="minorHAnsi" w:cstheme="minorHAnsi"/>
                <w:sz w:val="24"/>
                <w:szCs w:val="24"/>
                <w:lang w:val="en-GB"/>
              </w:rPr>
              <w:t>Mazeraud A, Robba C, Rebora P, et al. Acute Distress Respiratory Syndrome After Subarachnoid Hemorrhage: Incidence and Impact on the Outcome in a Large Multicenter, Retrospective Cohort.</w:t>
            </w:r>
            <w:bookmarkEnd w:id="19"/>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Neurocrit Care</w:t>
            </w:r>
            <w:r w:rsidRPr="0023076A">
              <w:rPr>
                <w:rFonts w:asciiTheme="minorHAnsi" w:hAnsiTheme="minorHAnsi" w:cstheme="minorHAnsi"/>
                <w:sz w:val="24"/>
                <w:szCs w:val="24"/>
                <w:lang w:val="en-GB"/>
              </w:rPr>
              <w:t>. 2021;34(3):1000-1008. doi:10.1007/s12028-020-01115-x</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2EF88680"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622AA275" w14:textId="77777777" w:rsidTr="0040370E">
        <w:tc>
          <w:tcPr>
            <w:tcW w:w="421" w:type="dxa"/>
          </w:tcPr>
          <w:p w14:paraId="0C74DF5C" w14:textId="77777777" w:rsidR="002016B8" w:rsidRPr="00D41829" w:rsidRDefault="002016B8" w:rsidP="002016B8">
            <w:pPr>
              <w:pStyle w:val="Listenabsatz"/>
              <w:numPr>
                <w:ilvl w:val="0"/>
                <w:numId w:val="2"/>
              </w:numPr>
              <w:rPr>
                <w:rFonts w:cs="Arial"/>
                <w:szCs w:val="22"/>
                <w:lang w:val="en-GB"/>
              </w:rPr>
            </w:pPr>
          </w:p>
        </w:tc>
        <w:tc>
          <w:tcPr>
            <w:tcW w:w="7465" w:type="dxa"/>
          </w:tcPr>
          <w:p w14:paraId="7AA98151"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0" w:name="_CTVL00108ae0f241b07403c93d818e5ab188ec4"/>
            <w:r w:rsidRPr="0023076A">
              <w:rPr>
                <w:rFonts w:asciiTheme="minorHAnsi" w:hAnsiTheme="minorHAnsi" w:cstheme="minorHAnsi"/>
                <w:sz w:val="24"/>
                <w:szCs w:val="24"/>
                <w:lang w:val="en-GB"/>
              </w:rPr>
              <w:t>Mattioli F, Piva S, Stampatori C, et al. Neurologic and cognitive sequelae after SARS-CoV2 infection: Different impairment for ICU patients.</w:t>
            </w:r>
            <w:bookmarkEnd w:id="20"/>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Neurol Sci</w:t>
            </w:r>
            <w:r w:rsidRPr="0023076A">
              <w:rPr>
                <w:rFonts w:asciiTheme="minorHAnsi" w:hAnsiTheme="minorHAnsi" w:cstheme="minorHAnsi"/>
                <w:sz w:val="24"/>
                <w:szCs w:val="24"/>
                <w:lang w:val="en-GB"/>
              </w:rPr>
              <w:t>. 2022;432:120061. doi:10.1016/j.jns.2021.120061</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3D309C5"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41F48003" w14:textId="77777777" w:rsidTr="0040370E">
        <w:tc>
          <w:tcPr>
            <w:tcW w:w="421" w:type="dxa"/>
          </w:tcPr>
          <w:p w14:paraId="18A73ED1" w14:textId="77777777" w:rsidR="002016B8" w:rsidRPr="00D41829" w:rsidRDefault="002016B8" w:rsidP="002016B8">
            <w:pPr>
              <w:pStyle w:val="Listenabsatz"/>
              <w:numPr>
                <w:ilvl w:val="0"/>
                <w:numId w:val="2"/>
              </w:numPr>
              <w:rPr>
                <w:rFonts w:cs="Arial"/>
                <w:szCs w:val="22"/>
                <w:lang w:val="en-GB"/>
              </w:rPr>
            </w:pPr>
          </w:p>
        </w:tc>
        <w:tc>
          <w:tcPr>
            <w:tcW w:w="7465" w:type="dxa"/>
          </w:tcPr>
          <w:p w14:paraId="6321A95F"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1" w:name="_CTVL001d35ebb617177425495981ec228877872"/>
            <w:r w:rsidRPr="0023076A">
              <w:rPr>
                <w:rFonts w:asciiTheme="minorHAnsi" w:hAnsiTheme="minorHAnsi" w:cstheme="minorHAnsi"/>
                <w:sz w:val="24"/>
                <w:szCs w:val="24"/>
                <w:lang w:val="en-GB"/>
              </w:rPr>
              <w:t>Mitchell ML, Shum DHK, Mihala G, Murfield JE, Aitken LM. Long-term cognitive impairment and delirium in intensive care: A prospective cohort study.</w:t>
            </w:r>
            <w:bookmarkEnd w:id="21"/>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Aust Crit Care</w:t>
            </w:r>
            <w:r w:rsidRPr="0023076A">
              <w:rPr>
                <w:rFonts w:asciiTheme="minorHAnsi" w:hAnsiTheme="minorHAnsi" w:cstheme="minorHAnsi"/>
                <w:sz w:val="24"/>
                <w:szCs w:val="24"/>
                <w:lang w:val="en-GB"/>
              </w:rPr>
              <w:t>. 2018;31(4):204-211. doi:10.1016/j.aucc.2017.07.002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D6B8C5D"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6C4C9316" w14:textId="77777777" w:rsidTr="0040370E">
        <w:tc>
          <w:tcPr>
            <w:tcW w:w="421" w:type="dxa"/>
          </w:tcPr>
          <w:p w14:paraId="5BDFBDB8" w14:textId="77777777" w:rsidR="002016B8" w:rsidRPr="00D41829" w:rsidRDefault="002016B8" w:rsidP="002016B8">
            <w:pPr>
              <w:pStyle w:val="Listenabsatz"/>
              <w:numPr>
                <w:ilvl w:val="0"/>
                <w:numId w:val="2"/>
              </w:numPr>
              <w:rPr>
                <w:rFonts w:cs="Arial"/>
                <w:szCs w:val="22"/>
                <w:lang w:val="en-GB"/>
              </w:rPr>
            </w:pPr>
          </w:p>
        </w:tc>
        <w:tc>
          <w:tcPr>
            <w:tcW w:w="7465" w:type="dxa"/>
          </w:tcPr>
          <w:p w14:paraId="317E1263"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2" w:name="_CTVL001282eaeedec4940b0a3256f0c88328c8f"/>
            <w:r w:rsidRPr="0023076A">
              <w:rPr>
                <w:rFonts w:asciiTheme="minorHAnsi" w:hAnsiTheme="minorHAnsi" w:cstheme="minorHAnsi"/>
                <w:sz w:val="24"/>
                <w:szCs w:val="24"/>
                <w:lang w:val="en-GB"/>
              </w:rPr>
              <w:t>Wang G, He S, Yu M, Zhang Y, Mu D, Wang D. Intraoperative body temperature and emergence delirium in elderly patients after non-cardiac surgery: A secondary analysis of a prospective observational study.</w:t>
            </w:r>
            <w:bookmarkEnd w:id="22"/>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Chin Med J (Engl)</w:t>
            </w:r>
            <w:r w:rsidRPr="0023076A">
              <w:rPr>
                <w:rFonts w:asciiTheme="minorHAnsi" w:hAnsiTheme="minorHAnsi" w:cstheme="minorHAnsi"/>
                <w:sz w:val="24"/>
                <w:szCs w:val="24"/>
                <w:lang w:val="en-GB"/>
              </w:rPr>
              <w:t>. 2023;136(19):2330-2339. doi:10.1097/CM9.0000000000002375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C9431F0"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031B4F8B" w14:textId="77777777" w:rsidTr="0040370E">
        <w:tc>
          <w:tcPr>
            <w:tcW w:w="421" w:type="dxa"/>
          </w:tcPr>
          <w:p w14:paraId="50B39718" w14:textId="77777777" w:rsidR="002016B8" w:rsidRPr="00D41829" w:rsidRDefault="002016B8" w:rsidP="002016B8">
            <w:pPr>
              <w:pStyle w:val="Listenabsatz"/>
              <w:numPr>
                <w:ilvl w:val="0"/>
                <w:numId w:val="2"/>
              </w:numPr>
              <w:rPr>
                <w:rFonts w:cs="Arial"/>
                <w:szCs w:val="22"/>
                <w:lang w:val="en-GB"/>
              </w:rPr>
            </w:pPr>
          </w:p>
        </w:tc>
        <w:tc>
          <w:tcPr>
            <w:tcW w:w="7465" w:type="dxa"/>
          </w:tcPr>
          <w:p w14:paraId="14B86756"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3" w:name="_CTVL001d85daa6330db4574a5f9e9c1e4da44eb"/>
            <w:r w:rsidRPr="0023076A">
              <w:rPr>
                <w:rFonts w:asciiTheme="minorHAnsi" w:hAnsiTheme="minorHAnsi" w:cstheme="minorHAnsi"/>
                <w:sz w:val="24"/>
                <w:szCs w:val="24"/>
              </w:rPr>
              <w:t xml:space="preserve">Wang D, Hu B, Hu C, et al. </w:t>
            </w:r>
            <w:r w:rsidRPr="0023076A">
              <w:rPr>
                <w:rFonts w:asciiTheme="minorHAnsi" w:hAnsiTheme="minorHAnsi" w:cstheme="minorHAnsi"/>
                <w:sz w:val="24"/>
                <w:szCs w:val="24"/>
                <w:lang w:val="en-GB"/>
              </w:rPr>
              <w:t>Clinical Characteristics of 138 Hospitalized Patients With 2019 Novel Coronavirus-Infected Pneumonia in Wuhan, China.</w:t>
            </w:r>
            <w:bookmarkEnd w:id="23"/>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JAMA</w:t>
            </w:r>
            <w:r w:rsidRPr="0023076A">
              <w:rPr>
                <w:rFonts w:asciiTheme="minorHAnsi" w:hAnsiTheme="minorHAnsi" w:cstheme="minorHAnsi"/>
                <w:sz w:val="24"/>
                <w:szCs w:val="24"/>
                <w:lang w:val="en-GB"/>
              </w:rPr>
              <w:t>. 2020;323(11):1061-1069. doi:10.1001/jama.2020.1585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1610C23"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2, 4</w:t>
            </w:r>
          </w:p>
        </w:tc>
      </w:tr>
      <w:tr w:rsidR="002016B8" w:rsidRPr="0023076A" w14:paraId="2FCB7646" w14:textId="77777777" w:rsidTr="0040370E">
        <w:tc>
          <w:tcPr>
            <w:tcW w:w="421" w:type="dxa"/>
          </w:tcPr>
          <w:p w14:paraId="49C73D25" w14:textId="77777777" w:rsidR="002016B8" w:rsidRPr="00D41829" w:rsidRDefault="002016B8" w:rsidP="002016B8">
            <w:pPr>
              <w:pStyle w:val="Listenabsatz"/>
              <w:numPr>
                <w:ilvl w:val="0"/>
                <w:numId w:val="2"/>
              </w:numPr>
              <w:rPr>
                <w:rFonts w:cs="Arial"/>
                <w:szCs w:val="22"/>
                <w:lang w:val="en-GB"/>
              </w:rPr>
            </w:pPr>
          </w:p>
        </w:tc>
        <w:tc>
          <w:tcPr>
            <w:tcW w:w="7465" w:type="dxa"/>
          </w:tcPr>
          <w:p w14:paraId="7B819BE0"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4" w:name="_CTVL0013f97940af48843c795add7175eab428f"/>
            <w:r w:rsidRPr="0023076A">
              <w:rPr>
                <w:rFonts w:asciiTheme="minorHAnsi" w:hAnsiTheme="minorHAnsi" w:cstheme="minorHAnsi"/>
                <w:sz w:val="24"/>
                <w:szCs w:val="24"/>
              </w:rPr>
              <w:t xml:space="preserve">Wang X-P, Lv D, Chen Y-F, et al. </w:t>
            </w:r>
            <w:r w:rsidRPr="0023076A">
              <w:rPr>
                <w:rFonts w:asciiTheme="minorHAnsi" w:hAnsiTheme="minorHAnsi" w:cstheme="minorHAnsi"/>
                <w:sz w:val="24"/>
                <w:szCs w:val="24"/>
                <w:lang w:val="en-GB"/>
              </w:rPr>
              <w:t>Impact of Pain, Agitation, and Delirium Bundle on Delirium and Cognitive Function.</w:t>
            </w:r>
            <w:bookmarkEnd w:id="24"/>
            <w:r w:rsidRPr="0023076A">
              <w:rPr>
                <w:rFonts w:asciiTheme="minorHAnsi" w:hAnsiTheme="minorHAnsi" w:cstheme="minorHAnsi"/>
                <w:sz w:val="24"/>
                <w:szCs w:val="24"/>
                <w:lang w:val="en-GB"/>
              </w:rPr>
              <w:t xml:space="preserve"> </w:t>
            </w:r>
            <w:r w:rsidRPr="00BC4334">
              <w:rPr>
                <w:rFonts w:asciiTheme="minorHAnsi" w:hAnsiTheme="minorHAnsi" w:cstheme="minorHAnsi"/>
                <w:i/>
                <w:sz w:val="24"/>
                <w:szCs w:val="24"/>
                <w:lang w:val="en-GB"/>
              </w:rPr>
              <w:t>J Nurs Res</w:t>
            </w:r>
            <w:r w:rsidRPr="00BC4334">
              <w:rPr>
                <w:rFonts w:asciiTheme="minorHAnsi" w:hAnsiTheme="minorHAnsi" w:cstheme="minorHAnsi"/>
                <w:sz w:val="24"/>
                <w:szCs w:val="24"/>
                <w:lang w:val="en-GB"/>
              </w:rPr>
              <w:t>. 2022;30(4):e222. doi:10.1097/jnr.0000000000000497</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3645D364" w14:textId="77777777" w:rsidR="002016B8" w:rsidRPr="001F44BC" w:rsidRDefault="0040370E"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65E465DB" w14:textId="77777777" w:rsidTr="0040370E">
        <w:tc>
          <w:tcPr>
            <w:tcW w:w="421" w:type="dxa"/>
          </w:tcPr>
          <w:p w14:paraId="2B853831" w14:textId="77777777" w:rsidR="002016B8" w:rsidRPr="00D41829" w:rsidRDefault="002016B8" w:rsidP="002016B8">
            <w:pPr>
              <w:pStyle w:val="Listenabsatz"/>
              <w:numPr>
                <w:ilvl w:val="0"/>
                <w:numId w:val="2"/>
              </w:numPr>
              <w:rPr>
                <w:rFonts w:cs="Arial"/>
                <w:szCs w:val="22"/>
                <w:lang w:val="en-GB"/>
              </w:rPr>
            </w:pPr>
          </w:p>
        </w:tc>
        <w:tc>
          <w:tcPr>
            <w:tcW w:w="7465" w:type="dxa"/>
          </w:tcPr>
          <w:p w14:paraId="30C984B2"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5" w:name="_CTVL001b5644db8fae74bb786e3bf872de000db"/>
            <w:r w:rsidRPr="0023076A">
              <w:rPr>
                <w:rFonts w:asciiTheme="minorHAnsi" w:hAnsiTheme="minorHAnsi" w:cstheme="minorHAnsi"/>
                <w:sz w:val="24"/>
                <w:szCs w:val="24"/>
              </w:rPr>
              <w:t xml:space="preserve">Wang Z-Y, Li T, Wang C-T, Xu L, Gao X-J. </w:t>
            </w:r>
            <w:r w:rsidRPr="0023076A">
              <w:rPr>
                <w:rFonts w:asciiTheme="minorHAnsi" w:hAnsiTheme="minorHAnsi" w:cstheme="minorHAnsi"/>
                <w:sz w:val="24"/>
                <w:szCs w:val="24"/>
                <w:lang w:val="en-GB"/>
              </w:rPr>
              <w:t>Assessment of 1-year Outcomes in Survivors of Severe Acute Respiratory Distress Syndrome Receiving Extracorporeal Membrane Oxygenation or Mechanical Ventilation: A Prospective Observational Study.</w:t>
            </w:r>
            <w:bookmarkEnd w:id="25"/>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Chin Med J (Engl)</w:t>
            </w:r>
            <w:r w:rsidRPr="0023076A">
              <w:rPr>
                <w:rFonts w:asciiTheme="minorHAnsi" w:hAnsiTheme="minorHAnsi" w:cstheme="minorHAnsi"/>
                <w:sz w:val="24"/>
                <w:szCs w:val="24"/>
                <w:lang w:val="en-GB"/>
              </w:rPr>
              <w:t>. 2017;130(10):1161-1168. doi:10.4103/0366-6999.205847</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3DF472C9"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26312F12" w14:textId="77777777" w:rsidTr="0040370E">
        <w:tc>
          <w:tcPr>
            <w:tcW w:w="421" w:type="dxa"/>
          </w:tcPr>
          <w:p w14:paraId="06245E6D" w14:textId="77777777" w:rsidR="002016B8" w:rsidRPr="00D41829" w:rsidRDefault="002016B8" w:rsidP="002016B8">
            <w:pPr>
              <w:pStyle w:val="Listenabsatz"/>
              <w:numPr>
                <w:ilvl w:val="0"/>
                <w:numId w:val="2"/>
              </w:numPr>
              <w:rPr>
                <w:rFonts w:cs="Arial"/>
                <w:szCs w:val="22"/>
                <w:lang w:val="en-GB"/>
              </w:rPr>
            </w:pPr>
          </w:p>
        </w:tc>
        <w:tc>
          <w:tcPr>
            <w:tcW w:w="7465" w:type="dxa"/>
          </w:tcPr>
          <w:p w14:paraId="3C47233C"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6" w:name="_CTVL001df885d9c6c1f4197b488785943599b21"/>
            <w:r w:rsidRPr="0023076A">
              <w:rPr>
                <w:rFonts w:asciiTheme="minorHAnsi" w:hAnsiTheme="minorHAnsi" w:cstheme="minorHAnsi"/>
                <w:sz w:val="24"/>
                <w:szCs w:val="24"/>
                <w:lang w:val="en-GB"/>
              </w:rPr>
              <w:t>Wardani, Dyah Wulan Sumekar Rengganis, Pramesona BA, Nirmala Y. Physical and psychological effects of post-COVID-19 syndrome on patients in Bandar Lampung, Indonesia: a descriptive prospective study.</w:t>
            </w:r>
            <w:bookmarkEnd w:id="2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Journal of Current Science and Technology</w:t>
            </w:r>
            <w:r w:rsidRPr="0023076A">
              <w:rPr>
                <w:rFonts w:asciiTheme="minorHAnsi" w:hAnsiTheme="minorHAnsi" w:cstheme="minorHAnsi"/>
                <w:sz w:val="24"/>
                <w:szCs w:val="24"/>
                <w:lang w:val="en-GB"/>
              </w:rPr>
              <w:t>. 2023;13(2):317-325. doi:10.59796/jcst.V13N2.2023.1746</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01F9203"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071678B3" w14:textId="77777777" w:rsidTr="0040370E">
        <w:tc>
          <w:tcPr>
            <w:tcW w:w="421" w:type="dxa"/>
          </w:tcPr>
          <w:p w14:paraId="47E77EEF" w14:textId="77777777" w:rsidR="002016B8" w:rsidRPr="00D41829" w:rsidRDefault="002016B8" w:rsidP="002016B8">
            <w:pPr>
              <w:pStyle w:val="Listenabsatz"/>
              <w:numPr>
                <w:ilvl w:val="0"/>
                <w:numId w:val="2"/>
              </w:numPr>
              <w:rPr>
                <w:rFonts w:cs="Arial"/>
                <w:szCs w:val="22"/>
                <w:lang w:val="en-GB"/>
              </w:rPr>
            </w:pPr>
          </w:p>
        </w:tc>
        <w:tc>
          <w:tcPr>
            <w:tcW w:w="7465" w:type="dxa"/>
          </w:tcPr>
          <w:p w14:paraId="16FD75E9"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7" w:name="_CTVL00104f1cd4cd00842ecb2bfd92d351b1e85"/>
            <w:r w:rsidRPr="0023076A">
              <w:rPr>
                <w:rFonts w:asciiTheme="minorHAnsi" w:hAnsiTheme="minorHAnsi" w:cstheme="minorHAnsi"/>
                <w:sz w:val="24"/>
                <w:szCs w:val="24"/>
              </w:rPr>
              <w:t xml:space="preserve">Wassenaar A, van den Boogaard M, van Achterberg T, et al. </w:t>
            </w:r>
            <w:r w:rsidRPr="0023076A">
              <w:rPr>
                <w:rFonts w:asciiTheme="minorHAnsi" w:hAnsiTheme="minorHAnsi" w:cstheme="minorHAnsi"/>
                <w:sz w:val="24"/>
                <w:szCs w:val="24"/>
                <w:lang w:val="en-GB"/>
              </w:rPr>
              <w:t>Multinational development and validation of an early prediction model for delirium in ICU patients.</w:t>
            </w:r>
            <w:bookmarkEnd w:id="27"/>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Intensive Care Med</w:t>
            </w:r>
            <w:r w:rsidRPr="0023076A">
              <w:rPr>
                <w:rFonts w:asciiTheme="minorHAnsi" w:hAnsiTheme="minorHAnsi" w:cstheme="minorHAnsi"/>
                <w:sz w:val="24"/>
                <w:szCs w:val="24"/>
                <w:lang w:val="en-GB"/>
              </w:rPr>
              <w:t>. 2015;41(6):1048-1056. doi:10.1007/s00134-015-3777-2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4A13261"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7E1BB3A8" w14:textId="77777777" w:rsidTr="0040370E">
        <w:tc>
          <w:tcPr>
            <w:tcW w:w="421" w:type="dxa"/>
          </w:tcPr>
          <w:p w14:paraId="04212D1E" w14:textId="77777777" w:rsidR="002016B8" w:rsidRPr="00D41829" w:rsidRDefault="002016B8" w:rsidP="002016B8">
            <w:pPr>
              <w:pStyle w:val="Listenabsatz"/>
              <w:numPr>
                <w:ilvl w:val="0"/>
                <w:numId w:val="2"/>
              </w:numPr>
              <w:rPr>
                <w:rFonts w:cs="Arial"/>
                <w:szCs w:val="22"/>
                <w:lang w:val="en-GB"/>
              </w:rPr>
            </w:pPr>
          </w:p>
        </w:tc>
        <w:tc>
          <w:tcPr>
            <w:tcW w:w="7465" w:type="dxa"/>
          </w:tcPr>
          <w:p w14:paraId="07CC9352"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8" w:name="_CTVL001664c3a3b1df84b279c77d64a123884af"/>
            <w:r w:rsidRPr="0023076A">
              <w:rPr>
                <w:rFonts w:asciiTheme="minorHAnsi" w:hAnsiTheme="minorHAnsi" w:cstheme="minorHAnsi"/>
                <w:sz w:val="24"/>
                <w:szCs w:val="24"/>
                <w:lang w:val="en-GB"/>
              </w:rPr>
              <w:t>Watanabe S, Kotani T, Taito S, et al. Determinants of gait independence after mechanical ventilation in the intensive care unit: a Japanese multicenter retrospective exploratory cohort study.</w:t>
            </w:r>
            <w:bookmarkEnd w:id="28"/>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Intensive Care</w:t>
            </w:r>
            <w:r w:rsidRPr="0023076A">
              <w:rPr>
                <w:rFonts w:asciiTheme="minorHAnsi" w:hAnsiTheme="minorHAnsi" w:cstheme="minorHAnsi"/>
                <w:sz w:val="24"/>
                <w:szCs w:val="24"/>
                <w:lang w:val="en-GB"/>
              </w:rPr>
              <w:t>. 2019;7:53. doi:10.1186/s40560-019-0404-2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E3C65D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5C0F08C6" w14:textId="77777777" w:rsidTr="0040370E">
        <w:tc>
          <w:tcPr>
            <w:tcW w:w="421" w:type="dxa"/>
          </w:tcPr>
          <w:p w14:paraId="07C829F9" w14:textId="77777777" w:rsidR="002016B8" w:rsidRPr="00D41829" w:rsidRDefault="002016B8" w:rsidP="002016B8">
            <w:pPr>
              <w:pStyle w:val="Listenabsatz"/>
              <w:numPr>
                <w:ilvl w:val="0"/>
                <w:numId w:val="2"/>
              </w:numPr>
              <w:rPr>
                <w:rFonts w:cs="Arial"/>
                <w:szCs w:val="22"/>
                <w:lang w:val="en-GB"/>
              </w:rPr>
            </w:pPr>
          </w:p>
        </w:tc>
        <w:tc>
          <w:tcPr>
            <w:tcW w:w="7465" w:type="dxa"/>
          </w:tcPr>
          <w:p w14:paraId="24FEE557"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29" w:name="_CTVL001d2037aa33b004048a1924ceb319c9cc8"/>
            <w:r w:rsidRPr="0023076A">
              <w:rPr>
                <w:rFonts w:asciiTheme="minorHAnsi" w:hAnsiTheme="minorHAnsi" w:cstheme="minorHAnsi"/>
                <w:sz w:val="24"/>
                <w:szCs w:val="24"/>
                <w:lang w:val="en-GB"/>
              </w:rPr>
              <w:t>Umbrello M, Miori S, Sanna A, et al. High rates of impaired quality of life and social and economic problems at 6 months after COVID-19-related ARDS.</w:t>
            </w:r>
            <w:bookmarkEnd w:id="29"/>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Anesth Analg Crit Care</w:t>
            </w:r>
            <w:r w:rsidRPr="0023076A">
              <w:rPr>
                <w:rFonts w:asciiTheme="minorHAnsi" w:hAnsiTheme="minorHAnsi" w:cstheme="minorHAnsi"/>
                <w:sz w:val="24"/>
                <w:szCs w:val="24"/>
                <w:lang w:val="en-GB"/>
              </w:rPr>
              <w:t>. 2022;2(1):20. doi:10.1186/s44158-022-00048-5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1B0F0B4"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4A40F02C" w14:textId="77777777" w:rsidTr="0040370E">
        <w:tc>
          <w:tcPr>
            <w:tcW w:w="421" w:type="dxa"/>
          </w:tcPr>
          <w:p w14:paraId="47D07689" w14:textId="77777777" w:rsidR="002016B8" w:rsidRPr="00D41829" w:rsidRDefault="002016B8" w:rsidP="002016B8">
            <w:pPr>
              <w:pStyle w:val="Listenabsatz"/>
              <w:numPr>
                <w:ilvl w:val="0"/>
                <w:numId w:val="2"/>
              </w:numPr>
              <w:rPr>
                <w:rFonts w:cs="Arial"/>
                <w:szCs w:val="22"/>
                <w:lang w:val="en-GB"/>
              </w:rPr>
            </w:pPr>
          </w:p>
        </w:tc>
        <w:tc>
          <w:tcPr>
            <w:tcW w:w="7465" w:type="dxa"/>
          </w:tcPr>
          <w:p w14:paraId="2360411C"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0" w:name="_CTVL0012112a9bbb77d4d45b57c062ae39f0959"/>
            <w:r w:rsidRPr="0023076A">
              <w:rPr>
                <w:rFonts w:asciiTheme="minorHAnsi" w:hAnsiTheme="minorHAnsi" w:cstheme="minorHAnsi"/>
                <w:sz w:val="24"/>
                <w:szCs w:val="24"/>
                <w:lang w:val="en-GB"/>
              </w:rPr>
              <w:t>Veeravagu A, Chen Y-R, Ludwig C, et al. Acute lung injury in patients with subarachnoid hemorrhage: a nationwide inpatient sample study.</w:t>
            </w:r>
            <w:bookmarkEnd w:id="30"/>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World Neurosurg</w:t>
            </w:r>
            <w:r w:rsidRPr="0023076A">
              <w:rPr>
                <w:rFonts w:asciiTheme="minorHAnsi" w:hAnsiTheme="minorHAnsi" w:cstheme="minorHAnsi"/>
                <w:sz w:val="24"/>
                <w:szCs w:val="24"/>
                <w:lang w:val="en-GB"/>
              </w:rPr>
              <w:t>. 2014;82(1-2):e235-41. doi:10.1016/j.wneu.2014.02.030</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3EAE92C2"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4D930192" w14:textId="77777777" w:rsidTr="0040370E">
        <w:tc>
          <w:tcPr>
            <w:tcW w:w="421" w:type="dxa"/>
          </w:tcPr>
          <w:p w14:paraId="384A9DB4" w14:textId="77777777" w:rsidR="002016B8" w:rsidRPr="00D41829" w:rsidRDefault="002016B8" w:rsidP="002016B8">
            <w:pPr>
              <w:pStyle w:val="Listenabsatz"/>
              <w:numPr>
                <w:ilvl w:val="0"/>
                <w:numId w:val="2"/>
              </w:numPr>
              <w:rPr>
                <w:rFonts w:cs="Arial"/>
                <w:szCs w:val="22"/>
                <w:lang w:val="en-GB"/>
              </w:rPr>
            </w:pPr>
          </w:p>
        </w:tc>
        <w:tc>
          <w:tcPr>
            <w:tcW w:w="7465" w:type="dxa"/>
          </w:tcPr>
          <w:p w14:paraId="2190D470"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1" w:name="_CTVL001633c95d4626e444ba5b9fa256436e349"/>
            <w:r w:rsidRPr="0023076A">
              <w:rPr>
                <w:rFonts w:asciiTheme="minorHAnsi" w:hAnsiTheme="minorHAnsi" w:cstheme="minorHAnsi"/>
                <w:sz w:val="24"/>
                <w:szCs w:val="24"/>
                <w:lang w:val="en-GB"/>
              </w:rPr>
              <w:t xml:space="preserve">Varón-Vega FA, Hernández-Parra Á, Molina F, et al. Epidemiology, clinical evolution and outcomes of tracheobronchitis and pneumonia associated with mechanical ventilation in intensive care units of Latin American; </w:t>
            </w:r>
            <w:bookmarkEnd w:id="31"/>
            <w:r w:rsidRPr="0023076A">
              <w:rPr>
                <w:rFonts w:asciiTheme="minorHAnsi" w:hAnsiTheme="minorHAnsi" w:cstheme="minorHAnsi"/>
                <w:i/>
                <w:sz w:val="24"/>
                <w:szCs w:val="24"/>
                <w:lang w:val="en-GB"/>
              </w:rPr>
              <w:t>Infectio</w:t>
            </w:r>
            <w:r w:rsidRPr="0023076A">
              <w:rPr>
                <w:rFonts w:asciiTheme="minorHAnsi" w:hAnsiTheme="minorHAnsi" w:cstheme="minorHAnsi"/>
                <w:sz w:val="24"/>
                <w:szCs w:val="24"/>
                <w:lang w:val="en-GB"/>
              </w:rPr>
              <w:t>. 2017;21(2):74-80. doi:10.22354/in.v21i2.650</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C32A28E"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142169F2" w14:textId="77777777" w:rsidTr="0040370E">
        <w:tc>
          <w:tcPr>
            <w:tcW w:w="421" w:type="dxa"/>
          </w:tcPr>
          <w:p w14:paraId="1BB00BAB" w14:textId="77777777" w:rsidR="002016B8" w:rsidRPr="00D41829" w:rsidRDefault="002016B8" w:rsidP="002016B8">
            <w:pPr>
              <w:pStyle w:val="Listenabsatz"/>
              <w:numPr>
                <w:ilvl w:val="0"/>
                <w:numId w:val="2"/>
              </w:numPr>
              <w:rPr>
                <w:rFonts w:cs="Arial"/>
                <w:szCs w:val="22"/>
                <w:lang w:val="en-GB"/>
              </w:rPr>
            </w:pPr>
          </w:p>
        </w:tc>
        <w:tc>
          <w:tcPr>
            <w:tcW w:w="7465" w:type="dxa"/>
          </w:tcPr>
          <w:p w14:paraId="4BBC597D"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2" w:name="_CTVL00105cbb06796c24c4faec1e2f00035ebd4"/>
            <w:r w:rsidRPr="0023076A">
              <w:rPr>
                <w:rFonts w:asciiTheme="minorHAnsi" w:hAnsiTheme="minorHAnsi" w:cstheme="minorHAnsi"/>
                <w:sz w:val="24"/>
                <w:szCs w:val="24"/>
                <w:lang w:val="en-GB"/>
              </w:rPr>
              <w:t>Williamson CA, Faiver L, Nguyen AM, Ottenhoff L, Rajajee V. Incidence, Predictors and Outcomes of Delirium in Critically Ill Patients With COVID-19.</w:t>
            </w:r>
            <w:bookmarkEnd w:id="32"/>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rPr>
              <w:t>Neurohospitalist</w:t>
            </w:r>
            <w:r w:rsidRPr="0023076A">
              <w:rPr>
                <w:rFonts w:asciiTheme="minorHAnsi" w:hAnsiTheme="minorHAnsi" w:cstheme="minorHAnsi"/>
                <w:sz w:val="24"/>
                <w:szCs w:val="24"/>
              </w:rPr>
              <w:t>. 2022;12(1):31-37. doi:10.1177/19418744211034815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3C1FD5C"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2, 4</w:t>
            </w:r>
          </w:p>
        </w:tc>
      </w:tr>
      <w:tr w:rsidR="002016B8" w:rsidRPr="0023076A" w14:paraId="25457766" w14:textId="77777777" w:rsidTr="0040370E">
        <w:tc>
          <w:tcPr>
            <w:tcW w:w="421" w:type="dxa"/>
          </w:tcPr>
          <w:p w14:paraId="60EA333E" w14:textId="77777777" w:rsidR="002016B8" w:rsidRPr="00D41829" w:rsidRDefault="002016B8" w:rsidP="002016B8">
            <w:pPr>
              <w:pStyle w:val="Listenabsatz"/>
              <w:numPr>
                <w:ilvl w:val="0"/>
                <w:numId w:val="2"/>
              </w:numPr>
              <w:rPr>
                <w:rFonts w:cs="Arial"/>
                <w:szCs w:val="22"/>
                <w:lang w:val="en-GB"/>
              </w:rPr>
            </w:pPr>
          </w:p>
        </w:tc>
        <w:tc>
          <w:tcPr>
            <w:tcW w:w="7465" w:type="dxa"/>
          </w:tcPr>
          <w:p w14:paraId="13BCB28F"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3" w:name="_CTVL00108cec081c3b547baa81f973d2e2dae78"/>
            <w:r w:rsidRPr="0023076A">
              <w:rPr>
                <w:rFonts w:asciiTheme="minorHAnsi" w:hAnsiTheme="minorHAnsi" w:cstheme="minorHAnsi"/>
                <w:sz w:val="24"/>
                <w:szCs w:val="24"/>
                <w:lang w:val="en-GB"/>
              </w:rPr>
              <w:t>Zhang HG, Dagliati A, Shakeri Hossein Abad Z, et al. International electronic health record-derived post-acute sequelae profiles of COVID-19 patients.</w:t>
            </w:r>
            <w:bookmarkEnd w:id="33"/>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NPJ Digit Med</w:t>
            </w:r>
            <w:r w:rsidRPr="0023076A">
              <w:rPr>
                <w:rFonts w:asciiTheme="minorHAnsi" w:hAnsiTheme="minorHAnsi" w:cstheme="minorHAnsi"/>
                <w:sz w:val="24"/>
                <w:szCs w:val="24"/>
                <w:lang w:val="en-GB"/>
              </w:rPr>
              <w:t>. 2022;5(1):81. doi:10.1038/s41746-022-00623-8</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91AD40B"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2F97431A" w14:textId="77777777" w:rsidTr="0040370E">
        <w:tc>
          <w:tcPr>
            <w:tcW w:w="421" w:type="dxa"/>
          </w:tcPr>
          <w:p w14:paraId="75024FE1" w14:textId="77777777" w:rsidR="002016B8" w:rsidRPr="00D41829" w:rsidRDefault="002016B8" w:rsidP="002016B8">
            <w:pPr>
              <w:pStyle w:val="Listenabsatz"/>
              <w:numPr>
                <w:ilvl w:val="0"/>
                <w:numId w:val="2"/>
              </w:numPr>
              <w:rPr>
                <w:rFonts w:cs="Arial"/>
                <w:szCs w:val="22"/>
                <w:lang w:val="en-GB"/>
              </w:rPr>
            </w:pPr>
          </w:p>
        </w:tc>
        <w:tc>
          <w:tcPr>
            <w:tcW w:w="7465" w:type="dxa"/>
          </w:tcPr>
          <w:p w14:paraId="74BF640B"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4" w:name="_CTVL001edd95d360d0b4cc2a229fca992df4235"/>
            <w:r w:rsidRPr="0023076A">
              <w:rPr>
                <w:rFonts w:asciiTheme="minorHAnsi" w:hAnsiTheme="minorHAnsi" w:cstheme="minorHAnsi"/>
                <w:sz w:val="24"/>
                <w:szCs w:val="24"/>
                <w:lang w:val="en-GB"/>
              </w:rPr>
              <w:t>Zhang S, Bai W, Yue J, et al. Eight months follow-up study on pulmonary function, lung radiographic, and related physiological characteristics in COVID-19 survivors.</w:t>
            </w:r>
            <w:bookmarkEnd w:id="34"/>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Sci Rep</w:t>
            </w:r>
            <w:r w:rsidRPr="0023076A">
              <w:rPr>
                <w:rFonts w:asciiTheme="minorHAnsi" w:hAnsiTheme="minorHAnsi" w:cstheme="minorHAnsi"/>
                <w:sz w:val="24"/>
                <w:szCs w:val="24"/>
                <w:lang w:val="en-GB"/>
              </w:rPr>
              <w:t>. 2021;11(1). doi:10.1038/s41598-021-93191-y</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D6DFD31"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2, 4</w:t>
            </w:r>
          </w:p>
        </w:tc>
      </w:tr>
      <w:tr w:rsidR="002016B8" w:rsidRPr="0023076A" w14:paraId="4B7BA620" w14:textId="77777777" w:rsidTr="0040370E">
        <w:tc>
          <w:tcPr>
            <w:tcW w:w="421" w:type="dxa"/>
          </w:tcPr>
          <w:p w14:paraId="58F6117D" w14:textId="77777777" w:rsidR="002016B8" w:rsidRPr="00D41829" w:rsidRDefault="002016B8" w:rsidP="002016B8">
            <w:pPr>
              <w:pStyle w:val="Listenabsatz"/>
              <w:numPr>
                <w:ilvl w:val="0"/>
                <w:numId w:val="2"/>
              </w:numPr>
              <w:rPr>
                <w:rFonts w:cs="Arial"/>
                <w:szCs w:val="22"/>
                <w:lang w:val="en-GB"/>
              </w:rPr>
            </w:pPr>
          </w:p>
        </w:tc>
        <w:tc>
          <w:tcPr>
            <w:tcW w:w="7465" w:type="dxa"/>
          </w:tcPr>
          <w:p w14:paraId="7309C877"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5" w:name="_CTVL00150a3f9ea92064a14b62408a3f1a3222a"/>
            <w:r w:rsidRPr="0023076A">
              <w:rPr>
                <w:rFonts w:asciiTheme="minorHAnsi" w:hAnsiTheme="minorHAnsi" w:cstheme="minorHAnsi"/>
                <w:sz w:val="24"/>
                <w:szCs w:val="24"/>
              </w:rPr>
              <w:t xml:space="preserve">Yuksel H, Gursoy GT, Dirik EB, et al. </w:t>
            </w:r>
            <w:r w:rsidRPr="0023076A">
              <w:rPr>
                <w:rFonts w:asciiTheme="minorHAnsi" w:hAnsiTheme="minorHAnsi" w:cstheme="minorHAnsi"/>
                <w:sz w:val="24"/>
                <w:szCs w:val="24"/>
                <w:lang w:val="en-GB"/>
              </w:rPr>
              <w:t>Neurological manifestations of COVID-19 in confirmed and probable cases: A descriptive study from a large tertiary care center.</w:t>
            </w:r>
            <w:bookmarkEnd w:id="35"/>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Clin Neurosci</w:t>
            </w:r>
            <w:r w:rsidRPr="0023076A">
              <w:rPr>
                <w:rFonts w:asciiTheme="minorHAnsi" w:hAnsiTheme="minorHAnsi" w:cstheme="minorHAnsi"/>
                <w:sz w:val="24"/>
                <w:szCs w:val="24"/>
                <w:lang w:val="en-GB"/>
              </w:rPr>
              <w:t>. 2021;86:97-102. doi:10.1016/j.jocn.2021.01.002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95C7830"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2, 4</w:t>
            </w:r>
          </w:p>
        </w:tc>
      </w:tr>
      <w:tr w:rsidR="002016B8" w:rsidRPr="0023076A" w14:paraId="2F3624D6" w14:textId="77777777" w:rsidTr="0040370E">
        <w:tc>
          <w:tcPr>
            <w:tcW w:w="421" w:type="dxa"/>
          </w:tcPr>
          <w:p w14:paraId="61A0E78C" w14:textId="77777777" w:rsidR="002016B8" w:rsidRPr="00D41829" w:rsidRDefault="002016B8" w:rsidP="002016B8">
            <w:pPr>
              <w:pStyle w:val="Listenabsatz"/>
              <w:numPr>
                <w:ilvl w:val="0"/>
                <w:numId w:val="2"/>
              </w:numPr>
              <w:rPr>
                <w:rFonts w:cs="Arial"/>
                <w:szCs w:val="22"/>
                <w:lang w:val="en-GB"/>
              </w:rPr>
            </w:pPr>
          </w:p>
        </w:tc>
        <w:tc>
          <w:tcPr>
            <w:tcW w:w="7465" w:type="dxa"/>
          </w:tcPr>
          <w:p w14:paraId="74DFE276"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6" w:name="_CTVL0010022322eb627470ba8207407919a9d9d"/>
            <w:r w:rsidRPr="0023076A">
              <w:rPr>
                <w:rFonts w:asciiTheme="minorHAnsi" w:hAnsiTheme="minorHAnsi" w:cstheme="minorHAnsi"/>
                <w:sz w:val="24"/>
                <w:szCs w:val="24"/>
                <w:lang w:val="en-GB"/>
              </w:rPr>
              <w:t>Zhu W, Bai Y, Li S, et al. Delirium in hospitalized COVID-19 patients: a prospective, multicenter, cohort study.</w:t>
            </w:r>
            <w:bookmarkEnd w:id="3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Neurol</w:t>
            </w:r>
            <w:r w:rsidRPr="0023076A">
              <w:rPr>
                <w:rFonts w:asciiTheme="minorHAnsi" w:hAnsiTheme="minorHAnsi" w:cstheme="minorHAnsi"/>
                <w:sz w:val="24"/>
                <w:szCs w:val="24"/>
                <w:lang w:val="en-GB"/>
              </w:rPr>
              <w:t>. 2023;270(10):4608-4616. doi:10.1007/s00415-023-11882-0</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BFFCBB1"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2, 4</w:t>
            </w:r>
          </w:p>
        </w:tc>
      </w:tr>
      <w:tr w:rsidR="002016B8" w:rsidRPr="0023076A" w14:paraId="404B2722" w14:textId="77777777" w:rsidTr="0040370E">
        <w:tc>
          <w:tcPr>
            <w:tcW w:w="421" w:type="dxa"/>
          </w:tcPr>
          <w:p w14:paraId="4B2FEFEC" w14:textId="77777777" w:rsidR="002016B8" w:rsidRPr="00D41829" w:rsidRDefault="002016B8" w:rsidP="002016B8">
            <w:pPr>
              <w:pStyle w:val="Listenabsatz"/>
              <w:numPr>
                <w:ilvl w:val="0"/>
                <w:numId w:val="2"/>
              </w:numPr>
              <w:rPr>
                <w:rFonts w:cs="Arial"/>
                <w:szCs w:val="22"/>
                <w:lang w:val="en-GB"/>
              </w:rPr>
            </w:pPr>
          </w:p>
        </w:tc>
        <w:tc>
          <w:tcPr>
            <w:tcW w:w="7465" w:type="dxa"/>
          </w:tcPr>
          <w:p w14:paraId="091403D5"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37" w:name="_CTVL001bd6400ead259463fbf08fdb171aa085d"/>
            <w:r w:rsidRPr="0023076A">
              <w:rPr>
                <w:rFonts w:asciiTheme="minorHAnsi" w:hAnsiTheme="minorHAnsi" w:cstheme="minorHAnsi"/>
                <w:sz w:val="24"/>
                <w:szCs w:val="24"/>
              </w:rPr>
              <w:t xml:space="preserve">Zhou P, Xu H, Li B, et al. </w:t>
            </w:r>
            <w:r w:rsidRPr="0023076A">
              <w:rPr>
                <w:rFonts w:asciiTheme="minorHAnsi" w:hAnsiTheme="minorHAnsi" w:cstheme="minorHAnsi"/>
                <w:sz w:val="24"/>
                <w:szCs w:val="24"/>
                <w:lang w:val="en-GB"/>
              </w:rPr>
              <w:t>Neurological outcomes in adult drowning patients in China.</w:t>
            </w:r>
            <w:bookmarkEnd w:id="37"/>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Ann Saudi Med</w:t>
            </w:r>
            <w:r w:rsidRPr="0023076A">
              <w:rPr>
                <w:rFonts w:asciiTheme="minorHAnsi" w:hAnsiTheme="minorHAnsi" w:cstheme="minorHAnsi"/>
                <w:sz w:val="24"/>
                <w:szCs w:val="24"/>
                <w:lang w:val="en-GB"/>
              </w:rPr>
              <w:t>. 2022;42(2):127-138. doi:10.5144/0256-4947.2022.127</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FE3C6B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3472F2B3" w14:textId="77777777" w:rsidTr="0040370E">
        <w:tc>
          <w:tcPr>
            <w:tcW w:w="421" w:type="dxa"/>
          </w:tcPr>
          <w:p w14:paraId="1E29163A" w14:textId="77777777" w:rsidR="002016B8" w:rsidRPr="00D41829" w:rsidRDefault="002016B8" w:rsidP="002016B8">
            <w:pPr>
              <w:pStyle w:val="Listenabsatz"/>
              <w:numPr>
                <w:ilvl w:val="0"/>
                <w:numId w:val="2"/>
              </w:numPr>
              <w:rPr>
                <w:rFonts w:cs="Arial"/>
                <w:szCs w:val="22"/>
                <w:lang w:val="en-GB"/>
              </w:rPr>
            </w:pPr>
          </w:p>
        </w:tc>
        <w:tc>
          <w:tcPr>
            <w:tcW w:w="7465" w:type="dxa"/>
          </w:tcPr>
          <w:p w14:paraId="29465E80"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38" w:name="_CTVL00199c8547fa6e8411fb7b2ce051d339da0"/>
            <w:r w:rsidRPr="0023076A">
              <w:rPr>
                <w:rFonts w:asciiTheme="minorHAnsi" w:hAnsiTheme="minorHAnsi" w:cstheme="minorHAnsi"/>
                <w:sz w:val="24"/>
                <w:szCs w:val="24"/>
                <w:lang w:val="de-DE"/>
              </w:rPr>
              <w:t xml:space="preserve">Zhang W, Wu W, Gu J, et al. </w:t>
            </w:r>
            <w:r w:rsidRPr="0023076A">
              <w:rPr>
                <w:rFonts w:asciiTheme="minorHAnsi" w:hAnsiTheme="minorHAnsi" w:cstheme="minorHAnsi"/>
                <w:sz w:val="24"/>
                <w:szCs w:val="24"/>
              </w:rPr>
              <w:t>Risk factors for postoperative delirium in patients after coronary artery bypass grafting: A prospective cohort study.</w:t>
            </w:r>
            <w:bookmarkEnd w:id="38"/>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J Crit Care</w:t>
            </w:r>
            <w:r w:rsidRPr="0023076A">
              <w:rPr>
                <w:rFonts w:asciiTheme="minorHAnsi" w:hAnsiTheme="minorHAnsi" w:cstheme="minorHAnsi"/>
                <w:sz w:val="24"/>
                <w:szCs w:val="24"/>
              </w:rPr>
              <w:t>. 2015;30(3):606-612. doi:10.1016/j.jcrc.2015.02.003</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BA42D85"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301FDF94" w14:textId="77777777" w:rsidTr="0040370E">
        <w:tc>
          <w:tcPr>
            <w:tcW w:w="421" w:type="dxa"/>
          </w:tcPr>
          <w:p w14:paraId="38D59D63" w14:textId="77777777" w:rsidR="002016B8" w:rsidRPr="00D41829" w:rsidRDefault="002016B8" w:rsidP="002016B8">
            <w:pPr>
              <w:pStyle w:val="Listenabsatz"/>
              <w:numPr>
                <w:ilvl w:val="0"/>
                <w:numId w:val="2"/>
              </w:numPr>
              <w:rPr>
                <w:rFonts w:cs="Arial"/>
                <w:szCs w:val="22"/>
                <w:lang w:val="en-GB"/>
              </w:rPr>
            </w:pPr>
          </w:p>
        </w:tc>
        <w:tc>
          <w:tcPr>
            <w:tcW w:w="7465" w:type="dxa"/>
          </w:tcPr>
          <w:p w14:paraId="7603A911"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39" w:name="_CTVL001c89d402c8d06477da152595b448cd710"/>
            <w:r w:rsidRPr="0023076A">
              <w:rPr>
                <w:rFonts w:asciiTheme="minorHAnsi" w:hAnsiTheme="minorHAnsi" w:cstheme="minorHAnsi"/>
                <w:sz w:val="24"/>
                <w:szCs w:val="24"/>
              </w:rPr>
              <w:t>Wong EK-C, Watt J, Zou H, et al. Characteristics, treatment and delirium incidence of older adults hospitalized with COVID-19: a multicentre retrospective cohort study.</w:t>
            </w:r>
            <w:bookmarkEnd w:id="39"/>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CMAJ Open</w:t>
            </w:r>
            <w:r w:rsidRPr="0023076A">
              <w:rPr>
                <w:rFonts w:asciiTheme="minorHAnsi" w:hAnsiTheme="minorHAnsi" w:cstheme="minorHAnsi"/>
                <w:sz w:val="24"/>
                <w:szCs w:val="24"/>
              </w:rPr>
              <w:t>. 2022;10(3):E692-E701. doi:10.9778/cmajo.20210176</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579E3AC"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2, 4</w:t>
            </w:r>
          </w:p>
        </w:tc>
      </w:tr>
      <w:tr w:rsidR="002016B8" w:rsidRPr="0023076A" w14:paraId="6C57D3ED" w14:textId="77777777" w:rsidTr="0040370E">
        <w:tc>
          <w:tcPr>
            <w:tcW w:w="421" w:type="dxa"/>
          </w:tcPr>
          <w:p w14:paraId="51D0FD0B" w14:textId="77777777" w:rsidR="002016B8" w:rsidRPr="00D41829" w:rsidRDefault="002016B8" w:rsidP="002016B8">
            <w:pPr>
              <w:pStyle w:val="Listenabsatz"/>
              <w:numPr>
                <w:ilvl w:val="0"/>
                <w:numId w:val="2"/>
              </w:numPr>
              <w:rPr>
                <w:rFonts w:cs="Arial"/>
                <w:szCs w:val="22"/>
                <w:lang w:val="en-GB"/>
              </w:rPr>
            </w:pPr>
          </w:p>
        </w:tc>
        <w:tc>
          <w:tcPr>
            <w:tcW w:w="7465" w:type="dxa"/>
          </w:tcPr>
          <w:p w14:paraId="59886563"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0" w:name="_CTVL001ec2d898a78d4466e9401486f000900cf"/>
            <w:r w:rsidRPr="0023076A">
              <w:rPr>
                <w:rFonts w:asciiTheme="minorHAnsi" w:hAnsiTheme="minorHAnsi" w:cstheme="minorHAnsi"/>
                <w:sz w:val="24"/>
                <w:szCs w:val="24"/>
                <w:lang w:val="en-GB"/>
              </w:rPr>
              <w:t>Wilson ME, Barwise A, Heise KJ, et al. Long-Term Return to Functional Baseline After Mechanical Ventilation in the ICU.</w:t>
            </w:r>
            <w:bookmarkEnd w:id="40"/>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Crit Care Med</w:t>
            </w:r>
            <w:r w:rsidRPr="0023076A">
              <w:rPr>
                <w:rFonts w:asciiTheme="minorHAnsi" w:hAnsiTheme="minorHAnsi" w:cstheme="minorHAnsi"/>
                <w:sz w:val="24"/>
                <w:szCs w:val="24"/>
                <w:lang w:val="en-GB"/>
              </w:rPr>
              <w:t>. 2018;46(4):562-569. doi:10.1097/CCM.0000000000002927</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0A6715D"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7D538034" w14:textId="77777777" w:rsidTr="0040370E">
        <w:tc>
          <w:tcPr>
            <w:tcW w:w="421" w:type="dxa"/>
          </w:tcPr>
          <w:p w14:paraId="006A0E75" w14:textId="77777777" w:rsidR="002016B8" w:rsidRPr="00D41829" w:rsidRDefault="002016B8" w:rsidP="002016B8">
            <w:pPr>
              <w:pStyle w:val="Listenabsatz"/>
              <w:numPr>
                <w:ilvl w:val="0"/>
                <w:numId w:val="2"/>
              </w:numPr>
              <w:rPr>
                <w:rFonts w:cs="Arial"/>
                <w:szCs w:val="22"/>
                <w:lang w:val="en-GB"/>
              </w:rPr>
            </w:pPr>
          </w:p>
        </w:tc>
        <w:tc>
          <w:tcPr>
            <w:tcW w:w="7465" w:type="dxa"/>
          </w:tcPr>
          <w:p w14:paraId="7FB94C95"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1" w:name="_CTVL001d7844003567f46a0a14a5034d27ab95e"/>
            <w:r w:rsidRPr="0023076A">
              <w:rPr>
                <w:rFonts w:asciiTheme="minorHAnsi" w:hAnsiTheme="minorHAnsi" w:cstheme="minorHAnsi"/>
                <w:sz w:val="24"/>
                <w:szCs w:val="24"/>
                <w:lang w:val="en-GB"/>
              </w:rPr>
              <w:t>Wintermann G-B, Rosendahl J, Weidner K, Strauß B, Hinz A, Petrowski K. Self-reported fatigue following intensive care of chronically critically ill patients: a prospective cohort study.</w:t>
            </w:r>
            <w:bookmarkEnd w:id="41"/>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Intensive Care</w:t>
            </w:r>
            <w:r w:rsidRPr="0023076A">
              <w:rPr>
                <w:rFonts w:asciiTheme="minorHAnsi" w:hAnsiTheme="minorHAnsi" w:cstheme="minorHAnsi"/>
                <w:sz w:val="24"/>
                <w:szCs w:val="24"/>
                <w:lang w:val="en-GB"/>
              </w:rPr>
              <w:t>. 2018;6:27. doi:10.1186/s40560-018-0295-7</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2BBE52C"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5A71DBCE" w14:textId="77777777" w:rsidTr="0040370E">
        <w:tc>
          <w:tcPr>
            <w:tcW w:w="421" w:type="dxa"/>
          </w:tcPr>
          <w:p w14:paraId="076A4614" w14:textId="77777777" w:rsidR="002016B8" w:rsidRPr="00D41829" w:rsidRDefault="002016B8" w:rsidP="002016B8">
            <w:pPr>
              <w:pStyle w:val="Listenabsatz"/>
              <w:numPr>
                <w:ilvl w:val="0"/>
                <w:numId w:val="2"/>
              </w:numPr>
              <w:rPr>
                <w:rFonts w:cs="Arial"/>
                <w:szCs w:val="22"/>
                <w:lang w:val="en-GB"/>
              </w:rPr>
            </w:pPr>
          </w:p>
        </w:tc>
        <w:tc>
          <w:tcPr>
            <w:tcW w:w="7465" w:type="dxa"/>
          </w:tcPr>
          <w:p w14:paraId="130F2923"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2" w:name="_CTVL00173d0038a19bb4ddba0e87e2a1779cbd8"/>
            <w:r w:rsidRPr="0023076A">
              <w:rPr>
                <w:rFonts w:asciiTheme="minorHAnsi" w:hAnsiTheme="minorHAnsi" w:cstheme="minorHAnsi"/>
                <w:sz w:val="24"/>
                <w:szCs w:val="24"/>
                <w:lang w:val="en-GB"/>
              </w:rPr>
              <w:t>Wozniak AW, Pfoh ER, Dinglas VD, Pronovost PJ, Needham DM, Colantuoni E. Hospital Readmission and Subsequent Decline in Long-Term Survivors of Acute Respiratory Distress Syndrome.</w:t>
            </w:r>
            <w:bookmarkEnd w:id="42"/>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Am J Crit Care</w:t>
            </w:r>
            <w:r w:rsidRPr="0023076A">
              <w:rPr>
                <w:rFonts w:asciiTheme="minorHAnsi" w:hAnsiTheme="minorHAnsi" w:cstheme="minorHAnsi"/>
                <w:sz w:val="24"/>
                <w:szCs w:val="24"/>
                <w:lang w:val="en-GB"/>
              </w:rPr>
              <w:t>. 2019;28(1):76-80. doi:10.4037/ajcc2019580</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7A9DC3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16B1AC41" w14:textId="77777777" w:rsidTr="0040370E">
        <w:tc>
          <w:tcPr>
            <w:tcW w:w="421" w:type="dxa"/>
          </w:tcPr>
          <w:p w14:paraId="5D0A6605" w14:textId="77777777" w:rsidR="002016B8" w:rsidRPr="00D41829" w:rsidRDefault="002016B8" w:rsidP="002016B8">
            <w:pPr>
              <w:pStyle w:val="Listenabsatz"/>
              <w:numPr>
                <w:ilvl w:val="0"/>
                <w:numId w:val="2"/>
              </w:numPr>
              <w:rPr>
                <w:rFonts w:cs="Arial"/>
                <w:szCs w:val="22"/>
                <w:lang w:val="en-GB"/>
              </w:rPr>
            </w:pPr>
          </w:p>
        </w:tc>
        <w:tc>
          <w:tcPr>
            <w:tcW w:w="7465" w:type="dxa"/>
          </w:tcPr>
          <w:p w14:paraId="72F8B524"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3" w:name="_CTVL001f5bfeb3766fe4e3d97769c9cf02004da"/>
            <w:r w:rsidRPr="0023076A">
              <w:rPr>
                <w:rFonts w:asciiTheme="minorHAnsi" w:hAnsiTheme="minorHAnsi" w:cstheme="minorHAnsi"/>
                <w:sz w:val="24"/>
                <w:szCs w:val="24"/>
              </w:rPr>
              <w:t xml:space="preserve">Yang L, Chen W, Chen D, et al. </w:t>
            </w:r>
            <w:r w:rsidRPr="0023076A">
              <w:rPr>
                <w:rFonts w:asciiTheme="minorHAnsi" w:hAnsiTheme="minorHAnsi" w:cstheme="minorHAnsi"/>
                <w:sz w:val="24"/>
                <w:szCs w:val="24"/>
                <w:lang w:val="en-GB"/>
              </w:rPr>
              <w:t>Cohort profile: the China surgery and anesthesia cohort (CSAC).</w:t>
            </w:r>
            <w:bookmarkEnd w:id="43"/>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Eur J Epidemiol</w:t>
            </w:r>
            <w:r w:rsidRPr="0023076A">
              <w:rPr>
                <w:rFonts w:asciiTheme="minorHAnsi" w:hAnsiTheme="minorHAnsi" w:cstheme="minorHAnsi"/>
                <w:sz w:val="24"/>
                <w:szCs w:val="24"/>
                <w:lang w:val="en-GB"/>
              </w:rPr>
              <w:t>. 2024. doi:10.1007/s10654-023-01083-4</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A4A126D"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0, 2</w:t>
            </w:r>
          </w:p>
        </w:tc>
      </w:tr>
      <w:tr w:rsidR="002016B8" w:rsidRPr="0023076A" w14:paraId="0074B232" w14:textId="77777777" w:rsidTr="0040370E">
        <w:tc>
          <w:tcPr>
            <w:tcW w:w="421" w:type="dxa"/>
          </w:tcPr>
          <w:p w14:paraId="3929E61F" w14:textId="77777777" w:rsidR="002016B8" w:rsidRPr="00D41829" w:rsidRDefault="002016B8" w:rsidP="002016B8">
            <w:pPr>
              <w:pStyle w:val="Listenabsatz"/>
              <w:numPr>
                <w:ilvl w:val="0"/>
                <w:numId w:val="2"/>
              </w:numPr>
              <w:rPr>
                <w:rFonts w:cs="Arial"/>
                <w:szCs w:val="22"/>
                <w:lang w:val="en-GB"/>
              </w:rPr>
            </w:pPr>
          </w:p>
        </w:tc>
        <w:tc>
          <w:tcPr>
            <w:tcW w:w="7465" w:type="dxa"/>
          </w:tcPr>
          <w:p w14:paraId="176E090F"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4" w:name="_CTVL001a0fda44a86ff48c395db91650d5bf1c7"/>
            <w:r w:rsidRPr="0023076A">
              <w:rPr>
                <w:rFonts w:asciiTheme="minorHAnsi" w:hAnsiTheme="minorHAnsi" w:cstheme="minorHAnsi"/>
                <w:sz w:val="24"/>
                <w:szCs w:val="24"/>
                <w:lang w:val="en-GB"/>
              </w:rPr>
              <w:t>Yao L, Li Y, Yin R, et al. Incidence and influencing factors of post-intensive care cognitive impairment.</w:t>
            </w:r>
            <w:bookmarkEnd w:id="44"/>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Intensive Crit Care Nurs</w:t>
            </w:r>
            <w:r w:rsidRPr="0023076A">
              <w:rPr>
                <w:rFonts w:asciiTheme="minorHAnsi" w:hAnsiTheme="minorHAnsi" w:cstheme="minorHAnsi"/>
                <w:sz w:val="24"/>
                <w:szCs w:val="24"/>
                <w:lang w:val="en-GB"/>
              </w:rPr>
              <w:t>. 2021;67:103106. doi:10.1016/j.iccn.2021.103106</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735E3719"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755E73D4" w14:textId="77777777" w:rsidTr="0040370E">
        <w:tc>
          <w:tcPr>
            <w:tcW w:w="421" w:type="dxa"/>
          </w:tcPr>
          <w:p w14:paraId="17E4E23C" w14:textId="77777777" w:rsidR="002016B8" w:rsidRPr="00D41829" w:rsidRDefault="002016B8" w:rsidP="002016B8">
            <w:pPr>
              <w:pStyle w:val="Listenabsatz"/>
              <w:numPr>
                <w:ilvl w:val="0"/>
                <w:numId w:val="2"/>
              </w:numPr>
              <w:rPr>
                <w:rFonts w:cs="Arial"/>
                <w:szCs w:val="22"/>
                <w:lang w:val="en-GB"/>
              </w:rPr>
            </w:pPr>
          </w:p>
        </w:tc>
        <w:tc>
          <w:tcPr>
            <w:tcW w:w="7465" w:type="dxa"/>
          </w:tcPr>
          <w:p w14:paraId="42C7E8DF"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5" w:name="_CTVL0012c3642175b4845e78b02a27acf315725"/>
            <w:r w:rsidRPr="0023076A">
              <w:rPr>
                <w:rFonts w:asciiTheme="minorHAnsi" w:hAnsiTheme="minorHAnsi" w:cstheme="minorHAnsi"/>
                <w:sz w:val="24"/>
                <w:szCs w:val="24"/>
                <w:lang w:val="en-GB"/>
              </w:rPr>
              <w:t>Ruhl AP, Huang M, Colantuoni E, et al. Healthcare utilization and costs in ARDS survivors: a 1-year longitudinal national US multicenter study.</w:t>
            </w:r>
            <w:bookmarkEnd w:id="45"/>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Intensive Care Med</w:t>
            </w:r>
            <w:r w:rsidRPr="0023076A">
              <w:rPr>
                <w:rFonts w:asciiTheme="minorHAnsi" w:hAnsiTheme="minorHAnsi" w:cstheme="minorHAnsi"/>
                <w:sz w:val="24"/>
                <w:szCs w:val="24"/>
                <w:lang w:val="en-GB"/>
              </w:rPr>
              <w:t>. 2017;43(7):980-991. doi:10.1007/s00134-017-4827-8</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A3D868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2DC932CF" w14:textId="77777777" w:rsidTr="0040370E">
        <w:tc>
          <w:tcPr>
            <w:tcW w:w="421" w:type="dxa"/>
          </w:tcPr>
          <w:p w14:paraId="438E9236" w14:textId="77777777" w:rsidR="002016B8" w:rsidRPr="00D41829" w:rsidRDefault="002016B8" w:rsidP="002016B8">
            <w:pPr>
              <w:pStyle w:val="Listenabsatz"/>
              <w:numPr>
                <w:ilvl w:val="0"/>
                <w:numId w:val="2"/>
              </w:numPr>
              <w:rPr>
                <w:rFonts w:cs="Arial"/>
                <w:szCs w:val="22"/>
                <w:lang w:val="en-GB"/>
              </w:rPr>
            </w:pPr>
          </w:p>
        </w:tc>
        <w:tc>
          <w:tcPr>
            <w:tcW w:w="7465" w:type="dxa"/>
          </w:tcPr>
          <w:p w14:paraId="4F8C07BE"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6" w:name="_CTVL0015cfb71ea7dde459cbc48450031932b7c"/>
            <w:r w:rsidRPr="0023076A">
              <w:rPr>
                <w:rFonts w:asciiTheme="minorHAnsi" w:hAnsiTheme="minorHAnsi" w:cstheme="minorHAnsi"/>
                <w:sz w:val="24"/>
                <w:szCs w:val="24"/>
                <w:lang w:val="en-GB"/>
              </w:rPr>
              <w:t>Rousseau A-F, Minguet P, Colson C, et al. Post-intensive care syndrome after a critical COVID-19: cohort study from a Belgian follow-up clinic.</w:t>
            </w:r>
            <w:bookmarkEnd w:id="4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Ann Intensive Care</w:t>
            </w:r>
            <w:r w:rsidRPr="0023076A">
              <w:rPr>
                <w:rFonts w:asciiTheme="minorHAnsi" w:hAnsiTheme="minorHAnsi" w:cstheme="minorHAnsi"/>
                <w:sz w:val="24"/>
                <w:szCs w:val="24"/>
                <w:lang w:val="en-GB"/>
              </w:rPr>
              <w:t>. 2021;11(1):118. doi:10.1186/s13613-021-00910-9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A11F3F7"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65E1C000" w14:textId="77777777" w:rsidTr="0040370E">
        <w:tc>
          <w:tcPr>
            <w:tcW w:w="421" w:type="dxa"/>
          </w:tcPr>
          <w:p w14:paraId="1AAEEE24" w14:textId="77777777" w:rsidR="002016B8" w:rsidRPr="00D41829" w:rsidRDefault="002016B8" w:rsidP="002016B8">
            <w:pPr>
              <w:pStyle w:val="Listenabsatz"/>
              <w:numPr>
                <w:ilvl w:val="0"/>
                <w:numId w:val="2"/>
              </w:numPr>
              <w:rPr>
                <w:rFonts w:cs="Arial"/>
                <w:szCs w:val="22"/>
                <w:lang w:val="en-GB"/>
              </w:rPr>
            </w:pPr>
          </w:p>
        </w:tc>
        <w:tc>
          <w:tcPr>
            <w:tcW w:w="7465" w:type="dxa"/>
          </w:tcPr>
          <w:p w14:paraId="43F2A4BC"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47" w:name="_CTVL001260a1f04110941e297b4c8ebdd8fcb57"/>
            <w:r w:rsidRPr="0023076A">
              <w:rPr>
                <w:rFonts w:asciiTheme="minorHAnsi" w:hAnsiTheme="minorHAnsi" w:cstheme="minorHAnsi"/>
                <w:sz w:val="24"/>
                <w:szCs w:val="24"/>
              </w:rPr>
              <w:t>Taniguchi LU, Aliberti MJR, Dias MB, Jacob-Filho W, Avelino-Silva TJ. Twelve Months and Counting: Following Clinical Outcomes in Critical COVID-19 Survivors.</w:t>
            </w:r>
            <w:bookmarkEnd w:id="47"/>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Ann Am Thorac Soc</w:t>
            </w:r>
            <w:r w:rsidRPr="0023076A">
              <w:rPr>
                <w:rFonts w:asciiTheme="minorHAnsi" w:hAnsiTheme="minorHAnsi" w:cstheme="minorHAnsi"/>
                <w:sz w:val="24"/>
                <w:szCs w:val="24"/>
              </w:rPr>
              <w:t>. 2023;20(2):289-295. doi:10.1513/AnnalsATS.202207-630OC</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EA688FA"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6A1A81D4" w14:textId="77777777" w:rsidTr="0040370E">
        <w:tc>
          <w:tcPr>
            <w:tcW w:w="421" w:type="dxa"/>
          </w:tcPr>
          <w:p w14:paraId="208FB065" w14:textId="77777777" w:rsidR="002016B8" w:rsidRPr="00D41829" w:rsidRDefault="002016B8" w:rsidP="002016B8">
            <w:pPr>
              <w:pStyle w:val="Listenabsatz"/>
              <w:numPr>
                <w:ilvl w:val="0"/>
                <w:numId w:val="2"/>
              </w:numPr>
              <w:rPr>
                <w:rFonts w:cs="Arial"/>
                <w:szCs w:val="22"/>
                <w:lang w:val="en-GB"/>
              </w:rPr>
            </w:pPr>
          </w:p>
        </w:tc>
        <w:tc>
          <w:tcPr>
            <w:tcW w:w="7465" w:type="dxa"/>
          </w:tcPr>
          <w:p w14:paraId="436ED7DA"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48" w:name="_CTVL00168f8d4221ba1437c970a3095cda249c9"/>
            <w:r w:rsidRPr="0023076A">
              <w:rPr>
                <w:rFonts w:asciiTheme="minorHAnsi" w:hAnsiTheme="minorHAnsi" w:cstheme="minorHAnsi"/>
                <w:sz w:val="24"/>
                <w:szCs w:val="24"/>
              </w:rPr>
              <w:t>Szymczak H, Dodoo-Schittko F, Brandstetter S, et al. Trajectories of quality of life, return to work, psychopathology, and disability in survivors of the acute respiratory distress syndrome (ARDS): A three-year prospective cohort study (DACAPO).</w:t>
            </w:r>
            <w:bookmarkEnd w:id="48"/>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J Crit Care</w:t>
            </w:r>
            <w:r w:rsidRPr="0023076A">
              <w:rPr>
                <w:rFonts w:asciiTheme="minorHAnsi" w:hAnsiTheme="minorHAnsi" w:cstheme="minorHAnsi"/>
                <w:sz w:val="24"/>
                <w:szCs w:val="24"/>
              </w:rPr>
              <w:t>. 2023;78:154356. doi:10.1016/j.jcrc.2023.154356</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E5B92C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721F76E5" w14:textId="77777777" w:rsidTr="0040370E">
        <w:tc>
          <w:tcPr>
            <w:tcW w:w="421" w:type="dxa"/>
          </w:tcPr>
          <w:p w14:paraId="15F3A24C" w14:textId="77777777" w:rsidR="002016B8" w:rsidRPr="00D41829" w:rsidRDefault="002016B8" w:rsidP="002016B8">
            <w:pPr>
              <w:pStyle w:val="Listenabsatz"/>
              <w:numPr>
                <w:ilvl w:val="0"/>
                <w:numId w:val="2"/>
              </w:numPr>
              <w:rPr>
                <w:rFonts w:cs="Arial"/>
                <w:szCs w:val="22"/>
                <w:lang w:val="en-GB"/>
              </w:rPr>
            </w:pPr>
          </w:p>
        </w:tc>
        <w:tc>
          <w:tcPr>
            <w:tcW w:w="7465" w:type="dxa"/>
          </w:tcPr>
          <w:p w14:paraId="3EA5EFE3"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49" w:name="_CTVL00145f47de446bb4127a70dd823971c577e"/>
            <w:r w:rsidRPr="0023076A">
              <w:rPr>
                <w:rFonts w:asciiTheme="minorHAnsi" w:hAnsiTheme="minorHAnsi" w:cstheme="minorHAnsi"/>
                <w:sz w:val="24"/>
                <w:szCs w:val="24"/>
                <w:lang w:val="en-GB"/>
              </w:rPr>
              <w:t xml:space="preserve">Tong C, Huang C, Wu J, Xu M, Cao H. The Prevalence and Impact of Undiagnosed Mild Cognitive Impairment in Elderly Patients Undergoing </w:t>
            </w:r>
            <w:r w:rsidRPr="0023076A">
              <w:rPr>
                <w:rFonts w:asciiTheme="minorHAnsi" w:hAnsiTheme="minorHAnsi" w:cstheme="minorHAnsi"/>
                <w:sz w:val="24"/>
                <w:szCs w:val="24"/>
                <w:lang w:val="en-GB"/>
              </w:rPr>
              <w:lastRenderedPageBreak/>
              <w:t>Thoracic Surgery: A Prospective Cohort Study.</w:t>
            </w:r>
            <w:bookmarkEnd w:id="49"/>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Cardiothorac Vasc Anesth</w:t>
            </w:r>
            <w:r w:rsidRPr="0023076A">
              <w:rPr>
                <w:rFonts w:asciiTheme="minorHAnsi" w:hAnsiTheme="minorHAnsi" w:cstheme="minorHAnsi"/>
                <w:sz w:val="24"/>
                <w:szCs w:val="24"/>
                <w:lang w:val="en-GB"/>
              </w:rPr>
              <w:t>. 2020;34(9):2413-2418. doi:10.1053/j.jvca.2020.03.011</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7EF0ACBB"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lastRenderedPageBreak/>
              <w:t>2</w:t>
            </w:r>
          </w:p>
        </w:tc>
      </w:tr>
      <w:tr w:rsidR="002016B8" w:rsidRPr="0023076A" w14:paraId="269E2B05" w14:textId="77777777" w:rsidTr="0040370E">
        <w:tc>
          <w:tcPr>
            <w:tcW w:w="421" w:type="dxa"/>
          </w:tcPr>
          <w:p w14:paraId="3C211DDC" w14:textId="77777777" w:rsidR="002016B8" w:rsidRPr="00D41829" w:rsidRDefault="002016B8" w:rsidP="002016B8">
            <w:pPr>
              <w:pStyle w:val="Listenabsatz"/>
              <w:numPr>
                <w:ilvl w:val="0"/>
                <w:numId w:val="2"/>
              </w:numPr>
              <w:rPr>
                <w:rFonts w:cs="Arial"/>
                <w:szCs w:val="22"/>
                <w:lang w:val="en-GB"/>
              </w:rPr>
            </w:pPr>
          </w:p>
        </w:tc>
        <w:tc>
          <w:tcPr>
            <w:tcW w:w="7465" w:type="dxa"/>
          </w:tcPr>
          <w:p w14:paraId="5D8365B3"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50" w:name="_CTVL00134bf763fd2b347bf9824abe9c1164b73"/>
            <w:r w:rsidRPr="0023076A">
              <w:rPr>
                <w:rFonts w:asciiTheme="minorHAnsi" w:hAnsiTheme="minorHAnsi" w:cstheme="minorHAnsi"/>
                <w:sz w:val="24"/>
                <w:szCs w:val="24"/>
              </w:rPr>
              <w:t xml:space="preserve">Tomasi R, Klemm M, Hinske CL, et al. </w:t>
            </w:r>
            <w:r w:rsidRPr="0023076A">
              <w:rPr>
                <w:rFonts w:asciiTheme="minorHAnsi" w:hAnsiTheme="minorHAnsi" w:cstheme="minorHAnsi"/>
                <w:sz w:val="24"/>
                <w:szCs w:val="24"/>
                <w:lang w:val="en-GB"/>
              </w:rPr>
              <w:t>Impairment of Cognitive Function in Different Domains Early After Lung Transplantation.</w:t>
            </w:r>
            <w:bookmarkEnd w:id="50"/>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Clin Psychol Med Settings</w:t>
            </w:r>
            <w:r w:rsidRPr="0023076A">
              <w:rPr>
                <w:rFonts w:asciiTheme="minorHAnsi" w:hAnsiTheme="minorHAnsi" w:cstheme="minorHAnsi"/>
                <w:sz w:val="24"/>
                <w:szCs w:val="24"/>
                <w:lang w:val="en-GB"/>
              </w:rPr>
              <w:t>. 2022;29(1):103-112. doi:10.1007/s10880-021-09787-z</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14E169A2"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4489EBD7" w14:textId="77777777" w:rsidTr="0040370E">
        <w:tc>
          <w:tcPr>
            <w:tcW w:w="421" w:type="dxa"/>
          </w:tcPr>
          <w:p w14:paraId="1CE51704" w14:textId="77777777" w:rsidR="002016B8" w:rsidRPr="00D41829" w:rsidRDefault="002016B8" w:rsidP="002016B8">
            <w:pPr>
              <w:pStyle w:val="Listenabsatz"/>
              <w:numPr>
                <w:ilvl w:val="0"/>
                <w:numId w:val="2"/>
              </w:numPr>
              <w:rPr>
                <w:rFonts w:cs="Arial"/>
                <w:szCs w:val="22"/>
                <w:lang w:val="en-GB"/>
              </w:rPr>
            </w:pPr>
          </w:p>
        </w:tc>
        <w:tc>
          <w:tcPr>
            <w:tcW w:w="7465" w:type="dxa"/>
          </w:tcPr>
          <w:p w14:paraId="1BB0B0C6"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51" w:name="_CTVL001eb3b5f3543664497914bcd43b6cb183c"/>
            <w:r w:rsidRPr="0023076A">
              <w:rPr>
                <w:rFonts w:asciiTheme="minorHAnsi" w:hAnsiTheme="minorHAnsi" w:cstheme="minorHAnsi"/>
                <w:sz w:val="24"/>
                <w:szCs w:val="24"/>
                <w:lang w:val="de-DE"/>
              </w:rPr>
              <w:t xml:space="preserve">Teeters DA, Moua T, Li G, et al. </w:t>
            </w:r>
            <w:r w:rsidRPr="0023076A">
              <w:rPr>
                <w:rFonts w:asciiTheme="minorHAnsi" w:hAnsiTheme="minorHAnsi" w:cstheme="minorHAnsi"/>
                <w:sz w:val="24"/>
                <w:szCs w:val="24"/>
              </w:rPr>
              <w:t>Mild Cognitive Impairment and Risk of Critical Illness.</w:t>
            </w:r>
            <w:bookmarkEnd w:id="51"/>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Crit Care Med</w:t>
            </w:r>
            <w:r w:rsidRPr="0023076A">
              <w:rPr>
                <w:rFonts w:asciiTheme="minorHAnsi" w:hAnsiTheme="minorHAnsi" w:cstheme="minorHAnsi"/>
                <w:sz w:val="24"/>
                <w:szCs w:val="24"/>
              </w:rPr>
              <w:t>. 2016;44(11):2045-2051. doi:10.1097/CCM.0000000000001842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47A57DF"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0ABE4097" w14:textId="77777777" w:rsidTr="0040370E">
        <w:tc>
          <w:tcPr>
            <w:tcW w:w="421" w:type="dxa"/>
          </w:tcPr>
          <w:p w14:paraId="7A296B2C" w14:textId="77777777" w:rsidR="002016B8" w:rsidRPr="00D41829" w:rsidRDefault="002016B8" w:rsidP="002016B8">
            <w:pPr>
              <w:pStyle w:val="Listenabsatz"/>
              <w:numPr>
                <w:ilvl w:val="0"/>
                <w:numId w:val="2"/>
              </w:numPr>
              <w:rPr>
                <w:rFonts w:cs="Arial"/>
                <w:szCs w:val="22"/>
                <w:lang w:val="en-GB"/>
              </w:rPr>
            </w:pPr>
          </w:p>
        </w:tc>
        <w:tc>
          <w:tcPr>
            <w:tcW w:w="7465" w:type="dxa"/>
          </w:tcPr>
          <w:p w14:paraId="22016F8C"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52" w:name="_CTVL001e676ce5dcd234cecb36251f0b195d997"/>
            <w:r w:rsidRPr="0023076A">
              <w:rPr>
                <w:rFonts w:asciiTheme="minorHAnsi" w:hAnsiTheme="minorHAnsi" w:cstheme="minorHAnsi"/>
                <w:sz w:val="24"/>
                <w:szCs w:val="24"/>
              </w:rPr>
              <w:t>Tejero-Aranguren J, Moral Martin RG-D, Poyatos-Aguilera ME, Morales-Galindo I, Cobos-Vargas A, Colmenero M. Incidence and risk factors for postintensive care syndrome in a cohort of critically ill patients.</w:t>
            </w:r>
            <w:bookmarkEnd w:id="52"/>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Rev Bras Ter Intensiva</w:t>
            </w:r>
            <w:r w:rsidRPr="0023076A">
              <w:rPr>
                <w:rFonts w:asciiTheme="minorHAnsi" w:hAnsiTheme="minorHAnsi" w:cstheme="minorHAnsi"/>
                <w:sz w:val="24"/>
                <w:szCs w:val="24"/>
              </w:rPr>
              <w:t>. 2022;34(3):380-385. doi:10.5935/0103-507X.20220224-en</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2C210B61"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18E05F16" w14:textId="77777777" w:rsidTr="0040370E">
        <w:tc>
          <w:tcPr>
            <w:tcW w:w="421" w:type="dxa"/>
          </w:tcPr>
          <w:p w14:paraId="3FC084BF" w14:textId="77777777" w:rsidR="002016B8" w:rsidRPr="00D41829" w:rsidRDefault="002016B8" w:rsidP="002016B8">
            <w:pPr>
              <w:pStyle w:val="Listenabsatz"/>
              <w:numPr>
                <w:ilvl w:val="0"/>
                <w:numId w:val="2"/>
              </w:numPr>
              <w:rPr>
                <w:rFonts w:cs="Arial"/>
                <w:szCs w:val="22"/>
                <w:lang w:val="en-GB"/>
              </w:rPr>
            </w:pPr>
          </w:p>
        </w:tc>
        <w:tc>
          <w:tcPr>
            <w:tcW w:w="7465" w:type="dxa"/>
          </w:tcPr>
          <w:p w14:paraId="57B16D73"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53" w:name="_CTVL0018120ec9752794645ac9ab942c5dbcaa5"/>
            <w:r w:rsidRPr="0023076A">
              <w:rPr>
                <w:rFonts w:asciiTheme="minorHAnsi" w:hAnsiTheme="minorHAnsi" w:cstheme="minorHAnsi"/>
                <w:sz w:val="24"/>
                <w:szCs w:val="24"/>
                <w:lang w:val="de-DE"/>
              </w:rPr>
              <w:t xml:space="preserve">Tawakul AA, Alharbi AH, Basahal AM, et al. </w:t>
            </w:r>
            <w:r w:rsidRPr="0023076A">
              <w:rPr>
                <w:rFonts w:asciiTheme="minorHAnsi" w:hAnsiTheme="minorHAnsi" w:cstheme="minorHAnsi"/>
                <w:sz w:val="24"/>
                <w:szCs w:val="24"/>
              </w:rPr>
              <w:t>Neurological Symptoms and Complications of COVID-19 Among Patients in a Tertiary Hospital in Saudi Arabia.</w:t>
            </w:r>
            <w:bookmarkEnd w:id="53"/>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Cureus</w:t>
            </w:r>
            <w:r w:rsidRPr="0023076A">
              <w:rPr>
                <w:rFonts w:asciiTheme="minorHAnsi" w:hAnsiTheme="minorHAnsi" w:cstheme="minorHAnsi"/>
                <w:sz w:val="24"/>
                <w:szCs w:val="24"/>
              </w:rPr>
              <w:t>. 2021;13(11):e19200. doi:10.7759/cureus.19200</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CC0BB5B"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2, 5</w:t>
            </w:r>
          </w:p>
        </w:tc>
      </w:tr>
      <w:tr w:rsidR="002016B8" w:rsidRPr="0023076A" w14:paraId="4D4BD31D" w14:textId="77777777" w:rsidTr="0040370E">
        <w:tc>
          <w:tcPr>
            <w:tcW w:w="421" w:type="dxa"/>
          </w:tcPr>
          <w:p w14:paraId="72AC9E57" w14:textId="77777777" w:rsidR="002016B8" w:rsidRPr="00D41829" w:rsidRDefault="002016B8" w:rsidP="002016B8">
            <w:pPr>
              <w:pStyle w:val="Listenabsatz"/>
              <w:numPr>
                <w:ilvl w:val="0"/>
                <w:numId w:val="2"/>
              </w:numPr>
              <w:rPr>
                <w:rFonts w:cs="Arial"/>
                <w:szCs w:val="22"/>
                <w:lang w:val="en-GB"/>
              </w:rPr>
            </w:pPr>
          </w:p>
        </w:tc>
        <w:tc>
          <w:tcPr>
            <w:tcW w:w="7465" w:type="dxa"/>
          </w:tcPr>
          <w:p w14:paraId="63435728"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54" w:name="_CTVL00194087a57a96249458bc883621dc38c9d"/>
            <w:r w:rsidRPr="0023076A">
              <w:rPr>
                <w:rFonts w:asciiTheme="minorHAnsi" w:hAnsiTheme="minorHAnsi" w:cstheme="minorHAnsi"/>
                <w:sz w:val="24"/>
                <w:szCs w:val="24"/>
              </w:rPr>
              <w:t xml:space="preserve">Siqueira Santos MM, Sganzerla D, Pereira IJ, et al. </w:t>
            </w:r>
            <w:r w:rsidRPr="0023076A">
              <w:rPr>
                <w:rFonts w:asciiTheme="minorHAnsi" w:hAnsiTheme="minorHAnsi" w:cstheme="minorHAnsi"/>
                <w:sz w:val="24"/>
                <w:szCs w:val="24"/>
                <w:lang w:val="en-GB"/>
              </w:rPr>
              <w:t>Long-Term Mortality and Health-Related Quality of Life After Continuous Versus Intermittent Renal Replacement Therapy in ICU Survivors: A Secondary Analysis of the Quality of Life After ICU Study.</w:t>
            </w:r>
            <w:bookmarkEnd w:id="54"/>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Intensive Care Med</w:t>
            </w:r>
            <w:r w:rsidRPr="0023076A">
              <w:rPr>
                <w:rFonts w:asciiTheme="minorHAnsi" w:hAnsiTheme="minorHAnsi" w:cstheme="minorHAnsi"/>
                <w:sz w:val="24"/>
                <w:szCs w:val="24"/>
                <w:lang w:val="en-GB"/>
              </w:rPr>
              <w:t>. 2024:8850666231224392. doi:10.1177/08850666231224392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29737492"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2, 5</w:t>
            </w:r>
          </w:p>
        </w:tc>
      </w:tr>
      <w:tr w:rsidR="002016B8" w:rsidRPr="0023076A" w14:paraId="15EDB676" w14:textId="77777777" w:rsidTr="0040370E">
        <w:tc>
          <w:tcPr>
            <w:tcW w:w="421" w:type="dxa"/>
          </w:tcPr>
          <w:p w14:paraId="70EEE3B6" w14:textId="77777777" w:rsidR="002016B8" w:rsidRPr="00D41829" w:rsidRDefault="002016B8" w:rsidP="002016B8">
            <w:pPr>
              <w:pStyle w:val="Listenabsatz"/>
              <w:numPr>
                <w:ilvl w:val="0"/>
                <w:numId w:val="2"/>
              </w:numPr>
              <w:rPr>
                <w:rFonts w:cs="Arial"/>
                <w:szCs w:val="22"/>
                <w:lang w:val="en-GB"/>
              </w:rPr>
            </w:pPr>
          </w:p>
        </w:tc>
        <w:tc>
          <w:tcPr>
            <w:tcW w:w="7465" w:type="dxa"/>
          </w:tcPr>
          <w:p w14:paraId="17A2B7B4"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55" w:name="_CTVL001c6be76bd67a84ca8880e7739f5104de8"/>
            <w:r w:rsidRPr="0023076A">
              <w:rPr>
                <w:rFonts w:asciiTheme="minorHAnsi" w:hAnsiTheme="minorHAnsi" w:cstheme="minorHAnsi"/>
                <w:sz w:val="24"/>
                <w:szCs w:val="24"/>
                <w:lang w:val="en-GB"/>
              </w:rPr>
              <w:t>Smith JM, Lee AC, Zeleznik H, et al. Home and Community-Based Physical Therapist Management of Adults With Post-Intensive Care Syndrome.</w:t>
            </w:r>
            <w:bookmarkEnd w:id="55"/>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Phys Ther</w:t>
            </w:r>
            <w:r w:rsidRPr="0023076A">
              <w:rPr>
                <w:rFonts w:asciiTheme="minorHAnsi" w:hAnsiTheme="minorHAnsi" w:cstheme="minorHAnsi"/>
                <w:sz w:val="24"/>
                <w:szCs w:val="24"/>
                <w:lang w:val="en-GB"/>
              </w:rPr>
              <w:t>. 2020;100(7):1062-1073. doi:10.1093/ptj/pzaa059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86E2E29"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0</w:t>
            </w:r>
          </w:p>
        </w:tc>
      </w:tr>
      <w:tr w:rsidR="002016B8" w:rsidRPr="0023076A" w14:paraId="590FD9BE" w14:textId="77777777" w:rsidTr="0040370E">
        <w:tc>
          <w:tcPr>
            <w:tcW w:w="421" w:type="dxa"/>
          </w:tcPr>
          <w:p w14:paraId="5B7D7EFE" w14:textId="77777777" w:rsidR="002016B8" w:rsidRPr="00D41829" w:rsidRDefault="002016B8" w:rsidP="002016B8">
            <w:pPr>
              <w:pStyle w:val="Listenabsatz"/>
              <w:numPr>
                <w:ilvl w:val="0"/>
                <w:numId w:val="2"/>
              </w:numPr>
              <w:rPr>
                <w:rFonts w:cs="Arial"/>
                <w:szCs w:val="22"/>
                <w:lang w:val="en-GB"/>
              </w:rPr>
            </w:pPr>
          </w:p>
        </w:tc>
        <w:tc>
          <w:tcPr>
            <w:tcW w:w="7465" w:type="dxa"/>
          </w:tcPr>
          <w:p w14:paraId="787DC3F7"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56" w:name="_CTVL0016e5ef5f7bb324aa9a1ec071bdd98b3b0"/>
            <w:r w:rsidRPr="0023076A">
              <w:rPr>
                <w:rFonts w:asciiTheme="minorHAnsi" w:hAnsiTheme="minorHAnsi" w:cstheme="minorHAnsi"/>
                <w:sz w:val="24"/>
                <w:szCs w:val="24"/>
                <w:lang w:val="en-GB"/>
              </w:rPr>
              <w:t>Stavem K, Einvik G, Tholin B, Ghanima W, Hessen E, Lundqvist C. Cognitive function in non-hospitalized patients 8-13 months after acute COVID-19 infection: A cohort study in Norway.</w:t>
            </w:r>
            <w:bookmarkEnd w:id="5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PLoS One</w:t>
            </w:r>
            <w:r w:rsidRPr="0023076A">
              <w:rPr>
                <w:rFonts w:asciiTheme="minorHAnsi" w:hAnsiTheme="minorHAnsi" w:cstheme="minorHAnsi"/>
                <w:sz w:val="24"/>
                <w:szCs w:val="24"/>
                <w:lang w:val="en-GB"/>
              </w:rPr>
              <w:t>. 2022;17(8):e0273352. doi:10.1371/journal.pone.0273352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BD3D7F0"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195D8B61" w14:textId="77777777" w:rsidTr="0040370E">
        <w:tc>
          <w:tcPr>
            <w:tcW w:w="421" w:type="dxa"/>
          </w:tcPr>
          <w:p w14:paraId="502139C5" w14:textId="77777777" w:rsidR="002016B8" w:rsidRPr="00D41829" w:rsidRDefault="002016B8" w:rsidP="002016B8">
            <w:pPr>
              <w:pStyle w:val="Listenabsatz"/>
              <w:numPr>
                <w:ilvl w:val="0"/>
                <w:numId w:val="2"/>
              </w:numPr>
              <w:rPr>
                <w:rFonts w:cs="Arial"/>
                <w:szCs w:val="22"/>
                <w:lang w:val="en-GB"/>
              </w:rPr>
            </w:pPr>
          </w:p>
        </w:tc>
        <w:tc>
          <w:tcPr>
            <w:tcW w:w="7465" w:type="dxa"/>
          </w:tcPr>
          <w:p w14:paraId="25B21C0D"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57" w:name="_CTVL001ee5dfa898b9c4a3599aad300d8f7ca30"/>
            <w:r w:rsidRPr="0023076A">
              <w:rPr>
                <w:rFonts w:asciiTheme="minorHAnsi" w:hAnsiTheme="minorHAnsi" w:cstheme="minorHAnsi"/>
                <w:sz w:val="24"/>
                <w:szCs w:val="24"/>
              </w:rPr>
              <w:t>Stocking JC, Drake C, Aldrich JM, et al. Outcomes and risk factors for delayed-onset postoperative respiratory failure: a multi-center case-control study by the University of California Critical Care Research Collaborative (UC(3)RC).</w:t>
            </w:r>
            <w:bookmarkEnd w:id="57"/>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BMC Anesthesiol</w:t>
            </w:r>
            <w:r w:rsidRPr="0023076A">
              <w:rPr>
                <w:rFonts w:asciiTheme="minorHAnsi" w:hAnsiTheme="minorHAnsi" w:cstheme="minorHAnsi"/>
                <w:sz w:val="24"/>
                <w:szCs w:val="24"/>
              </w:rPr>
              <w:t>. 2022;22(1):146. doi:10.1186/s12871-022-01681-x</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3CEADE43"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2, 4</w:t>
            </w:r>
          </w:p>
        </w:tc>
      </w:tr>
      <w:tr w:rsidR="002016B8" w:rsidRPr="0023076A" w14:paraId="0F181629" w14:textId="77777777" w:rsidTr="0040370E">
        <w:tc>
          <w:tcPr>
            <w:tcW w:w="421" w:type="dxa"/>
          </w:tcPr>
          <w:p w14:paraId="34B8D651" w14:textId="77777777" w:rsidR="002016B8" w:rsidRPr="00D41829" w:rsidRDefault="002016B8" w:rsidP="002016B8">
            <w:pPr>
              <w:pStyle w:val="Listenabsatz"/>
              <w:numPr>
                <w:ilvl w:val="0"/>
                <w:numId w:val="2"/>
              </w:numPr>
              <w:rPr>
                <w:rFonts w:cs="Arial"/>
                <w:szCs w:val="22"/>
                <w:lang w:val="en-GB"/>
              </w:rPr>
            </w:pPr>
          </w:p>
        </w:tc>
        <w:tc>
          <w:tcPr>
            <w:tcW w:w="7465" w:type="dxa"/>
          </w:tcPr>
          <w:p w14:paraId="32029F3E"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58" w:name="_CTVL001cc51a958124f4bc2b6ca1a5967a5d176"/>
            <w:r w:rsidRPr="0023076A">
              <w:rPr>
                <w:rFonts w:asciiTheme="minorHAnsi" w:hAnsiTheme="minorHAnsi" w:cstheme="minorHAnsi"/>
                <w:sz w:val="24"/>
                <w:szCs w:val="24"/>
                <w:lang w:val="en-GB"/>
              </w:rPr>
              <w:t>Rousseau A, Colson C, Minguet P, et al.</w:t>
            </w:r>
            <w:bookmarkEnd w:id="58"/>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Characteristics of Mid-Term Post-Intensive Care Syndrome in Patients Attending a Follow-up Clinic: A Prospective Comparison Between COVID-19 and Non-COVID-19 Survivors</w:t>
            </w:r>
            <w:r w:rsidRPr="0023076A">
              <w:rPr>
                <w:rFonts w:asciiTheme="minorHAnsi" w:hAnsiTheme="minorHAnsi" w:cstheme="minorHAnsi"/>
                <w:sz w:val="24"/>
                <w:szCs w:val="24"/>
                <w:lang w:val="en-GB"/>
              </w:rPr>
              <w:t>. 2023;5. Critical care explorations.</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29A3E1BF"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7041D81E" w14:textId="77777777" w:rsidTr="0040370E">
        <w:tc>
          <w:tcPr>
            <w:tcW w:w="421" w:type="dxa"/>
          </w:tcPr>
          <w:p w14:paraId="2A16D818" w14:textId="77777777" w:rsidR="002016B8" w:rsidRPr="00D41829" w:rsidRDefault="002016B8" w:rsidP="002016B8">
            <w:pPr>
              <w:pStyle w:val="Listenabsatz"/>
              <w:numPr>
                <w:ilvl w:val="0"/>
                <w:numId w:val="2"/>
              </w:numPr>
              <w:rPr>
                <w:rFonts w:cs="Arial"/>
                <w:szCs w:val="22"/>
                <w:lang w:val="en-GB"/>
              </w:rPr>
            </w:pPr>
          </w:p>
        </w:tc>
        <w:tc>
          <w:tcPr>
            <w:tcW w:w="7465" w:type="dxa"/>
          </w:tcPr>
          <w:p w14:paraId="496CE935"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59" w:name="_CTVL0018982cbe0874c44ba91e2ac18eaae501d"/>
            <w:r w:rsidRPr="0023076A">
              <w:rPr>
                <w:rFonts w:asciiTheme="minorHAnsi" w:hAnsiTheme="minorHAnsi" w:cstheme="minorHAnsi"/>
                <w:sz w:val="24"/>
                <w:szCs w:val="24"/>
                <w:lang w:val="en-GB"/>
              </w:rPr>
              <w:t>Makam A, Burnfield J, Prettyman E, et al.</w:t>
            </w:r>
            <w:bookmarkEnd w:id="59"/>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One-Year Recovery Among Survivors of Prolonged Severe COVID-19: A National Multicenter Cohort</w:t>
            </w:r>
            <w:r w:rsidRPr="0023076A">
              <w:rPr>
                <w:rFonts w:asciiTheme="minorHAnsi" w:hAnsiTheme="minorHAnsi" w:cstheme="minorHAnsi"/>
                <w:sz w:val="24"/>
                <w:szCs w:val="24"/>
                <w:lang w:val="en-GB"/>
              </w:rPr>
              <w:t>. 2024;52. Critical care medicine.</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723B83F2"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0</w:t>
            </w:r>
          </w:p>
        </w:tc>
      </w:tr>
      <w:tr w:rsidR="002016B8" w:rsidRPr="0023076A" w14:paraId="707257AC" w14:textId="77777777" w:rsidTr="0040370E">
        <w:tc>
          <w:tcPr>
            <w:tcW w:w="421" w:type="dxa"/>
          </w:tcPr>
          <w:p w14:paraId="290CE4D2" w14:textId="77777777" w:rsidR="002016B8" w:rsidRPr="00D41829" w:rsidRDefault="002016B8" w:rsidP="002016B8">
            <w:pPr>
              <w:pStyle w:val="Listenabsatz"/>
              <w:numPr>
                <w:ilvl w:val="0"/>
                <w:numId w:val="2"/>
              </w:numPr>
              <w:rPr>
                <w:rFonts w:cs="Arial"/>
                <w:szCs w:val="22"/>
                <w:lang w:val="en-GB"/>
              </w:rPr>
            </w:pPr>
          </w:p>
        </w:tc>
        <w:tc>
          <w:tcPr>
            <w:tcW w:w="7465" w:type="dxa"/>
          </w:tcPr>
          <w:p w14:paraId="6EB311BF"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0" w:name="_CTVL00104e4551eb1814f13b75a3e8258efdb5a"/>
            <w:r w:rsidRPr="0023076A">
              <w:rPr>
                <w:rFonts w:asciiTheme="minorHAnsi" w:hAnsiTheme="minorHAnsi" w:cstheme="minorHAnsi"/>
                <w:sz w:val="24"/>
                <w:szCs w:val="24"/>
                <w:lang w:val="en-GB"/>
              </w:rPr>
              <w:t>Zangrillo A, Belletti A, Palumbo D, et al.</w:t>
            </w:r>
            <w:bookmarkEnd w:id="60"/>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One-Year Multidisciplinary Follow-up of COVID-19 Patients Requiring Invasive Mechanical Ventilation</w:t>
            </w:r>
            <w:r w:rsidRPr="0023076A">
              <w:rPr>
                <w:rFonts w:asciiTheme="minorHAnsi" w:hAnsiTheme="minorHAnsi" w:cstheme="minorHAnsi"/>
                <w:sz w:val="24"/>
                <w:szCs w:val="24"/>
                <w:lang w:val="en-GB"/>
              </w:rPr>
              <w:t>. 2021;36. Journal of cardiothoracic and vascular anesthesia.</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6BCB4D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4936C9D8" w14:textId="77777777" w:rsidTr="0040370E">
        <w:tc>
          <w:tcPr>
            <w:tcW w:w="421" w:type="dxa"/>
          </w:tcPr>
          <w:p w14:paraId="6D9A4AD5" w14:textId="77777777" w:rsidR="002016B8" w:rsidRPr="00D41829" w:rsidRDefault="002016B8" w:rsidP="002016B8">
            <w:pPr>
              <w:pStyle w:val="Listenabsatz"/>
              <w:numPr>
                <w:ilvl w:val="0"/>
                <w:numId w:val="2"/>
              </w:numPr>
              <w:rPr>
                <w:rFonts w:cs="Arial"/>
                <w:szCs w:val="22"/>
                <w:lang w:val="en-GB"/>
              </w:rPr>
            </w:pPr>
          </w:p>
        </w:tc>
        <w:tc>
          <w:tcPr>
            <w:tcW w:w="7465" w:type="dxa"/>
          </w:tcPr>
          <w:p w14:paraId="5335B634"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61" w:name="_CTVL001d8373da9a1c7489aa79d944d24582bc9"/>
            <w:r w:rsidRPr="0023076A">
              <w:rPr>
                <w:rFonts w:asciiTheme="minorHAnsi" w:hAnsiTheme="minorHAnsi" w:cstheme="minorHAnsi"/>
                <w:sz w:val="24"/>
                <w:szCs w:val="24"/>
              </w:rPr>
              <w:t>Abbas A, Zayed NE, Lutfy SM. Post ICU syndrome among survivors from respiratory critical illness. A prospective study.</w:t>
            </w:r>
            <w:bookmarkEnd w:id="61"/>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Egypt J Bronchol</w:t>
            </w:r>
            <w:r w:rsidRPr="0023076A">
              <w:rPr>
                <w:rFonts w:asciiTheme="minorHAnsi" w:hAnsiTheme="minorHAnsi" w:cstheme="minorHAnsi"/>
                <w:sz w:val="24"/>
                <w:szCs w:val="24"/>
              </w:rPr>
              <w:t>. 2019;13(4):505-509. doi:10.4103/ejb.ejb_35_19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E9BC73A"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54A23E83" w14:textId="77777777" w:rsidTr="0040370E">
        <w:tc>
          <w:tcPr>
            <w:tcW w:w="421" w:type="dxa"/>
          </w:tcPr>
          <w:p w14:paraId="55EA5223" w14:textId="77777777" w:rsidR="002016B8" w:rsidRPr="00D41829" w:rsidRDefault="002016B8" w:rsidP="002016B8">
            <w:pPr>
              <w:pStyle w:val="Listenabsatz"/>
              <w:numPr>
                <w:ilvl w:val="0"/>
                <w:numId w:val="2"/>
              </w:numPr>
              <w:rPr>
                <w:rFonts w:cs="Arial"/>
                <w:szCs w:val="22"/>
                <w:lang w:val="en-GB"/>
              </w:rPr>
            </w:pPr>
          </w:p>
        </w:tc>
        <w:tc>
          <w:tcPr>
            <w:tcW w:w="7465" w:type="dxa"/>
          </w:tcPr>
          <w:p w14:paraId="195DED6C"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62" w:name="_CTVL001bc4f21c8e43b420588842a9a0fbe573c"/>
            <w:r w:rsidRPr="0023076A">
              <w:rPr>
                <w:rFonts w:asciiTheme="minorHAnsi" w:hAnsiTheme="minorHAnsi" w:cstheme="minorHAnsi"/>
                <w:sz w:val="24"/>
                <w:szCs w:val="24"/>
              </w:rPr>
              <w:t>Baldwin MR, Pollack LR, Friedman RA, et al. Frailty subtypes and recovery in older survivors of acute respiratory failure: a pilot study.</w:t>
            </w:r>
            <w:bookmarkEnd w:id="62"/>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Thorax</w:t>
            </w:r>
            <w:r w:rsidRPr="0023076A">
              <w:rPr>
                <w:rFonts w:asciiTheme="minorHAnsi" w:hAnsiTheme="minorHAnsi" w:cstheme="minorHAnsi"/>
                <w:sz w:val="24"/>
                <w:szCs w:val="24"/>
              </w:rPr>
              <w:t>. 2021;76(4):350-359. doi:10.1136/thoraxjnl-2020-214998</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36A0081"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1, 4</w:t>
            </w:r>
          </w:p>
        </w:tc>
      </w:tr>
      <w:tr w:rsidR="002016B8" w:rsidRPr="0023076A" w14:paraId="00985E83" w14:textId="77777777" w:rsidTr="0040370E">
        <w:tc>
          <w:tcPr>
            <w:tcW w:w="421" w:type="dxa"/>
          </w:tcPr>
          <w:p w14:paraId="6F4505C6" w14:textId="77777777" w:rsidR="002016B8" w:rsidRPr="00D41829" w:rsidRDefault="002016B8" w:rsidP="002016B8">
            <w:pPr>
              <w:pStyle w:val="Listenabsatz"/>
              <w:numPr>
                <w:ilvl w:val="0"/>
                <w:numId w:val="2"/>
              </w:numPr>
              <w:rPr>
                <w:rFonts w:cs="Arial"/>
                <w:szCs w:val="22"/>
                <w:lang w:val="en-GB"/>
              </w:rPr>
            </w:pPr>
          </w:p>
        </w:tc>
        <w:tc>
          <w:tcPr>
            <w:tcW w:w="7465" w:type="dxa"/>
          </w:tcPr>
          <w:p w14:paraId="45FB6322"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3" w:name="_CTVL00177ca796c722e42c1b2fecfc43dfd2ec0"/>
            <w:r w:rsidRPr="0023076A">
              <w:rPr>
                <w:rFonts w:asciiTheme="minorHAnsi" w:hAnsiTheme="minorHAnsi" w:cstheme="minorHAnsi"/>
                <w:sz w:val="24"/>
                <w:szCs w:val="24"/>
                <w:lang w:val="en-GB"/>
              </w:rPr>
              <w:t>Bernard-Valnet R, Favre E, Bernini A, et al. Delirium in Adults With COVID-19-Related Acute Respiratory Distress Syndrome: Comparison With Other Etiologies.</w:t>
            </w:r>
            <w:bookmarkEnd w:id="63"/>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Neurology</w:t>
            </w:r>
            <w:r w:rsidRPr="0023076A">
              <w:rPr>
                <w:rFonts w:asciiTheme="minorHAnsi" w:hAnsiTheme="minorHAnsi" w:cstheme="minorHAnsi"/>
                <w:sz w:val="24"/>
                <w:szCs w:val="24"/>
                <w:lang w:val="en-GB"/>
              </w:rPr>
              <w:t>. 2022;99(20):e2326-e2335. doi:10.1212/WNL.0000000000201162</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816DFE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016B8" w:rsidRPr="0023076A" w14:paraId="1E52170E" w14:textId="77777777" w:rsidTr="0040370E">
        <w:tc>
          <w:tcPr>
            <w:tcW w:w="421" w:type="dxa"/>
          </w:tcPr>
          <w:p w14:paraId="706E86E7" w14:textId="77777777" w:rsidR="002016B8" w:rsidRPr="00D41829" w:rsidRDefault="002016B8" w:rsidP="002016B8">
            <w:pPr>
              <w:pStyle w:val="Listenabsatz"/>
              <w:numPr>
                <w:ilvl w:val="0"/>
                <w:numId w:val="2"/>
              </w:numPr>
              <w:rPr>
                <w:rFonts w:cs="Arial"/>
                <w:szCs w:val="22"/>
                <w:lang w:val="en-GB"/>
              </w:rPr>
            </w:pPr>
          </w:p>
        </w:tc>
        <w:tc>
          <w:tcPr>
            <w:tcW w:w="7465" w:type="dxa"/>
          </w:tcPr>
          <w:p w14:paraId="5B3A386A"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4" w:name="_CTVL00147a0d9dfab5b46d28bc36e6ca854af50"/>
            <w:r w:rsidRPr="0023076A">
              <w:rPr>
                <w:rFonts w:asciiTheme="minorHAnsi" w:hAnsiTheme="minorHAnsi" w:cstheme="minorHAnsi"/>
                <w:sz w:val="24"/>
                <w:szCs w:val="24"/>
                <w:lang w:val="en-GB"/>
              </w:rPr>
              <w:t>Brown SM, Wilson EL, Presson AP, et al. Understanding patient outcomes after acute respiratory distress syndrome: identifying subtypes of physical, cognitive and mental health outcomes.</w:t>
            </w:r>
            <w:bookmarkEnd w:id="64"/>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Thorax</w:t>
            </w:r>
            <w:r w:rsidRPr="0023076A">
              <w:rPr>
                <w:rFonts w:asciiTheme="minorHAnsi" w:hAnsiTheme="minorHAnsi" w:cstheme="minorHAnsi"/>
                <w:sz w:val="24"/>
                <w:szCs w:val="24"/>
                <w:lang w:val="en-GB"/>
              </w:rPr>
              <w:t>. 2017;72(12):1094-1103. doi:10.1136/thoraxjnl-2017-210337</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393207C"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4DAB7E3E" w14:textId="77777777" w:rsidTr="0040370E">
        <w:tc>
          <w:tcPr>
            <w:tcW w:w="421" w:type="dxa"/>
          </w:tcPr>
          <w:p w14:paraId="4E4B3E0A" w14:textId="77777777" w:rsidR="002016B8" w:rsidRPr="00D41829" w:rsidRDefault="002016B8" w:rsidP="002016B8">
            <w:pPr>
              <w:pStyle w:val="Listenabsatz"/>
              <w:numPr>
                <w:ilvl w:val="0"/>
                <w:numId w:val="2"/>
              </w:numPr>
              <w:rPr>
                <w:rFonts w:cs="Arial"/>
                <w:szCs w:val="22"/>
                <w:lang w:val="en-GB"/>
              </w:rPr>
            </w:pPr>
          </w:p>
        </w:tc>
        <w:tc>
          <w:tcPr>
            <w:tcW w:w="7465" w:type="dxa"/>
          </w:tcPr>
          <w:p w14:paraId="3797EA30"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5" w:name="_CTVL0011d09b67dbd684cd1a9b7521119711dc6"/>
            <w:r w:rsidRPr="0023076A">
              <w:rPr>
                <w:rFonts w:asciiTheme="minorHAnsi" w:hAnsiTheme="minorHAnsi" w:cstheme="minorHAnsi"/>
                <w:sz w:val="24"/>
                <w:szCs w:val="24"/>
                <w:lang w:val="en-GB"/>
              </w:rPr>
              <w:t>Carlson CG, Huang DT. The Adult Respiratory Distress Syndrome Cognitive Outcomes Study: long-term neuropsychological function in survivors of acute lung injury.</w:t>
            </w:r>
            <w:bookmarkEnd w:id="65"/>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Crit Care</w:t>
            </w:r>
            <w:r w:rsidRPr="0023076A">
              <w:rPr>
                <w:rFonts w:asciiTheme="minorHAnsi" w:hAnsiTheme="minorHAnsi" w:cstheme="minorHAnsi"/>
                <w:sz w:val="24"/>
                <w:szCs w:val="24"/>
                <w:lang w:val="en-GB"/>
              </w:rPr>
              <w:t>. 2013;17(3):317. doi:10.1186/cc12709</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5A000422"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45AE8126" w14:textId="77777777" w:rsidTr="0040370E">
        <w:tc>
          <w:tcPr>
            <w:tcW w:w="421" w:type="dxa"/>
          </w:tcPr>
          <w:p w14:paraId="4716EDF5" w14:textId="77777777" w:rsidR="002016B8" w:rsidRPr="00D41829" w:rsidRDefault="002016B8" w:rsidP="002016B8">
            <w:pPr>
              <w:pStyle w:val="Listenabsatz"/>
              <w:numPr>
                <w:ilvl w:val="0"/>
                <w:numId w:val="2"/>
              </w:numPr>
              <w:rPr>
                <w:rFonts w:cs="Arial"/>
                <w:szCs w:val="22"/>
                <w:lang w:val="en-GB"/>
              </w:rPr>
            </w:pPr>
          </w:p>
        </w:tc>
        <w:tc>
          <w:tcPr>
            <w:tcW w:w="7465" w:type="dxa"/>
          </w:tcPr>
          <w:p w14:paraId="55B3BD40"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6" w:name="_CTVL0010e9979674c7c4cf594d7496c940ef507"/>
            <w:r w:rsidRPr="0023076A">
              <w:rPr>
                <w:rFonts w:asciiTheme="minorHAnsi" w:hAnsiTheme="minorHAnsi" w:cstheme="minorHAnsi"/>
                <w:sz w:val="24"/>
                <w:szCs w:val="24"/>
              </w:rPr>
              <w:t xml:space="preserve">Denke C, Balzer F, Menk M, et al. </w:t>
            </w:r>
            <w:r w:rsidRPr="0023076A">
              <w:rPr>
                <w:rFonts w:asciiTheme="minorHAnsi" w:hAnsiTheme="minorHAnsi" w:cstheme="minorHAnsi"/>
                <w:sz w:val="24"/>
                <w:szCs w:val="24"/>
                <w:lang w:val="en-GB"/>
              </w:rPr>
              <w:t>Long-term sequelae of acute respiratory distress syndrome caused by severe community-acquired pneumonia: Delirium-associated cognitive impairment and post-traumatic stress disorder.</w:t>
            </w:r>
            <w:bookmarkEnd w:id="6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J Int Med Res</w:t>
            </w:r>
            <w:r w:rsidRPr="0023076A">
              <w:rPr>
                <w:rFonts w:asciiTheme="minorHAnsi" w:hAnsiTheme="minorHAnsi" w:cstheme="minorHAnsi"/>
                <w:sz w:val="24"/>
                <w:szCs w:val="24"/>
                <w:lang w:val="en-GB"/>
              </w:rPr>
              <w:t>. 2018;46(6):2265-2283. doi:10.1177/0300060518762040</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6B7013A5"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016B8" w:rsidRPr="0023076A" w14:paraId="6794866B" w14:textId="77777777" w:rsidTr="0040370E">
        <w:tc>
          <w:tcPr>
            <w:tcW w:w="421" w:type="dxa"/>
          </w:tcPr>
          <w:p w14:paraId="529D7156" w14:textId="77777777" w:rsidR="002016B8" w:rsidRPr="00D41829" w:rsidRDefault="002016B8" w:rsidP="002016B8">
            <w:pPr>
              <w:pStyle w:val="Listenabsatz"/>
              <w:numPr>
                <w:ilvl w:val="0"/>
                <w:numId w:val="2"/>
              </w:numPr>
              <w:rPr>
                <w:rFonts w:cs="Arial"/>
                <w:szCs w:val="22"/>
                <w:lang w:val="en-GB"/>
              </w:rPr>
            </w:pPr>
          </w:p>
        </w:tc>
        <w:tc>
          <w:tcPr>
            <w:tcW w:w="7465" w:type="dxa"/>
          </w:tcPr>
          <w:p w14:paraId="7D11C49C"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7" w:name="_CTVL001526b8b414ffd4ceebdde4029513dcad6"/>
            <w:r w:rsidRPr="0023076A">
              <w:rPr>
                <w:rFonts w:asciiTheme="minorHAnsi" w:hAnsiTheme="minorHAnsi" w:cstheme="minorHAnsi"/>
                <w:sz w:val="24"/>
                <w:szCs w:val="24"/>
                <w:lang w:val="en-GB"/>
              </w:rPr>
              <w:t>DiSilvio B, Young M, Gordon A, Malik K, Singh A, Cheema T. Complications and Outcomes of Acute Respiratory Distress Syndrome.</w:t>
            </w:r>
            <w:bookmarkEnd w:id="67"/>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Crit Care Nurs Q</w:t>
            </w:r>
            <w:r w:rsidRPr="0023076A">
              <w:rPr>
                <w:rFonts w:asciiTheme="minorHAnsi" w:hAnsiTheme="minorHAnsi" w:cstheme="minorHAnsi"/>
                <w:sz w:val="24"/>
                <w:szCs w:val="24"/>
                <w:lang w:val="en-GB"/>
              </w:rPr>
              <w:t>. 2019;42(4):349-361. doi:10.1097/CNQ.0000000000000275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2DB082BE"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1</w:t>
            </w:r>
          </w:p>
        </w:tc>
      </w:tr>
      <w:tr w:rsidR="002016B8" w:rsidRPr="0023076A" w14:paraId="7D5FE063" w14:textId="77777777" w:rsidTr="0040370E">
        <w:tc>
          <w:tcPr>
            <w:tcW w:w="421" w:type="dxa"/>
          </w:tcPr>
          <w:p w14:paraId="47F59714" w14:textId="77777777" w:rsidR="002016B8" w:rsidRPr="00D41829" w:rsidRDefault="002016B8" w:rsidP="002016B8">
            <w:pPr>
              <w:pStyle w:val="Listenabsatz"/>
              <w:numPr>
                <w:ilvl w:val="0"/>
                <w:numId w:val="2"/>
              </w:numPr>
              <w:rPr>
                <w:rFonts w:cs="Arial"/>
                <w:szCs w:val="22"/>
                <w:lang w:val="en-GB"/>
              </w:rPr>
            </w:pPr>
          </w:p>
        </w:tc>
        <w:tc>
          <w:tcPr>
            <w:tcW w:w="7465" w:type="dxa"/>
          </w:tcPr>
          <w:p w14:paraId="33B1BCCC"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68" w:name="_CTVL0012ba4f6ce6ed94d7489859166e850ec4a"/>
            <w:r w:rsidRPr="0023076A">
              <w:rPr>
                <w:rFonts w:asciiTheme="minorHAnsi" w:hAnsiTheme="minorHAnsi" w:cstheme="minorHAnsi"/>
                <w:sz w:val="24"/>
                <w:szCs w:val="24"/>
              </w:rPr>
              <w:t xml:space="preserve">Ferrucci R, Dini M, Groppo E, et al. </w:t>
            </w:r>
            <w:r w:rsidRPr="0023076A">
              <w:rPr>
                <w:rFonts w:asciiTheme="minorHAnsi" w:hAnsiTheme="minorHAnsi" w:cstheme="minorHAnsi"/>
                <w:sz w:val="24"/>
                <w:szCs w:val="24"/>
                <w:lang w:val="en-GB"/>
              </w:rPr>
              <w:t>Long-Lasting Cognitive Abnormalities after COVID-19.</w:t>
            </w:r>
            <w:bookmarkEnd w:id="68"/>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Brain Sci</w:t>
            </w:r>
            <w:r w:rsidRPr="0023076A">
              <w:rPr>
                <w:rFonts w:asciiTheme="minorHAnsi" w:hAnsiTheme="minorHAnsi" w:cstheme="minorHAnsi"/>
                <w:sz w:val="24"/>
                <w:szCs w:val="24"/>
                <w:lang w:val="en-GB"/>
              </w:rPr>
              <w:t>. 2021;11(2). doi:10.3390/brainsci11020235</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4A4B27B"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75F1A0F2" w14:textId="77777777" w:rsidTr="0040370E">
        <w:tc>
          <w:tcPr>
            <w:tcW w:w="421" w:type="dxa"/>
          </w:tcPr>
          <w:p w14:paraId="62302FA6" w14:textId="77777777" w:rsidR="002016B8" w:rsidRPr="00D41829" w:rsidRDefault="002016B8" w:rsidP="002016B8">
            <w:pPr>
              <w:pStyle w:val="Listenabsatz"/>
              <w:numPr>
                <w:ilvl w:val="0"/>
                <w:numId w:val="2"/>
              </w:numPr>
              <w:rPr>
                <w:rFonts w:cs="Arial"/>
                <w:szCs w:val="22"/>
                <w:lang w:val="en-GB"/>
              </w:rPr>
            </w:pPr>
          </w:p>
        </w:tc>
        <w:tc>
          <w:tcPr>
            <w:tcW w:w="7465" w:type="dxa"/>
          </w:tcPr>
          <w:p w14:paraId="6DA0CC8B" w14:textId="77777777" w:rsidR="002016B8" w:rsidRPr="0023076A" w:rsidRDefault="0023076A" w:rsidP="0023076A">
            <w:pPr>
              <w:pStyle w:val="CitaviBibliographyEntry"/>
              <w:ind w:left="146" w:hanging="142"/>
              <w:jc w:val="both"/>
              <w:rPr>
                <w:rFonts w:asciiTheme="minorHAnsi" w:hAnsiTheme="minorHAnsi" w:cstheme="minorHAnsi"/>
                <w:sz w:val="24"/>
                <w:szCs w:val="24"/>
              </w:rPr>
            </w:pPr>
            <w:bookmarkStart w:id="69" w:name="_CTVL001496acb74672d4b47a2228c09078eb166"/>
            <w:r w:rsidRPr="0023076A">
              <w:rPr>
                <w:rFonts w:asciiTheme="minorHAnsi" w:hAnsiTheme="minorHAnsi" w:cstheme="minorHAnsi"/>
                <w:sz w:val="24"/>
                <w:szCs w:val="24"/>
              </w:rPr>
              <w:t>Ferrucci R, Dini M, Rosci C, et al. One-year cognitive follow-up of COVID-19 hospitalized patients.</w:t>
            </w:r>
            <w:bookmarkEnd w:id="69"/>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Eur J Neurol</w:t>
            </w:r>
            <w:r w:rsidRPr="0023076A">
              <w:rPr>
                <w:rFonts w:asciiTheme="minorHAnsi" w:hAnsiTheme="minorHAnsi" w:cstheme="minorHAnsi"/>
                <w:sz w:val="24"/>
                <w:szCs w:val="24"/>
              </w:rPr>
              <w:t>. 2022;29(7):2006-2014. doi:10.1111/ene.15324</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4CD3D726"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w:t>
            </w:r>
          </w:p>
        </w:tc>
      </w:tr>
      <w:tr w:rsidR="002016B8" w:rsidRPr="0023076A" w14:paraId="2896A225" w14:textId="77777777" w:rsidTr="0040370E">
        <w:tc>
          <w:tcPr>
            <w:tcW w:w="421" w:type="dxa"/>
          </w:tcPr>
          <w:p w14:paraId="51B86371" w14:textId="77777777" w:rsidR="002016B8" w:rsidRPr="00D41829" w:rsidRDefault="002016B8" w:rsidP="002016B8">
            <w:pPr>
              <w:pStyle w:val="Listenabsatz"/>
              <w:numPr>
                <w:ilvl w:val="0"/>
                <w:numId w:val="2"/>
              </w:numPr>
              <w:rPr>
                <w:rFonts w:cs="Arial"/>
                <w:szCs w:val="22"/>
                <w:lang w:val="en-GB"/>
              </w:rPr>
            </w:pPr>
          </w:p>
        </w:tc>
        <w:tc>
          <w:tcPr>
            <w:tcW w:w="7465" w:type="dxa"/>
          </w:tcPr>
          <w:p w14:paraId="29CBC5E3" w14:textId="77777777" w:rsidR="002016B8" w:rsidRPr="0023076A" w:rsidRDefault="0023076A" w:rsidP="0023076A">
            <w:pPr>
              <w:ind w:left="146" w:hanging="142"/>
              <w:contextualSpacing/>
              <w:jc w:val="both"/>
              <w:rPr>
                <w:rFonts w:asciiTheme="minorHAnsi" w:hAnsiTheme="minorHAnsi" w:cstheme="minorHAnsi"/>
                <w:sz w:val="24"/>
                <w:szCs w:val="24"/>
                <w:lang w:val="en-GB"/>
              </w:rPr>
            </w:pPr>
            <w:bookmarkStart w:id="70" w:name="_CTVL001013a37fa15294cf59f9269837d0d4b38"/>
            <w:r w:rsidRPr="0023076A">
              <w:rPr>
                <w:rFonts w:asciiTheme="minorHAnsi" w:hAnsiTheme="minorHAnsi" w:cstheme="minorHAnsi"/>
                <w:sz w:val="24"/>
                <w:szCs w:val="24"/>
                <w:lang w:val="en-GB"/>
              </w:rPr>
              <w:t>Gupta E, Jacobs MD, George G, Roman J. Beyond the ICU: Frailty and Post-ICU Disability. Healthcare Use after Acute Respiratory Distress Syndrome and Severe Sepsis.</w:t>
            </w:r>
            <w:bookmarkEnd w:id="70"/>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Am J Respir Crit Care Med</w:t>
            </w:r>
            <w:r w:rsidRPr="0023076A">
              <w:rPr>
                <w:rFonts w:asciiTheme="minorHAnsi" w:hAnsiTheme="minorHAnsi" w:cstheme="minorHAnsi"/>
                <w:sz w:val="24"/>
                <w:szCs w:val="24"/>
                <w:lang w:val="en-GB"/>
              </w:rPr>
              <w:t>. 2019;199(8):1028-1030. doi:10.1164/rccm.201805-0928RR</w:t>
            </w:r>
          </w:p>
        </w:tc>
        <w:tc>
          <w:tcPr>
            <w:tcW w:w="1294" w:type="dxa"/>
            <w:tcBorders>
              <w:top w:val="single" w:sz="4" w:space="0" w:color="auto"/>
              <w:left w:val="single" w:sz="4" w:space="0" w:color="B0B4B0"/>
              <w:bottom w:val="single" w:sz="4" w:space="0" w:color="auto"/>
              <w:right w:val="single" w:sz="4" w:space="0" w:color="auto"/>
            </w:tcBorders>
            <w:shd w:val="clear" w:color="auto" w:fill="auto"/>
            <w:vAlign w:val="center"/>
          </w:tcPr>
          <w:p w14:paraId="09735528" w14:textId="77777777" w:rsidR="002016B8" w:rsidRPr="001F44BC" w:rsidRDefault="001F44BC" w:rsidP="001F44BC">
            <w:pPr>
              <w:rPr>
                <w:rFonts w:asciiTheme="minorHAnsi" w:hAnsiTheme="minorHAnsi" w:cstheme="minorHAnsi"/>
                <w:color w:val="000000"/>
                <w:sz w:val="24"/>
                <w:szCs w:val="24"/>
                <w:lang w:val="en-GB"/>
              </w:rPr>
            </w:pPr>
            <w:r w:rsidRPr="001F44BC">
              <w:rPr>
                <w:rFonts w:asciiTheme="minorHAnsi" w:hAnsiTheme="minorHAnsi" w:cstheme="minorHAnsi"/>
                <w:color w:val="000000"/>
                <w:sz w:val="24"/>
                <w:szCs w:val="24"/>
                <w:lang w:val="en-GB"/>
              </w:rPr>
              <w:t>2</w:t>
            </w:r>
          </w:p>
        </w:tc>
      </w:tr>
      <w:tr w:rsidR="002016B8" w:rsidRPr="0023076A" w14:paraId="249211DF" w14:textId="77777777" w:rsidTr="0040370E">
        <w:tc>
          <w:tcPr>
            <w:tcW w:w="421" w:type="dxa"/>
          </w:tcPr>
          <w:p w14:paraId="35D72B47" w14:textId="77777777" w:rsidR="002016B8" w:rsidRPr="00D41829" w:rsidRDefault="002016B8" w:rsidP="002016B8">
            <w:pPr>
              <w:pStyle w:val="Listenabsatz"/>
              <w:numPr>
                <w:ilvl w:val="0"/>
                <w:numId w:val="2"/>
              </w:numPr>
              <w:rPr>
                <w:rFonts w:cs="Arial"/>
                <w:szCs w:val="22"/>
                <w:lang w:val="en-GB"/>
              </w:rPr>
            </w:pPr>
          </w:p>
        </w:tc>
        <w:tc>
          <w:tcPr>
            <w:tcW w:w="7465" w:type="dxa"/>
          </w:tcPr>
          <w:p w14:paraId="1AA4015C" w14:textId="77777777" w:rsidR="002016B8" w:rsidRPr="0023076A" w:rsidRDefault="0023076A" w:rsidP="0023076A">
            <w:pPr>
              <w:ind w:left="146" w:hanging="142"/>
              <w:jc w:val="both"/>
              <w:rPr>
                <w:rFonts w:asciiTheme="minorHAnsi" w:hAnsiTheme="minorHAnsi" w:cstheme="minorHAnsi"/>
                <w:sz w:val="24"/>
                <w:szCs w:val="24"/>
                <w:lang w:val="en-GB"/>
              </w:rPr>
            </w:pPr>
            <w:bookmarkStart w:id="71" w:name="_CTVL001a95e3299b7994c87829ff780661ccf47"/>
            <w:r w:rsidRPr="0023076A">
              <w:rPr>
                <w:rFonts w:asciiTheme="minorHAnsi" w:hAnsiTheme="minorHAnsi" w:cstheme="minorHAnsi"/>
                <w:sz w:val="24"/>
                <w:szCs w:val="24"/>
                <w:lang w:val="en-GB"/>
              </w:rPr>
              <w:t>Hashem MD, Hopkins RO, Colantuoni E, et al. Six-month and 12-month patient outcomes based on inflammatory subphenotypes in sepsis-associated ARDS: secondary analysis of SAILS-ALTOS trial.</w:t>
            </w:r>
            <w:bookmarkEnd w:id="71"/>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Thorax</w:t>
            </w:r>
            <w:r w:rsidRPr="0023076A">
              <w:rPr>
                <w:rFonts w:asciiTheme="minorHAnsi" w:hAnsiTheme="minorHAnsi" w:cstheme="minorHAnsi"/>
                <w:sz w:val="24"/>
                <w:szCs w:val="24"/>
                <w:lang w:val="en-GB"/>
              </w:rPr>
              <w:t>. 2022;77(1):22-30. doi:10.1136/thoraxjnl-2020-216613</w:t>
            </w:r>
          </w:p>
        </w:tc>
        <w:tc>
          <w:tcPr>
            <w:tcW w:w="1294" w:type="dxa"/>
            <w:vAlign w:val="center"/>
          </w:tcPr>
          <w:p w14:paraId="20D4F39A" w14:textId="77777777" w:rsidR="002016B8"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2, 5</w:t>
            </w:r>
          </w:p>
        </w:tc>
      </w:tr>
      <w:tr w:rsidR="0023076A" w:rsidRPr="0023076A" w14:paraId="13C63BD9" w14:textId="77777777" w:rsidTr="0040370E">
        <w:tc>
          <w:tcPr>
            <w:tcW w:w="421" w:type="dxa"/>
          </w:tcPr>
          <w:p w14:paraId="12C450F6" w14:textId="77777777" w:rsidR="0023076A" w:rsidRPr="00D41829" w:rsidRDefault="0023076A" w:rsidP="002016B8">
            <w:pPr>
              <w:pStyle w:val="Listenabsatz"/>
              <w:numPr>
                <w:ilvl w:val="0"/>
                <w:numId w:val="2"/>
              </w:numPr>
              <w:rPr>
                <w:rFonts w:cs="Arial"/>
                <w:szCs w:val="22"/>
                <w:lang w:val="en-GB"/>
              </w:rPr>
            </w:pPr>
          </w:p>
        </w:tc>
        <w:tc>
          <w:tcPr>
            <w:tcW w:w="7465" w:type="dxa"/>
          </w:tcPr>
          <w:p w14:paraId="1062A2A5" w14:textId="77777777" w:rsidR="0023076A" w:rsidRPr="0023076A" w:rsidRDefault="0023076A" w:rsidP="0023076A">
            <w:pPr>
              <w:ind w:left="146" w:hanging="142"/>
              <w:jc w:val="both"/>
              <w:rPr>
                <w:rFonts w:asciiTheme="minorHAnsi" w:hAnsiTheme="minorHAnsi" w:cstheme="minorHAnsi"/>
                <w:sz w:val="24"/>
                <w:szCs w:val="24"/>
                <w:lang w:val="en-GB"/>
              </w:rPr>
            </w:pPr>
            <w:bookmarkStart w:id="72" w:name="_CTVL001a3c3999c87ce43dfba6d6528a633d729"/>
            <w:r w:rsidRPr="0023076A">
              <w:rPr>
                <w:rFonts w:asciiTheme="minorHAnsi" w:hAnsiTheme="minorHAnsi" w:cstheme="minorHAnsi"/>
                <w:sz w:val="24"/>
                <w:szCs w:val="24"/>
                <w:lang w:val="en-GB"/>
              </w:rPr>
              <w:t>Helms J, Kremer S, Merdji H, et al. Delirium and encephalopathy in severe COVID-19: a cohort analysis of ICU patients.</w:t>
            </w:r>
            <w:bookmarkEnd w:id="72"/>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Crit Care</w:t>
            </w:r>
            <w:r w:rsidRPr="0023076A">
              <w:rPr>
                <w:rFonts w:asciiTheme="minorHAnsi" w:hAnsiTheme="minorHAnsi" w:cstheme="minorHAnsi"/>
                <w:sz w:val="24"/>
                <w:szCs w:val="24"/>
                <w:lang w:val="en-GB"/>
              </w:rPr>
              <w:t>. 2020;24(1):491. doi:10.1186/s13054-020-03200-1</w:t>
            </w:r>
          </w:p>
        </w:tc>
        <w:tc>
          <w:tcPr>
            <w:tcW w:w="1294" w:type="dxa"/>
            <w:vAlign w:val="center"/>
          </w:tcPr>
          <w:p w14:paraId="33064D0A" w14:textId="77777777" w:rsidR="0023076A"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3076A" w:rsidRPr="0023076A" w14:paraId="224E410C" w14:textId="77777777" w:rsidTr="0040370E">
        <w:tc>
          <w:tcPr>
            <w:tcW w:w="421" w:type="dxa"/>
          </w:tcPr>
          <w:p w14:paraId="36F2A4B0" w14:textId="77777777" w:rsidR="0023076A" w:rsidRPr="00D41829" w:rsidRDefault="0023076A" w:rsidP="002016B8">
            <w:pPr>
              <w:pStyle w:val="Listenabsatz"/>
              <w:numPr>
                <w:ilvl w:val="0"/>
                <w:numId w:val="2"/>
              </w:numPr>
              <w:rPr>
                <w:rFonts w:cs="Arial"/>
                <w:szCs w:val="22"/>
                <w:lang w:val="en-GB"/>
              </w:rPr>
            </w:pPr>
          </w:p>
        </w:tc>
        <w:tc>
          <w:tcPr>
            <w:tcW w:w="7465" w:type="dxa"/>
          </w:tcPr>
          <w:p w14:paraId="15A4B7E6" w14:textId="77777777" w:rsidR="0023076A" w:rsidRPr="0023076A" w:rsidRDefault="0023076A" w:rsidP="0023076A">
            <w:pPr>
              <w:pStyle w:val="CitaviBibliographyEntry"/>
              <w:ind w:left="146" w:hanging="142"/>
              <w:jc w:val="both"/>
              <w:rPr>
                <w:rFonts w:asciiTheme="minorHAnsi" w:hAnsiTheme="minorHAnsi" w:cstheme="minorHAnsi"/>
                <w:sz w:val="24"/>
                <w:szCs w:val="24"/>
              </w:rPr>
            </w:pPr>
            <w:bookmarkStart w:id="73" w:name="_CTVL001d3a3b0faed974cb88501b30ae60d9335"/>
            <w:r w:rsidRPr="0023076A">
              <w:rPr>
                <w:rFonts w:asciiTheme="minorHAnsi" w:hAnsiTheme="minorHAnsi" w:cstheme="minorHAnsi"/>
                <w:sz w:val="24"/>
                <w:szCs w:val="24"/>
                <w:lang w:val="de-DE"/>
              </w:rPr>
              <w:t xml:space="preserve">Holzgraefe B, Andersson C, Kalzén H, et al. </w:t>
            </w:r>
            <w:r w:rsidRPr="0023076A">
              <w:rPr>
                <w:rFonts w:asciiTheme="minorHAnsi" w:hAnsiTheme="minorHAnsi" w:cstheme="minorHAnsi"/>
                <w:sz w:val="24"/>
                <w:szCs w:val="24"/>
              </w:rPr>
              <w:t>Does permissive hypoxaemia during extracorporeal membrane oxygenation cause long-term neurological impairment?: A study in patients with H1N1-induced severe respiratory failure.</w:t>
            </w:r>
            <w:bookmarkEnd w:id="73"/>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Eur J Anaesthesiol</w:t>
            </w:r>
            <w:r w:rsidRPr="0023076A">
              <w:rPr>
                <w:rFonts w:asciiTheme="minorHAnsi" w:hAnsiTheme="minorHAnsi" w:cstheme="minorHAnsi"/>
                <w:sz w:val="24"/>
                <w:szCs w:val="24"/>
              </w:rPr>
              <w:t>. 2017;34(2):98-103. doi:10.1097/EJA.0000000000000544</w:t>
            </w:r>
          </w:p>
        </w:tc>
        <w:tc>
          <w:tcPr>
            <w:tcW w:w="1294" w:type="dxa"/>
            <w:vAlign w:val="center"/>
          </w:tcPr>
          <w:p w14:paraId="6B2FC2BA" w14:textId="77777777" w:rsidR="0023076A"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3076A" w:rsidRPr="0023076A" w14:paraId="4C20F3C8" w14:textId="77777777" w:rsidTr="0040370E">
        <w:tc>
          <w:tcPr>
            <w:tcW w:w="421" w:type="dxa"/>
          </w:tcPr>
          <w:p w14:paraId="2F223D5B" w14:textId="77777777" w:rsidR="0023076A" w:rsidRPr="00D41829" w:rsidRDefault="0023076A" w:rsidP="002016B8">
            <w:pPr>
              <w:pStyle w:val="Listenabsatz"/>
              <w:numPr>
                <w:ilvl w:val="0"/>
                <w:numId w:val="2"/>
              </w:numPr>
              <w:rPr>
                <w:rFonts w:cs="Arial"/>
                <w:szCs w:val="22"/>
                <w:lang w:val="en-GB"/>
              </w:rPr>
            </w:pPr>
          </w:p>
        </w:tc>
        <w:tc>
          <w:tcPr>
            <w:tcW w:w="7465" w:type="dxa"/>
          </w:tcPr>
          <w:p w14:paraId="4F989749" w14:textId="77777777" w:rsidR="0023076A" w:rsidRPr="0023076A" w:rsidRDefault="0023076A" w:rsidP="0023076A">
            <w:pPr>
              <w:pStyle w:val="CitaviBibliographyEntry"/>
              <w:ind w:left="146" w:hanging="142"/>
              <w:jc w:val="both"/>
              <w:rPr>
                <w:rFonts w:asciiTheme="minorHAnsi" w:hAnsiTheme="minorHAnsi" w:cstheme="minorHAnsi"/>
                <w:sz w:val="24"/>
                <w:szCs w:val="24"/>
              </w:rPr>
            </w:pPr>
            <w:bookmarkStart w:id="74" w:name="_CTVL0010381f0dc3b5643169f979879058d87a1"/>
            <w:r w:rsidRPr="0023076A">
              <w:rPr>
                <w:rFonts w:asciiTheme="minorHAnsi" w:hAnsiTheme="minorHAnsi" w:cstheme="minorHAnsi"/>
                <w:sz w:val="24"/>
                <w:szCs w:val="24"/>
              </w:rPr>
              <w:t>Hsieh SJ, Soto GJ, Hope AA, Ponea A, Gong MN. The association between acute respiratory distress syndrome, delirium, and in-hospital mortality in intensive care unit patients.</w:t>
            </w:r>
            <w:bookmarkEnd w:id="74"/>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Am J Respir Crit Care Med</w:t>
            </w:r>
            <w:r w:rsidRPr="0023076A">
              <w:rPr>
                <w:rFonts w:asciiTheme="minorHAnsi" w:hAnsiTheme="minorHAnsi" w:cstheme="minorHAnsi"/>
                <w:sz w:val="24"/>
                <w:szCs w:val="24"/>
              </w:rPr>
              <w:t>. 2015;191(1):71-78. doi:10.1164/rccm.201409-1690OC</w:t>
            </w:r>
          </w:p>
        </w:tc>
        <w:tc>
          <w:tcPr>
            <w:tcW w:w="1294" w:type="dxa"/>
            <w:vAlign w:val="center"/>
          </w:tcPr>
          <w:p w14:paraId="2BF0B372" w14:textId="77777777" w:rsidR="0023076A"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3076A" w:rsidRPr="0023076A" w14:paraId="3035BD97" w14:textId="77777777" w:rsidTr="0040370E">
        <w:tc>
          <w:tcPr>
            <w:tcW w:w="421" w:type="dxa"/>
          </w:tcPr>
          <w:p w14:paraId="2735118E" w14:textId="77777777" w:rsidR="0023076A" w:rsidRPr="00D41829" w:rsidRDefault="0023076A" w:rsidP="002016B8">
            <w:pPr>
              <w:pStyle w:val="Listenabsatz"/>
              <w:numPr>
                <w:ilvl w:val="0"/>
                <w:numId w:val="2"/>
              </w:numPr>
              <w:rPr>
                <w:rFonts w:cs="Arial"/>
                <w:szCs w:val="22"/>
                <w:lang w:val="en-GB"/>
              </w:rPr>
            </w:pPr>
          </w:p>
        </w:tc>
        <w:tc>
          <w:tcPr>
            <w:tcW w:w="7465" w:type="dxa"/>
          </w:tcPr>
          <w:p w14:paraId="39EF3C85" w14:textId="77777777" w:rsidR="0023076A" w:rsidRPr="0023076A" w:rsidRDefault="0023076A" w:rsidP="0023076A">
            <w:pPr>
              <w:pStyle w:val="CitaviBibliographyEntry"/>
              <w:ind w:left="146" w:hanging="142"/>
              <w:jc w:val="both"/>
              <w:rPr>
                <w:rFonts w:asciiTheme="minorHAnsi" w:hAnsiTheme="minorHAnsi" w:cstheme="minorHAnsi"/>
                <w:sz w:val="24"/>
                <w:szCs w:val="24"/>
              </w:rPr>
            </w:pPr>
            <w:bookmarkStart w:id="75" w:name="_CTVL001f4ccc51272f449289c5d1036492bb1fb"/>
            <w:r w:rsidRPr="0023076A">
              <w:rPr>
                <w:rFonts w:asciiTheme="minorHAnsi" w:hAnsiTheme="minorHAnsi" w:cstheme="minorHAnsi"/>
                <w:sz w:val="24"/>
                <w:szCs w:val="24"/>
                <w:lang w:val="de-DE"/>
              </w:rPr>
              <w:t xml:space="preserve">Kalra SS, Jaber J, Alzghoul BN, et al. </w:t>
            </w:r>
            <w:r w:rsidRPr="0023076A">
              <w:rPr>
                <w:rFonts w:asciiTheme="minorHAnsi" w:hAnsiTheme="minorHAnsi" w:cstheme="minorHAnsi"/>
                <w:sz w:val="24"/>
                <w:szCs w:val="24"/>
              </w:rPr>
              <w:t>Pre-Existing Psychiatric Illness Is Associated With an Increased Risk of Delirium in Patients With Acute Respiratory Distress Syndrome.</w:t>
            </w:r>
            <w:bookmarkEnd w:id="75"/>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J Intensive Care Med</w:t>
            </w:r>
            <w:r w:rsidRPr="0023076A">
              <w:rPr>
                <w:rFonts w:asciiTheme="minorHAnsi" w:hAnsiTheme="minorHAnsi" w:cstheme="minorHAnsi"/>
                <w:sz w:val="24"/>
                <w:szCs w:val="24"/>
              </w:rPr>
              <w:t>. 2022;37(5):647-654. doi:10.1177/08850666211019009</w:t>
            </w:r>
          </w:p>
        </w:tc>
        <w:tc>
          <w:tcPr>
            <w:tcW w:w="1294" w:type="dxa"/>
            <w:vAlign w:val="center"/>
          </w:tcPr>
          <w:p w14:paraId="29F17C2E" w14:textId="77777777" w:rsidR="0023076A"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4</w:t>
            </w:r>
          </w:p>
        </w:tc>
      </w:tr>
      <w:tr w:rsidR="0023076A" w:rsidRPr="0023076A" w14:paraId="762BDBF9" w14:textId="77777777" w:rsidTr="0040370E">
        <w:tc>
          <w:tcPr>
            <w:tcW w:w="421" w:type="dxa"/>
          </w:tcPr>
          <w:p w14:paraId="18B70B45" w14:textId="77777777" w:rsidR="0023076A" w:rsidRPr="00D41829" w:rsidRDefault="0023076A" w:rsidP="002016B8">
            <w:pPr>
              <w:pStyle w:val="Listenabsatz"/>
              <w:numPr>
                <w:ilvl w:val="0"/>
                <w:numId w:val="2"/>
              </w:numPr>
              <w:rPr>
                <w:rFonts w:cs="Arial"/>
                <w:szCs w:val="22"/>
                <w:lang w:val="en-GB"/>
              </w:rPr>
            </w:pPr>
          </w:p>
        </w:tc>
        <w:tc>
          <w:tcPr>
            <w:tcW w:w="7465" w:type="dxa"/>
          </w:tcPr>
          <w:p w14:paraId="41381F7F" w14:textId="77777777" w:rsidR="0023076A" w:rsidRPr="0023076A" w:rsidRDefault="0023076A" w:rsidP="0023076A">
            <w:pPr>
              <w:ind w:left="146" w:hanging="142"/>
              <w:jc w:val="both"/>
              <w:rPr>
                <w:rFonts w:asciiTheme="minorHAnsi" w:hAnsiTheme="minorHAnsi" w:cstheme="minorHAnsi"/>
                <w:sz w:val="24"/>
                <w:szCs w:val="24"/>
                <w:lang w:val="en-GB"/>
              </w:rPr>
            </w:pPr>
            <w:bookmarkStart w:id="76" w:name="_CTVL001e4069da7ac114435924263723af64642"/>
            <w:r w:rsidRPr="0023076A">
              <w:rPr>
                <w:rFonts w:asciiTheme="minorHAnsi" w:hAnsiTheme="minorHAnsi" w:cstheme="minorHAnsi"/>
                <w:sz w:val="24"/>
                <w:szCs w:val="24"/>
                <w:lang w:val="en-GB"/>
              </w:rPr>
              <w:t>Kawakami D, Fujitani S, Morimoto T, et al. Prevalence of post-intensive care syndrome among Japanese intensive care unit patients: a prospective, multicenter, observational J-PICS study.</w:t>
            </w:r>
            <w:bookmarkEnd w:id="76"/>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Crit Care</w:t>
            </w:r>
            <w:r w:rsidRPr="0023076A">
              <w:rPr>
                <w:rFonts w:asciiTheme="minorHAnsi" w:hAnsiTheme="minorHAnsi" w:cstheme="minorHAnsi"/>
                <w:sz w:val="24"/>
                <w:szCs w:val="24"/>
                <w:lang w:val="en-GB"/>
              </w:rPr>
              <w:t>. 2021;25(1):69. doi:10.1186/s13054-021-03501-z</w:t>
            </w:r>
          </w:p>
        </w:tc>
        <w:tc>
          <w:tcPr>
            <w:tcW w:w="1294" w:type="dxa"/>
            <w:vAlign w:val="center"/>
          </w:tcPr>
          <w:p w14:paraId="211D2547" w14:textId="77777777" w:rsidR="0023076A"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3076A" w:rsidRPr="0023076A" w14:paraId="184A3DF8" w14:textId="77777777" w:rsidTr="0040370E">
        <w:tc>
          <w:tcPr>
            <w:tcW w:w="421" w:type="dxa"/>
          </w:tcPr>
          <w:p w14:paraId="0BA2CEBB" w14:textId="77777777" w:rsidR="0023076A" w:rsidRPr="00D41829" w:rsidRDefault="0023076A" w:rsidP="002016B8">
            <w:pPr>
              <w:pStyle w:val="Listenabsatz"/>
              <w:numPr>
                <w:ilvl w:val="0"/>
                <w:numId w:val="2"/>
              </w:numPr>
              <w:rPr>
                <w:rFonts w:cs="Arial"/>
                <w:szCs w:val="22"/>
                <w:lang w:val="en-GB"/>
              </w:rPr>
            </w:pPr>
          </w:p>
        </w:tc>
        <w:tc>
          <w:tcPr>
            <w:tcW w:w="7465" w:type="dxa"/>
          </w:tcPr>
          <w:p w14:paraId="7FE1855E" w14:textId="77777777" w:rsidR="0023076A" w:rsidRPr="0023076A" w:rsidRDefault="0023076A" w:rsidP="0023076A">
            <w:pPr>
              <w:ind w:left="146" w:hanging="142"/>
              <w:jc w:val="both"/>
              <w:rPr>
                <w:rFonts w:asciiTheme="minorHAnsi" w:hAnsiTheme="minorHAnsi" w:cstheme="minorHAnsi"/>
                <w:sz w:val="24"/>
                <w:szCs w:val="24"/>
                <w:lang w:val="en-GB"/>
              </w:rPr>
            </w:pPr>
            <w:bookmarkStart w:id="77" w:name="_CTVL0011e4ff8c571914ac68a6801cc17816d3e"/>
            <w:r w:rsidRPr="0023076A">
              <w:rPr>
                <w:rFonts w:asciiTheme="minorHAnsi" w:hAnsiTheme="minorHAnsi" w:cstheme="minorHAnsi"/>
                <w:sz w:val="24"/>
                <w:szCs w:val="24"/>
                <w:lang w:val="en-GB"/>
              </w:rPr>
              <w:t>Latronico N, Peli E, Rodella F, Novelli MP, Rasulo FA, Piva S. Three-Month Outcome in Survivors of COVID-19 Associated Acute Respiratory Distress Syndrome.</w:t>
            </w:r>
            <w:bookmarkEnd w:id="77"/>
            <w:r w:rsidRPr="0023076A">
              <w:rPr>
                <w:rFonts w:asciiTheme="minorHAnsi" w:hAnsiTheme="minorHAnsi" w:cstheme="minorHAnsi"/>
                <w:sz w:val="24"/>
                <w:szCs w:val="24"/>
                <w:lang w:val="en-GB"/>
              </w:rPr>
              <w:t xml:space="preserve"> </w:t>
            </w:r>
            <w:r w:rsidRPr="0023076A">
              <w:rPr>
                <w:rFonts w:asciiTheme="minorHAnsi" w:hAnsiTheme="minorHAnsi" w:cstheme="minorHAnsi"/>
                <w:i/>
                <w:sz w:val="24"/>
                <w:szCs w:val="24"/>
                <w:lang w:val="en-GB"/>
              </w:rPr>
              <w:t>SSRN Journal</w:t>
            </w:r>
            <w:r w:rsidRPr="0023076A">
              <w:rPr>
                <w:rFonts w:asciiTheme="minorHAnsi" w:hAnsiTheme="minorHAnsi" w:cstheme="minorHAnsi"/>
                <w:sz w:val="24"/>
                <w:szCs w:val="24"/>
                <w:lang w:val="en-GB"/>
              </w:rPr>
              <w:t>. 2020. doi:10.2139/ssrn.3749226</w:t>
            </w:r>
          </w:p>
        </w:tc>
        <w:tc>
          <w:tcPr>
            <w:tcW w:w="1294" w:type="dxa"/>
            <w:vAlign w:val="center"/>
          </w:tcPr>
          <w:p w14:paraId="09C65226" w14:textId="77777777" w:rsidR="0023076A"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23076A" w:rsidRPr="0023076A" w14:paraId="2E12A4AD" w14:textId="77777777" w:rsidTr="0040370E">
        <w:tc>
          <w:tcPr>
            <w:tcW w:w="421" w:type="dxa"/>
          </w:tcPr>
          <w:p w14:paraId="7338157A" w14:textId="77777777" w:rsidR="0023076A" w:rsidRPr="00D41829" w:rsidRDefault="0023076A" w:rsidP="002016B8">
            <w:pPr>
              <w:pStyle w:val="Listenabsatz"/>
              <w:numPr>
                <w:ilvl w:val="0"/>
                <w:numId w:val="2"/>
              </w:numPr>
              <w:rPr>
                <w:rFonts w:cs="Arial"/>
                <w:szCs w:val="22"/>
                <w:lang w:val="en-GB"/>
              </w:rPr>
            </w:pPr>
          </w:p>
        </w:tc>
        <w:tc>
          <w:tcPr>
            <w:tcW w:w="7465" w:type="dxa"/>
          </w:tcPr>
          <w:p w14:paraId="499CE6FA" w14:textId="77777777" w:rsidR="0023076A" w:rsidRPr="0023076A" w:rsidRDefault="0023076A" w:rsidP="0023076A">
            <w:pPr>
              <w:pStyle w:val="CitaviBibliographyEntry"/>
              <w:ind w:left="146" w:hanging="142"/>
              <w:jc w:val="both"/>
              <w:rPr>
                <w:rFonts w:asciiTheme="minorHAnsi" w:hAnsiTheme="minorHAnsi" w:cstheme="minorHAnsi"/>
                <w:sz w:val="24"/>
                <w:szCs w:val="24"/>
              </w:rPr>
            </w:pPr>
            <w:bookmarkStart w:id="78" w:name="_CTVL0019d741e43497548ee9f152966228156af"/>
            <w:r w:rsidRPr="0023076A">
              <w:rPr>
                <w:rFonts w:asciiTheme="minorHAnsi" w:hAnsiTheme="minorHAnsi" w:cstheme="minorHAnsi"/>
                <w:sz w:val="24"/>
                <w:szCs w:val="24"/>
              </w:rPr>
              <w:t>Latronico N, Peli E, Rodella F, et al. Six-Month Outcome in Survivors of COVID-19 Associated Acute Respiratory Distress Syndrome.</w:t>
            </w:r>
            <w:bookmarkEnd w:id="78"/>
            <w:r w:rsidRPr="0023076A">
              <w:rPr>
                <w:rFonts w:asciiTheme="minorHAnsi" w:hAnsiTheme="minorHAnsi" w:cstheme="minorHAnsi"/>
                <w:sz w:val="24"/>
                <w:szCs w:val="24"/>
              </w:rPr>
              <w:t xml:space="preserve"> </w:t>
            </w:r>
            <w:r w:rsidRPr="0023076A">
              <w:rPr>
                <w:rFonts w:asciiTheme="minorHAnsi" w:hAnsiTheme="minorHAnsi" w:cstheme="minorHAnsi"/>
                <w:i/>
                <w:sz w:val="24"/>
                <w:szCs w:val="24"/>
              </w:rPr>
              <w:t>SSRN Journal</w:t>
            </w:r>
            <w:r w:rsidRPr="0023076A">
              <w:rPr>
                <w:rFonts w:asciiTheme="minorHAnsi" w:hAnsiTheme="minorHAnsi" w:cstheme="minorHAnsi"/>
                <w:sz w:val="24"/>
                <w:szCs w:val="24"/>
              </w:rPr>
              <w:t>. 2020. doi:10.2139/ssrn.3756865</w:t>
            </w:r>
          </w:p>
        </w:tc>
        <w:tc>
          <w:tcPr>
            <w:tcW w:w="1294" w:type="dxa"/>
            <w:vAlign w:val="center"/>
          </w:tcPr>
          <w:p w14:paraId="2355CFD3" w14:textId="77777777" w:rsidR="0023076A" w:rsidRPr="001F44BC" w:rsidRDefault="001F44BC" w:rsidP="001F44BC">
            <w:pPr>
              <w:rPr>
                <w:rFonts w:asciiTheme="minorHAnsi" w:hAnsiTheme="minorHAnsi" w:cstheme="minorHAnsi"/>
                <w:sz w:val="24"/>
                <w:szCs w:val="24"/>
                <w:lang w:val="en-GB"/>
              </w:rPr>
            </w:pPr>
            <w:r w:rsidRPr="001F44BC">
              <w:rPr>
                <w:rFonts w:asciiTheme="minorHAnsi" w:hAnsiTheme="minorHAnsi" w:cstheme="minorHAnsi"/>
                <w:sz w:val="24"/>
                <w:szCs w:val="24"/>
                <w:lang w:val="en-GB"/>
              </w:rPr>
              <w:t>5</w:t>
            </w:r>
          </w:p>
        </w:tc>
      </w:tr>
      <w:tr w:rsidR="00D04FDA" w:rsidRPr="0069243C" w14:paraId="011394C2" w14:textId="77777777" w:rsidTr="007B23A5">
        <w:tc>
          <w:tcPr>
            <w:tcW w:w="9180" w:type="dxa"/>
            <w:gridSpan w:val="3"/>
          </w:tcPr>
          <w:p w14:paraId="1C443E37" w14:textId="77777777" w:rsidR="00D04FDA" w:rsidRPr="00C86927" w:rsidRDefault="00C86927" w:rsidP="00C86927">
            <w:pPr>
              <w:rPr>
                <w:rFonts w:asciiTheme="minorHAnsi" w:hAnsiTheme="minorHAnsi" w:cstheme="minorHAnsi"/>
                <w:sz w:val="20"/>
                <w:lang w:val="en-GB"/>
              </w:rPr>
            </w:pPr>
            <w:r w:rsidRPr="00C86927">
              <w:rPr>
                <w:rFonts w:asciiTheme="minorHAnsi" w:hAnsiTheme="minorHAnsi" w:cstheme="minorHAnsi"/>
                <w:sz w:val="20"/>
                <w:lang w:val="en-GB"/>
              </w:rPr>
              <w:t>Note: 0 = Publication form not applicable, 1 = Study design, 2 = Exposure not applicable (or ARDS not clearly described), 3 = Population not applicable, 4 = Outcome not applicable, 5 = Other (e.g. data collection before 2013 or not in English or German)</w:t>
            </w:r>
          </w:p>
        </w:tc>
      </w:tr>
    </w:tbl>
    <w:p w14:paraId="673E829B" w14:textId="77777777" w:rsidR="00C86927" w:rsidRDefault="00C86927">
      <w:pPr>
        <w:rPr>
          <w:lang w:val="en-GB"/>
        </w:rPr>
      </w:pPr>
    </w:p>
    <w:p w14:paraId="642573FC" w14:textId="77777777" w:rsidR="00BC4334" w:rsidRDefault="00BC4334">
      <w:pPr>
        <w:rPr>
          <w:rFonts w:asciiTheme="minorHAnsi" w:hAnsiTheme="minorHAnsi" w:cstheme="minorHAnsi"/>
          <w:b/>
          <w:iCs/>
          <w:sz w:val="24"/>
          <w:szCs w:val="24"/>
          <w:lang w:val="en-GB"/>
        </w:rPr>
      </w:pPr>
      <w:r>
        <w:rPr>
          <w:rFonts w:asciiTheme="minorHAnsi" w:hAnsiTheme="minorHAnsi" w:cstheme="minorHAnsi"/>
          <w:b/>
          <w:i/>
          <w:sz w:val="24"/>
          <w:szCs w:val="24"/>
          <w:lang w:val="en-GB"/>
        </w:rPr>
        <w:br w:type="page"/>
      </w:r>
    </w:p>
    <w:p w14:paraId="0BDF83A2" w14:textId="79AB33F4" w:rsidR="00C86927" w:rsidRDefault="00C86927" w:rsidP="00C86927">
      <w:pPr>
        <w:pStyle w:val="Beschriftung"/>
        <w:keepNext/>
        <w:rPr>
          <w:rFonts w:asciiTheme="minorHAnsi" w:hAnsiTheme="minorHAnsi" w:cstheme="minorHAnsi"/>
          <w:b/>
          <w:i w:val="0"/>
          <w:color w:val="auto"/>
          <w:sz w:val="24"/>
          <w:szCs w:val="24"/>
          <w:lang w:val="en-GB"/>
        </w:rPr>
      </w:pPr>
      <w:r w:rsidRPr="00CE691E">
        <w:rPr>
          <w:rFonts w:asciiTheme="minorHAnsi" w:hAnsiTheme="minorHAnsi" w:cstheme="minorHAnsi"/>
          <w:b/>
          <w:i w:val="0"/>
          <w:color w:val="auto"/>
          <w:sz w:val="24"/>
          <w:szCs w:val="24"/>
          <w:lang w:val="en-GB"/>
        </w:rPr>
        <w:lastRenderedPageBreak/>
        <w:t xml:space="preserve">SC </w:t>
      </w:r>
      <w:r w:rsidR="004A2FCA">
        <w:rPr>
          <w:rFonts w:asciiTheme="minorHAnsi" w:hAnsiTheme="minorHAnsi" w:cstheme="minorHAnsi"/>
          <w:b/>
          <w:i w:val="0"/>
          <w:color w:val="auto"/>
          <w:sz w:val="24"/>
          <w:szCs w:val="24"/>
          <w:lang w:val="en-GB"/>
        </w:rPr>
        <w:t>5</w:t>
      </w:r>
    </w:p>
    <w:p w14:paraId="18C9A5B6" w14:textId="77777777" w:rsidR="00C86927" w:rsidRPr="00834606" w:rsidRDefault="00C86927" w:rsidP="00C86927">
      <w:pPr>
        <w:pStyle w:val="Beschriftung"/>
        <w:keepNext/>
        <w:rPr>
          <w:rFonts w:asciiTheme="minorHAnsi" w:hAnsiTheme="minorHAnsi" w:cstheme="minorHAnsi"/>
          <w:b/>
          <w:i w:val="0"/>
          <w:color w:val="auto"/>
          <w:sz w:val="24"/>
          <w:szCs w:val="24"/>
          <w:lang w:val="en-GB"/>
        </w:rPr>
      </w:pPr>
      <w:r w:rsidRPr="00834606">
        <w:rPr>
          <w:rFonts w:asciiTheme="minorHAnsi" w:hAnsiTheme="minorHAnsi" w:cstheme="minorHAnsi"/>
          <w:b/>
          <w:i w:val="0"/>
          <w:color w:val="auto"/>
          <w:sz w:val="24"/>
          <w:szCs w:val="24"/>
          <w:lang w:val="en-GB"/>
        </w:rPr>
        <w:t>Assessment by Newcastle-Ottawa Scale</w:t>
      </w:r>
      <w:r>
        <w:rPr>
          <w:rFonts w:asciiTheme="minorHAnsi" w:hAnsiTheme="minorHAnsi" w:cstheme="minorHAnsi"/>
          <w:b/>
          <w:i w:val="0"/>
          <w:color w:val="auto"/>
          <w:sz w:val="24"/>
          <w:szCs w:val="24"/>
          <w:lang w:val="en-GB"/>
        </w:rPr>
        <w:t xml:space="preserve"> (NOS)</w:t>
      </w:r>
    </w:p>
    <w:tbl>
      <w:tblPr>
        <w:tblStyle w:val="Tabellenraster"/>
        <w:tblW w:w="9524" w:type="dxa"/>
        <w:tblLook w:val="04A0" w:firstRow="1" w:lastRow="0" w:firstColumn="1" w:lastColumn="0" w:noHBand="0" w:noVBand="1"/>
      </w:tblPr>
      <w:tblGrid>
        <w:gridCol w:w="2302"/>
        <w:gridCol w:w="1803"/>
        <w:gridCol w:w="1834"/>
        <w:gridCol w:w="1805"/>
        <w:gridCol w:w="1780"/>
      </w:tblGrid>
      <w:tr w:rsidR="00C86927" w:rsidRPr="00AE1338" w14:paraId="1446A377" w14:textId="77777777" w:rsidTr="007B23A5">
        <w:tc>
          <w:tcPr>
            <w:tcW w:w="2302" w:type="dxa"/>
            <w:tcBorders>
              <w:bottom w:val="single" w:sz="4" w:space="0" w:color="auto"/>
            </w:tcBorders>
          </w:tcPr>
          <w:p w14:paraId="0AE6F204" w14:textId="77777777" w:rsidR="00C86927" w:rsidRPr="00AE1338" w:rsidRDefault="00C86927" w:rsidP="007B23A5">
            <w:pPr>
              <w:rPr>
                <w:lang w:val="en-GB"/>
              </w:rPr>
            </w:pPr>
            <w:r w:rsidRPr="00AE1338">
              <w:rPr>
                <w:lang w:val="en-GB"/>
              </w:rPr>
              <w:t>Author (year)</w:t>
            </w:r>
          </w:p>
        </w:tc>
        <w:tc>
          <w:tcPr>
            <w:tcW w:w="1803" w:type="dxa"/>
            <w:tcBorders>
              <w:bottom w:val="single" w:sz="4" w:space="0" w:color="auto"/>
            </w:tcBorders>
          </w:tcPr>
          <w:p w14:paraId="58DF2E16" w14:textId="77777777" w:rsidR="00C86927" w:rsidRPr="00AE1338" w:rsidRDefault="00C86927" w:rsidP="007B23A5">
            <w:pPr>
              <w:rPr>
                <w:lang w:val="en-GB"/>
              </w:rPr>
            </w:pPr>
            <w:r w:rsidRPr="00AE1338">
              <w:rPr>
                <w:lang w:val="en-GB"/>
              </w:rPr>
              <w:t>Selection</w:t>
            </w:r>
          </w:p>
        </w:tc>
        <w:tc>
          <w:tcPr>
            <w:tcW w:w="1834" w:type="dxa"/>
            <w:tcBorders>
              <w:bottom w:val="single" w:sz="4" w:space="0" w:color="auto"/>
            </w:tcBorders>
          </w:tcPr>
          <w:p w14:paraId="04F7E966" w14:textId="77777777" w:rsidR="00C86927" w:rsidRPr="00AE1338" w:rsidRDefault="00C86927" w:rsidP="007B23A5">
            <w:pPr>
              <w:rPr>
                <w:lang w:val="en-GB"/>
              </w:rPr>
            </w:pPr>
            <w:r w:rsidRPr="00AE1338">
              <w:rPr>
                <w:lang w:val="en-GB"/>
              </w:rPr>
              <w:t>Comparability</w:t>
            </w:r>
          </w:p>
        </w:tc>
        <w:tc>
          <w:tcPr>
            <w:tcW w:w="1805" w:type="dxa"/>
            <w:tcBorders>
              <w:bottom w:val="single" w:sz="4" w:space="0" w:color="auto"/>
            </w:tcBorders>
          </w:tcPr>
          <w:p w14:paraId="35C194A5" w14:textId="77777777" w:rsidR="00C86927" w:rsidRPr="00AE1338" w:rsidRDefault="00C86927" w:rsidP="007B23A5">
            <w:pPr>
              <w:rPr>
                <w:lang w:val="en-GB"/>
              </w:rPr>
            </w:pPr>
            <w:r w:rsidRPr="00AE1338">
              <w:rPr>
                <w:lang w:val="en-GB"/>
              </w:rPr>
              <w:t>Outcome</w:t>
            </w:r>
          </w:p>
        </w:tc>
        <w:tc>
          <w:tcPr>
            <w:tcW w:w="1780" w:type="dxa"/>
            <w:tcBorders>
              <w:bottom w:val="single" w:sz="4" w:space="0" w:color="auto"/>
            </w:tcBorders>
          </w:tcPr>
          <w:p w14:paraId="5E704652" w14:textId="77777777" w:rsidR="00C86927" w:rsidRPr="00AE1338" w:rsidRDefault="00C86927" w:rsidP="007B23A5">
            <w:pPr>
              <w:rPr>
                <w:lang w:val="en-GB"/>
              </w:rPr>
            </w:pPr>
            <w:r w:rsidRPr="00AE1338">
              <w:rPr>
                <w:lang w:val="en-GB"/>
              </w:rPr>
              <w:t>Total</w:t>
            </w:r>
          </w:p>
        </w:tc>
      </w:tr>
      <w:tr w:rsidR="00C86927" w:rsidRPr="00AE1338" w14:paraId="62461CEF" w14:textId="77777777" w:rsidTr="007B23A5">
        <w:tc>
          <w:tcPr>
            <w:tcW w:w="2302" w:type="dxa"/>
            <w:tcBorders>
              <w:top w:val="single" w:sz="4" w:space="0" w:color="auto"/>
              <w:bottom w:val="single" w:sz="4" w:space="0" w:color="auto"/>
              <w:right w:val="single" w:sz="4" w:space="0" w:color="auto"/>
            </w:tcBorders>
            <w:shd w:val="clear" w:color="auto" w:fill="auto"/>
          </w:tcPr>
          <w:p w14:paraId="74F9C061" w14:textId="77777777" w:rsidR="00C86927" w:rsidRPr="006C559F" w:rsidRDefault="00C86927" w:rsidP="007B23A5">
            <w:pPr>
              <w:rPr>
                <w:szCs w:val="22"/>
                <w:lang w:val="en-GB"/>
              </w:rPr>
            </w:pPr>
            <w:r w:rsidRPr="006C559F">
              <w:rPr>
                <w:szCs w:val="22"/>
                <w:lang w:val="en-GB"/>
              </w:rPr>
              <w:t>Beaud et al. (2021)</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2C563343" w14:textId="77777777" w:rsidR="00C86927" w:rsidRPr="00AE1338" w:rsidRDefault="00C86927" w:rsidP="007B23A5">
            <w:pPr>
              <w:jc w:val="center"/>
              <w:rPr>
                <w:rFonts w:ascii="Calibri" w:hAnsi="Calibri" w:cs="Calibri"/>
                <w:color w:val="000000"/>
                <w:szCs w:val="22"/>
                <w:lang w:val="en-GB"/>
              </w:rPr>
            </w:pPr>
            <w:r w:rsidRPr="00AE1338">
              <w:rPr>
                <w:rFonts w:ascii="Calibri" w:hAnsi="Calibri" w:cs="Calibri"/>
                <w:color w:val="000000"/>
                <w:szCs w:val="22"/>
                <w:lang w:val="en-GB"/>
              </w:rPr>
              <w:t>3</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01F96C15" w14:textId="77777777" w:rsidR="00C86927" w:rsidRPr="00AE1338" w:rsidRDefault="00C86927" w:rsidP="007B23A5">
            <w:pPr>
              <w:jc w:val="center"/>
              <w:rPr>
                <w:rFonts w:ascii="Calibri" w:hAnsi="Calibri" w:cs="Calibri"/>
                <w:color w:val="000000"/>
                <w:szCs w:val="22"/>
                <w:lang w:val="en-GB"/>
              </w:rPr>
            </w:pPr>
            <w:r w:rsidRPr="00AE1338">
              <w:rPr>
                <w:rFonts w:ascii="Calibri" w:hAnsi="Calibri" w:cs="Calibri"/>
                <w:color w:val="000000"/>
                <w:szCs w:val="22"/>
                <w:lang w:val="en-GB"/>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58B413D4" w14:textId="77777777" w:rsidR="00C86927" w:rsidRPr="00AE1338" w:rsidRDefault="00C86927" w:rsidP="007B23A5">
            <w:pPr>
              <w:jc w:val="center"/>
              <w:rPr>
                <w:rFonts w:ascii="Calibri" w:hAnsi="Calibri" w:cs="Calibri"/>
                <w:color w:val="000000"/>
                <w:szCs w:val="22"/>
                <w:lang w:val="en-GB"/>
              </w:rPr>
            </w:pPr>
            <w:r w:rsidRPr="00AE1338">
              <w:rPr>
                <w:rFonts w:ascii="Calibri" w:hAnsi="Calibri" w:cs="Calibri"/>
                <w:color w:val="000000"/>
                <w:szCs w:val="22"/>
                <w:lang w:val="en-GB"/>
              </w:rPr>
              <w:t>0</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0F69A0AF" w14:textId="77777777" w:rsidR="00C86927" w:rsidRPr="00AE1338" w:rsidRDefault="00C86927" w:rsidP="007B23A5">
            <w:pPr>
              <w:jc w:val="center"/>
              <w:rPr>
                <w:rFonts w:ascii="Calibri" w:hAnsi="Calibri" w:cs="Calibri"/>
                <w:color w:val="000000"/>
                <w:szCs w:val="22"/>
                <w:lang w:val="en-GB"/>
              </w:rPr>
            </w:pPr>
            <w:r w:rsidRPr="00AE1338">
              <w:rPr>
                <w:rFonts w:ascii="Calibri" w:hAnsi="Calibri" w:cs="Calibri"/>
                <w:color w:val="000000"/>
                <w:szCs w:val="22"/>
                <w:lang w:val="en-GB"/>
              </w:rPr>
              <w:t>5</w:t>
            </w:r>
          </w:p>
        </w:tc>
      </w:tr>
      <w:tr w:rsidR="00C86927" w14:paraId="4034FF43" w14:textId="77777777" w:rsidTr="007B23A5">
        <w:tc>
          <w:tcPr>
            <w:tcW w:w="2302" w:type="dxa"/>
            <w:tcBorders>
              <w:top w:val="single" w:sz="4" w:space="0" w:color="auto"/>
              <w:bottom w:val="single" w:sz="4" w:space="0" w:color="auto"/>
              <w:right w:val="single" w:sz="4" w:space="0" w:color="auto"/>
            </w:tcBorders>
            <w:shd w:val="clear" w:color="auto" w:fill="auto"/>
          </w:tcPr>
          <w:p w14:paraId="36D0E1FA" w14:textId="77777777" w:rsidR="00C86927" w:rsidRPr="006C559F" w:rsidRDefault="00C86927" w:rsidP="007B23A5">
            <w:pPr>
              <w:rPr>
                <w:szCs w:val="22"/>
                <w:lang w:val="en-GB"/>
              </w:rPr>
            </w:pPr>
            <w:r w:rsidRPr="006C559F">
              <w:rPr>
                <w:szCs w:val="22"/>
                <w:lang w:val="en-GB"/>
              </w:rPr>
              <w:t>Okazaki et al. (2022)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067A15E8"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14A70FD8"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68178B89"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6A50FE34" w14:textId="77777777" w:rsidR="00C86927" w:rsidRDefault="00C86927" w:rsidP="007B23A5">
            <w:pPr>
              <w:jc w:val="center"/>
              <w:rPr>
                <w:rFonts w:ascii="Calibri" w:hAnsi="Calibri" w:cs="Calibri"/>
                <w:color w:val="000000"/>
                <w:szCs w:val="22"/>
              </w:rPr>
            </w:pPr>
            <w:r>
              <w:rPr>
                <w:rFonts w:ascii="Calibri" w:hAnsi="Calibri" w:cs="Calibri"/>
                <w:color w:val="000000"/>
                <w:szCs w:val="22"/>
              </w:rPr>
              <w:t>6</w:t>
            </w:r>
          </w:p>
        </w:tc>
      </w:tr>
      <w:tr w:rsidR="00C86927" w14:paraId="23128ED5" w14:textId="77777777" w:rsidTr="007B23A5">
        <w:tc>
          <w:tcPr>
            <w:tcW w:w="2302" w:type="dxa"/>
            <w:tcBorders>
              <w:top w:val="single" w:sz="4" w:space="0" w:color="auto"/>
              <w:bottom w:val="single" w:sz="4" w:space="0" w:color="auto"/>
              <w:right w:val="single" w:sz="4" w:space="0" w:color="auto"/>
            </w:tcBorders>
            <w:shd w:val="clear" w:color="auto" w:fill="auto"/>
          </w:tcPr>
          <w:p w14:paraId="4C31762B" w14:textId="77777777" w:rsidR="00C86927" w:rsidRPr="006C559F" w:rsidRDefault="00C86927" w:rsidP="007B23A5">
            <w:pPr>
              <w:rPr>
                <w:szCs w:val="22"/>
                <w:lang w:val="en-GB"/>
              </w:rPr>
            </w:pPr>
            <w:r w:rsidRPr="006C559F">
              <w:rPr>
                <w:szCs w:val="22"/>
                <w:lang w:val="en-GB"/>
              </w:rPr>
              <w:t>Pozzi et al. (2023)</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208F3EBE"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3266C0D0"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2AFFB179"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2E48347E" w14:textId="77777777" w:rsidR="00C86927" w:rsidRDefault="00C86927" w:rsidP="007B23A5">
            <w:pPr>
              <w:jc w:val="center"/>
              <w:rPr>
                <w:rFonts w:ascii="Calibri" w:hAnsi="Calibri" w:cs="Calibri"/>
                <w:color w:val="000000"/>
                <w:szCs w:val="22"/>
              </w:rPr>
            </w:pPr>
            <w:r>
              <w:rPr>
                <w:rFonts w:ascii="Calibri" w:hAnsi="Calibri" w:cs="Calibri"/>
                <w:color w:val="000000"/>
                <w:szCs w:val="22"/>
              </w:rPr>
              <w:t>6</w:t>
            </w:r>
          </w:p>
        </w:tc>
      </w:tr>
      <w:tr w:rsidR="00C86927" w14:paraId="10BD0C22" w14:textId="77777777" w:rsidTr="007B23A5">
        <w:tc>
          <w:tcPr>
            <w:tcW w:w="2302" w:type="dxa"/>
            <w:tcBorders>
              <w:top w:val="single" w:sz="4" w:space="0" w:color="auto"/>
              <w:bottom w:val="single" w:sz="4" w:space="0" w:color="auto"/>
              <w:right w:val="single" w:sz="4" w:space="0" w:color="auto"/>
            </w:tcBorders>
            <w:shd w:val="clear" w:color="auto" w:fill="auto"/>
          </w:tcPr>
          <w:p w14:paraId="19FE38AE" w14:textId="77777777" w:rsidR="00C86927" w:rsidRPr="006C559F" w:rsidRDefault="00C86927" w:rsidP="007B23A5">
            <w:pPr>
              <w:rPr>
                <w:szCs w:val="22"/>
                <w:lang w:val="en-GB"/>
              </w:rPr>
            </w:pPr>
            <w:r w:rsidRPr="006C559F">
              <w:rPr>
                <w:szCs w:val="22"/>
                <w:lang w:val="en-GB"/>
              </w:rPr>
              <w:t>Maley et al. (2022)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48D120A2"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19DDD440"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6E245637"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030C7A50" w14:textId="77777777" w:rsidR="00C86927" w:rsidRDefault="00C86927" w:rsidP="007B23A5">
            <w:pPr>
              <w:jc w:val="center"/>
              <w:rPr>
                <w:rFonts w:ascii="Calibri" w:hAnsi="Calibri" w:cs="Calibri"/>
                <w:color w:val="000000"/>
                <w:szCs w:val="22"/>
              </w:rPr>
            </w:pPr>
            <w:r>
              <w:rPr>
                <w:rFonts w:ascii="Calibri" w:hAnsi="Calibri" w:cs="Calibri"/>
                <w:color w:val="000000"/>
                <w:szCs w:val="22"/>
              </w:rPr>
              <w:t>6</w:t>
            </w:r>
          </w:p>
        </w:tc>
      </w:tr>
      <w:tr w:rsidR="00C86927" w14:paraId="274CC1DA" w14:textId="77777777" w:rsidTr="007B23A5">
        <w:tc>
          <w:tcPr>
            <w:tcW w:w="2302" w:type="dxa"/>
            <w:tcBorders>
              <w:top w:val="single" w:sz="4" w:space="0" w:color="auto"/>
              <w:bottom w:val="single" w:sz="4" w:space="0" w:color="auto"/>
              <w:right w:val="single" w:sz="4" w:space="0" w:color="auto"/>
            </w:tcBorders>
            <w:shd w:val="clear" w:color="auto" w:fill="auto"/>
          </w:tcPr>
          <w:p w14:paraId="3F872941" w14:textId="77777777" w:rsidR="00C86927" w:rsidRPr="006C559F" w:rsidRDefault="00C86927" w:rsidP="007B23A5">
            <w:pPr>
              <w:rPr>
                <w:szCs w:val="22"/>
                <w:lang w:val="en-GB"/>
              </w:rPr>
            </w:pPr>
            <w:r w:rsidRPr="006C559F">
              <w:rPr>
                <w:szCs w:val="22"/>
                <w:lang w:val="en-GB"/>
              </w:rPr>
              <w:t>Martinez et al. (2023)</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3F46763C"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0D32AA8D"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6BC59306"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15A6490A" w14:textId="77777777" w:rsidR="00C86927" w:rsidRDefault="00C86927" w:rsidP="007B23A5">
            <w:pPr>
              <w:jc w:val="center"/>
              <w:rPr>
                <w:rFonts w:ascii="Calibri" w:hAnsi="Calibri" w:cs="Calibri"/>
                <w:color w:val="000000"/>
                <w:szCs w:val="22"/>
              </w:rPr>
            </w:pPr>
            <w:r>
              <w:rPr>
                <w:rFonts w:ascii="Calibri" w:hAnsi="Calibri" w:cs="Calibri"/>
                <w:color w:val="000000"/>
                <w:szCs w:val="22"/>
              </w:rPr>
              <w:t>6</w:t>
            </w:r>
          </w:p>
        </w:tc>
      </w:tr>
      <w:tr w:rsidR="00C86927" w14:paraId="4EFD570F" w14:textId="77777777" w:rsidTr="007B23A5">
        <w:tc>
          <w:tcPr>
            <w:tcW w:w="2302" w:type="dxa"/>
            <w:tcBorders>
              <w:top w:val="single" w:sz="4" w:space="0" w:color="auto"/>
              <w:bottom w:val="single" w:sz="4" w:space="0" w:color="auto"/>
              <w:right w:val="single" w:sz="4" w:space="0" w:color="auto"/>
            </w:tcBorders>
            <w:shd w:val="clear" w:color="auto" w:fill="auto"/>
          </w:tcPr>
          <w:p w14:paraId="46B58B08" w14:textId="77777777" w:rsidR="00C86927" w:rsidRPr="006C559F" w:rsidRDefault="00C86927" w:rsidP="007B23A5">
            <w:pPr>
              <w:rPr>
                <w:szCs w:val="22"/>
                <w:lang w:val="en-GB"/>
              </w:rPr>
            </w:pPr>
            <w:r w:rsidRPr="006C559F">
              <w:rPr>
                <w:szCs w:val="22"/>
                <w:lang w:val="en-GB"/>
              </w:rPr>
              <w:t>Monti et al.  (2021)</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3DA38CA5"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46576E82"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23373F87" w14:textId="77777777" w:rsidR="00C86927" w:rsidRDefault="00C86927" w:rsidP="007B23A5">
            <w:pPr>
              <w:jc w:val="center"/>
              <w:rPr>
                <w:rFonts w:ascii="Calibri" w:hAnsi="Calibri" w:cs="Calibri"/>
                <w:color w:val="000000"/>
                <w:szCs w:val="22"/>
              </w:rPr>
            </w:pPr>
            <w:r>
              <w:rPr>
                <w:rFonts w:ascii="Calibri" w:hAnsi="Calibri" w:cs="Calibri"/>
                <w:color w:val="000000"/>
                <w:szCs w:val="22"/>
              </w:rPr>
              <w:t>1</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198CF0C4" w14:textId="77777777" w:rsidR="00C86927" w:rsidRDefault="00C86927" w:rsidP="007B23A5">
            <w:pPr>
              <w:jc w:val="center"/>
              <w:rPr>
                <w:rFonts w:ascii="Calibri" w:hAnsi="Calibri" w:cs="Calibri"/>
                <w:color w:val="000000"/>
                <w:szCs w:val="22"/>
              </w:rPr>
            </w:pPr>
            <w:r>
              <w:rPr>
                <w:rFonts w:ascii="Calibri" w:hAnsi="Calibri" w:cs="Calibri"/>
                <w:color w:val="000000"/>
                <w:szCs w:val="22"/>
              </w:rPr>
              <w:t>5</w:t>
            </w:r>
          </w:p>
        </w:tc>
      </w:tr>
      <w:tr w:rsidR="00C86927" w14:paraId="3B2E1540" w14:textId="77777777" w:rsidTr="007B23A5">
        <w:tc>
          <w:tcPr>
            <w:tcW w:w="2302" w:type="dxa"/>
            <w:tcBorders>
              <w:top w:val="single" w:sz="4" w:space="0" w:color="auto"/>
              <w:bottom w:val="single" w:sz="4" w:space="0" w:color="auto"/>
              <w:right w:val="single" w:sz="4" w:space="0" w:color="auto"/>
            </w:tcBorders>
            <w:shd w:val="clear" w:color="auto" w:fill="auto"/>
          </w:tcPr>
          <w:p w14:paraId="6801BBB4" w14:textId="77777777" w:rsidR="00C86927" w:rsidRPr="006C559F" w:rsidRDefault="00C86927" w:rsidP="007B23A5">
            <w:pPr>
              <w:rPr>
                <w:szCs w:val="22"/>
                <w:lang w:val="en-GB"/>
              </w:rPr>
            </w:pPr>
            <w:r w:rsidRPr="006C559F">
              <w:rPr>
                <w:szCs w:val="22"/>
                <w:lang w:val="en-GB"/>
              </w:rPr>
              <w:t>Weidman et al.  (2022)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258ADFC1"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BB6B026"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0A90951F" w14:textId="77777777" w:rsidR="00C86927" w:rsidRDefault="00C86927" w:rsidP="007B23A5">
            <w:pPr>
              <w:jc w:val="center"/>
              <w:rPr>
                <w:rFonts w:ascii="Calibri" w:hAnsi="Calibri" w:cs="Calibri"/>
                <w:color w:val="000000"/>
                <w:szCs w:val="22"/>
              </w:rPr>
            </w:pPr>
            <w:r>
              <w:rPr>
                <w:rFonts w:ascii="Calibri" w:hAnsi="Calibri" w:cs="Calibri"/>
                <w:color w:val="000000"/>
                <w:szCs w:val="22"/>
              </w:rPr>
              <w:t>1</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67B58EA4" w14:textId="77777777" w:rsidR="00C86927" w:rsidRDefault="00C86927" w:rsidP="007B23A5">
            <w:pPr>
              <w:jc w:val="center"/>
              <w:rPr>
                <w:rFonts w:ascii="Calibri" w:hAnsi="Calibri" w:cs="Calibri"/>
                <w:color w:val="000000"/>
                <w:szCs w:val="22"/>
              </w:rPr>
            </w:pPr>
            <w:r>
              <w:rPr>
                <w:rFonts w:ascii="Calibri" w:hAnsi="Calibri" w:cs="Calibri"/>
                <w:color w:val="000000"/>
                <w:szCs w:val="22"/>
              </w:rPr>
              <w:t>5</w:t>
            </w:r>
          </w:p>
        </w:tc>
      </w:tr>
      <w:tr w:rsidR="00C86927" w14:paraId="3F8CAC8D" w14:textId="77777777" w:rsidTr="007B23A5">
        <w:tc>
          <w:tcPr>
            <w:tcW w:w="2302" w:type="dxa"/>
            <w:tcBorders>
              <w:top w:val="single" w:sz="4" w:space="0" w:color="auto"/>
              <w:bottom w:val="single" w:sz="4" w:space="0" w:color="auto"/>
              <w:right w:val="single" w:sz="4" w:space="0" w:color="auto"/>
            </w:tcBorders>
            <w:shd w:val="clear" w:color="auto" w:fill="auto"/>
          </w:tcPr>
          <w:p w14:paraId="71F212C3" w14:textId="77777777" w:rsidR="00C86927" w:rsidRPr="006C559F" w:rsidRDefault="00C86927" w:rsidP="007B23A5">
            <w:pPr>
              <w:rPr>
                <w:szCs w:val="22"/>
                <w:lang w:val="en-GB"/>
              </w:rPr>
            </w:pPr>
            <w:r w:rsidRPr="006C559F">
              <w:rPr>
                <w:szCs w:val="22"/>
                <w:lang w:val="en-GB"/>
              </w:rPr>
              <w:t>Silvestre et al.  (2019)</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6EC6ACDC"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6E27506"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48B03FD2" w14:textId="77777777" w:rsidR="00C86927" w:rsidRDefault="00C86927" w:rsidP="007B23A5">
            <w:pPr>
              <w:jc w:val="center"/>
              <w:rPr>
                <w:rFonts w:ascii="Calibri" w:hAnsi="Calibri" w:cs="Calibri"/>
                <w:color w:val="000000"/>
                <w:szCs w:val="22"/>
              </w:rPr>
            </w:pPr>
            <w:r>
              <w:rPr>
                <w:rFonts w:ascii="Calibri" w:hAnsi="Calibri" w:cs="Calibri"/>
                <w:color w:val="000000"/>
                <w:szCs w:val="22"/>
              </w:rPr>
              <w:t>3</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2C8D308F" w14:textId="77777777" w:rsidR="00C86927" w:rsidRDefault="00C86927" w:rsidP="007B23A5">
            <w:pPr>
              <w:jc w:val="center"/>
              <w:rPr>
                <w:rFonts w:ascii="Calibri" w:hAnsi="Calibri" w:cs="Calibri"/>
                <w:color w:val="000000"/>
                <w:szCs w:val="22"/>
              </w:rPr>
            </w:pPr>
            <w:r>
              <w:rPr>
                <w:rFonts w:ascii="Calibri" w:hAnsi="Calibri" w:cs="Calibri"/>
                <w:color w:val="000000"/>
                <w:szCs w:val="22"/>
              </w:rPr>
              <w:t>7</w:t>
            </w:r>
          </w:p>
        </w:tc>
      </w:tr>
      <w:tr w:rsidR="00C86927" w14:paraId="0BAE83CF" w14:textId="77777777" w:rsidTr="007B23A5">
        <w:tc>
          <w:tcPr>
            <w:tcW w:w="2302" w:type="dxa"/>
            <w:tcBorders>
              <w:top w:val="single" w:sz="4" w:space="0" w:color="auto"/>
              <w:bottom w:val="single" w:sz="4" w:space="0" w:color="auto"/>
              <w:right w:val="single" w:sz="4" w:space="0" w:color="auto"/>
            </w:tcBorders>
            <w:shd w:val="clear" w:color="auto" w:fill="auto"/>
          </w:tcPr>
          <w:p w14:paraId="12C46575" w14:textId="77777777" w:rsidR="00C86927" w:rsidRPr="00497F08" w:rsidRDefault="00C86927" w:rsidP="007B23A5">
            <w:pPr>
              <w:rPr>
                <w:szCs w:val="22"/>
              </w:rPr>
            </w:pPr>
            <w:r w:rsidRPr="00497F08">
              <w:rPr>
                <w:szCs w:val="22"/>
              </w:rPr>
              <w:t xml:space="preserve">Rubega et al. </w:t>
            </w:r>
            <w:r>
              <w:rPr>
                <w:szCs w:val="22"/>
              </w:rPr>
              <w:t>(2022)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1374F0E1"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0849A422"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0C2A6F44"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52FB3F0C" w14:textId="77777777" w:rsidR="00C86927" w:rsidRDefault="00C86927" w:rsidP="007B23A5">
            <w:pPr>
              <w:jc w:val="center"/>
              <w:rPr>
                <w:rFonts w:ascii="Calibri" w:hAnsi="Calibri" w:cs="Calibri"/>
                <w:color w:val="000000"/>
                <w:szCs w:val="22"/>
              </w:rPr>
            </w:pPr>
            <w:r>
              <w:rPr>
                <w:rFonts w:ascii="Calibri" w:hAnsi="Calibri" w:cs="Calibri"/>
                <w:color w:val="000000"/>
                <w:szCs w:val="22"/>
              </w:rPr>
              <w:t>6</w:t>
            </w:r>
          </w:p>
        </w:tc>
      </w:tr>
      <w:tr w:rsidR="00C86927" w14:paraId="6D03B2F9" w14:textId="77777777" w:rsidTr="007B23A5">
        <w:tc>
          <w:tcPr>
            <w:tcW w:w="2302" w:type="dxa"/>
            <w:tcBorders>
              <w:top w:val="single" w:sz="4" w:space="0" w:color="auto"/>
              <w:bottom w:val="single" w:sz="4" w:space="0" w:color="auto"/>
              <w:right w:val="single" w:sz="4" w:space="0" w:color="auto"/>
            </w:tcBorders>
            <w:shd w:val="clear" w:color="auto" w:fill="auto"/>
          </w:tcPr>
          <w:p w14:paraId="41034483" w14:textId="77777777" w:rsidR="00C86927" w:rsidRPr="00497F08" w:rsidRDefault="00C86927" w:rsidP="007B23A5">
            <w:pPr>
              <w:rPr>
                <w:szCs w:val="22"/>
              </w:rPr>
            </w:pPr>
            <w:r w:rsidRPr="00497F08">
              <w:rPr>
                <w:szCs w:val="22"/>
              </w:rPr>
              <w:t>Sturgill et al.  (2023)</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356824CA"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775832FE"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0DA943C5" w14:textId="77777777" w:rsidR="00C86927" w:rsidRDefault="00C86927" w:rsidP="007B23A5">
            <w:pPr>
              <w:jc w:val="center"/>
              <w:rPr>
                <w:rFonts w:ascii="Calibri" w:hAnsi="Calibri" w:cs="Calibri"/>
                <w:color w:val="000000"/>
                <w:szCs w:val="22"/>
              </w:rPr>
            </w:pPr>
            <w:r>
              <w:rPr>
                <w:rFonts w:ascii="Calibri" w:hAnsi="Calibri" w:cs="Calibri"/>
                <w:color w:val="000000"/>
                <w:szCs w:val="22"/>
              </w:rPr>
              <w:t>1</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31999C08" w14:textId="77777777" w:rsidR="00C86927" w:rsidRDefault="00C86927" w:rsidP="007B23A5">
            <w:pPr>
              <w:jc w:val="center"/>
              <w:rPr>
                <w:rFonts w:ascii="Calibri" w:hAnsi="Calibri" w:cs="Calibri"/>
                <w:color w:val="000000"/>
                <w:szCs w:val="22"/>
              </w:rPr>
            </w:pPr>
            <w:r>
              <w:rPr>
                <w:rFonts w:ascii="Calibri" w:hAnsi="Calibri" w:cs="Calibri"/>
                <w:color w:val="000000"/>
                <w:szCs w:val="22"/>
              </w:rPr>
              <w:t>5</w:t>
            </w:r>
          </w:p>
        </w:tc>
      </w:tr>
      <w:tr w:rsidR="00C86927" w14:paraId="07E94E87" w14:textId="77777777" w:rsidTr="007B23A5">
        <w:tc>
          <w:tcPr>
            <w:tcW w:w="2302" w:type="dxa"/>
            <w:tcBorders>
              <w:top w:val="single" w:sz="4" w:space="0" w:color="auto"/>
              <w:bottom w:val="single" w:sz="4" w:space="0" w:color="auto"/>
              <w:right w:val="single" w:sz="4" w:space="0" w:color="auto"/>
            </w:tcBorders>
            <w:shd w:val="clear" w:color="auto" w:fill="auto"/>
          </w:tcPr>
          <w:p w14:paraId="41F5F304" w14:textId="77777777" w:rsidR="00C86927" w:rsidRPr="008A1C75" w:rsidRDefault="00C86927" w:rsidP="007B23A5">
            <w:pPr>
              <w:rPr>
                <w:szCs w:val="22"/>
                <w:lang w:val="en-GB"/>
              </w:rPr>
            </w:pPr>
            <w:r w:rsidRPr="008A1C75">
              <w:rPr>
                <w:szCs w:val="22"/>
                <w:lang w:val="en-GB"/>
              </w:rPr>
              <w:t>Vanginderhuysen et al.  (2024)</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1378C456"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1B10CF97"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6EF89E1B" w14:textId="77777777" w:rsidR="00C86927" w:rsidRDefault="00C86927" w:rsidP="007B23A5">
            <w:pPr>
              <w:jc w:val="center"/>
              <w:rPr>
                <w:rFonts w:ascii="Calibri" w:hAnsi="Calibri" w:cs="Calibri"/>
                <w:color w:val="000000"/>
                <w:szCs w:val="22"/>
              </w:rPr>
            </w:pPr>
            <w:r>
              <w:rPr>
                <w:rFonts w:ascii="Calibri" w:hAnsi="Calibri" w:cs="Calibri"/>
                <w:color w:val="000000"/>
                <w:szCs w:val="22"/>
              </w:rPr>
              <w:t>3</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52D6723C" w14:textId="77777777" w:rsidR="00C86927" w:rsidRDefault="00C86927" w:rsidP="007B23A5">
            <w:pPr>
              <w:jc w:val="center"/>
              <w:rPr>
                <w:rFonts w:ascii="Calibri" w:hAnsi="Calibri" w:cs="Calibri"/>
                <w:color w:val="000000"/>
                <w:szCs w:val="22"/>
              </w:rPr>
            </w:pPr>
            <w:r>
              <w:rPr>
                <w:rFonts w:ascii="Calibri" w:hAnsi="Calibri" w:cs="Calibri"/>
                <w:color w:val="000000"/>
                <w:szCs w:val="22"/>
              </w:rPr>
              <w:t>7</w:t>
            </w:r>
          </w:p>
        </w:tc>
      </w:tr>
      <w:tr w:rsidR="00C86927" w14:paraId="28B6E2E7" w14:textId="77777777" w:rsidTr="007B23A5">
        <w:tc>
          <w:tcPr>
            <w:tcW w:w="2302" w:type="dxa"/>
            <w:tcBorders>
              <w:top w:val="single" w:sz="4" w:space="0" w:color="auto"/>
              <w:bottom w:val="single" w:sz="4" w:space="0" w:color="auto"/>
              <w:right w:val="single" w:sz="4" w:space="0" w:color="auto"/>
            </w:tcBorders>
            <w:shd w:val="clear" w:color="auto" w:fill="auto"/>
          </w:tcPr>
          <w:p w14:paraId="1C7645A5" w14:textId="77777777" w:rsidR="00C86927" w:rsidRPr="008A1C75" w:rsidRDefault="00C86927" w:rsidP="007B23A5">
            <w:pPr>
              <w:rPr>
                <w:szCs w:val="22"/>
                <w:lang w:val="en-GB"/>
              </w:rPr>
            </w:pPr>
            <w:r w:rsidRPr="008A1C75">
              <w:rPr>
                <w:szCs w:val="22"/>
                <w:lang w:val="en-GB"/>
              </w:rPr>
              <w:t>Duindam et al.  (2022)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005A920D"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2DA1BEA9"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311C2D3E" w14:textId="77777777" w:rsidR="00C86927" w:rsidRDefault="00C86927" w:rsidP="007B23A5">
            <w:pPr>
              <w:jc w:val="center"/>
              <w:rPr>
                <w:rFonts w:ascii="Calibri" w:hAnsi="Calibri" w:cs="Calibri"/>
                <w:color w:val="000000"/>
                <w:szCs w:val="22"/>
              </w:rPr>
            </w:pPr>
            <w:r>
              <w:rPr>
                <w:rFonts w:ascii="Calibri" w:hAnsi="Calibri" w:cs="Calibri"/>
                <w:color w:val="000000"/>
                <w:szCs w:val="22"/>
              </w:rPr>
              <w:t>3</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21006F34" w14:textId="77777777" w:rsidR="00C86927" w:rsidRDefault="00C86927" w:rsidP="007B23A5">
            <w:pPr>
              <w:jc w:val="center"/>
              <w:rPr>
                <w:rFonts w:ascii="Calibri" w:hAnsi="Calibri" w:cs="Calibri"/>
                <w:color w:val="000000"/>
                <w:szCs w:val="22"/>
              </w:rPr>
            </w:pPr>
            <w:r>
              <w:rPr>
                <w:rFonts w:ascii="Calibri" w:hAnsi="Calibri" w:cs="Calibri"/>
                <w:color w:val="000000"/>
                <w:szCs w:val="22"/>
              </w:rPr>
              <w:t>7</w:t>
            </w:r>
          </w:p>
        </w:tc>
      </w:tr>
      <w:tr w:rsidR="00C86927" w14:paraId="5E9A5E70" w14:textId="77777777" w:rsidTr="007B23A5">
        <w:tc>
          <w:tcPr>
            <w:tcW w:w="2302" w:type="dxa"/>
            <w:tcBorders>
              <w:top w:val="single" w:sz="4" w:space="0" w:color="auto"/>
              <w:bottom w:val="single" w:sz="4" w:space="0" w:color="auto"/>
              <w:right w:val="single" w:sz="4" w:space="0" w:color="auto"/>
            </w:tcBorders>
            <w:shd w:val="clear" w:color="auto" w:fill="auto"/>
          </w:tcPr>
          <w:p w14:paraId="0B2B7690" w14:textId="77777777" w:rsidR="00C86927" w:rsidRPr="006C559F" w:rsidRDefault="00C86927" w:rsidP="007B23A5">
            <w:pPr>
              <w:rPr>
                <w:szCs w:val="22"/>
                <w:lang w:val="en-GB"/>
              </w:rPr>
            </w:pPr>
            <w:r w:rsidRPr="008A1C75">
              <w:rPr>
                <w:szCs w:val="22"/>
                <w:lang w:val="en-GB"/>
              </w:rPr>
              <w:t>Jaquet e</w:t>
            </w:r>
            <w:r w:rsidRPr="006C559F">
              <w:rPr>
                <w:szCs w:val="22"/>
                <w:lang w:val="en-GB"/>
              </w:rPr>
              <w:t>t al.  (2022)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1D702019"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718C11E1"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2596EAC9"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29B9F936" w14:textId="77777777" w:rsidR="00C86927" w:rsidRDefault="00C86927" w:rsidP="007B23A5">
            <w:pPr>
              <w:jc w:val="center"/>
              <w:rPr>
                <w:rFonts w:ascii="Calibri" w:hAnsi="Calibri" w:cs="Calibri"/>
                <w:color w:val="000000"/>
                <w:szCs w:val="22"/>
              </w:rPr>
            </w:pPr>
            <w:r>
              <w:rPr>
                <w:rFonts w:ascii="Calibri" w:hAnsi="Calibri" w:cs="Calibri"/>
                <w:color w:val="000000"/>
                <w:szCs w:val="22"/>
              </w:rPr>
              <w:t>6</w:t>
            </w:r>
          </w:p>
        </w:tc>
      </w:tr>
      <w:tr w:rsidR="00C86927" w14:paraId="6142C925" w14:textId="77777777" w:rsidTr="007B23A5">
        <w:tc>
          <w:tcPr>
            <w:tcW w:w="2302" w:type="dxa"/>
            <w:tcBorders>
              <w:top w:val="single" w:sz="4" w:space="0" w:color="auto"/>
              <w:bottom w:val="single" w:sz="4" w:space="0" w:color="auto"/>
              <w:right w:val="single" w:sz="4" w:space="0" w:color="auto"/>
            </w:tcBorders>
            <w:shd w:val="clear" w:color="auto" w:fill="auto"/>
          </w:tcPr>
          <w:p w14:paraId="6325D603" w14:textId="77777777" w:rsidR="00C86927" w:rsidRPr="006C559F" w:rsidRDefault="00C86927" w:rsidP="007B23A5">
            <w:pPr>
              <w:rPr>
                <w:szCs w:val="22"/>
                <w:lang w:val="en-GB"/>
              </w:rPr>
            </w:pPr>
            <w:r w:rsidRPr="006C559F">
              <w:rPr>
                <w:szCs w:val="22"/>
                <w:lang w:val="en-GB"/>
              </w:rPr>
              <w:t>Latronico et al.  (2022)</w:t>
            </w:r>
          </w:p>
        </w:tc>
        <w:tc>
          <w:tcPr>
            <w:tcW w:w="1803" w:type="dxa"/>
            <w:tcBorders>
              <w:top w:val="single" w:sz="4" w:space="0" w:color="auto"/>
              <w:left w:val="single" w:sz="4" w:space="0" w:color="auto"/>
              <w:bottom w:val="single" w:sz="4" w:space="0" w:color="auto"/>
              <w:right w:val="single" w:sz="4" w:space="0" w:color="auto"/>
            </w:tcBorders>
            <w:shd w:val="clear" w:color="auto" w:fill="auto"/>
            <w:vAlign w:val="center"/>
          </w:tcPr>
          <w:p w14:paraId="3D901D70"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34" w:type="dxa"/>
            <w:tcBorders>
              <w:top w:val="single" w:sz="4" w:space="0" w:color="auto"/>
              <w:left w:val="single" w:sz="4" w:space="0" w:color="auto"/>
              <w:bottom w:val="single" w:sz="4" w:space="0" w:color="auto"/>
              <w:right w:val="single" w:sz="4" w:space="0" w:color="auto"/>
            </w:tcBorders>
            <w:shd w:val="clear" w:color="auto" w:fill="auto"/>
            <w:vAlign w:val="center"/>
          </w:tcPr>
          <w:p w14:paraId="5CC61E30"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805" w:type="dxa"/>
            <w:tcBorders>
              <w:top w:val="single" w:sz="4" w:space="0" w:color="auto"/>
              <w:left w:val="single" w:sz="4" w:space="0" w:color="auto"/>
              <w:bottom w:val="single" w:sz="4" w:space="0" w:color="auto"/>
              <w:right w:val="single" w:sz="4" w:space="0" w:color="auto"/>
            </w:tcBorders>
            <w:shd w:val="clear" w:color="auto" w:fill="auto"/>
            <w:vAlign w:val="center"/>
          </w:tcPr>
          <w:p w14:paraId="378102BC" w14:textId="77777777" w:rsidR="00C86927" w:rsidRDefault="00C86927" w:rsidP="007B23A5">
            <w:pPr>
              <w:jc w:val="center"/>
              <w:rPr>
                <w:rFonts w:ascii="Calibri" w:hAnsi="Calibri" w:cs="Calibri"/>
                <w:color w:val="000000"/>
                <w:szCs w:val="22"/>
              </w:rPr>
            </w:pPr>
            <w:r>
              <w:rPr>
                <w:rFonts w:ascii="Calibri" w:hAnsi="Calibri" w:cs="Calibri"/>
                <w:color w:val="000000"/>
                <w:szCs w:val="22"/>
              </w:rPr>
              <w:t>2</w:t>
            </w:r>
          </w:p>
        </w:tc>
        <w:tc>
          <w:tcPr>
            <w:tcW w:w="1780" w:type="dxa"/>
            <w:tcBorders>
              <w:top w:val="single" w:sz="4" w:space="0" w:color="auto"/>
              <w:left w:val="single" w:sz="4" w:space="0" w:color="auto"/>
              <w:bottom w:val="single" w:sz="4" w:space="0" w:color="auto"/>
              <w:right w:val="single" w:sz="4" w:space="0" w:color="auto"/>
            </w:tcBorders>
            <w:shd w:val="clear" w:color="auto" w:fill="auto"/>
            <w:vAlign w:val="center"/>
          </w:tcPr>
          <w:p w14:paraId="6B52C454" w14:textId="77777777" w:rsidR="00C86927" w:rsidRDefault="00C86927" w:rsidP="007B23A5">
            <w:pPr>
              <w:jc w:val="center"/>
              <w:rPr>
                <w:rFonts w:ascii="Calibri" w:hAnsi="Calibri" w:cs="Calibri"/>
                <w:color w:val="000000"/>
                <w:szCs w:val="22"/>
              </w:rPr>
            </w:pPr>
            <w:r>
              <w:rPr>
                <w:rFonts w:ascii="Calibri" w:hAnsi="Calibri" w:cs="Calibri"/>
                <w:color w:val="000000"/>
                <w:szCs w:val="22"/>
              </w:rPr>
              <w:t>6</w:t>
            </w:r>
          </w:p>
        </w:tc>
      </w:tr>
    </w:tbl>
    <w:p w14:paraId="5A2B6961" w14:textId="77777777" w:rsidR="00C86927" w:rsidRDefault="00C86927" w:rsidP="00C86927"/>
    <w:p w14:paraId="4E769F61" w14:textId="77777777" w:rsidR="00C86927" w:rsidRDefault="00C86927" w:rsidP="00C86927">
      <w:r>
        <w:br w:type="page"/>
      </w:r>
    </w:p>
    <w:p w14:paraId="37CD30B8" w14:textId="427EB8AD" w:rsidR="00BC4334" w:rsidRPr="00BC4334" w:rsidRDefault="00BC4334" w:rsidP="00C86927">
      <w:pPr>
        <w:rPr>
          <w:b/>
          <w:lang w:val="en-GB"/>
        </w:rPr>
      </w:pPr>
      <w:r w:rsidRPr="00BC4334">
        <w:rPr>
          <w:b/>
          <w:lang w:val="en-GB"/>
        </w:rPr>
        <w:lastRenderedPageBreak/>
        <w:t xml:space="preserve">SC </w:t>
      </w:r>
      <w:r w:rsidR="004A2FCA">
        <w:rPr>
          <w:b/>
          <w:lang w:val="en-GB"/>
        </w:rPr>
        <w:t>6</w:t>
      </w:r>
      <w:r w:rsidRPr="00BC4334">
        <w:rPr>
          <w:b/>
          <w:lang w:val="en-GB"/>
        </w:rPr>
        <w:t xml:space="preserve"> </w:t>
      </w:r>
    </w:p>
    <w:p w14:paraId="55D2CC92" w14:textId="77777777" w:rsidR="00BC4334" w:rsidRPr="00BC4334" w:rsidRDefault="00BC4334" w:rsidP="00C86927">
      <w:pPr>
        <w:rPr>
          <w:b/>
          <w:lang w:val="en-GB"/>
        </w:rPr>
      </w:pPr>
      <w:r w:rsidRPr="00BC4334">
        <w:rPr>
          <w:b/>
          <w:lang w:val="en-GB"/>
        </w:rPr>
        <w:t>Funnelplots</w:t>
      </w:r>
    </w:p>
    <w:p w14:paraId="12FEF30E" w14:textId="77777777" w:rsidR="00BC4334" w:rsidRDefault="00BC4334" w:rsidP="00C86927">
      <w:pPr>
        <w:rPr>
          <w:lang w:val="en-GB"/>
        </w:rPr>
      </w:pPr>
    </w:p>
    <w:p w14:paraId="59BF16C8" w14:textId="77777777" w:rsidR="00BC4334" w:rsidRDefault="00BC4334" w:rsidP="00C86927">
      <w:pPr>
        <w:rPr>
          <w:lang w:val="en-GB"/>
        </w:rPr>
      </w:pPr>
    </w:p>
    <w:p w14:paraId="441BAA90" w14:textId="47F2E4C5" w:rsidR="003809E0" w:rsidRPr="003809E0" w:rsidRDefault="003809E0" w:rsidP="003809E0">
      <w:pPr>
        <w:pStyle w:val="StandardWeb"/>
        <w:numPr>
          <w:ilvl w:val="0"/>
          <w:numId w:val="3"/>
        </w:numPr>
        <w:rPr>
          <w:rFonts w:asciiTheme="minorHAnsi" w:hAnsiTheme="minorHAnsi" w:cstheme="minorHAnsi"/>
          <w:lang w:val="en-GB"/>
        </w:rPr>
      </w:pPr>
      <w:r w:rsidRPr="003809E0">
        <w:rPr>
          <w:rFonts w:asciiTheme="minorHAnsi" w:hAnsiTheme="minorHAnsi" w:cstheme="minorHAnsi"/>
          <w:lang w:val="en-GB"/>
        </w:rPr>
        <w:t>All studies included, p &lt; 0.001 (Egger's test)</w:t>
      </w:r>
    </w:p>
    <w:p w14:paraId="4C90023C" w14:textId="77777777" w:rsidR="00BC4334" w:rsidRDefault="00BC4334" w:rsidP="00C86927">
      <w:pPr>
        <w:rPr>
          <w:lang w:val="en-GB"/>
        </w:rPr>
      </w:pPr>
      <w:r>
        <w:rPr>
          <w:noProof/>
        </w:rPr>
        <w:drawing>
          <wp:inline distT="0" distB="0" distL="0" distR="0" wp14:anchorId="0D23BA6F" wp14:editId="2EB3F43D">
            <wp:extent cx="5885480" cy="4230094"/>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5976" t="13696" r="9598" b="15120"/>
                    <a:stretch/>
                  </pic:blipFill>
                  <pic:spPr bwMode="auto">
                    <a:xfrm>
                      <a:off x="0" y="0"/>
                      <a:ext cx="5933403" cy="4264538"/>
                    </a:xfrm>
                    <a:prstGeom prst="rect">
                      <a:avLst/>
                    </a:prstGeom>
                    <a:ln>
                      <a:noFill/>
                    </a:ln>
                    <a:extLst>
                      <a:ext uri="{53640926-AAD7-44D8-BBD7-CCE9431645EC}">
                        <a14:shadowObscured xmlns:a14="http://schemas.microsoft.com/office/drawing/2010/main"/>
                      </a:ext>
                    </a:extLst>
                  </pic:spPr>
                </pic:pic>
              </a:graphicData>
            </a:graphic>
          </wp:inline>
        </w:drawing>
      </w:r>
    </w:p>
    <w:p w14:paraId="4BB29622" w14:textId="77777777" w:rsidR="00BC4334" w:rsidRPr="00BC4334" w:rsidRDefault="00BC4334" w:rsidP="00BC4334">
      <w:pPr>
        <w:rPr>
          <w:rFonts w:asciiTheme="minorHAnsi" w:hAnsiTheme="minorHAnsi" w:cstheme="minorHAnsi"/>
          <w:sz w:val="24"/>
          <w:szCs w:val="24"/>
          <w:lang w:val="en-GB"/>
        </w:rPr>
      </w:pPr>
    </w:p>
    <w:p w14:paraId="1D366421" w14:textId="77777777" w:rsidR="00BC4334" w:rsidRDefault="00BC4334">
      <w:pPr>
        <w:rPr>
          <w:rFonts w:asciiTheme="minorHAnsi" w:hAnsiTheme="minorHAnsi" w:cstheme="minorHAnsi"/>
          <w:sz w:val="24"/>
          <w:szCs w:val="24"/>
          <w:lang w:val="en-GB"/>
        </w:rPr>
      </w:pPr>
      <w:r>
        <w:rPr>
          <w:rFonts w:asciiTheme="minorHAnsi" w:hAnsiTheme="minorHAnsi" w:cstheme="minorHAnsi"/>
          <w:sz w:val="24"/>
          <w:szCs w:val="24"/>
          <w:lang w:val="en-GB"/>
        </w:rPr>
        <w:br w:type="page"/>
      </w:r>
    </w:p>
    <w:p w14:paraId="45AD37F3" w14:textId="520EF59F" w:rsidR="00BC4334" w:rsidRPr="003809E0" w:rsidRDefault="00BC4334" w:rsidP="00BC4334">
      <w:pPr>
        <w:pStyle w:val="StandardWeb"/>
        <w:numPr>
          <w:ilvl w:val="0"/>
          <w:numId w:val="12"/>
        </w:numPr>
        <w:rPr>
          <w:rFonts w:asciiTheme="minorHAnsi" w:hAnsiTheme="minorHAnsi" w:cstheme="minorHAnsi"/>
          <w:lang w:val="en-GB"/>
        </w:rPr>
      </w:pPr>
      <w:r w:rsidRPr="003809E0">
        <w:rPr>
          <w:rFonts w:asciiTheme="minorHAnsi" w:hAnsiTheme="minorHAnsi" w:cstheme="minorHAnsi"/>
          <w:lang w:val="en-GB"/>
        </w:rPr>
        <w:lastRenderedPageBreak/>
        <w:t xml:space="preserve">Studies assessing cognitive impairment in </w:t>
      </w:r>
      <w:r w:rsidR="004A2FCA" w:rsidRPr="003809E0">
        <w:rPr>
          <w:rFonts w:asciiTheme="minorHAnsi" w:hAnsiTheme="minorHAnsi" w:cstheme="minorHAnsi"/>
          <w:lang w:val="en-GB"/>
        </w:rPr>
        <w:t>C-</w:t>
      </w:r>
      <w:r w:rsidRPr="003809E0">
        <w:rPr>
          <w:rFonts w:asciiTheme="minorHAnsi" w:hAnsiTheme="minorHAnsi" w:cstheme="minorHAnsi"/>
          <w:lang w:val="en-GB"/>
        </w:rPr>
        <w:t>ARDS survivors,</w:t>
      </w:r>
      <w:r w:rsidR="003809E0" w:rsidRPr="003809E0">
        <w:rPr>
          <w:rFonts w:asciiTheme="minorHAnsi" w:hAnsiTheme="minorHAnsi" w:cstheme="minorHAnsi"/>
          <w:lang w:val="en-GB"/>
        </w:rPr>
        <w:t xml:space="preserve"> p &lt; 0.001 (Egger's test)</w:t>
      </w:r>
    </w:p>
    <w:p w14:paraId="214843EA" w14:textId="77777777" w:rsidR="00C86927" w:rsidRDefault="00BC4334" w:rsidP="00332A5C">
      <w:pPr>
        <w:rPr>
          <w:lang w:val="en-GB"/>
        </w:rPr>
      </w:pPr>
      <w:r>
        <w:rPr>
          <w:noProof/>
        </w:rPr>
        <w:drawing>
          <wp:inline distT="0" distB="0" distL="0" distR="0" wp14:anchorId="48AD9FAD" wp14:editId="47D38FAE">
            <wp:extent cx="5870919" cy="3959749"/>
            <wp:effectExtent l="0" t="0" r="0"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1197" t="11441" r="4475" b="14467"/>
                    <a:stretch/>
                  </pic:blipFill>
                  <pic:spPr bwMode="auto">
                    <a:xfrm>
                      <a:off x="0" y="0"/>
                      <a:ext cx="5902782" cy="3981240"/>
                    </a:xfrm>
                    <a:prstGeom prst="rect">
                      <a:avLst/>
                    </a:prstGeom>
                    <a:ln>
                      <a:noFill/>
                    </a:ln>
                    <a:extLst>
                      <a:ext uri="{53640926-AAD7-44D8-BBD7-CCE9431645EC}">
                        <a14:shadowObscured xmlns:a14="http://schemas.microsoft.com/office/drawing/2010/main"/>
                      </a:ext>
                    </a:extLst>
                  </pic:spPr>
                </pic:pic>
              </a:graphicData>
            </a:graphic>
          </wp:inline>
        </w:drawing>
      </w:r>
    </w:p>
    <w:p w14:paraId="6C622B4B" w14:textId="6674DC8F" w:rsidR="00B06111" w:rsidRDefault="00B06111">
      <w:pPr>
        <w:rPr>
          <w:lang w:val="en-GB"/>
        </w:rPr>
      </w:pPr>
      <w:r>
        <w:rPr>
          <w:lang w:val="en-GB"/>
        </w:rPr>
        <w:br w:type="page"/>
      </w:r>
    </w:p>
    <w:p w14:paraId="2C3E4326" w14:textId="0D1ED2D5" w:rsidR="00BC4334" w:rsidRPr="0069243C" w:rsidRDefault="00B06111" w:rsidP="00332A5C">
      <w:pPr>
        <w:rPr>
          <w:b/>
          <w:lang w:val="en-GB"/>
        </w:rPr>
      </w:pPr>
      <w:r w:rsidRPr="0069243C">
        <w:rPr>
          <w:b/>
          <w:lang w:val="en-GB"/>
        </w:rPr>
        <w:lastRenderedPageBreak/>
        <w:t>SC 7</w:t>
      </w:r>
    </w:p>
    <w:p w14:paraId="728AE9FA" w14:textId="0D482844" w:rsidR="0069243C" w:rsidRPr="0069243C" w:rsidRDefault="0069243C" w:rsidP="00332A5C">
      <w:pPr>
        <w:rPr>
          <w:b/>
          <w:lang w:val="en-GB"/>
        </w:rPr>
      </w:pPr>
      <w:r w:rsidRPr="0069243C">
        <w:rPr>
          <w:rFonts w:asciiTheme="minorHAnsi" w:hAnsiTheme="minorHAnsi" w:cstheme="minorHAnsi"/>
          <w:b/>
          <w:lang w:val="en-GB"/>
        </w:rPr>
        <w:t>Meta-regression scatter plots</w:t>
      </w:r>
    </w:p>
    <w:p w14:paraId="16CACB54" w14:textId="78B1CADD" w:rsidR="00B06111" w:rsidRDefault="00B06111" w:rsidP="00332A5C">
      <w:pPr>
        <w:rPr>
          <w:noProof/>
        </w:rPr>
      </w:pPr>
    </w:p>
    <w:p w14:paraId="57C08163" w14:textId="74A4C6C6" w:rsidR="00B06111" w:rsidRDefault="00B06111" w:rsidP="00B06111">
      <w:pPr>
        <w:jc w:val="both"/>
        <w:rPr>
          <w:lang w:val="en-GB"/>
        </w:rPr>
      </w:pPr>
    </w:p>
    <w:p w14:paraId="637BE443" w14:textId="1BE98BD5" w:rsidR="00B06111" w:rsidRDefault="0069243C">
      <w:pPr>
        <w:rPr>
          <w:lang w:val="en-GB"/>
        </w:rPr>
      </w:pPr>
      <w:r>
        <w:rPr>
          <w:noProof/>
        </w:rPr>
        <w:drawing>
          <wp:inline distT="0" distB="0" distL="0" distR="0" wp14:anchorId="0B5F082E" wp14:editId="506D0364">
            <wp:extent cx="5760720" cy="3727450"/>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ta-regression scatter plot_ICU discharge to cognitive assessment.png"/>
                    <pic:cNvPicPr/>
                  </pic:nvPicPr>
                  <pic:blipFill>
                    <a:blip r:embed="rId15">
                      <a:extLst>
                        <a:ext uri="{28A0092B-C50C-407E-A947-70E740481C1C}">
                          <a14:useLocalDpi xmlns:a14="http://schemas.microsoft.com/office/drawing/2010/main" val="0"/>
                        </a:ext>
                      </a:extLst>
                    </a:blip>
                    <a:stretch>
                      <a:fillRect/>
                    </a:stretch>
                  </pic:blipFill>
                  <pic:spPr>
                    <a:xfrm>
                      <a:off x="0" y="0"/>
                      <a:ext cx="5760720" cy="3727450"/>
                    </a:xfrm>
                    <a:prstGeom prst="rect">
                      <a:avLst/>
                    </a:prstGeom>
                  </pic:spPr>
                </pic:pic>
              </a:graphicData>
            </a:graphic>
          </wp:inline>
        </w:drawing>
      </w:r>
      <w:r>
        <w:rPr>
          <w:noProof/>
        </w:rPr>
        <w:drawing>
          <wp:inline distT="0" distB="0" distL="0" distR="0" wp14:anchorId="69A62233" wp14:editId="747D33E2">
            <wp:extent cx="5760720" cy="3960495"/>
            <wp:effectExtent l="0" t="0" r="0" b="190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eta-regression scatter plot_Icu stay.png"/>
                    <pic:cNvPicPr/>
                  </pic:nvPicPr>
                  <pic:blipFill>
                    <a:blip r:embed="rId16">
                      <a:extLst>
                        <a:ext uri="{28A0092B-C50C-407E-A947-70E740481C1C}">
                          <a14:useLocalDpi xmlns:a14="http://schemas.microsoft.com/office/drawing/2010/main" val="0"/>
                        </a:ext>
                      </a:extLst>
                    </a:blip>
                    <a:stretch>
                      <a:fillRect/>
                    </a:stretch>
                  </pic:blipFill>
                  <pic:spPr>
                    <a:xfrm>
                      <a:off x="0" y="0"/>
                      <a:ext cx="5760720" cy="3960495"/>
                    </a:xfrm>
                    <a:prstGeom prst="rect">
                      <a:avLst/>
                    </a:prstGeom>
                  </pic:spPr>
                </pic:pic>
              </a:graphicData>
            </a:graphic>
          </wp:inline>
        </w:drawing>
      </w:r>
      <w:r w:rsidR="00B06111">
        <w:rPr>
          <w:lang w:val="en-GB"/>
        </w:rPr>
        <w:br w:type="page"/>
      </w:r>
    </w:p>
    <w:p w14:paraId="505D0D85" w14:textId="5966E874" w:rsidR="00B06111" w:rsidRPr="0069243C" w:rsidRDefault="00B06111" w:rsidP="00B06111">
      <w:pPr>
        <w:jc w:val="both"/>
        <w:rPr>
          <w:b/>
          <w:lang w:val="en-GB"/>
        </w:rPr>
      </w:pPr>
      <w:r w:rsidRPr="0069243C">
        <w:rPr>
          <w:b/>
          <w:lang w:val="en-GB"/>
        </w:rPr>
        <w:lastRenderedPageBreak/>
        <w:t xml:space="preserve">SC 8 </w:t>
      </w:r>
    </w:p>
    <w:p w14:paraId="5BF09CA1" w14:textId="68D42499" w:rsidR="0069243C" w:rsidRDefault="0069243C" w:rsidP="00B06111">
      <w:pPr>
        <w:jc w:val="both"/>
        <w:rPr>
          <w:rFonts w:asciiTheme="minorHAnsi" w:hAnsiTheme="minorHAnsi" w:cstheme="minorHAnsi"/>
          <w:b/>
        </w:rPr>
      </w:pPr>
      <w:r w:rsidRPr="0069243C">
        <w:rPr>
          <w:rFonts w:asciiTheme="minorHAnsi" w:hAnsiTheme="minorHAnsi" w:cstheme="minorHAnsi"/>
          <w:b/>
        </w:rPr>
        <w:t>Bubble plots</w:t>
      </w:r>
      <w:r w:rsidRPr="0069243C">
        <w:rPr>
          <w:rFonts w:asciiTheme="minorHAnsi" w:hAnsiTheme="minorHAnsi" w:cstheme="minorHAnsi"/>
          <w:b/>
        </w:rPr>
        <w:tab/>
      </w:r>
    </w:p>
    <w:p w14:paraId="2D8CF1FA" w14:textId="5930F36A" w:rsidR="0069243C" w:rsidRDefault="0069243C" w:rsidP="00B06111">
      <w:pPr>
        <w:jc w:val="both"/>
        <w:rPr>
          <w:rFonts w:asciiTheme="minorHAnsi" w:hAnsiTheme="minorHAnsi" w:cstheme="minorHAnsi"/>
          <w:b/>
        </w:rPr>
      </w:pPr>
      <w:r>
        <w:rPr>
          <w:b/>
          <w:noProof/>
        </w:rPr>
        <w:drawing>
          <wp:inline distT="0" distB="0" distL="0" distR="0" wp14:anchorId="45F7188D" wp14:editId="64C4EEC8">
            <wp:extent cx="5760720" cy="3960495"/>
            <wp:effectExtent l="0" t="0" r="0" b="190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ubble plot_ICU Discharge to Cognitive Assessment.png"/>
                    <pic:cNvPicPr/>
                  </pic:nvPicPr>
                  <pic:blipFill>
                    <a:blip r:embed="rId17">
                      <a:extLst>
                        <a:ext uri="{28A0092B-C50C-407E-A947-70E740481C1C}">
                          <a14:useLocalDpi xmlns:a14="http://schemas.microsoft.com/office/drawing/2010/main" val="0"/>
                        </a:ext>
                      </a:extLst>
                    </a:blip>
                    <a:stretch>
                      <a:fillRect/>
                    </a:stretch>
                  </pic:blipFill>
                  <pic:spPr>
                    <a:xfrm>
                      <a:off x="0" y="0"/>
                      <a:ext cx="5760720" cy="3960495"/>
                    </a:xfrm>
                    <a:prstGeom prst="rect">
                      <a:avLst/>
                    </a:prstGeom>
                  </pic:spPr>
                </pic:pic>
              </a:graphicData>
            </a:graphic>
          </wp:inline>
        </w:drawing>
      </w:r>
    </w:p>
    <w:p w14:paraId="4E828324" w14:textId="326B763E" w:rsidR="0069243C" w:rsidRPr="0069243C" w:rsidRDefault="0069243C" w:rsidP="00B06111">
      <w:pPr>
        <w:jc w:val="both"/>
        <w:rPr>
          <w:b/>
          <w:lang w:val="en-GB"/>
        </w:rPr>
      </w:pPr>
      <w:bookmarkStart w:id="79" w:name="_GoBack"/>
      <w:r>
        <w:rPr>
          <w:b/>
          <w:noProof/>
        </w:rPr>
        <w:drawing>
          <wp:inline distT="0" distB="0" distL="0" distR="0" wp14:anchorId="66E70AEF" wp14:editId="31D1445F">
            <wp:extent cx="5308270" cy="4274764"/>
            <wp:effectExtent l="0" t="0" r="698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bble plot_Icu stay.png"/>
                    <pic:cNvPicPr/>
                  </pic:nvPicPr>
                  <pic:blipFill>
                    <a:blip r:embed="rId18">
                      <a:extLst>
                        <a:ext uri="{28A0092B-C50C-407E-A947-70E740481C1C}">
                          <a14:useLocalDpi xmlns:a14="http://schemas.microsoft.com/office/drawing/2010/main" val="0"/>
                        </a:ext>
                      </a:extLst>
                    </a:blip>
                    <a:stretch>
                      <a:fillRect/>
                    </a:stretch>
                  </pic:blipFill>
                  <pic:spPr>
                    <a:xfrm>
                      <a:off x="0" y="0"/>
                      <a:ext cx="5331076" cy="4293129"/>
                    </a:xfrm>
                    <a:prstGeom prst="rect">
                      <a:avLst/>
                    </a:prstGeom>
                  </pic:spPr>
                </pic:pic>
              </a:graphicData>
            </a:graphic>
          </wp:inline>
        </w:drawing>
      </w:r>
      <w:bookmarkEnd w:id="79"/>
    </w:p>
    <w:p w14:paraId="728AD8BB" w14:textId="77777777" w:rsidR="00B06111" w:rsidRPr="002016B8" w:rsidRDefault="00B06111" w:rsidP="00B06111">
      <w:pPr>
        <w:jc w:val="both"/>
        <w:rPr>
          <w:lang w:val="en-GB"/>
        </w:rPr>
      </w:pPr>
    </w:p>
    <w:sectPr w:rsidR="00B06111" w:rsidRPr="002016B8" w:rsidSect="007B23A5">
      <w:pgSz w:w="11906" w:h="16838"/>
      <w:pgMar w:top="1417" w:right="1417" w:bottom="1134" w:left="1417"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87E90" w14:textId="77777777" w:rsidR="000405D9" w:rsidRDefault="000405D9" w:rsidP="00A64592">
      <w:r>
        <w:separator/>
      </w:r>
    </w:p>
  </w:endnote>
  <w:endnote w:type="continuationSeparator" w:id="0">
    <w:p w14:paraId="4949F56A" w14:textId="77777777" w:rsidR="000405D9" w:rsidRDefault="000405D9" w:rsidP="00A64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F4525" w14:textId="77777777" w:rsidR="000405D9" w:rsidRDefault="000405D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C739F" w14:textId="77777777" w:rsidR="000405D9" w:rsidRDefault="000405D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6789177"/>
      <w:docPartObj>
        <w:docPartGallery w:val="Page Numbers (Bottom of Page)"/>
        <w:docPartUnique/>
      </w:docPartObj>
    </w:sdtPr>
    <w:sdtEndPr/>
    <w:sdtContent>
      <w:p w14:paraId="07611CB2" w14:textId="2803C94F" w:rsidR="000405D9" w:rsidRDefault="000405D9">
        <w:pPr>
          <w:pStyle w:val="Fuzeile"/>
          <w:jc w:val="right"/>
        </w:pPr>
        <w:r>
          <w:fldChar w:fldCharType="begin"/>
        </w:r>
        <w:r>
          <w:instrText>PAGE   \* MERGEFORMAT</w:instrText>
        </w:r>
        <w:r>
          <w:fldChar w:fldCharType="separate"/>
        </w:r>
        <w:r w:rsidR="0069243C">
          <w:rPr>
            <w:noProof/>
          </w:rPr>
          <w:t>2</w:t>
        </w:r>
        <w:r>
          <w:fldChar w:fldCharType="end"/>
        </w:r>
      </w:p>
    </w:sdtContent>
  </w:sdt>
  <w:p w14:paraId="5F8EE12B" w14:textId="77777777" w:rsidR="000405D9" w:rsidRDefault="000405D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9BCD9D" w14:textId="77777777" w:rsidR="000405D9" w:rsidRDefault="000405D9" w:rsidP="00A64592">
      <w:r>
        <w:separator/>
      </w:r>
    </w:p>
  </w:footnote>
  <w:footnote w:type="continuationSeparator" w:id="0">
    <w:p w14:paraId="20A30B73" w14:textId="77777777" w:rsidR="000405D9" w:rsidRDefault="000405D9" w:rsidP="00A64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CC673" w14:textId="77777777" w:rsidR="000405D9" w:rsidRDefault="000405D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3100247"/>
      <w:docPartObj>
        <w:docPartGallery w:val="Page Numbers (Top of Page)"/>
        <w:docPartUnique/>
      </w:docPartObj>
    </w:sdtPr>
    <w:sdtEndPr/>
    <w:sdtContent>
      <w:p w14:paraId="00CBA873" w14:textId="3459A7DF" w:rsidR="000405D9" w:rsidRDefault="000405D9">
        <w:pPr>
          <w:pStyle w:val="Kopfzeile"/>
          <w:jc w:val="right"/>
        </w:pPr>
        <w:r>
          <w:fldChar w:fldCharType="begin"/>
        </w:r>
        <w:r>
          <w:instrText>PAGE   \* MERGEFORMAT</w:instrText>
        </w:r>
        <w:r>
          <w:fldChar w:fldCharType="separate"/>
        </w:r>
        <w:r w:rsidR="0069243C">
          <w:rPr>
            <w:noProof/>
          </w:rPr>
          <w:t>17</w:t>
        </w:r>
        <w:r>
          <w:fldChar w:fldCharType="end"/>
        </w:r>
      </w:p>
    </w:sdtContent>
  </w:sdt>
  <w:p w14:paraId="2009E499" w14:textId="77777777" w:rsidR="000405D9" w:rsidRDefault="000405D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AD4BD" w14:textId="77777777" w:rsidR="000405D9" w:rsidRDefault="000405D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E577B"/>
    <w:multiLevelType w:val="hybridMultilevel"/>
    <w:tmpl w:val="0A2823CA"/>
    <w:lvl w:ilvl="0" w:tplc="964C4B7A">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6167455"/>
    <w:multiLevelType w:val="hybridMultilevel"/>
    <w:tmpl w:val="3E6E966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31B52C52"/>
    <w:multiLevelType w:val="hybridMultilevel"/>
    <w:tmpl w:val="EEBC24B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88165B7"/>
    <w:multiLevelType w:val="hybridMultilevel"/>
    <w:tmpl w:val="EA5A075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432814E6"/>
    <w:multiLevelType w:val="hybridMultilevel"/>
    <w:tmpl w:val="FA089F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4634DC3"/>
    <w:multiLevelType w:val="hybridMultilevel"/>
    <w:tmpl w:val="B8923A4A"/>
    <w:lvl w:ilvl="0" w:tplc="04070003">
      <w:start w:val="1"/>
      <w:numFmt w:val="bullet"/>
      <w:lvlText w:val="o"/>
      <w:lvlJc w:val="left"/>
      <w:pPr>
        <w:ind w:left="1080" w:hanging="360"/>
      </w:pPr>
      <w:rPr>
        <w:rFonts w:ascii="Courier New" w:hAnsi="Courier New" w:cs="Courier New"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6" w15:restartNumberingAfterBreak="0">
    <w:nsid w:val="44774DB7"/>
    <w:multiLevelType w:val="hybridMultilevel"/>
    <w:tmpl w:val="FB1C2E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9D68B4"/>
    <w:multiLevelType w:val="hybridMultilevel"/>
    <w:tmpl w:val="8F9CCACE"/>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45C60B10"/>
    <w:multiLevelType w:val="hybridMultilevel"/>
    <w:tmpl w:val="9DDEFE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4F7626CF"/>
    <w:multiLevelType w:val="hybridMultilevel"/>
    <w:tmpl w:val="16CE4AB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54C30E0C"/>
    <w:multiLevelType w:val="hybridMultilevel"/>
    <w:tmpl w:val="EE6A1C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80E3127"/>
    <w:multiLevelType w:val="hybridMultilevel"/>
    <w:tmpl w:val="E516225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A4632EB"/>
    <w:multiLevelType w:val="hybridMultilevel"/>
    <w:tmpl w:val="1EDAF0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8"/>
  </w:num>
  <w:num w:numId="4">
    <w:abstractNumId w:val="5"/>
  </w:num>
  <w:num w:numId="5">
    <w:abstractNumId w:val="7"/>
  </w:num>
  <w:num w:numId="6">
    <w:abstractNumId w:val="11"/>
  </w:num>
  <w:num w:numId="7">
    <w:abstractNumId w:val="10"/>
  </w:num>
  <w:num w:numId="8">
    <w:abstractNumId w:val="4"/>
  </w:num>
  <w:num w:numId="9">
    <w:abstractNumId w:val="2"/>
  </w:num>
  <w:num w:numId="10">
    <w:abstractNumId w:val="1"/>
  </w:num>
  <w:num w:numId="11">
    <w:abstractNumId w:val="3"/>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F05"/>
    <w:rsid w:val="000405D9"/>
    <w:rsid w:val="001278BC"/>
    <w:rsid w:val="00163328"/>
    <w:rsid w:val="001806A4"/>
    <w:rsid w:val="001A3B2D"/>
    <w:rsid w:val="001F44BC"/>
    <w:rsid w:val="002016B8"/>
    <w:rsid w:val="0023076A"/>
    <w:rsid w:val="00236B3B"/>
    <w:rsid w:val="002F5F05"/>
    <w:rsid w:val="00332A5C"/>
    <w:rsid w:val="00376232"/>
    <w:rsid w:val="003809E0"/>
    <w:rsid w:val="0040370E"/>
    <w:rsid w:val="00456FC9"/>
    <w:rsid w:val="004A2FCA"/>
    <w:rsid w:val="0060557A"/>
    <w:rsid w:val="00652871"/>
    <w:rsid w:val="006817B7"/>
    <w:rsid w:val="0069243C"/>
    <w:rsid w:val="007B23A5"/>
    <w:rsid w:val="007F45D7"/>
    <w:rsid w:val="00815ABA"/>
    <w:rsid w:val="00834606"/>
    <w:rsid w:val="0087340E"/>
    <w:rsid w:val="00930B1C"/>
    <w:rsid w:val="009373ED"/>
    <w:rsid w:val="009A7ECC"/>
    <w:rsid w:val="00A64592"/>
    <w:rsid w:val="00A75E09"/>
    <w:rsid w:val="00A874D0"/>
    <w:rsid w:val="00AE1338"/>
    <w:rsid w:val="00B053EA"/>
    <w:rsid w:val="00B06111"/>
    <w:rsid w:val="00BC4334"/>
    <w:rsid w:val="00C86927"/>
    <w:rsid w:val="00C91108"/>
    <w:rsid w:val="00CB0E34"/>
    <w:rsid w:val="00CD7994"/>
    <w:rsid w:val="00CE610E"/>
    <w:rsid w:val="00CE691E"/>
    <w:rsid w:val="00D04FDA"/>
    <w:rsid w:val="00D401FF"/>
    <w:rsid w:val="00D605E3"/>
    <w:rsid w:val="00DB0025"/>
    <w:rsid w:val="00DD5008"/>
    <w:rsid w:val="00E129A7"/>
    <w:rsid w:val="00E62957"/>
    <w:rsid w:val="00EA6988"/>
    <w:rsid w:val="00FC22A5"/>
    <w:rsid w:val="00FE488F"/>
    <w:rsid w:val="00FF0E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7E52B"/>
  <w15:chartTrackingRefBased/>
  <w15:docId w15:val="{9FA79FDB-AE25-4044-BB0F-CDC4E6E2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278BC"/>
    <w:rPr>
      <w:rFonts w:ascii="Lucida Sans" w:hAnsi="Lucida Sans"/>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A64592"/>
    <w:pPr>
      <w:tabs>
        <w:tab w:val="center" w:pos="4536"/>
        <w:tab w:val="right" w:pos="9072"/>
      </w:tabs>
    </w:pPr>
  </w:style>
  <w:style w:type="character" w:customStyle="1" w:styleId="KopfzeileZchn">
    <w:name w:val="Kopfzeile Zchn"/>
    <w:basedOn w:val="Absatz-Standardschriftart"/>
    <w:link w:val="Kopfzeile"/>
    <w:uiPriority w:val="99"/>
    <w:rsid w:val="00A64592"/>
    <w:rPr>
      <w:rFonts w:ascii="Lucida Sans" w:hAnsi="Lucida Sans"/>
      <w:sz w:val="22"/>
    </w:rPr>
  </w:style>
  <w:style w:type="paragraph" w:styleId="Fuzeile">
    <w:name w:val="footer"/>
    <w:basedOn w:val="Standard"/>
    <w:link w:val="FuzeileZchn"/>
    <w:uiPriority w:val="99"/>
    <w:rsid w:val="00A64592"/>
    <w:pPr>
      <w:tabs>
        <w:tab w:val="center" w:pos="4536"/>
        <w:tab w:val="right" w:pos="9072"/>
      </w:tabs>
    </w:pPr>
  </w:style>
  <w:style w:type="character" w:customStyle="1" w:styleId="FuzeileZchn">
    <w:name w:val="Fußzeile Zchn"/>
    <w:basedOn w:val="Absatz-Standardschriftart"/>
    <w:link w:val="Fuzeile"/>
    <w:uiPriority w:val="99"/>
    <w:rsid w:val="00A64592"/>
    <w:rPr>
      <w:rFonts w:ascii="Lucida Sans" w:hAnsi="Lucida Sans"/>
      <w:sz w:val="22"/>
    </w:rPr>
  </w:style>
  <w:style w:type="table" w:styleId="Tabellenraster">
    <w:name w:val="Table Grid"/>
    <w:basedOn w:val="NormaleTabelle"/>
    <w:uiPriority w:val="59"/>
    <w:rsid w:val="00815A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semiHidden/>
    <w:unhideWhenUsed/>
    <w:rsid w:val="00815ABA"/>
    <w:rPr>
      <w:rFonts w:ascii="Segoe UI" w:hAnsi="Segoe UI" w:cs="Segoe UI"/>
      <w:sz w:val="18"/>
      <w:szCs w:val="18"/>
    </w:rPr>
  </w:style>
  <w:style w:type="character" w:customStyle="1" w:styleId="SprechblasentextZchn">
    <w:name w:val="Sprechblasentext Zchn"/>
    <w:basedOn w:val="Absatz-Standardschriftart"/>
    <w:link w:val="Sprechblasentext"/>
    <w:semiHidden/>
    <w:rsid w:val="00815ABA"/>
    <w:rPr>
      <w:rFonts w:ascii="Segoe UI" w:hAnsi="Segoe UI" w:cs="Segoe UI"/>
      <w:sz w:val="18"/>
      <w:szCs w:val="18"/>
    </w:rPr>
  </w:style>
  <w:style w:type="paragraph" w:styleId="Beschriftung">
    <w:name w:val="caption"/>
    <w:basedOn w:val="Standard"/>
    <w:next w:val="Standard"/>
    <w:unhideWhenUsed/>
    <w:qFormat/>
    <w:rsid w:val="00834606"/>
    <w:pPr>
      <w:spacing w:after="200"/>
    </w:pPr>
    <w:rPr>
      <w:i/>
      <w:iCs/>
      <w:color w:val="1F497D" w:themeColor="text2"/>
      <w:sz w:val="18"/>
      <w:szCs w:val="18"/>
    </w:rPr>
  </w:style>
  <w:style w:type="paragraph" w:styleId="Listenabsatz">
    <w:name w:val="List Paragraph"/>
    <w:basedOn w:val="Standard"/>
    <w:link w:val="ListenabsatzZchn"/>
    <w:uiPriority w:val="34"/>
    <w:qFormat/>
    <w:rsid w:val="00AE1338"/>
    <w:pPr>
      <w:ind w:left="720"/>
      <w:contextualSpacing/>
    </w:pPr>
  </w:style>
  <w:style w:type="paragraph" w:styleId="StandardWeb">
    <w:name w:val="Normal (Web)"/>
    <w:basedOn w:val="Standard"/>
    <w:uiPriority w:val="99"/>
    <w:unhideWhenUsed/>
    <w:rsid w:val="00930B1C"/>
    <w:pPr>
      <w:spacing w:before="100" w:beforeAutospacing="1" w:after="100" w:afterAutospacing="1"/>
    </w:pPr>
    <w:rPr>
      <w:rFonts w:ascii="Times New Roman" w:hAnsi="Times New Roman"/>
      <w:sz w:val="24"/>
      <w:szCs w:val="24"/>
    </w:rPr>
  </w:style>
  <w:style w:type="paragraph" w:customStyle="1" w:styleId="CitaviBibliographyEntry">
    <w:name w:val="Citavi Bibliography Entry"/>
    <w:basedOn w:val="Standard"/>
    <w:link w:val="CitaviBibliographyEntryZchn"/>
    <w:uiPriority w:val="99"/>
    <w:rsid w:val="002016B8"/>
    <w:pPr>
      <w:tabs>
        <w:tab w:val="left" w:pos="340"/>
      </w:tabs>
      <w:ind w:left="340" w:hanging="340"/>
    </w:pPr>
    <w:rPr>
      <w:rFonts w:ascii="Arial" w:hAnsi="Arial"/>
      <w:lang w:val="en-GB"/>
    </w:rPr>
  </w:style>
  <w:style w:type="character" w:customStyle="1" w:styleId="CitaviBibliographyEntryZchn">
    <w:name w:val="Citavi Bibliography Entry Zchn"/>
    <w:basedOn w:val="Absatz-Standardschriftart"/>
    <w:link w:val="CitaviBibliographyEntry"/>
    <w:uiPriority w:val="99"/>
    <w:rsid w:val="002016B8"/>
    <w:rPr>
      <w:rFonts w:ascii="Arial" w:hAnsi="Arial"/>
      <w:sz w:val="22"/>
      <w:lang w:val="en-GB"/>
    </w:rPr>
  </w:style>
  <w:style w:type="character" w:customStyle="1" w:styleId="ListenabsatzZchn">
    <w:name w:val="Listenabsatz Zchn"/>
    <w:link w:val="Listenabsatz"/>
    <w:uiPriority w:val="34"/>
    <w:rsid w:val="002016B8"/>
    <w:rPr>
      <w:rFonts w:ascii="Lucida Sans" w:hAnsi="Lucida Sans"/>
      <w:sz w:val="22"/>
    </w:rPr>
  </w:style>
  <w:style w:type="paragraph" w:styleId="KeinLeerraum">
    <w:name w:val="No Spacing"/>
    <w:uiPriority w:val="1"/>
    <w:qFormat/>
    <w:rsid w:val="00C86927"/>
    <w:pPr>
      <w:jc w:val="both"/>
    </w:pPr>
    <w:rPr>
      <w:rFonts w:asciiTheme="minorHAnsi" w:eastAsiaTheme="minorHAnsi" w:hAnsiTheme="minorHAnsi" w:cstheme="minorBidi"/>
      <w:sz w:val="22"/>
      <w:szCs w:val="22"/>
      <w:lang w:eastAsia="en-US"/>
    </w:rPr>
  </w:style>
  <w:style w:type="character" w:customStyle="1" w:styleId="hgkelc">
    <w:name w:val="hgkelc"/>
    <w:basedOn w:val="Absatz-Standardschriftart"/>
    <w:rsid w:val="00C86927"/>
  </w:style>
  <w:style w:type="character" w:customStyle="1" w:styleId="mord">
    <w:name w:val="mord"/>
    <w:basedOn w:val="Absatz-Standardschriftart"/>
    <w:rsid w:val="00BC4334"/>
  </w:style>
  <w:style w:type="character" w:customStyle="1" w:styleId="mrel">
    <w:name w:val="mrel"/>
    <w:basedOn w:val="Absatz-Standardschriftart"/>
    <w:rsid w:val="00BC4334"/>
  </w:style>
  <w:style w:type="paragraph" w:customStyle="1" w:styleId="Default">
    <w:name w:val="Default"/>
    <w:rsid w:val="007B23A5"/>
    <w:pPr>
      <w:widowControl w:val="0"/>
      <w:autoSpaceDE w:val="0"/>
      <w:autoSpaceDN w:val="0"/>
      <w:adjustRightInd w:val="0"/>
    </w:pPr>
    <w:rPr>
      <w:rFonts w:ascii="Calibri" w:hAnsi="Calibri" w:cs="Calibri"/>
      <w:color w:val="000000"/>
      <w:sz w:val="24"/>
      <w:szCs w:val="24"/>
      <w:lang w:val="en-CA" w:eastAsia="en-CA"/>
    </w:rPr>
  </w:style>
  <w:style w:type="character" w:styleId="Kommentarzeichen">
    <w:name w:val="annotation reference"/>
    <w:basedOn w:val="Absatz-Standardschriftart"/>
    <w:semiHidden/>
    <w:unhideWhenUsed/>
    <w:rsid w:val="00EA6988"/>
    <w:rPr>
      <w:sz w:val="16"/>
      <w:szCs w:val="16"/>
    </w:rPr>
  </w:style>
  <w:style w:type="paragraph" w:styleId="Kommentartext">
    <w:name w:val="annotation text"/>
    <w:basedOn w:val="Standard"/>
    <w:link w:val="KommentartextZchn"/>
    <w:semiHidden/>
    <w:unhideWhenUsed/>
    <w:rsid w:val="00EA6988"/>
    <w:rPr>
      <w:sz w:val="20"/>
    </w:rPr>
  </w:style>
  <w:style w:type="character" w:customStyle="1" w:styleId="KommentartextZchn">
    <w:name w:val="Kommentartext Zchn"/>
    <w:basedOn w:val="Absatz-Standardschriftart"/>
    <w:link w:val="Kommentartext"/>
    <w:semiHidden/>
    <w:rsid w:val="00EA6988"/>
    <w:rPr>
      <w:rFonts w:ascii="Lucida Sans" w:hAnsi="Lucida Sans"/>
    </w:rPr>
  </w:style>
  <w:style w:type="paragraph" w:styleId="Kommentarthema">
    <w:name w:val="annotation subject"/>
    <w:basedOn w:val="Kommentartext"/>
    <w:next w:val="Kommentartext"/>
    <w:link w:val="KommentarthemaZchn"/>
    <w:semiHidden/>
    <w:unhideWhenUsed/>
    <w:rsid w:val="00EA6988"/>
    <w:rPr>
      <w:b/>
      <w:bCs/>
    </w:rPr>
  </w:style>
  <w:style w:type="character" w:customStyle="1" w:styleId="KommentarthemaZchn">
    <w:name w:val="Kommentarthema Zchn"/>
    <w:basedOn w:val="KommentartextZchn"/>
    <w:link w:val="Kommentarthema"/>
    <w:semiHidden/>
    <w:rsid w:val="00EA6988"/>
    <w:rPr>
      <w:rFonts w:ascii="Lucida Sans" w:hAnsi="Lucida San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7933">
      <w:bodyDiv w:val="1"/>
      <w:marLeft w:val="0"/>
      <w:marRight w:val="0"/>
      <w:marTop w:val="0"/>
      <w:marBottom w:val="0"/>
      <w:divBdr>
        <w:top w:val="none" w:sz="0" w:space="0" w:color="auto"/>
        <w:left w:val="none" w:sz="0" w:space="0" w:color="auto"/>
        <w:bottom w:val="none" w:sz="0" w:space="0" w:color="auto"/>
        <w:right w:val="none" w:sz="0" w:space="0" w:color="auto"/>
      </w:divBdr>
    </w:div>
    <w:div w:id="717358871">
      <w:bodyDiv w:val="1"/>
      <w:marLeft w:val="0"/>
      <w:marRight w:val="0"/>
      <w:marTop w:val="0"/>
      <w:marBottom w:val="0"/>
      <w:divBdr>
        <w:top w:val="none" w:sz="0" w:space="0" w:color="auto"/>
        <w:left w:val="none" w:sz="0" w:space="0" w:color="auto"/>
        <w:bottom w:val="none" w:sz="0" w:space="0" w:color="auto"/>
        <w:right w:val="none" w:sz="0" w:space="0" w:color="auto"/>
      </w:divBdr>
    </w:div>
    <w:div w:id="758916223">
      <w:bodyDiv w:val="1"/>
      <w:marLeft w:val="0"/>
      <w:marRight w:val="0"/>
      <w:marTop w:val="0"/>
      <w:marBottom w:val="0"/>
      <w:divBdr>
        <w:top w:val="none" w:sz="0" w:space="0" w:color="auto"/>
        <w:left w:val="none" w:sz="0" w:space="0" w:color="auto"/>
        <w:bottom w:val="none" w:sz="0" w:space="0" w:color="auto"/>
        <w:right w:val="none" w:sz="0" w:space="0" w:color="auto"/>
      </w:divBdr>
    </w:div>
    <w:div w:id="784426564">
      <w:bodyDiv w:val="1"/>
      <w:marLeft w:val="0"/>
      <w:marRight w:val="0"/>
      <w:marTop w:val="0"/>
      <w:marBottom w:val="0"/>
      <w:divBdr>
        <w:top w:val="none" w:sz="0" w:space="0" w:color="auto"/>
        <w:left w:val="none" w:sz="0" w:space="0" w:color="auto"/>
        <w:bottom w:val="none" w:sz="0" w:space="0" w:color="auto"/>
        <w:right w:val="none" w:sz="0" w:space="0" w:color="auto"/>
      </w:divBdr>
    </w:div>
    <w:div w:id="869412480">
      <w:bodyDiv w:val="1"/>
      <w:marLeft w:val="0"/>
      <w:marRight w:val="0"/>
      <w:marTop w:val="0"/>
      <w:marBottom w:val="0"/>
      <w:divBdr>
        <w:top w:val="none" w:sz="0" w:space="0" w:color="auto"/>
        <w:left w:val="none" w:sz="0" w:space="0" w:color="auto"/>
        <w:bottom w:val="none" w:sz="0" w:space="0" w:color="auto"/>
        <w:right w:val="none" w:sz="0" w:space="0" w:color="auto"/>
      </w:divBdr>
    </w:div>
    <w:div w:id="924462308">
      <w:bodyDiv w:val="1"/>
      <w:marLeft w:val="0"/>
      <w:marRight w:val="0"/>
      <w:marTop w:val="0"/>
      <w:marBottom w:val="0"/>
      <w:divBdr>
        <w:top w:val="none" w:sz="0" w:space="0" w:color="auto"/>
        <w:left w:val="none" w:sz="0" w:space="0" w:color="auto"/>
        <w:bottom w:val="none" w:sz="0" w:space="0" w:color="auto"/>
        <w:right w:val="none" w:sz="0" w:space="0" w:color="auto"/>
      </w:divBdr>
    </w:div>
    <w:div w:id="1626808509">
      <w:bodyDiv w:val="1"/>
      <w:marLeft w:val="0"/>
      <w:marRight w:val="0"/>
      <w:marTop w:val="0"/>
      <w:marBottom w:val="0"/>
      <w:divBdr>
        <w:top w:val="none" w:sz="0" w:space="0" w:color="auto"/>
        <w:left w:val="none" w:sz="0" w:space="0" w:color="auto"/>
        <w:bottom w:val="none" w:sz="0" w:space="0" w:color="auto"/>
        <w:right w:val="none" w:sz="0" w:space="0" w:color="auto"/>
      </w:divBdr>
    </w:div>
    <w:div w:id="1709792489">
      <w:bodyDiv w:val="1"/>
      <w:marLeft w:val="0"/>
      <w:marRight w:val="0"/>
      <w:marTop w:val="0"/>
      <w:marBottom w:val="0"/>
      <w:divBdr>
        <w:top w:val="none" w:sz="0" w:space="0" w:color="auto"/>
        <w:left w:val="none" w:sz="0" w:space="0" w:color="auto"/>
        <w:bottom w:val="none" w:sz="0" w:space="0" w:color="auto"/>
        <w:right w:val="none" w:sz="0" w:space="0" w:color="auto"/>
      </w:divBdr>
    </w:div>
    <w:div w:id="1722828727">
      <w:bodyDiv w:val="1"/>
      <w:marLeft w:val="0"/>
      <w:marRight w:val="0"/>
      <w:marTop w:val="0"/>
      <w:marBottom w:val="0"/>
      <w:divBdr>
        <w:top w:val="none" w:sz="0" w:space="0" w:color="auto"/>
        <w:left w:val="none" w:sz="0" w:space="0" w:color="auto"/>
        <w:bottom w:val="none" w:sz="0" w:space="0" w:color="auto"/>
        <w:right w:val="none" w:sz="0" w:space="0" w:color="auto"/>
      </w:divBdr>
    </w:div>
    <w:div w:id="1806895934">
      <w:bodyDiv w:val="1"/>
      <w:marLeft w:val="0"/>
      <w:marRight w:val="0"/>
      <w:marTop w:val="0"/>
      <w:marBottom w:val="0"/>
      <w:divBdr>
        <w:top w:val="none" w:sz="0" w:space="0" w:color="auto"/>
        <w:left w:val="none" w:sz="0" w:space="0" w:color="auto"/>
        <w:bottom w:val="none" w:sz="0" w:space="0" w:color="auto"/>
        <w:right w:val="none" w:sz="0" w:space="0" w:color="auto"/>
      </w:divBdr>
    </w:div>
    <w:div w:id="1835485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4249</Words>
  <Characters>26772</Characters>
  <Application>Microsoft Office Word</Application>
  <DocSecurity>0</DocSecurity>
  <Lines>223</Lines>
  <Paragraphs>61</Paragraphs>
  <ScaleCrop>false</ScaleCrop>
  <HeadingPairs>
    <vt:vector size="2" baseType="variant">
      <vt:variant>
        <vt:lpstr>Titel</vt:lpstr>
      </vt:variant>
      <vt:variant>
        <vt:i4>1</vt:i4>
      </vt:variant>
    </vt:vector>
  </HeadingPairs>
  <TitlesOfParts>
    <vt:vector size="1" baseType="lpstr">
      <vt:lpstr>Normal.dot</vt:lpstr>
    </vt:vector>
  </TitlesOfParts>
  <Company>UMMD</Company>
  <LinksUpToDate>false</LinksUpToDate>
  <CharactersWithSpaces>30960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subject/>
  <dc:creator>Pohl, Robert</dc:creator>
  <cp:keywords/>
  <dc:description/>
  <cp:lastModifiedBy>Pohl, Robert</cp:lastModifiedBy>
  <cp:revision>28</cp:revision>
  <dcterms:created xsi:type="dcterms:W3CDTF">2024-11-27T09:42:00Z</dcterms:created>
  <dcterms:modified xsi:type="dcterms:W3CDTF">2025-02-19T16:22:00Z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SR&amp;MA_ARDS&amp;CI_4536</vt:lpwstr>
  </property>
  <property fmtid="{D5CDD505-2E9C-101B-9397-08002B2CF9AE}" pid="3" name="CitaviDocumentProperty_0">
    <vt:lpwstr>f1ed8f7d-1c65-4f06-ad48-3e96e725bea1</vt:lpwstr>
  </property>
  <property fmtid="{D5CDD505-2E9C-101B-9397-08002B2CF9AE}" pid="4" name="CitaviDocumentProperty_8">
    <vt:lpwstr>CloudProjectKey=iuy6uajm73ud38xpvpziwzeuava8jreot5m4aznzc7mn59g6t; ProjectName=SR&amp;MA_ARDS&amp;CI_4536</vt:lpwstr>
  </property>
</Properties>
</file>