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300DF9" w14:textId="51A6A0BE" w:rsidR="00F80348" w:rsidRPr="004975DC" w:rsidRDefault="00F80348" w:rsidP="00F80348">
      <w:pPr>
        <w:rPr>
          <w:b/>
          <w:bCs/>
          <w:lang w:val="en-US"/>
        </w:rPr>
      </w:pPr>
      <w:r w:rsidRPr="004975DC">
        <w:rPr>
          <w:b/>
          <w:bCs/>
          <w:lang w:val="en-US"/>
        </w:rPr>
        <w:t>Suppl</w:t>
      </w:r>
      <w:r w:rsidR="00F87E6D">
        <w:rPr>
          <w:b/>
          <w:bCs/>
          <w:lang w:val="en-US"/>
        </w:rPr>
        <w:t>e</w:t>
      </w:r>
      <w:r w:rsidRPr="004975DC">
        <w:rPr>
          <w:b/>
          <w:bCs/>
          <w:lang w:val="en-US"/>
        </w:rPr>
        <w:t xml:space="preserve">ment </w:t>
      </w:r>
      <w:r w:rsidR="00AA0C4A">
        <w:rPr>
          <w:b/>
          <w:bCs/>
          <w:lang w:val="en-US"/>
        </w:rPr>
        <w:t>2</w:t>
      </w:r>
      <w:r w:rsidR="00F87E6D">
        <w:rPr>
          <w:b/>
          <w:bCs/>
          <w:lang w:val="en-US"/>
        </w:rPr>
        <w:t>:</w:t>
      </w:r>
      <w:r w:rsidRPr="004975DC">
        <w:rPr>
          <w:b/>
          <w:bCs/>
          <w:lang w:val="en-US"/>
        </w:rPr>
        <w:t xml:space="preserve"> Statistical analysis primary outcome (cLDA model) and secondary outcomes</w:t>
      </w:r>
    </w:p>
    <w:p w14:paraId="3594C6F9" w14:textId="77777777" w:rsidR="00F80348" w:rsidRDefault="00F80348" w:rsidP="00F80348">
      <w:pPr>
        <w:rPr>
          <w:sz w:val="22"/>
          <w:szCs w:val="22"/>
          <w:lang w:val="en-GB"/>
        </w:rPr>
      </w:pPr>
    </w:p>
    <w:p w14:paraId="27A21D2B" w14:textId="6823F6F2" w:rsidR="00F80348" w:rsidRPr="003D26A0" w:rsidRDefault="00F80348" w:rsidP="00F80348">
      <w:pPr>
        <w:rPr>
          <w:sz w:val="22"/>
          <w:szCs w:val="22"/>
          <w:lang w:val="en-GB"/>
        </w:rPr>
      </w:pPr>
      <w:r>
        <w:rPr>
          <w:sz w:val="22"/>
          <w:szCs w:val="22"/>
          <w:lang w:val="en-GB"/>
        </w:rPr>
        <w:t>The constrained longitudinal data analysis model (</w:t>
      </w:r>
      <w:r w:rsidRPr="003D26A0">
        <w:rPr>
          <w:sz w:val="22"/>
          <w:szCs w:val="22"/>
          <w:lang w:val="en-GB"/>
        </w:rPr>
        <w:t>cLDA</w:t>
      </w:r>
      <w:r>
        <w:rPr>
          <w:sz w:val="22"/>
          <w:szCs w:val="22"/>
          <w:lang w:val="en-GB"/>
        </w:rPr>
        <w:t>)</w:t>
      </w:r>
      <w:r>
        <w:rPr>
          <w:sz w:val="22"/>
          <w:szCs w:val="22"/>
          <w:vertAlign w:val="superscript"/>
          <w:lang w:val="en-GB"/>
        </w:rPr>
        <w:t xml:space="preserve"> 1 </w:t>
      </w:r>
      <w:r>
        <w:rPr>
          <w:sz w:val="22"/>
          <w:szCs w:val="22"/>
          <w:lang w:val="en-GB"/>
        </w:rPr>
        <w:t>is a linear model wherein</w:t>
      </w:r>
      <w:r w:rsidRPr="003D26A0">
        <w:rPr>
          <w:sz w:val="22"/>
          <w:szCs w:val="22"/>
          <w:lang w:val="en-GB"/>
        </w:rPr>
        <w:t xml:space="preserve"> both the baseline and post-baseline value</w:t>
      </w:r>
      <w:r>
        <w:rPr>
          <w:sz w:val="22"/>
          <w:szCs w:val="22"/>
          <w:lang w:val="en-GB"/>
        </w:rPr>
        <w:t>s (d2-d5)</w:t>
      </w:r>
      <w:r w:rsidRPr="003D26A0">
        <w:rPr>
          <w:sz w:val="22"/>
          <w:szCs w:val="22"/>
          <w:lang w:val="en-GB"/>
        </w:rPr>
        <w:t xml:space="preserve"> are modelled as dependent variables, as opposed to a (longitudinal) ANCOVA model in which the baseline value is included as a covariate. Although the baseline measure is included in the response vector in cLDA, the true baseline means are constrained to be the same for </w:t>
      </w:r>
      <w:r>
        <w:rPr>
          <w:sz w:val="22"/>
          <w:szCs w:val="22"/>
          <w:lang w:val="en-GB"/>
        </w:rPr>
        <w:t>both</w:t>
      </w:r>
      <w:r w:rsidRPr="003D26A0">
        <w:rPr>
          <w:sz w:val="22"/>
          <w:szCs w:val="22"/>
          <w:lang w:val="en-GB"/>
        </w:rPr>
        <w:t xml:space="preserve"> treatment groups due to randomization, and this analysis provides an adjustment for the observed baseline difference in estimating the treatment effects.</w:t>
      </w:r>
      <w:r>
        <w:rPr>
          <w:sz w:val="22"/>
          <w:szCs w:val="22"/>
          <w:lang w:val="en-GB"/>
        </w:rPr>
        <w:t xml:space="preserve"> The effect of Vitamin C is allowed to be specific at each of the four post-baseline days, and the primary analysis refers to the average of the four intervention effects.</w:t>
      </w:r>
    </w:p>
    <w:p w14:paraId="1145C4E1" w14:textId="77777777" w:rsidR="00F80348" w:rsidRDefault="00F80348" w:rsidP="00F80348">
      <w:pPr>
        <w:pStyle w:val="Normaalweb"/>
        <w:rPr>
          <w:rFonts w:asciiTheme="minorHAnsi" w:eastAsiaTheme="minorHAnsi" w:hAnsiTheme="minorHAnsi" w:cstheme="minorBidi"/>
          <w:sz w:val="22"/>
          <w:szCs w:val="22"/>
          <w:lang w:val="en-GB" w:eastAsia="en-US"/>
        </w:rPr>
      </w:pPr>
      <w:r w:rsidRPr="003D26A0">
        <w:rPr>
          <w:rFonts w:asciiTheme="minorHAnsi" w:eastAsiaTheme="minorHAnsi" w:hAnsiTheme="minorHAnsi" w:cstheme="minorBidi"/>
          <w:sz w:val="22"/>
          <w:szCs w:val="22"/>
          <w:lang w:val="en-GB" w:eastAsia="en-US"/>
        </w:rPr>
        <w:t xml:space="preserve">The choice of the covariance structure for the five measurements in the cLDA model </w:t>
      </w:r>
      <w:r>
        <w:rPr>
          <w:rFonts w:asciiTheme="minorHAnsi" w:eastAsiaTheme="minorHAnsi" w:hAnsiTheme="minorHAnsi" w:cstheme="minorBidi"/>
          <w:sz w:val="22"/>
          <w:szCs w:val="22"/>
          <w:lang w:val="en-GB" w:eastAsia="en-US"/>
        </w:rPr>
        <w:t>was</w:t>
      </w:r>
      <w:r w:rsidRPr="003D26A0">
        <w:rPr>
          <w:rFonts w:asciiTheme="minorHAnsi" w:eastAsiaTheme="minorHAnsi" w:hAnsiTheme="minorHAnsi" w:cstheme="minorBidi"/>
          <w:sz w:val="22"/>
          <w:szCs w:val="22"/>
          <w:lang w:val="en-GB" w:eastAsia="en-US"/>
        </w:rPr>
        <w:t xml:space="preserve"> based on the Aikake criterion. </w:t>
      </w:r>
      <w:r>
        <w:rPr>
          <w:rFonts w:asciiTheme="minorHAnsi" w:eastAsiaTheme="minorHAnsi" w:hAnsiTheme="minorHAnsi" w:cstheme="minorBidi"/>
          <w:sz w:val="22"/>
          <w:szCs w:val="22"/>
          <w:lang w:val="en-GB" w:eastAsia="en-US"/>
        </w:rPr>
        <w:t>Center was</w:t>
      </w:r>
      <w:r w:rsidRPr="003D26A0">
        <w:rPr>
          <w:rFonts w:asciiTheme="minorHAnsi" w:eastAsiaTheme="minorHAnsi" w:hAnsiTheme="minorHAnsi" w:cstheme="minorBidi"/>
          <w:sz w:val="22"/>
          <w:szCs w:val="22"/>
          <w:lang w:val="en-GB" w:eastAsia="en-US"/>
        </w:rPr>
        <w:t xml:space="preserve"> added as a fixed factor in the model. The cLDA analysis is valid under the missing at random assumption (MAR) and assumes that the probability that an observation is missing depends only on observed values of the individual, but not on the missing ones.</w:t>
      </w:r>
      <w:r>
        <w:rPr>
          <w:rFonts w:asciiTheme="minorHAnsi" w:eastAsiaTheme="minorHAnsi" w:hAnsiTheme="minorHAnsi" w:cstheme="minorBidi"/>
          <w:sz w:val="22"/>
          <w:szCs w:val="22"/>
          <w:lang w:val="en-GB" w:eastAsia="en-US"/>
        </w:rPr>
        <w:t xml:space="preserve"> Missing values can occur to discharge or dropout. Patients who died </w:t>
      </w:r>
      <w:r w:rsidRPr="00A84437">
        <w:rPr>
          <w:rFonts w:asciiTheme="minorHAnsi" w:eastAsiaTheme="minorHAnsi" w:hAnsiTheme="minorHAnsi" w:cstheme="minorBidi"/>
          <w:sz w:val="22"/>
          <w:szCs w:val="22"/>
          <w:lang w:val="en-GB" w:eastAsia="en-US"/>
        </w:rPr>
        <w:t>within the first 5 days</w:t>
      </w:r>
      <w:r>
        <w:rPr>
          <w:rFonts w:asciiTheme="minorHAnsi" w:eastAsiaTheme="minorHAnsi" w:hAnsiTheme="minorHAnsi" w:cstheme="minorBidi"/>
          <w:sz w:val="22"/>
          <w:szCs w:val="22"/>
          <w:lang w:val="en-GB" w:eastAsia="en-US"/>
        </w:rPr>
        <w:t xml:space="preserve"> received </w:t>
      </w:r>
      <w:r w:rsidRPr="00A84437">
        <w:rPr>
          <w:rFonts w:asciiTheme="minorHAnsi" w:eastAsiaTheme="minorHAnsi" w:hAnsiTheme="minorHAnsi" w:cstheme="minorBidi"/>
          <w:sz w:val="22"/>
          <w:szCs w:val="22"/>
          <w:lang w:val="en-GB" w:eastAsia="en-US"/>
        </w:rPr>
        <w:t>the maximum SOFA score of 24 starting at the day of death</w:t>
      </w:r>
      <w:r>
        <w:rPr>
          <w:rFonts w:asciiTheme="minorHAnsi" w:eastAsiaTheme="minorHAnsi" w:hAnsiTheme="minorHAnsi" w:cstheme="minorBidi"/>
          <w:sz w:val="22"/>
          <w:szCs w:val="22"/>
          <w:lang w:val="en-GB" w:eastAsia="en-US"/>
        </w:rPr>
        <w:t>.</w:t>
      </w:r>
      <w:r w:rsidRPr="003D26A0">
        <w:rPr>
          <w:rFonts w:asciiTheme="minorHAnsi" w:eastAsiaTheme="minorHAnsi" w:hAnsiTheme="minorHAnsi" w:cstheme="minorBidi"/>
          <w:sz w:val="22"/>
          <w:szCs w:val="22"/>
          <w:lang w:val="en-GB" w:eastAsia="en-US"/>
        </w:rPr>
        <w:t xml:space="preserve"> An inverse hyperbolic sign transformation </w:t>
      </w:r>
      <w:r>
        <w:rPr>
          <w:rFonts w:asciiTheme="minorHAnsi" w:eastAsiaTheme="minorHAnsi" w:hAnsiTheme="minorHAnsi" w:cstheme="minorBidi"/>
          <w:sz w:val="22"/>
          <w:szCs w:val="22"/>
          <w:lang w:val="en-GB" w:eastAsia="en-US"/>
        </w:rPr>
        <w:t>was</w:t>
      </w:r>
      <w:r w:rsidRPr="003D26A0">
        <w:rPr>
          <w:rFonts w:asciiTheme="minorHAnsi" w:eastAsiaTheme="minorHAnsi" w:hAnsiTheme="minorHAnsi" w:cstheme="minorBidi"/>
          <w:sz w:val="22"/>
          <w:szCs w:val="22"/>
          <w:lang w:val="en-GB" w:eastAsia="en-US"/>
        </w:rPr>
        <w:t xml:space="preserve"> applied to handle the (right-)</w:t>
      </w:r>
      <w:r>
        <w:rPr>
          <w:rFonts w:asciiTheme="minorHAnsi" w:eastAsiaTheme="minorHAnsi" w:hAnsiTheme="minorHAnsi" w:cstheme="minorBidi"/>
          <w:sz w:val="22"/>
          <w:szCs w:val="22"/>
          <w:lang w:val="en-GB" w:eastAsia="en-US"/>
        </w:rPr>
        <w:t xml:space="preserve"> </w:t>
      </w:r>
      <w:r w:rsidRPr="003D26A0">
        <w:rPr>
          <w:rFonts w:asciiTheme="minorHAnsi" w:eastAsiaTheme="minorHAnsi" w:hAnsiTheme="minorHAnsi" w:cstheme="minorBidi"/>
          <w:sz w:val="22"/>
          <w:szCs w:val="22"/>
          <w:lang w:val="en-GB" w:eastAsia="en-US"/>
        </w:rPr>
        <w:t xml:space="preserve">skewed distribution of the SOFA scores. </w:t>
      </w:r>
      <w:r>
        <w:rPr>
          <w:rFonts w:asciiTheme="minorHAnsi" w:eastAsiaTheme="minorHAnsi" w:hAnsiTheme="minorHAnsi" w:cstheme="minorBidi"/>
          <w:sz w:val="22"/>
          <w:szCs w:val="22"/>
          <w:lang w:val="en-GB" w:eastAsia="en-US"/>
        </w:rPr>
        <w:t>This transformation refers to a natural logarithm after adding a value (</w:t>
      </w:r>
      <m:oMath>
        <m:rad>
          <m:radPr>
            <m:degHide m:val="1"/>
            <m:ctrlPr>
              <w:rPr>
                <w:rFonts w:ascii="Cambria Math" w:eastAsiaTheme="minorHAnsi" w:hAnsi="Cambria Math" w:cstheme="minorBidi"/>
                <w:i/>
                <w:sz w:val="22"/>
                <w:szCs w:val="22"/>
                <w:lang w:val="en-GB" w:eastAsia="en-US"/>
              </w:rPr>
            </m:ctrlPr>
          </m:radPr>
          <m:deg/>
          <m:e>
            <m:sSup>
              <m:sSupPr>
                <m:ctrlPr>
                  <w:rPr>
                    <w:rFonts w:ascii="Cambria Math" w:eastAsiaTheme="minorHAnsi" w:hAnsi="Cambria Math" w:cstheme="minorBidi"/>
                    <w:i/>
                    <w:sz w:val="22"/>
                    <w:szCs w:val="22"/>
                    <w:lang w:val="en-GB" w:eastAsia="en-US"/>
                  </w:rPr>
                </m:ctrlPr>
              </m:sSupPr>
              <m:e>
                <m:r>
                  <w:rPr>
                    <w:rFonts w:ascii="Cambria Math" w:eastAsiaTheme="minorHAnsi" w:hAnsi="Cambria Math" w:cstheme="minorBidi"/>
                    <w:sz w:val="22"/>
                    <w:szCs w:val="22"/>
                    <w:lang w:val="en-GB" w:eastAsia="en-US"/>
                  </w:rPr>
                  <m:t>SOFA</m:t>
                </m:r>
              </m:e>
              <m:sup>
                <m:r>
                  <w:rPr>
                    <w:rFonts w:ascii="Cambria Math" w:eastAsiaTheme="minorHAnsi" w:hAnsi="Cambria Math" w:cstheme="minorBidi"/>
                    <w:sz w:val="22"/>
                    <w:szCs w:val="22"/>
                    <w:lang w:val="en-GB" w:eastAsia="en-US"/>
                  </w:rPr>
                  <m:t>2</m:t>
                </m:r>
              </m:sup>
            </m:sSup>
            <m:r>
              <w:rPr>
                <w:rFonts w:ascii="Cambria Math" w:eastAsiaTheme="minorHAnsi" w:hAnsi="Cambria Math" w:cstheme="minorBidi"/>
                <w:sz w:val="22"/>
                <w:szCs w:val="22"/>
                <w:lang w:val="en-GB" w:eastAsia="en-US"/>
              </w:rPr>
              <m:t>+1</m:t>
            </m:r>
          </m:e>
        </m:rad>
        <m:r>
          <w:rPr>
            <w:rFonts w:ascii="Cambria Math" w:eastAsiaTheme="minorHAnsi" w:hAnsi="Cambria Math" w:cstheme="minorBidi"/>
            <w:sz w:val="22"/>
            <w:szCs w:val="22"/>
            <w:lang w:val="en-GB" w:eastAsia="en-US"/>
          </w:rPr>
          <m:t xml:space="preserve">) </m:t>
        </m:r>
      </m:oMath>
      <w:r>
        <w:rPr>
          <w:rFonts w:asciiTheme="minorHAnsi" w:eastAsiaTheme="minorHAnsi" w:hAnsiTheme="minorHAnsi" w:cstheme="minorBidi"/>
          <w:sz w:val="22"/>
          <w:szCs w:val="22"/>
          <w:lang w:val="en-GB" w:eastAsia="en-US"/>
        </w:rPr>
        <w:t xml:space="preserve">such that zero values for the SOFA score can be dealt with. </w:t>
      </w:r>
      <w:r w:rsidRPr="003D26A0">
        <w:rPr>
          <w:rFonts w:asciiTheme="minorHAnsi" w:eastAsiaTheme="minorHAnsi" w:hAnsiTheme="minorHAnsi" w:cstheme="minorBidi"/>
          <w:sz w:val="22"/>
          <w:szCs w:val="22"/>
          <w:lang w:val="en-GB" w:eastAsia="en-US"/>
        </w:rPr>
        <w:t xml:space="preserve">Results </w:t>
      </w:r>
      <w:r>
        <w:rPr>
          <w:rFonts w:asciiTheme="minorHAnsi" w:eastAsiaTheme="minorHAnsi" w:hAnsiTheme="minorHAnsi" w:cstheme="minorBidi"/>
          <w:sz w:val="22"/>
          <w:szCs w:val="22"/>
          <w:lang w:val="en-GB" w:eastAsia="en-US"/>
        </w:rPr>
        <w:t>were</w:t>
      </w:r>
      <w:r w:rsidRPr="003D26A0">
        <w:rPr>
          <w:rFonts w:asciiTheme="minorHAnsi" w:eastAsiaTheme="minorHAnsi" w:hAnsiTheme="minorHAnsi" w:cstheme="minorBidi"/>
          <w:sz w:val="22"/>
          <w:szCs w:val="22"/>
          <w:lang w:val="en-GB" w:eastAsia="en-US"/>
        </w:rPr>
        <w:t xml:space="preserve"> presented after back</w:t>
      </w:r>
      <w:r>
        <w:rPr>
          <w:rFonts w:asciiTheme="minorHAnsi" w:eastAsiaTheme="minorHAnsi" w:hAnsiTheme="minorHAnsi" w:cstheme="minorBidi"/>
          <w:sz w:val="22"/>
          <w:szCs w:val="22"/>
          <w:lang w:val="en-GB" w:eastAsia="en-US"/>
        </w:rPr>
        <w:t xml:space="preserve"> </w:t>
      </w:r>
      <w:r w:rsidRPr="003D26A0">
        <w:rPr>
          <w:rFonts w:asciiTheme="minorHAnsi" w:eastAsiaTheme="minorHAnsi" w:hAnsiTheme="minorHAnsi" w:cstheme="minorBidi"/>
          <w:sz w:val="22"/>
          <w:szCs w:val="22"/>
          <w:lang w:val="en-GB" w:eastAsia="en-US"/>
        </w:rPr>
        <w:t>transformation to the original scale. As such, the estimate for the treatment effect</w:t>
      </w:r>
      <w:r>
        <w:rPr>
          <w:rFonts w:asciiTheme="minorHAnsi" w:eastAsiaTheme="minorHAnsi" w:hAnsiTheme="minorHAnsi" w:cstheme="minorBidi"/>
          <w:sz w:val="22"/>
          <w:szCs w:val="22"/>
          <w:lang w:val="en-GB" w:eastAsia="en-US"/>
        </w:rPr>
        <w:t xml:space="preserve"> </w:t>
      </w:r>
      <w:r w:rsidRPr="003D26A0">
        <w:rPr>
          <w:rFonts w:asciiTheme="minorHAnsi" w:eastAsiaTheme="minorHAnsi" w:hAnsiTheme="minorHAnsi" w:cstheme="minorBidi"/>
          <w:sz w:val="22"/>
          <w:szCs w:val="22"/>
          <w:lang w:val="en-GB" w:eastAsia="en-US"/>
        </w:rPr>
        <w:t>refer</w:t>
      </w:r>
      <w:r>
        <w:rPr>
          <w:rFonts w:asciiTheme="minorHAnsi" w:eastAsiaTheme="minorHAnsi" w:hAnsiTheme="minorHAnsi" w:cstheme="minorBidi"/>
          <w:sz w:val="22"/>
          <w:szCs w:val="22"/>
          <w:lang w:val="en-GB" w:eastAsia="en-US"/>
        </w:rPr>
        <w:t>s</w:t>
      </w:r>
      <w:r w:rsidRPr="003D26A0">
        <w:rPr>
          <w:rFonts w:asciiTheme="minorHAnsi" w:eastAsiaTheme="minorHAnsi" w:hAnsiTheme="minorHAnsi" w:cstheme="minorBidi"/>
          <w:sz w:val="22"/>
          <w:szCs w:val="22"/>
          <w:lang w:val="en-GB" w:eastAsia="en-US"/>
        </w:rPr>
        <w:t xml:space="preserve"> to a ratio instead of a difference. </w:t>
      </w:r>
    </w:p>
    <w:p w14:paraId="3C9E9F70" w14:textId="77777777" w:rsidR="00F80348" w:rsidRPr="001D0A6C" w:rsidRDefault="00F80348" w:rsidP="00F80348">
      <w:pPr>
        <w:pStyle w:val="Normaalweb"/>
        <w:rPr>
          <w:rFonts w:asciiTheme="minorHAnsi" w:eastAsiaTheme="minorHAnsi" w:hAnsiTheme="minorHAnsi" w:cstheme="minorBidi"/>
          <w:sz w:val="22"/>
          <w:szCs w:val="22"/>
          <w:lang w:val="en-GB" w:eastAsia="en-US"/>
        </w:rPr>
      </w:pPr>
      <w:r>
        <w:rPr>
          <w:rFonts w:asciiTheme="minorHAnsi" w:eastAsiaTheme="minorHAnsi" w:hAnsiTheme="minorHAnsi" w:cstheme="minorBidi"/>
          <w:sz w:val="22"/>
          <w:szCs w:val="22"/>
          <w:lang w:val="en-GB" w:eastAsia="en-US"/>
        </w:rPr>
        <w:t xml:space="preserve">Two subgroup analyses were planned in the FAS, verifying if the effect of Vitamin C depended on baseline SOFA and on the baseline NEWS score. </w:t>
      </w:r>
      <w:r w:rsidRPr="002C66C5">
        <w:rPr>
          <w:rFonts w:asciiTheme="minorHAnsi" w:eastAsiaTheme="minorHAnsi" w:hAnsiTheme="minorHAnsi" w:cstheme="minorBidi"/>
          <w:sz w:val="22"/>
          <w:szCs w:val="22"/>
          <w:lang w:val="en-GB" w:eastAsia="en-US"/>
        </w:rPr>
        <w:t xml:space="preserve">For the baseline SOFA score, subgroups were defined as SOFA &lt;6 vs SOFA &gt;=6. </w:t>
      </w:r>
      <w:r>
        <w:rPr>
          <w:rFonts w:asciiTheme="minorHAnsi" w:eastAsiaTheme="minorHAnsi" w:hAnsiTheme="minorHAnsi" w:cstheme="minorBidi"/>
          <w:sz w:val="22"/>
          <w:szCs w:val="22"/>
          <w:lang w:val="en-GB" w:eastAsia="en-US"/>
        </w:rPr>
        <w:t>In the cLDA analysis on both subgroups combined, the interaction between subgroup and effect of vitamin C was tested. The baseline NEWS score was not dichotomised. Instead, t</w:t>
      </w:r>
      <w:r w:rsidRPr="001D0A6C">
        <w:rPr>
          <w:rFonts w:asciiTheme="minorHAnsi" w:eastAsiaTheme="minorHAnsi" w:hAnsiTheme="minorHAnsi" w:cstheme="minorBidi"/>
          <w:sz w:val="22"/>
          <w:szCs w:val="22"/>
          <w:lang w:val="en-GB" w:eastAsia="en-US"/>
        </w:rPr>
        <w:t xml:space="preserve">he baseline NEWS score was evaluated as a continuous moderator by including the main effect of the baseline NEWS score and the interaction between the baseline NEWS score and the effect of vitamin C in the cLDA model, allowing non-linearity for the relation of the baseline NEWS score (using restricted cubic splines with 4 knots). A similar unplanned exploratory analysis was performed treating the baseline SOFA score as a continuous moderator and visualizing the change of the effect of vitamin C as function of the baseline SOFA. </w:t>
      </w:r>
    </w:p>
    <w:p w14:paraId="2C577244" w14:textId="384AB8EA" w:rsidR="00F80348" w:rsidRPr="001D0A6C" w:rsidRDefault="00F80348" w:rsidP="00F80348">
      <w:pPr>
        <w:pStyle w:val="Normaalweb"/>
        <w:rPr>
          <w:rFonts w:asciiTheme="minorHAnsi" w:hAnsiTheme="minorHAnsi" w:cstheme="minorBidi"/>
          <w:sz w:val="22"/>
          <w:szCs w:val="22"/>
          <w:lang w:val="en-GB"/>
        </w:rPr>
      </w:pPr>
      <w:r>
        <w:rPr>
          <w:rFonts w:asciiTheme="minorHAnsi" w:eastAsiaTheme="minorHAnsi" w:hAnsiTheme="minorHAnsi" w:cstheme="minorBidi"/>
          <w:sz w:val="22"/>
          <w:szCs w:val="22"/>
          <w:lang w:val="en-GB" w:eastAsia="en-US"/>
        </w:rPr>
        <w:t xml:space="preserve">A linear model, additionally correcting for center, was used to compare the maximal SOFA score between both groups. </w:t>
      </w:r>
      <w:r w:rsidRPr="001D0A6C">
        <w:rPr>
          <w:rFonts w:asciiTheme="minorHAnsi" w:hAnsiTheme="minorHAnsi" w:cstheme="minorBidi"/>
          <w:sz w:val="22"/>
          <w:szCs w:val="22"/>
          <w:lang w:val="en-GB"/>
        </w:rPr>
        <w:t xml:space="preserve">For patients who </w:t>
      </w:r>
      <w:r>
        <w:rPr>
          <w:rFonts w:asciiTheme="minorHAnsi" w:hAnsiTheme="minorHAnsi" w:cstheme="minorBidi"/>
          <w:sz w:val="22"/>
          <w:szCs w:val="22"/>
          <w:lang w:val="en-GB"/>
        </w:rPr>
        <w:t>were</w:t>
      </w:r>
      <w:r w:rsidRPr="001D0A6C">
        <w:rPr>
          <w:rFonts w:asciiTheme="minorHAnsi" w:hAnsiTheme="minorHAnsi" w:cstheme="minorBidi"/>
          <w:sz w:val="22"/>
          <w:szCs w:val="22"/>
          <w:lang w:val="en-GB"/>
        </w:rPr>
        <w:t xml:space="preserve"> discharged, the observed maximum SOFA </w:t>
      </w:r>
      <w:r>
        <w:rPr>
          <w:rFonts w:asciiTheme="minorHAnsi" w:hAnsiTheme="minorHAnsi" w:cstheme="minorBidi"/>
          <w:sz w:val="22"/>
          <w:szCs w:val="22"/>
          <w:lang w:val="en-GB"/>
        </w:rPr>
        <w:t>was</w:t>
      </w:r>
      <w:r w:rsidRPr="001D0A6C">
        <w:rPr>
          <w:rFonts w:asciiTheme="minorHAnsi" w:hAnsiTheme="minorHAnsi" w:cstheme="minorBidi"/>
          <w:sz w:val="22"/>
          <w:szCs w:val="22"/>
          <w:lang w:val="en-GB"/>
        </w:rPr>
        <w:t xml:space="preserve"> used. </w:t>
      </w:r>
      <w:r>
        <w:rPr>
          <w:rFonts w:asciiTheme="minorHAnsi" w:hAnsiTheme="minorHAnsi" w:cstheme="minorBidi"/>
          <w:sz w:val="22"/>
          <w:szCs w:val="22"/>
          <w:lang w:val="en-GB"/>
        </w:rPr>
        <w:t>A</w:t>
      </w:r>
      <w:r w:rsidRPr="001D0A6C">
        <w:rPr>
          <w:rFonts w:asciiTheme="minorHAnsi" w:hAnsiTheme="minorHAnsi" w:cstheme="minorBidi"/>
          <w:sz w:val="22"/>
          <w:szCs w:val="22"/>
          <w:lang w:val="en-GB"/>
        </w:rPr>
        <w:t xml:space="preserve"> multiple imputation approach (20 imputed datasets) </w:t>
      </w:r>
      <w:r>
        <w:rPr>
          <w:rFonts w:asciiTheme="minorHAnsi" w:hAnsiTheme="minorHAnsi" w:cstheme="minorBidi"/>
          <w:sz w:val="22"/>
          <w:szCs w:val="22"/>
          <w:lang w:val="en-GB"/>
        </w:rPr>
        <w:t xml:space="preserve">was used to handle the presence of missing values </w:t>
      </w:r>
      <w:r w:rsidRPr="001D0A6C">
        <w:rPr>
          <w:rFonts w:asciiTheme="minorHAnsi" w:hAnsiTheme="minorHAnsi" w:cstheme="minorBidi"/>
          <w:sz w:val="22"/>
          <w:szCs w:val="22"/>
          <w:lang w:val="en-GB"/>
        </w:rPr>
        <w:t>not</w:t>
      </w:r>
      <w:r>
        <w:rPr>
          <w:rFonts w:asciiTheme="minorHAnsi" w:hAnsiTheme="minorHAnsi" w:cstheme="minorBidi"/>
          <w:sz w:val="22"/>
          <w:szCs w:val="22"/>
          <w:lang w:val="en-GB"/>
        </w:rPr>
        <w:t xml:space="preserve"> due to death or discharge (</w:t>
      </w:r>
      <w:r w:rsidRPr="001D0A6C">
        <w:rPr>
          <w:rFonts w:asciiTheme="minorHAnsi" w:hAnsiTheme="minorHAnsi" w:cstheme="minorBidi"/>
          <w:sz w:val="22"/>
          <w:szCs w:val="22"/>
          <w:lang w:val="en-GB"/>
        </w:rPr>
        <w:t xml:space="preserve">since the observed maximum can be </w:t>
      </w:r>
      <w:r>
        <w:rPr>
          <w:rFonts w:asciiTheme="minorHAnsi" w:hAnsiTheme="minorHAnsi" w:cstheme="minorBidi"/>
          <w:sz w:val="22"/>
          <w:szCs w:val="22"/>
          <w:lang w:val="en-GB"/>
        </w:rPr>
        <w:t>an underestimation</w:t>
      </w:r>
      <w:r w:rsidRPr="001D0A6C">
        <w:rPr>
          <w:rFonts w:asciiTheme="minorHAnsi" w:hAnsiTheme="minorHAnsi" w:cstheme="minorBidi"/>
          <w:sz w:val="22"/>
          <w:szCs w:val="22"/>
          <w:lang w:val="en-GB"/>
        </w:rPr>
        <w:t xml:space="preserve"> for these patients</w:t>
      </w:r>
      <w:r>
        <w:rPr>
          <w:rFonts w:asciiTheme="minorHAnsi" w:hAnsiTheme="minorHAnsi" w:cstheme="minorBidi"/>
          <w:sz w:val="22"/>
          <w:szCs w:val="22"/>
          <w:lang w:val="en-GB"/>
        </w:rPr>
        <w:t>)</w:t>
      </w:r>
      <w:r w:rsidRPr="001D0A6C">
        <w:rPr>
          <w:rFonts w:asciiTheme="minorHAnsi" w:hAnsiTheme="minorHAnsi" w:cstheme="minorBidi"/>
          <w:sz w:val="22"/>
          <w:szCs w:val="22"/>
          <w:lang w:val="en-GB"/>
        </w:rPr>
        <w:t xml:space="preserve">. Multivariate imputation </w:t>
      </w:r>
      <w:r>
        <w:rPr>
          <w:rFonts w:asciiTheme="minorHAnsi" w:hAnsiTheme="minorHAnsi" w:cstheme="minorBidi"/>
          <w:sz w:val="22"/>
          <w:szCs w:val="22"/>
          <w:lang w:val="en-GB"/>
        </w:rPr>
        <w:t xml:space="preserve">was </w:t>
      </w:r>
      <w:r w:rsidRPr="001D0A6C">
        <w:rPr>
          <w:rFonts w:asciiTheme="minorHAnsi" w:hAnsiTheme="minorHAnsi" w:cstheme="minorBidi"/>
          <w:sz w:val="22"/>
          <w:szCs w:val="22"/>
          <w:lang w:val="en-GB"/>
        </w:rPr>
        <w:t xml:space="preserve">performed for the daily SOFA scores </w:t>
      </w:r>
      <w:r>
        <w:rPr>
          <w:rFonts w:asciiTheme="minorHAnsi" w:hAnsiTheme="minorHAnsi" w:cstheme="minorBidi"/>
          <w:sz w:val="22"/>
          <w:szCs w:val="22"/>
          <w:lang w:val="en-GB"/>
        </w:rPr>
        <w:t xml:space="preserve">(d1-d5) </w:t>
      </w:r>
      <w:r w:rsidRPr="001D0A6C">
        <w:rPr>
          <w:rFonts w:asciiTheme="minorHAnsi" w:hAnsiTheme="minorHAnsi" w:cstheme="minorBidi"/>
          <w:sz w:val="22"/>
          <w:szCs w:val="22"/>
          <w:lang w:val="en-GB"/>
        </w:rPr>
        <w:t xml:space="preserve">using in each treatment arm separately </w:t>
      </w:r>
      <w:r>
        <w:rPr>
          <w:rFonts w:asciiTheme="minorHAnsi" w:hAnsiTheme="minorHAnsi" w:cstheme="minorBidi"/>
          <w:sz w:val="22"/>
          <w:szCs w:val="22"/>
          <w:lang w:val="en-GB"/>
        </w:rPr>
        <w:t>the</w:t>
      </w:r>
      <w:r w:rsidRPr="001D0A6C">
        <w:rPr>
          <w:rFonts w:asciiTheme="minorHAnsi" w:hAnsiTheme="minorHAnsi" w:cstheme="minorBidi"/>
          <w:sz w:val="22"/>
          <w:szCs w:val="22"/>
          <w:lang w:val="en-GB"/>
        </w:rPr>
        <w:t xml:space="preserve"> fully conditional specification (FCS) approach</w:t>
      </w:r>
      <w:r w:rsidRPr="00F80348">
        <w:rPr>
          <w:rFonts w:asciiTheme="minorHAnsi" w:hAnsiTheme="minorHAnsi" w:cstheme="minorBidi"/>
          <w:sz w:val="22"/>
          <w:szCs w:val="22"/>
          <w:vertAlign w:val="superscript"/>
          <w:lang w:val="en-GB"/>
        </w:rPr>
        <w:t>2</w:t>
      </w:r>
      <w:r>
        <w:rPr>
          <w:rFonts w:asciiTheme="minorHAnsi" w:hAnsiTheme="minorHAnsi" w:cstheme="minorBidi"/>
          <w:sz w:val="22"/>
          <w:szCs w:val="22"/>
          <w:lang w:val="en-GB"/>
        </w:rPr>
        <w:t xml:space="preserve"> based on linear models with </w:t>
      </w:r>
      <w:r w:rsidRPr="001D0A6C">
        <w:rPr>
          <w:rFonts w:asciiTheme="minorHAnsi" w:eastAsiaTheme="minorHAnsi" w:hAnsiTheme="minorHAnsi" w:cstheme="minorBidi"/>
          <w:sz w:val="22"/>
          <w:szCs w:val="22"/>
          <w:lang w:val="en-GB" w:eastAsia="en-US"/>
        </w:rPr>
        <w:t>as regressors the SOFA scores on the other days</w:t>
      </w:r>
      <w:r>
        <w:rPr>
          <w:rFonts w:asciiTheme="minorHAnsi" w:hAnsiTheme="minorHAnsi" w:cstheme="minorBidi"/>
          <w:sz w:val="22"/>
          <w:szCs w:val="22"/>
          <w:lang w:val="en-GB"/>
        </w:rPr>
        <w:t>. The imputation and the analysis model used the transformed SOFA scores.</w:t>
      </w:r>
    </w:p>
    <w:p w14:paraId="31C767BB" w14:textId="77777777" w:rsidR="00F80348" w:rsidRPr="000C2A3F" w:rsidRDefault="00F80348" w:rsidP="00F80348">
      <w:pPr>
        <w:autoSpaceDE w:val="0"/>
        <w:autoSpaceDN w:val="0"/>
        <w:adjustRightInd w:val="0"/>
        <w:rPr>
          <w:rFonts w:eastAsia="Times New Roman"/>
          <w:sz w:val="22"/>
          <w:szCs w:val="22"/>
          <w:lang w:val="en-GB" w:eastAsia="nl-NL"/>
        </w:rPr>
      </w:pPr>
      <w:r w:rsidRPr="000C2A3F">
        <w:rPr>
          <w:rFonts w:eastAsia="Times New Roman"/>
          <w:sz w:val="22"/>
          <w:szCs w:val="22"/>
          <w:lang w:val="en-GB" w:eastAsia="nl-NL"/>
        </w:rPr>
        <w:t>Event rates for death were estimated using Kaplan- Meier methodology.  The comparison at 28 days was based on a Z-test after log-log transformation of the survival estimates</w:t>
      </w:r>
      <w:r>
        <w:rPr>
          <w:rFonts w:eastAsia="Times New Roman"/>
          <w:sz w:val="22"/>
          <w:szCs w:val="22"/>
          <w:lang w:val="en-GB" w:eastAsia="nl-NL"/>
        </w:rPr>
        <w:t>.</w:t>
      </w:r>
    </w:p>
    <w:p w14:paraId="49E34048" w14:textId="77777777" w:rsidR="00F80348" w:rsidRPr="00E332A0" w:rsidRDefault="00F80348" w:rsidP="00F80348">
      <w:pPr>
        <w:pStyle w:val="Normaalweb"/>
        <w:rPr>
          <w:rFonts w:asciiTheme="minorHAnsi" w:hAnsiTheme="minorHAnsi" w:cstheme="minorBidi"/>
          <w:sz w:val="22"/>
          <w:szCs w:val="22"/>
          <w:lang w:val="en-GB"/>
        </w:rPr>
      </w:pPr>
      <w:r w:rsidRPr="00E332A0">
        <w:rPr>
          <w:rFonts w:asciiTheme="minorHAnsi" w:hAnsiTheme="minorHAnsi" w:cstheme="minorBidi"/>
          <w:sz w:val="22"/>
          <w:szCs w:val="22"/>
          <w:lang w:val="en-GB"/>
        </w:rPr>
        <w:t xml:space="preserve">To evaluate differences in length of hospital stay and length of ICU stay, death during hospital (ICU) stay was treated as a competing risk, using a stratified Gray’s test for the comparison of both groups. </w:t>
      </w:r>
    </w:p>
    <w:p w14:paraId="2E25F1B5" w14:textId="77777777" w:rsidR="00F80348" w:rsidRPr="00F61965" w:rsidRDefault="00F80348" w:rsidP="00F80348">
      <w:pPr>
        <w:autoSpaceDE w:val="0"/>
        <w:autoSpaceDN w:val="0"/>
        <w:adjustRightInd w:val="0"/>
        <w:rPr>
          <w:sz w:val="22"/>
          <w:szCs w:val="22"/>
          <w:lang w:val="en-GB"/>
        </w:rPr>
      </w:pPr>
      <w:r w:rsidRPr="00F61965">
        <w:rPr>
          <w:sz w:val="22"/>
          <w:szCs w:val="22"/>
          <w:lang w:val="en-GB"/>
        </w:rPr>
        <w:t>A generalised linear mixed model (</w:t>
      </w:r>
      <w:proofErr w:type="gramStart"/>
      <w:r w:rsidRPr="00F61965">
        <w:rPr>
          <w:sz w:val="22"/>
          <w:szCs w:val="22"/>
          <w:lang w:val="en-GB"/>
        </w:rPr>
        <w:t>i.e.</w:t>
      </w:r>
      <w:proofErr w:type="gramEnd"/>
      <w:r w:rsidRPr="00F61965">
        <w:rPr>
          <w:sz w:val="22"/>
          <w:szCs w:val="22"/>
          <w:lang w:val="en-GB"/>
        </w:rPr>
        <w:t xml:space="preserve"> a logistic regression model with a random effect of patient) with group and time as fixed effects (and their interaction), and correcting for center as fixed effect, was used to compare the daily (d2-d5) predicted probability of mechanical ventilation.  An odds ratio </w:t>
      </w:r>
      <w:r w:rsidRPr="00F61965">
        <w:rPr>
          <w:sz w:val="22"/>
          <w:szCs w:val="22"/>
          <w:lang w:val="en-GB"/>
        </w:rPr>
        <w:lastRenderedPageBreak/>
        <w:t>was reported for the comparison of the ‘mean probability’ over d2-d5.  Mechanical ventilation was put on zero when a patient was discharged (from the day of discharge on). For a deceased patient, the information was considered missing from the day after death on. The same modelling approach was used for vasopressor requirement</w:t>
      </w:r>
      <w:r>
        <w:rPr>
          <w:sz w:val="22"/>
          <w:szCs w:val="22"/>
          <w:lang w:val="en-GB"/>
        </w:rPr>
        <w:t>, need of steroids</w:t>
      </w:r>
      <w:r w:rsidRPr="00F61965">
        <w:rPr>
          <w:sz w:val="22"/>
          <w:szCs w:val="22"/>
          <w:lang w:val="en-GB"/>
        </w:rPr>
        <w:t xml:space="preserve"> and renal replacement therapy. Note that the estimates from these random-effects models refer to the predicted probability and the predicted effect for the average patient</w:t>
      </w:r>
      <w:r>
        <w:rPr>
          <w:sz w:val="22"/>
          <w:szCs w:val="22"/>
          <w:lang w:val="en-GB"/>
        </w:rPr>
        <w:t>.</w:t>
      </w:r>
    </w:p>
    <w:p w14:paraId="00B687A5" w14:textId="77777777" w:rsidR="00F80348" w:rsidRPr="00304DFB" w:rsidRDefault="00F80348" w:rsidP="00F80348">
      <w:pPr>
        <w:pStyle w:val="Default"/>
        <w:rPr>
          <w:sz w:val="20"/>
          <w:szCs w:val="20"/>
          <w:lang w:val="en-US"/>
        </w:rPr>
      </w:pPr>
    </w:p>
    <w:p w14:paraId="757E8514" w14:textId="77777777" w:rsidR="00F80348" w:rsidRDefault="00F80348" w:rsidP="00F80348">
      <w:pPr>
        <w:rPr>
          <w:sz w:val="22"/>
          <w:szCs w:val="22"/>
          <w:lang w:val="en-GB"/>
        </w:rPr>
      </w:pPr>
      <w:r w:rsidRPr="00E4755E">
        <w:rPr>
          <w:sz w:val="22"/>
          <w:szCs w:val="22"/>
          <w:lang w:val="en-GB"/>
        </w:rPr>
        <w:t xml:space="preserve">The QOL scores were compared between both groups using a multivariate normal model for longitudinal measurements, with the Aikake criterion to select the covariance matrix. </w:t>
      </w:r>
      <w:r>
        <w:rPr>
          <w:sz w:val="22"/>
          <w:szCs w:val="22"/>
          <w:lang w:val="en-GB"/>
        </w:rPr>
        <w:t>Center</w:t>
      </w:r>
      <w:r w:rsidRPr="00E4755E">
        <w:rPr>
          <w:sz w:val="22"/>
          <w:szCs w:val="22"/>
          <w:lang w:val="en-GB"/>
        </w:rPr>
        <w:t xml:space="preserve"> </w:t>
      </w:r>
      <w:r>
        <w:rPr>
          <w:sz w:val="22"/>
          <w:szCs w:val="22"/>
          <w:lang w:val="en-GB"/>
        </w:rPr>
        <w:t>was</w:t>
      </w:r>
      <w:r w:rsidRPr="00E4755E">
        <w:rPr>
          <w:sz w:val="22"/>
          <w:szCs w:val="22"/>
          <w:lang w:val="en-GB"/>
        </w:rPr>
        <w:t xml:space="preserve"> added </w:t>
      </w:r>
      <w:r>
        <w:rPr>
          <w:sz w:val="22"/>
          <w:szCs w:val="22"/>
          <w:lang w:val="en-GB"/>
        </w:rPr>
        <w:t xml:space="preserve">as a fixed effect </w:t>
      </w:r>
      <w:r w:rsidRPr="00E4755E">
        <w:rPr>
          <w:sz w:val="22"/>
          <w:szCs w:val="22"/>
          <w:lang w:val="en-GB"/>
        </w:rPr>
        <w:t xml:space="preserve">in the model. Note that the model </w:t>
      </w:r>
      <w:r>
        <w:rPr>
          <w:sz w:val="22"/>
          <w:szCs w:val="22"/>
          <w:lang w:val="en-GB"/>
        </w:rPr>
        <w:t>was</w:t>
      </w:r>
      <w:r w:rsidRPr="00E4755E">
        <w:rPr>
          <w:sz w:val="22"/>
          <w:szCs w:val="22"/>
          <w:lang w:val="en-GB"/>
        </w:rPr>
        <w:t xml:space="preserve"> fit on information from baseline</w:t>
      </w:r>
      <w:r>
        <w:rPr>
          <w:sz w:val="22"/>
          <w:szCs w:val="22"/>
          <w:lang w:val="en-GB"/>
        </w:rPr>
        <w:t>,</w:t>
      </w:r>
      <w:r w:rsidRPr="00E4755E">
        <w:rPr>
          <w:sz w:val="22"/>
          <w:szCs w:val="22"/>
          <w:lang w:val="en-GB"/>
        </w:rPr>
        <w:t xml:space="preserve"> day 5 (or </w:t>
      </w:r>
      <w:r w:rsidRPr="00F87E6D">
        <w:rPr>
          <w:sz w:val="22"/>
          <w:szCs w:val="22"/>
          <w:lang w:val="en-GB"/>
        </w:rPr>
        <w:t>day of discharge if discharge before day 5), day 28 and month 3. For lost-to-FU and deceased patients, the score was put on missing. Comparisons referred to the three specific timepoints after baseline.</w:t>
      </w:r>
    </w:p>
    <w:p w14:paraId="028F8A3A" w14:textId="77777777" w:rsidR="00F87E6D" w:rsidRDefault="00F87E6D" w:rsidP="00F80348">
      <w:pPr>
        <w:rPr>
          <w:sz w:val="22"/>
          <w:szCs w:val="22"/>
          <w:lang w:val="en-GB"/>
        </w:rPr>
      </w:pPr>
    </w:p>
    <w:p w14:paraId="108DF7F3" w14:textId="05299F62" w:rsidR="00F87E6D" w:rsidRPr="00F87E6D" w:rsidRDefault="00F87E6D" w:rsidP="00F80348">
      <w:pPr>
        <w:rPr>
          <w:sz w:val="22"/>
          <w:szCs w:val="22"/>
          <w:lang w:val="en-GB"/>
        </w:rPr>
      </w:pPr>
      <w:r>
        <w:rPr>
          <w:sz w:val="22"/>
          <w:szCs w:val="22"/>
          <w:lang w:val="en-GB"/>
        </w:rPr>
        <w:t>References:</w:t>
      </w:r>
    </w:p>
    <w:p w14:paraId="11C43CB1" w14:textId="77777777" w:rsidR="00F80348" w:rsidRPr="00F87E6D" w:rsidRDefault="00F80348" w:rsidP="00F80348">
      <w:pPr>
        <w:rPr>
          <w:sz w:val="22"/>
          <w:szCs w:val="22"/>
          <w:lang w:val="en-GB"/>
        </w:rPr>
      </w:pPr>
    </w:p>
    <w:p w14:paraId="405F5126" w14:textId="5B23DED4" w:rsidR="00F80348" w:rsidRPr="00F87E6D" w:rsidRDefault="00F80348" w:rsidP="00F80348">
      <w:pPr>
        <w:pStyle w:val="Lijstalinea"/>
        <w:numPr>
          <w:ilvl w:val="0"/>
          <w:numId w:val="3"/>
        </w:numPr>
        <w:rPr>
          <w:rFonts w:eastAsia="Times New Roman"/>
          <w:sz w:val="22"/>
          <w:szCs w:val="22"/>
          <w:lang w:val="en-US"/>
        </w:rPr>
      </w:pPr>
      <w:r w:rsidRPr="00F87E6D">
        <w:rPr>
          <w:rFonts w:eastAsia="Times New Roman"/>
          <w:sz w:val="22"/>
          <w:szCs w:val="22"/>
          <w:lang w:val="en-US"/>
        </w:rPr>
        <w:t xml:space="preserve">Liang, K. Y. and </w:t>
      </w:r>
      <w:proofErr w:type="spellStart"/>
      <w:r w:rsidRPr="00F87E6D">
        <w:rPr>
          <w:rFonts w:eastAsia="Times New Roman"/>
          <w:sz w:val="22"/>
          <w:szCs w:val="22"/>
          <w:lang w:val="en-US"/>
        </w:rPr>
        <w:t>Zeger</w:t>
      </w:r>
      <w:proofErr w:type="spellEnd"/>
      <w:r w:rsidRPr="00F87E6D">
        <w:rPr>
          <w:rFonts w:eastAsia="Times New Roman"/>
          <w:sz w:val="22"/>
          <w:szCs w:val="22"/>
          <w:lang w:val="en-US"/>
        </w:rPr>
        <w:t xml:space="preserve">, S. (2000). Longitudinal data analysis of continuous and discrete responses for pre-post designs. </w:t>
      </w:r>
      <w:r w:rsidRPr="00F87E6D">
        <w:rPr>
          <w:rFonts w:eastAsia="Times New Roman"/>
          <w:i/>
          <w:iCs/>
          <w:sz w:val="22"/>
          <w:szCs w:val="22"/>
          <w:lang w:val="en-US"/>
        </w:rPr>
        <w:t>The Indian Journal of Statistics</w:t>
      </w:r>
      <w:r w:rsidRPr="00F87E6D">
        <w:rPr>
          <w:rFonts w:eastAsia="Times New Roman"/>
          <w:sz w:val="22"/>
          <w:szCs w:val="22"/>
          <w:lang w:val="en-US"/>
        </w:rPr>
        <w:t>, Series B 62, 134–148</w:t>
      </w:r>
    </w:p>
    <w:p w14:paraId="5E30260E" w14:textId="77777777" w:rsidR="00F80348" w:rsidRPr="00F87E6D" w:rsidRDefault="00F80348" w:rsidP="00F80348">
      <w:pPr>
        <w:rPr>
          <w:sz w:val="22"/>
          <w:szCs w:val="22"/>
          <w:lang w:val="en-GB"/>
        </w:rPr>
      </w:pPr>
    </w:p>
    <w:p w14:paraId="30590ADF" w14:textId="11395C57" w:rsidR="00F80348" w:rsidRPr="00F87E6D" w:rsidRDefault="00F80348" w:rsidP="00F80348">
      <w:pPr>
        <w:pStyle w:val="Lijstalinea"/>
        <w:numPr>
          <w:ilvl w:val="0"/>
          <w:numId w:val="3"/>
        </w:numPr>
        <w:rPr>
          <w:sz w:val="22"/>
          <w:szCs w:val="22"/>
          <w:lang w:val="en-GB"/>
        </w:rPr>
      </w:pPr>
      <w:r w:rsidRPr="00F87E6D">
        <w:rPr>
          <w:sz w:val="22"/>
          <w:szCs w:val="22"/>
          <w:lang w:val="en-GB"/>
        </w:rPr>
        <w:t xml:space="preserve">Van </w:t>
      </w:r>
      <w:proofErr w:type="spellStart"/>
      <w:r w:rsidRPr="00F87E6D">
        <w:rPr>
          <w:sz w:val="22"/>
          <w:szCs w:val="22"/>
          <w:lang w:val="en-GB"/>
        </w:rPr>
        <w:t>Buuren</w:t>
      </w:r>
      <w:proofErr w:type="spellEnd"/>
      <w:r w:rsidRPr="00F87E6D">
        <w:rPr>
          <w:sz w:val="22"/>
          <w:szCs w:val="22"/>
          <w:lang w:val="en-GB"/>
        </w:rPr>
        <w:t>, S. (2007), “Multiple Imputation of Discrete and Continuous Data by Fully Conditional Specification,” Statistical Methods in Medical Research, 16, 219–242.</w:t>
      </w:r>
    </w:p>
    <w:p w14:paraId="1EB8DBDE" w14:textId="77777777" w:rsidR="00F80348" w:rsidRDefault="00F80348" w:rsidP="00F80348">
      <w:pPr>
        <w:rPr>
          <w:sz w:val="22"/>
          <w:szCs w:val="22"/>
          <w:lang w:val="en-GB"/>
        </w:rPr>
      </w:pPr>
    </w:p>
    <w:p w14:paraId="34D78A32" w14:textId="5EBD7FFE" w:rsidR="00F80348" w:rsidRPr="008C61BA" w:rsidRDefault="00F80348" w:rsidP="00F80348">
      <w:pPr>
        <w:autoSpaceDE w:val="0"/>
        <w:autoSpaceDN w:val="0"/>
        <w:ind w:hanging="640"/>
        <w:rPr>
          <w:rFonts w:eastAsia="Times New Roman"/>
          <w:lang w:val="en-US"/>
        </w:rPr>
      </w:pPr>
      <w:r w:rsidRPr="008C61BA">
        <w:rPr>
          <w:rFonts w:eastAsia="Times New Roman"/>
          <w:lang w:val="en-US"/>
        </w:rPr>
        <w:tab/>
      </w:r>
    </w:p>
    <w:p w14:paraId="716E4C41" w14:textId="0BBFAC8B" w:rsidR="00F80348" w:rsidRPr="00315991" w:rsidRDefault="00F80348" w:rsidP="00F80348">
      <w:pPr>
        <w:rPr>
          <w:sz w:val="22"/>
          <w:szCs w:val="22"/>
          <w:lang w:val="en-GB"/>
        </w:rPr>
      </w:pPr>
      <w:r>
        <w:rPr>
          <w:sz w:val="22"/>
          <w:szCs w:val="22"/>
          <w:lang w:val="en-GB"/>
        </w:rPr>
        <w:br w:type="page"/>
      </w:r>
    </w:p>
    <w:p w14:paraId="2F704EE1" w14:textId="77777777" w:rsidR="00F80348" w:rsidRPr="003D26A0" w:rsidRDefault="00F80348" w:rsidP="00F80348">
      <w:pPr>
        <w:rPr>
          <w:lang w:val="en-US"/>
        </w:rPr>
      </w:pPr>
    </w:p>
    <w:p w14:paraId="028ECB8F" w14:textId="77777777" w:rsidR="00F80348" w:rsidRPr="003D26A0" w:rsidRDefault="00F80348" w:rsidP="00F80348">
      <w:pPr>
        <w:rPr>
          <w:lang w:val="en-US"/>
        </w:rPr>
      </w:pPr>
    </w:p>
    <w:p w14:paraId="288DB0D3" w14:textId="77777777" w:rsidR="003C495B" w:rsidRPr="00315991" w:rsidRDefault="003C495B">
      <w:pPr>
        <w:rPr>
          <w:lang w:val="en-US"/>
        </w:rPr>
      </w:pPr>
    </w:p>
    <w:sectPr w:rsidR="003C495B" w:rsidRPr="00315991" w:rsidSect="008001AF">
      <w:footerReference w:type="even" r:id="rId7"/>
      <w:footerReference w:type="default" r:id="rId8"/>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94F3C0" w14:textId="77777777" w:rsidR="005C74E6" w:rsidRDefault="005C74E6">
      <w:r>
        <w:separator/>
      </w:r>
    </w:p>
  </w:endnote>
  <w:endnote w:type="continuationSeparator" w:id="0">
    <w:p w14:paraId="77DD100B" w14:textId="77777777" w:rsidR="005C74E6" w:rsidRDefault="005C74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1834882823"/>
      <w:docPartObj>
        <w:docPartGallery w:val="Page Numbers (Bottom of Page)"/>
        <w:docPartUnique/>
      </w:docPartObj>
    </w:sdtPr>
    <w:sdtContent>
      <w:p w14:paraId="3B23DACE" w14:textId="77777777" w:rsidR="003F705E" w:rsidRDefault="00000000" w:rsidP="00316600">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698DF0F8" w14:textId="77777777" w:rsidR="003F705E" w:rsidRDefault="003F705E" w:rsidP="00642D66">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1268691629"/>
      <w:docPartObj>
        <w:docPartGallery w:val="Page Numbers (Bottom of Page)"/>
        <w:docPartUnique/>
      </w:docPartObj>
    </w:sdtPr>
    <w:sdtContent>
      <w:p w14:paraId="2723BED2" w14:textId="77777777" w:rsidR="003F705E" w:rsidRDefault="00000000" w:rsidP="00316600">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1</w:t>
        </w:r>
        <w:r>
          <w:rPr>
            <w:rStyle w:val="Paginanummer"/>
          </w:rPr>
          <w:fldChar w:fldCharType="end"/>
        </w:r>
      </w:p>
    </w:sdtContent>
  </w:sdt>
  <w:p w14:paraId="215C4672" w14:textId="77777777" w:rsidR="003F705E" w:rsidRDefault="003F705E" w:rsidP="00642D66">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60A04B" w14:textId="77777777" w:rsidR="005C74E6" w:rsidRDefault="005C74E6">
      <w:r>
        <w:separator/>
      </w:r>
    </w:p>
  </w:footnote>
  <w:footnote w:type="continuationSeparator" w:id="0">
    <w:p w14:paraId="4523770A" w14:textId="77777777" w:rsidR="005C74E6" w:rsidRDefault="005C74E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451D75"/>
    <w:multiLevelType w:val="hybridMultilevel"/>
    <w:tmpl w:val="B64633F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301B317B"/>
    <w:multiLevelType w:val="multilevel"/>
    <w:tmpl w:val="0D34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2C1455D"/>
    <w:multiLevelType w:val="multilevel"/>
    <w:tmpl w:val="AD6E0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25597302">
    <w:abstractNumId w:val="1"/>
  </w:num>
  <w:num w:numId="2" w16cid:durableId="1319307263">
    <w:abstractNumId w:val="2"/>
  </w:num>
  <w:num w:numId="3" w16cid:durableId="16515974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348"/>
    <w:rsid w:val="0008507D"/>
    <w:rsid w:val="001476F1"/>
    <w:rsid w:val="00315991"/>
    <w:rsid w:val="003C495B"/>
    <w:rsid w:val="003F705E"/>
    <w:rsid w:val="00413ACC"/>
    <w:rsid w:val="005A0BC2"/>
    <w:rsid w:val="005C74E6"/>
    <w:rsid w:val="0076380A"/>
    <w:rsid w:val="00AA0C4A"/>
    <w:rsid w:val="00C676F1"/>
    <w:rsid w:val="00F80348"/>
    <w:rsid w:val="00F87E6D"/>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4:docId w14:val="529D659B"/>
  <w15:chartTrackingRefBased/>
  <w15:docId w15:val="{306B70BB-A278-D243-B4BA-9B180A1CE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nl-B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80348"/>
    <w:rPr>
      <w:kern w:val="0"/>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unhideWhenUsed/>
    <w:rsid w:val="00F80348"/>
    <w:pPr>
      <w:spacing w:before="100" w:beforeAutospacing="1" w:after="100" w:afterAutospacing="1"/>
    </w:pPr>
    <w:rPr>
      <w:rFonts w:ascii="Times New Roman" w:eastAsia="Times New Roman" w:hAnsi="Times New Roman" w:cs="Times New Roman"/>
      <w:lang w:eastAsia="nl-NL"/>
    </w:rPr>
  </w:style>
  <w:style w:type="paragraph" w:styleId="Voettekst">
    <w:name w:val="footer"/>
    <w:basedOn w:val="Standaard"/>
    <w:link w:val="VoettekstChar"/>
    <w:uiPriority w:val="99"/>
    <w:unhideWhenUsed/>
    <w:rsid w:val="00F80348"/>
    <w:pPr>
      <w:tabs>
        <w:tab w:val="center" w:pos="4536"/>
        <w:tab w:val="right" w:pos="9072"/>
      </w:tabs>
    </w:pPr>
  </w:style>
  <w:style w:type="character" w:customStyle="1" w:styleId="VoettekstChar">
    <w:name w:val="Voettekst Char"/>
    <w:basedOn w:val="Standaardalinea-lettertype"/>
    <w:link w:val="Voettekst"/>
    <w:uiPriority w:val="99"/>
    <w:rsid w:val="00F80348"/>
    <w:rPr>
      <w:kern w:val="0"/>
      <w14:ligatures w14:val="none"/>
    </w:rPr>
  </w:style>
  <w:style w:type="character" w:styleId="Paginanummer">
    <w:name w:val="page number"/>
    <w:basedOn w:val="Standaardalinea-lettertype"/>
    <w:uiPriority w:val="99"/>
    <w:semiHidden/>
    <w:unhideWhenUsed/>
    <w:rsid w:val="00F80348"/>
  </w:style>
  <w:style w:type="paragraph" w:customStyle="1" w:styleId="Default">
    <w:name w:val="Default"/>
    <w:rsid w:val="00F80348"/>
    <w:pPr>
      <w:autoSpaceDE w:val="0"/>
      <w:autoSpaceDN w:val="0"/>
      <w:adjustRightInd w:val="0"/>
    </w:pPr>
    <w:rPr>
      <w:rFonts w:ascii="Arial" w:hAnsi="Arial" w:cs="Arial"/>
      <w:color w:val="000000"/>
      <w:kern w:val="0"/>
      <w14:ligatures w14:val="none"/>
    </w:rPr>
  </w:style>
  <w:style w:type="paragraph" w:styleId="Lijstalinea">
    <w:name w:val="List Paragraph"/>
    <w:basedOn w:val="Standaard"/>
    <w:uiPriority w:val="34"/>
    <w:qFormat/>
    <w:rsid w:val="00F8034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856</Words>
  <Characters>4644</Characters>
  <Application>Microsoft Office Word</Application>
  <DocSecurity>0</DocSecurity>
  <Lines>89</Lines>
  <Paragraphs>33</Paragraphs>
  <ScaleCrop>false</ScaleCrop>
  <Company/>
  <LinksUpToDate>false</LinksUpToDate>
  <CharactersWithSpaces>5467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Stefanie Vandervelden</dc:creator>
  <cp:keywords/>
  <dc:description/>
  <cp:lastModifiedBy>Stefanie Vandervelden</cp:lastModifiedBy>
  <cp:revision>5</cp:revision>
  <dcterms:created xsi:type="dcterms:W3CDTF">2024-05-30T10:42:00Z</dcterms:created>
  <dcterms:modified xsi:type="dcterms:W3CDTF">2024-09-10T14:45:00Z</dcterms:modified>
</cp:coreProperties>
</file>