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DFB" w:rsidRPr="00133407" w:rsidRDefault="00AE6DFB" w:rsidP="00AE6DFB">
      <w:pPr>
        <w:tabs>
          <w:tab w:val="left" w:pos="2583"/>
        </w:tabs>
        <w:rPr>
          <w:rFonts w:ascii="Arial" w:hAnsi="Arial" w:cs="Arial"/>
          <w:b/>
          <w:bCs/>
        </w:rPr>
      </w:pPr>
      <w:r w:rsidRPr="00133407">
        <w:rPr>
          <w:rFonts w:ascii="Arial" w:hAnsi="Arial" w:cs="Arial"/>
          <w:b/>
          <w:bCs/>
        </w:rPr>
        <w:t>Additional File 5. Duration and/or magnitude outside of LLA/ULA/</w:t>
      </w:r>
      <w:proofErr w:type="spellStart"/>
      <w:r w:rsidRPr="00133407">
        <w:rPr>
          <w:rFonts w:ascii="Arial" w:hAnsi="Arial" w:cs="Arial"/>
          <w:b/>
          <w:bCs/>
        </w:rPr>
        <w:t>MAPopt</w:t>
      </w:r>
      <w:proofErr w:type="spellEnd"/>
      <w:r w:rsidRPr="00133407">
        <w:rPr>
          <w:rFonts w:ascii="Arial" w:hAnsi="Arial" w:cs="Arial"/>
          <w:b/>
          <w:bCs/>
        </w:rPr>
        <w:t xml:space="preserve"> reported across studies</w:t>
      </w:r>
    </w:p>
    <w:p w:rsidR="00AE6DFB" w:rsidRPr="00133407" w:rsidRDefault="00AE6DFB" w:rsidP="00AE6DFB">
      <w:pPr>
        <w:tabs>
          <w:tab w:val="left" w:pos="2583"/>
        </w:tabs>
        <w:rPr>
          <w:rFonts w:ascii="Arial" w:hAnsi="Arial" w:cs="Arial"/>
          <w:b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2"/>
        <w:gridCol w:w="1426"/>
        <w:gridCol w:w="1457"/>
        <w:gridCol w:w="1559"/>
        <w:gridCol w:w="7285"/>
      </w:tblGrid>
      <w:tr w:rsidR="00133407" w:rsidRPr="00133407" w:rsidTr="00133407">
        <w:tc>
          <w:tcPr>
            <w:tcW w:w="1632" w:type="dxa"/>
          </w:tcPr>
          <w:p w:rsidR="00133407" w:rsidRPr="00133407" w:rsidRDefault="00133407" w:rsidP="00133407">
            <w:pPr>
              <w:rPr>
                <w:rFonts w:ascii="Arial" w:hAnsi="Arial" w:cs="Arial"/>
              </w:rPr>
            </w:pPr>
            <w:bookmarkStart w:id="0" w:name="_GoBack"/>
            <w:bookmarkEnd w:id="0"/>
            <w:r w:rsidRPr="00133407">
              <w:rPr>
                <w:rFonts w:ascii="Arial" w:hAnsi="Arial" w:cs="Arial"/>
              </w:rPr>
              <w:t>Classification</w:t>
            </w:r>
          </w:p>
        </w:tc>
        <w:tc>
          <w:tcPr>
            <w:tcW w:w="1426" w:type="dxa"/>
          </w:tcPr>
          <w:p w:rsidR="00133407" w:rsidRPr="00133407" w:rsidRDefault="00133407" w:rsidP="00133407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Unit</w:t>
            </w:r>
          </w:p>
        </w:tc>
        <w:tc>
          <w:tcPr>
            <w:tcW w:w="1457" w:type="dxa"/>
          </w:tcPr>
          <w:p w:rsidR="00133407" w:rsidRPr="00133407" w:rsidRDefault="00133407" w:rsidP="00133407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Population</w:t>
            </w:r>
          </w:p>
        </w:tc>
        <w:tc>
          <w:tcPr>
            <w:tcW w:w="1559" w:type="dxa"/>
          </w:tcPr>
          <w:p w:rsidR="00133407" w:rsidRPr="00133407" w:rsidRDefault="00133407" w:rsidP="00133407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Study</w:t>
            </w:r>
          </w:p>
        </w:tc>
        <w:tc>
          <w:tcPr>
            <w:tcW w:w="7285" w:type="dxa"/>
          </w:tcPr>
          <w:p w:rsidR="00133407" w:rsidRPr="00133407" w:rsidRDefault="00133407" w:rsidP="00133407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Values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minutes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Non-cardiac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Melvin 2022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HVx</w:t>
            </w:r>
            <w:proofErr w:type="spellEnd"/>
            <w:r w:rsidRPr="00133407">
              <w:rPr>
                <w:rFonts w:ascii="Arial" w:hAnsi="Arial" w:cs="Arial"/>
              </w:rPr>
              <w:t>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LLA = 29 (25) min (95% 1–111 min)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ULA = 12 (13) min (95% 0–42 min)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Cox: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LLA = 18 (21) min (95% 0–44 min)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ULA = 18 (21) min (95% 1–51 min)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minutes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Liu 2022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Mean Duration of MAP &lt; LLA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COx</w:t>
            </w:r>
            <w:proofErr w:type="spellEnd"/>
            <w:r w:rsidRPr="00133407">
              <w:rPr>
                <w:rFonts w:ascii="Arial" w:hAnsi="Arial" w:cs="Arial"/>
              </w:rPr>
              <w:t>, min, median [IQR] = 45 [25–89]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Mx</w:t>
            </w:r>
            <w:proofErr w:type="spellEnd"/>
            <w:r w:rsidRPr="00133407">
              <w:rPr>
                <w:rFonts w:ascii="Arial" w:hAnsi="Arial" w:cs="Arial"/>
              </w:rPr>
              <w:t>, min, median [IQR] = 62 [31–111]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Gergele</w:t>
            </w:r>
            <w:proofErr w:type="spellEnd"/>
            <w:r w:rsidRPr="00133407">
              <w:rPr>
                <w:rFonts w:ascii="Arial" w:hAnsi="Arial" w:cs="Arial"/>
              </w:rPr>
              <w:t xml:space="preserve"> 2021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Under LLA (</w:t>
            </w:r>
            <w:proofErr w:type="spellStart"/>
            <w:r w:rsidRPr="00133407">
              <w:rPr>
                <w:rFonts w:ascii="Arial" w:hAnsi="Arial" w:cs="Arial"/>
              </w:rPr>
              <w:t>Mx</w:t>
            </w:r>
            <w:proofErr w:type="spellEnd"/>
            <w:r w:rsidRPr="00133407">
              <w:rPr>
                <w:rFonts w:ascii="Arial" w:hAnsi="Arial" w:cs="Arial"/>
              </w:rPr>
              <w:t>) 48 ± 12% average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Desebbe</w:t>
            </w:r>
            <w:proofErr w:type="spellEnd"/>
            <w:r w:rsidRPr="00133407">
              <w:rPr>
                <w:rFonts w:ascii="Arial" w:hAnsi="Arial" w:cs="Arial"/>
              </w:rPr>
              <w:t xml:space="preserve"> 2023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Under LLA (</w:t>
            </w:r>
            <w:proofErr w:type="spellStart"/>
            <w:r w:rsidRPr="00133407">
              <w:rPr>
                <w:rFonts w:ascii="Arial" w:hAnsi="Arial" w:cs="Arial"/>
              </w:rPr>
              <w:t>Mx</w:t>
            </w:r>
            <w:proofErr w:type="spellEnd"/>
            <w:r w:rsidRPr="00133407">
              <w:rPr>
                <w:rFonts w:ascii="Arial" w:hAnsi="Arial" w:cs="Arial"/>
              </w:rPr>
              <w:t xml:space="preserve">) 63% (41-80%) 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Chuan</w:t>
            </w:r>
            <w:proofErr w:type="spellEnd"/>
            <w:r w:rsidRPr="00133407">
              <w:rPr>
                <w:rFonts w:ascii="Arial" w:hAnsi="Arial" w:cs="Arial"/>
              </w:rPr>
              <w:t xml:space="preserve"> 2019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Ischemic period (the percentage of anaesthesia duration during which MAP was ≤80% below </w:t>
            </w:r>
            <w:proofErr w:type="spellStart"/>
            <w:r w:rsidRPr="00133407">
              <w:rPr>
                <w:rFonts w:ascii="Arial" w:hAnsi="Arial" w:cs="Arial"/>
              </w:rPr>
              <w:t>TOxopt</w:t>
            </w:r>
            <w:proofErr w:type="spellEnd"/>
            <w:r w:rsidRPr="00133407">
              <w:rPr>
                <w:rFonts w:ascii="Arial" w:hAnsi="Arial" w:cs="Arial"/>
              </w:rPr>
              <w:t>) categorized by D30 Major Adverse event: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Not fulfilled (n=102) = 8.1%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Fulfilled (n=17) = 6.6%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arrest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Sekhon</w:t>
            </w:r>
            <w:proofErr w:type="spellEnd"/>
            <w:r w:rsidRPr="00133407">
              <w:rPr>
                <w:rFonts w:ascii="Arial" w:hAnsi="Arial" w:cs="Arial"/>
              </w:rPr>
              <w:t xml:space="preserve"> 2016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The mean % of time where MAP was greater than 5 mmHg: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above MAPOPT = 22% (12)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MAPOPT = 28% (15)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arrest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Griesdale</w:t>
            </w:r>
            <w:proofErr w:type="spellEnd"/>
            <w:r w:rsidRPr="00133407">
              <w:rPr>
                <w:rFonts w:ascii="Arial" w:hAnsi="Arial" w:cs="Arial"/>
              </w:rPr>
              <w:t xml:space="preserve"> 2020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% time ΔMAP or MAP – MAPOPT below -5mmHg median (IQR):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CPC (1-2) 22 (14 - 40)%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CPC (3-5): 29 (20 - 37)%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arrest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Silverman 2019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  <w:lang w:val="en-US"/>
              </w:rPr>
            </w:pPr>
            <w:r w:rsidRPr="00133407">
              <w:rPr>
                <w:rFonts w:ascii="Arial" w:hAnsi="Arial" w:cs="Arial"/>
                <w:lang w:val="en-US"/>
              </w:rPr>
              <w:t>Patients spent on average 69.13 (±18.93)% of their monitored time within LA so 30.87 (±18.93)% outside LA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Non-cardiac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Melvin 2022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HVx</w:t>
            </w:r>
            <w:proofErr w:type="spellEnd"/>
            <w:r w:rsidRPr="00133407">
              <w:rPr>
                <w:rFonts w:ascii="Arial" w:hAnsi="Arial" w:cs="Arial"/>
              </w:rPr>
              <w:t>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LLA = 17 (14)%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ULA = 9 (11)%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Cox: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LLA = 16 (13)%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below ULA = 14 (18)%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% Time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Brain injury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Rivera-Lara 2019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Cox: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gramStart"/>
            <w:r w:rsidRPr="00133407">
              <w:rPr>
                <w:rFonts w:ascii="Arial" w:hAnsi="Arial" w:cs="Arial"/>
              </w:rPr>
              <w:t>below</w:t>
            </w:r>
            <w:proofErr w:type="gramEnd"/>
            <w:r w:rsidRPr="00133407">
              <w:rPr>
                <w:rFonts w:ascii="Arial" w:hAnsi="Arial" w:cs="Arial"/>
              </w:rPr>
              <w:t xml:space="preserve"> MAPOPT = 41 (19.2-60.9%)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above MAPOPT = 40 (20.4-60.3)%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Overall outside MAPOPT 83.7 (77-87.9%)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Prevalence by mag. of deviation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arrest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Hoiland</w:t>
            </w:r>
            <w:proofErr w:type="spellEnd"/>
            <w:r w:rsidRPr="00133407">
              <w:rPr>
                <w:rFonts w:ascii="Arial" w:hAnsi="Arial" w:cs="Arial"/>
              </w:rPr>
              <w:t xml:space="preserve"> 2020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MAP was more than ±5 mmHg from Cox-based MAPOPT in 231 (73%) of cases, and more than ±10 mmHg from MAPOPT in 141 (44%) of cases.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Prevalence by mag. of deviation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Brain injury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Rivera-Lara 2019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The median |ΔMAP| was 5.6 mm Hg (2.2–9.1 mm Hg) 8/89 (9%) patients had a positive difference between MAP and MAPOPT &gt;10 mmHg, and 8/89 (9%) patients had a negative difference between MAP and MAPOPT &gt;10 mmHg.</w:t>
            </w:r>
          </w:p>
        </w:tc>
      </w:tr>
      <w:tr w:rsidR="00AE6DFB" w:rsidRPr="00133407" w:rsidTr="00133407">
        <w:trPr>
          <w:trHeight w:val="79"/>
        </w:trPr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Hori 2014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Product of magnitude × duration of MAP &lt; lower limit of autoregulation (mm Hg h) (</w:t>
            </w:r>
            <w:proofErr w:type="spellStart"/>
            <w:r w:rsidRPr="00133407">
              <w:rPr>
                <w:rFonts w:ascii="Arial" w:hAnsi="Arial" w:cs="Arial"/>
              </w:rPr>
              <w:t>mediam</w:t>
            </w:r>
            <w:proofErr w:type="spellEnd"/>
            <w:r w:rsidRPr="00133407">
              <w:rPr>
                <w:rFonts w:ascii="Arial" w:hAnsi="Arial" w:cs="Arial"/>
              </w:rPr>
              <w:t xml:space="preserve">, IQR): 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Entire population (n=491): 3.448 (1.154 –9.696)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Product of magnitude × duration of MAP &gt;ULA (mm Hg h):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Entire population: 0.422 (0– 2.588) 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Hori 2015b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 (AUC &lt;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) for those with average MAP below the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 = 168 [91.3 to 269.0] mm </w:t>
            </w:r>
            <w:proofErr w:type="spellStart"/>
            <w:r w:rsidRPr="00133407">
              <w:rPr>
                <w:rFonts w:ascii="Arial" w:hAnsi="Arial" w:cs="Arial"/>
              </w:rPr>
              <w:t>Hgxh</w:t>
            </w:r>
            <w:proofErr w:type="spellEnd"/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(AUC &lt;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) for patients with an average MAP exceeding =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 8.75 [3.5 to 22.1] mm </w:t>
            </w:r>
            <w:proofErr w:type="spellStart"/>
            <w:r w:rsidRPr="00133407">
              <w:rPr>
                <w:rFonts w:ascii="Arial" w:hAnsi="Arial" w:cs="Arial"/>
              </w:rPr>
              <w:t>Hgxh</w:t>
            </w:r>
            <w:proofErr w:type="spellEnd"/>
            <w:r w:rsidRPr="00133407">
              <w:rPr>
                <w:rFonts w:ascii="Arial" w:hAnsi="Arial" w:cs="Arial"/>
              </w:rPr>
              <w:t>, p &lt; 0.001; Fig 3)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Hori 2016a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  <w:lang w:val="en-US"/>
              </w:rPr>
            </w:pPr>
            <w:r w:rsidRPr="00133407">
              <w:rPr>
                <w:rFonts w:ascii="Arial" w:hAnsi="Arial" w:cs="Arial"/>
                <w:lang w:val="en-US"/>
              </w:rPr>
              <w:t xml:space="preserve">AUC &lt; </w:t>
            </w:r>
            <w:proofErr w:type="spellStart"/>
            <w:r w:rsidRPr="00133407">
              <w:rPr>
                <w:rFonts w:ascii="Arial" w:hAnsi="Arial" w:cs="Arial"/>
                <w:lang w:val="en-US"/>
              </w:rPr>
              <w:t>OptMAP</w:t>
            </w:r>
            <w:proofErr w:type="spellEnd"/>
            <w:r w:rsidRPr="00133407">
              <w:rPr>
                <w:rFonts w:ascii="Arial" w:hAnsi="Arial" w:cs="Arial"/>
                <w:lang w:val="en-US"/>
              </w:rPr>
              <w:t>: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lang w:val="en-US"/>
              </w:rPr>
            </w:pPr>
            <w:r w:rsidRPr="00133407">
              <w:rPr>
                <w:rFonts w:ascii="Arial" w:hAnsi="Arial" w:cs="Arial"/>
                <w:lang w:val="en-US"/>
              </w:rPr>
              <w:t xml:space="preserve">During CPB [AKI, median, 13.27 </w:t>
            </w:r>
            <w:proofErr w:type="spellStart"/>
            <w:r w:rsidRPr="00133407">
              <w:rPr>
                <w:rFonts w:ascii="Arial" w:hAnsi="Arial" w:cs="Arial"/>
                <w:lang w:val="en-US"/>
              </w:rPr>
              <w:t>mmHgxh</w:t>
            </w:r>
            <w:proofErr w:type="spellEnd"/>
            <w:r w:rsidRPr="00133407">
              <w:rPr>
                <w:rFonts w:ascii="Arial" w:hAnsi="Arial" w:cs="Arial"/>
                <w:lang w:val="en-US"/>
              </w:rPr>
              <w:t xml:space="preserve">, interquartile range (IQR), 4.63–20.14 vs no AKI, median, 6.05 </w:t>
            </w:r>
            <w:proofErr w:type="spellStart"/>
            <w:r w:rsidRPr="00133407">
              <w:rPr>
                <w:rFonts w:ascii="Arial" w:hAnsi="Arial" w:cs="Arial"/>
                <w:lang w:val="en-US"/>
              </w:rPr>
              <w:t>mmHgxh</w:t>
            </w:r>
            <w:proofErr w:type="spellEnd"/>
            <w:r w:rsidRPr="00133407">
              <w:rPr>
                <w:rFonts w:ascii="Arial" w:hAnsi="Arial" w:cs="Arial"/>
                <w:lang w:val="en-US"/>
              </w:rPr>
              <w:t xml:space="preserve">, IQR 3.03–12.40 P = 0.008] 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lang w:val="en-US"/>
              </w:rPr>
              <w:t xml:space="preserve">ICU (AKI, median, 13.72 </w:t>
            </w:r>
            <w:proofErr w:type="spellStart"/>
            <w:r w:rsidRPr="00133407">
              <w:rPr>
                <w:rFonts w:ascii="Arial" w:hAnsi="Arial" w:cs="Arial"/>
                <w:lang w:val="en-US"/>
              </w:rPr>
              <w:t>mmHgxh</w:t>
            </w:r>
            <w:proofErr w:type="spellEnd"/>
            <w:r w:rsidRPr="00133407">
              <w:rPr>
                <w:rFonts w:ascii="Arial" w:hAnsi="Arial" w:cs="Arial"/>
                <w:lang w:val="en-US"/>
              </w:rPr>
              <w:t xml:space="preserve">, IQR 5.09–25.54 vs no AKI, median, 5.65 </w:t>
            </w:r>
            <w:proofErr w:type="spellStart"/>
            <w:r w:rsidRPr="00133407">
              <w:rPr>
                <w:rFonts w:ascii="Arial" w:hAnsi="Arial" w:cs="Arial"/>
                <w:lang w:val="en-US"/>
              </w:rPr>
              <w:t>mmHgxh</w:t>
            </w:r>
            <w:proofErr w:type="spellEnd"/>
            <w:r w:rsidRPr="00133407">
              <w:rPr>
                <w:rFonts w:ascii="Arial" w:hAnsi="Arial" w:cs="Arial"/>
                <w:lang w:val="en-US"/>
              </w:rPr>
              <w:t xml:space="preserve">, IQR 1.71–13.07, P = 0.022) for patients with and without CSA-AKI. 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Hori 2016b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AUC above Optimal MAP (AUC &gt;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): 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Patients without delirium: 24.0 ± 15.85 mmHg x hours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Patients with delirium: 27.5 ± 24.64 mmHg x hours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AUC below Optimal MAP (AUC &lt; </w:t>
            </w:r>
            <w:proofErr w:type="spellStart"/>
            <w:r w:rsidRPr="00133407">
              <w:rPr>
                <w:rFonts w:ascii="Arial" w:hAnsi="Arial" w:cs="Arial"/>
              </w:rPr>
              <w:t>OptMAP</w:t>
            </w:r>
            <w:proofErr w:type="spellEnd"/>
            <w:r w:rsidRPr="00133407">
              <w:rPr>
                <w:rFonts w:ascii="Arial" w:hAnsi="Arial" w:cs="Arial"/>
              </w:rPr>
              <w:t xml:space="preserve">): 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Without delirium: 21.9 ± 18.81 mmHg x hours</w:t>
            </w:r>
          </w:p>
          <w:p w:rsidR="00AE6DFB" w:rsidRPr="00133407" w:rsidRDefault="00AE6DFB" w:rsidP="003B002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With delirium: 23.4 ± 20.32 mmHg x hours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Brown 2019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AUC &lt; LLA for standard care = 9.5 (3.7-19.5)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LLA Intervention 5.3 (2.0-13.4)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 (Note that their final study dispute this)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Hori 2020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No AKI = 1.23 mm Hg × hr, 0.04-2.92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AKI 4.55 mm Hg × hr, 2.62-9.44 (P = .017)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>Nakano 2021</w:t>
            </w:r>
          </w:p>
        </w:tc>
        <w:tc>
          <w:tcPr>
            <w:tcW w:w="7285" w:type="dxa"/>
            <w:vAlign w:val="bottom"/>
          </w:tcPr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 xml:space="preserve">Area outside LLA and ULA was 16.9 (10.1-38.8) for OR and 16.9 (5.4-35.1) for ICU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Area under LLA was 12.7 (6.8-28.3) for OR and 9.3 (1.8-22.8) for ICU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Area above ULA was </w:t>
            </w:r>
            <w:r w:rsidRPr="00133407">
              <w:rPr>
                <w:rFonts w:ascii="Arial" w:hAnsi="Arial" w:cs="Arial"/>
                <w:lang w:val="en-US"/>
              </w:rPr>
              <w:t>5.3 (2.8-13.1) for OR and 5.3 (1.2-15.6) for ICU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Liu 2021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AUC (mmHg × hr) &lt; LLA at different </w:t>
            </w:r>
            <w:proofErr w:type="spellStart"/>
            <w:r w:rsidRPr="00133407">
              <w:rPr>
                <w:rFonts w:ascii="Arial" w:hAnsi="Arial" w:cs="Arial"/>
              </w:rPr>
              <w:t>indice</w:t>
            </w:r>
            <w:proofErr w:type="spellEnd"/>
            <w:r w:rsidRPr="00133407">
              <w:rPr>
                <w:rFonts w:ascii="Arial" w:hAnsi="Arial" w:cs="Arial"/>
              </w:rPr>
              <w:t xml:space="preserve"> thresholds: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Mx</w:t>
            </w:r>
            <w:proofErr w:type="spellEnd"/>
            <w:r w:rsidRPr="00133407">
              <w:rPr>
                <w:rFonts w:ascii="Arial" w:hAnsi="Arial" w:cs="Arial"/>
              </w:rPr>
              <w:t xml:space="preserve"> = 0.45 = w/o AKI 6.30+/-6.32, w/ AKI 13.95+/-15.62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Cox = 0.35 w/o AKI = 7.11+/-7.48; w/ AKI = 12.74 +/-12.9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HVx</w:t>
            </w:r>
            <w:proofErr w:type="spellEnd"/>
            <w:r w:rsidRPr="00133407">
              <w:rPr>
                <w:rFonts w:ascii="Arial" w:hAnsi="Arial" w:cs="Arial"/>
              </w:rPr>
              <w:t xml:space="preserve"> 0.3 = w/o AKI = 10.88+/-10.85, w/ AKI = 18.09+/-19.70.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Liu 2022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Mean AUC of MAP &lt; </w:t>
            </w:r>
            <w:proofErr w:type="spellStart"/>
            <w:r w:rsidRPr="00133407">
              <w:rPr>
                <w:rFonts w:ascii="Arial" w:hAnsi="Arial" w:cs="Arial"/>
              </w:rPr>
              <w:t>MAPopt_COx</w:t>
            </w:r>
            <w:proofErr w:type="spellEnd"/>
            <w:r w:rsidRPr="00133407">
              <w:rPr>
                <w:rFonts w:ascii="Arial" w:hAnsi="Arial" w:cs="Arial"/>
              </w:rPr>
              <w:t>, mm Hg h, median [IQR] 23.3 [13.4–38.8]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Mean AUC of MAP &lt; </w:t>
            </w:r>
            <w:proofErr w:type="spellStart"/>
            <w:r w:rsidRPr="00133407">
              <w:rPr>
                <w:rFonts w:ascii="Arial" w:hAnsi="Arial" w:cs="Arial"/>
              </w:rPr>
              <w:t>MAPopt_Mx</w:t>
            </w:r>
            <w:proofErr w:type="spellEnd"/>
            <w:r w:rsidRPr="00133407">
              <w:rPr>
                <w:rFonts w:ascii="Arial" w:hAnsi="Arial" w:cs="Arial"/>
              </w:rPr>
              <w:t>, mm Hg h, median [IQR] 20.5 [11.5–35.6]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min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Brain Injury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Laurikkala</w:t>
            </w:r>
            <w:proofErr w:type="spellEnd"/>
            <w:r w:rsidRPr="00133407">
              <w:rPr>
                <w:rFonts w:ascii="Arial" w:hAnsi="Arial" w:cs="Arial"/>
              </w:rPr>
              <w:t xml:space="preserve"> 2021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  <w:lang w:val="fr-FR"/>
              </w:rPr>
            </w:pPr>
            <w:r w:rsidRPr="00133407">
              <w:rPr>
                <w:rFonts w:ascii="Arial" w:hAnsi="Arial" w:cs="Arial"/>
                <w:lang w:val="fr-FR"/>
              </w:rPr>
              <w:t>AUC &lt; LLA:</w:t>
            </w:r>
          </w:p>
          <w:p w:rsidR="00AE6DFB" w:rsidRPr="00133407" w:rsidRDefault="00AE6DFB" w:rsidP="003B0024">
            <w:pPr>
              <w:rPr>
                <w:rFonts w:ascii="Arial" w:hAnsi="Arial" w:cs="Arial"/>
                <w:lang w:val="fr-FR"/>
              </w:rPr>
            </w:pPr>
            <w:r w:rsidRPr="00133407">
              <w:rPr>
                <w:rFonts w:ascii="Arial" w:hAnsi="Arial" w:cs="Arial"/>
                <w:lang w:val="fr-FR"/>
              </w:rPr>
              <w:t xml:space="preserve">0-12: 132 (36–479) 12-24 h: 107 (31–305) 24-48 h: 235 (6–653) </w:t>
            </w:r>
          </w:p>
          <w:p w:rsidR="00AE6DFB" w:rsidRPr="00133407" w:rsidRDefault="00AE6DFB" w:rsidP="003B0024">
            <w:pPr>
              <w:rPr>
                <w:rFonts w:ascii="Arial" w:hAnsi="Arial" w:cs="Arial"/>
                <w:lang w:val="fr-FR"/>
              </w:rPr>
            </w:pPr>
            <w:r w:rsidRPr="00133407">
              <w:rPr>
                <w:rFonts w:ascii="Arial" w:hAnsi="Arial" w:cs="Arial"/>
                <w:lang w:val="fr-FR"/>
              </w:rPr>
              <w:t>AUC &gt; ULA:</w:t>
            </w:r>
          </w:p>
          <w:p w:rsidR="00AE6DFB" w:rsidRPr="00133407" w:rsidRDefault="00AE6DFB" w:rsidP="003B0024">
            <w:pPr>
              <w:rPr>
                <w:rFonts w:ascii="Arial" w:hAnsi="Arial" w:cs="Arial"/>
                <w:lang w:val="en-US"/>
              </w:rPr>
            </w:pPr>
            <w:r w:rsidRPr="00133407">
              <w:rPr>
                <w:rFonts w:ascii="Arial" w:hAnsi="Arial" w:cs="Arial"/>
                <w:lang w:val="en-US"/>
              </w:rPr>
              <w:t>0-12: 315 (100–846) 12-24 h:195 (55–1004) 24-48 h: 266 (99–101)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Area between LLA and ULA: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lang w:val="en-US"/>
              </w:rPr>
              <w:t>0-12: 5399 (3950–8231) 12-24 h: 7958 (4818–11079) 24-48 h: 15870 (9423–21785)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Mm Hg x min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Non-cardiac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Melvin 2022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Hx</w:t>
            </w:r>
            <w:proofErr w:type="spellEnd"/>
            <w:r w:rsidRPr="00133407">
              <w:rPr>
                <w:rFonts w:ascii="Arial" w:hAnsi="Arial" w:cs="Arial"/>
              </w:rPr>
              <w:t>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below LLA = 357 (803)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below ULA = 121 (138)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proofErr w:type="spellStart"/>
            <w:r w:rsidRPr="00133407">
              <w:rPr>
                <w:rFonts w:ascii="Arial" w:hAnsi="Arial" w:cs="Arial"/>
              </w:rPr>
              <w:t>COx</w:t>
            </w:r>
            <w:proofErr w:type="spellEnd"/>
            <w:r w:rsidRPr="00133407">
              <w:rPr>
                <w:rFonts w:ascii="Arial" w:hAnsi="Arial" w:cs="Arial"/>
              </w:rPr>
              <w:t>: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below LLA = 149 (112)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 xml:space="preserve">below ULA =  209 (267) 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 (adjusted)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mmHg x min/h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Ono 2013b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>&lt; LLA:</w:t>
            </w:r>
          </w:p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 xml:space="preserve">AKI (n=121)= 11.2±12.4 (7.8 to 13.0)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No AKI (n=227) = 6.6± 7.2 (5.7 to 7.9)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 (adjusted)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mmHg x min/h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Ono 2014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>&lt; LLA:</w:t>
            </w:r>
          </w:p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 xml:space="preserve">No MMOM (n=354) = 2.4 (1.1-5.7)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MMOM (n=83) = 6.5 (2.1-15.4) p =0.17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 (adjusted)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mm Hg x h per hour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Cardiac surgery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Nakano 2021</w:t>
            </w:r>
          </w:p>
        </w:tc>
        <w:tc>
          <w:tcPr>
            <w:tcW w:w="7285" w:type="dxa"/>
            <w:vAlign w:val="bottom"/>
          </w:tcPr>
          <w:p w:rsidR="00AE6DFB" w:rsidRPr="00133407" w:rsidRDefault="00AE6DFB" w:rsidP="003B0024">
            <w:pPr>
              <w:rPr>
                <w:rFonts w:ascii="Arial" w:hAnsi="Arial" w:cs="Arial"/>
                <w:color w:val="000000"/>
              </w:rPr>
            </w:pPr>
            <w:r w:rsidRPr="00133407">
              <w:rPr>
                <w:rFonts w:ascii="Arial" w:hAnsi="Arial" w:cs="Arial"/>
                <w:color w:val="000000"/>
              </w:rPr>
              <w:t xml:space="preserve">Area outside LLA and ULA was 4.1 (2.4-7.3) for OR and 1.1 (0.4-2.2) for ICU 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Area under LLA was 3.1 (1.6-5.6) for OR and 0.5 (0.1-1.4) for ICU</w:t>
            </w:r>
          </w:p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Area above ULA was 1.1 (0.6-2.7) for OR and 0.4 (0.1-0.9) for ICU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 (adjusted)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% (time x deviation)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Respiratory failure and shock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Khan 2020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Area outside LLA and ULA was 39.6 (22</w:t>
            </w:r>
            <w:proofErr w:type="gramStart"/>
            <w:r w:rsidRPr="00133407">
              <w:rPr>
                <w:rFonts w:ascii="Arial" w:hAnsi="Arial" w:cs="Arial"/>
                <w:color w:val="000000"/>
              </w:rPr>
              <w:t>)%</w:t>
            </w:r>
            <w:proofErr w:type="gramEnd"/>
            <w:r w:rsidRPr="00133407">
              <w:rPr>
                <w:rFonts w:ascii="Arial" w:hAnsi="Arial" w:cs="Arial"/>
                <w:color w:val="000000"/>
              </w:rPr>
              <w:t>. [mean (SD)]</w:t>
            </w:r>
          </w:p>
        </w:tc>
      </w:tr>
      <w:tr w:rsidR="00AE6DFB" w:rsidRPr="00133407" w:rsidTr="00133407">
        <w:tc>
          <w:tcPr>
            <w:tcW w:w="1632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Time x deviation (adjusted)</w:t>
            </w:r>
          </w:p>
        </w:tc>
        <w:tc>
          <w:tcPr>
            <w:tcW w:w="1426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% (time x deviation)</w:t>
            </w:r>
          </w:p>
        </w:tc>
        <w:tc>
          <w:tcPr>
            <w:tcW w:w="1457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</w:rPr>
              <w:t>Respiratory failure and shock</w:t>
            </w:r>
          </w:p>
        </w:tc>
        <w:tc>
          <w:tcPr>
            <w:tcW w:w="1559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Khan 2023</w:t>
            </w:r>
          </w:p>
        </w:tc>
        <w:tc>
          <w:tcPr>
            <w:tcW w:w="7285" w:type="dxa"/>
          </w:tcPr>
          <w:p w:rsidR="00AE6DFB" w:rsidRPr="00133407" w:rsidRDefault="00AE6DFB" w:rsidP="003B0024">
            <w:pPr>
              <w:rPr>
                <w:rFonts w:ascii="Arial" w:hAnsi="Arial" w:cs="Arial"/>
              </w:rPr>
            </w:pPr>
            <w:r w:rsidRPr="00133407">
              <w:rPr>
                <w:rFonts w:ascii="Arial" w:hAnsi="Arial" w:cs="Arial"/>
                <w:color w:val="000000"/>
              </w:rPr>
              <w:t>Area outside LLA and ULA was 36 (9</w:t>
            </w:r>
            <w:proofErr w:type="gramStart"/>
            <w:r w:rsidRPr="00133407">
              <w:rPr>
                <w:rFonts w:ascii="Arial" w:hAnsi="Arial" w:cs="Arial"/>
                <w:color w:val="000000"/>
              </w:rPr>
              <w:t>)%</w:t>
            </w:r>
            <w:proofErr w:type="gramEnd"/>
            <w:r w:rsidRPr="00133407">
              <w:rPr>
                <w:rFonts w:ascii="Arial" w:hAnsi="Arial" w:cs="Arial"/>
                <w:color w:val="000000"/>
              </w:rPr>
              <w:t>. [mean (SD)]</w:t>
            </w:r>
          </w:p>
        </w:tc>
      </w:tr>
    </w:tbl>
    <w:p w:rsidR="00DC76AB" w:rsidRDefault="00AE6DFB">
      <w:r w:rsidRPr="00133407">
        <w:rPr>
          <w:rFonts w:ascii="Arial" w:hAnsi="Arial" w:cs="Arial"/>
        </w:rPr>
        <w:t xml:space="preserve">MAP = Mean arterial pressure, AUC = Area under the autoregulation curve, LLA = Lower limit of autoregulation, ULA = Upper limit of autoregulation, AKI = Acute kidney injury, MMOM = Major mortality and morbidity, Cox = Cerebral oximetry, </w:t>
      </w:r>
      <w:proofErr w:type="spellStart"/>
      <w:r w:rsidRPr="00133407">
        <w:rPr>
          <w:rFonts w:ascii="Arial" w:hAnsi="Arial" w:cs="Arial"/>
        </w:rPr>
        <w:t>HVx</w:t>
      </w:r>
      <w:proofErr w:type="spellEnd"/>
      <w:r w:rsidRPr="00133407">
        <w:rPr>
          <w:rFonts w:ascii="Arial" w:hAnsi="Arial" w:cs="Arial"/>
        </w:rPr>
        <w:t xml:space="preserve"> = Haemoglobin volume reactivity index. </w:t>
      </w:r>
      <w:proofErr w:type="spellStart"/>
      <w:r w:rsidRPr="00133407">
        <w:rPr>
          <w:rFonts w:ascii="Arial" w:hAnsi="Arial" w:cs="Arial"/>
        </w:rPr>
        <w:t>COx</w:t>
      </w:r>
      <w:proofErr w:type="spellEnd"/>
      <w:r w:rsidRPr="00133407">
        <w:rPr>
          <w:rFonts w:ascii="Arial" w:hAnsi="Arial" w:cs="Arial"/>
        </w:rPr>
        <w:t xml:space="preserve"> = Cerebral oximetry index. </w:t>
      </w:r>
      <w:proofErr w:type="spellStart"/>
      <w:r w:rsidRPr="00133407">
        <w:rPr>
          <w:rFonts w:ascii="Arial" w:hAnsi="Arial" w:cs="Arial"/>
        </w:rPr>
        <w:t>Mx</w:t>
      </w:r>
      <w:proofErr w:type="spellEnd"/>
      <w:r w:rsidRPr="00133407">
        <w:rPr>
          <w:rFonts w:ascii="Arial" w:hAnsi="Arial" w:cs="Arial"/>
        </w:rPr>
        <w:t xml:space="preserve"> = Mean Velocity Index. </w:t>
      </w:r>
      <w:proofErr w:type="spellStart"/>
      <w:r w:rsidRPr="00133407">
        <w:rPr>
          <w:rFonts w:ascii="Arial" w:hAnsi="Arial" w:cs="Arial"/>
        </w:rPr>
        <w:t>CFVx</w:t>
      </w:r>
      <w:proofErr w:type="spellEnd"/>
      <w:r w:rsidRPr="00133407">
        <w:rPr>
          <w:rFonts w:ascii="Arial" w:hAnsi="Arial" w:cs="Arial"/>
        </w:rPr>
        <w:t xml:space="preserve"> = Cerebral Flow Velocity Index, D = Day, CPC = Cerebral performance category</w:t>
      </w:r>
    </w:p>
    <w:sectPr w:rsidR="00DC76AB" w:rsidSect="001334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0C652A"/>
    <w:multiLevelType w:val="hybridMultilevel"/>
    <w:tmpl w:val="87EE1FE4"/>
    <w:lvl w:ilvl="0" w:tplc="9670DEC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B388E"/>
    <w:multiLevelType w:val="hybridMultilevel"/>
    <w:tmpl w:val="278473A4"/>
    <w:lvl w:ilvl="0" w:tplc="9670DEC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FB"/>
    <w:rsid w:val="0004454E"/>
    <w:rsid w:val="00073A06"/>
    <w:rsid w:val="000853E7"/>
    <w:rsid w:val="00085681"/>
    <w:rsid w:val="000B1667"/>
    <w:rsid w:val="000B3454"/>
    <w:rsid w:val="000E31DC"/>
    <w:rsid w:val="00130DA9"/>
    <w:rsid w:val="00133407"/>
    <w:rsid w:val="0017174D"/>
    <w:rsid w:val="00172F4B"/>
    <w:rsid w:val="001972AA"/>
    <w:rsid w:val="001F0E8D"/>
    <w:rsid w:val="00203F96"/>
    <w:rsid w:val="002702CE"/>
    <w:rsid w:val="002A3529"/>
    <w:rsid w:val="002B58AC"/>
    <w:rsid w:val="002C7101"/>
    <w:rsid w:val="00340C6D"/>
    <w:rsid w:val="00385AD3"/>
    <w:rsid w:val="003A1D05"/>
    <w:rsid w:val="003D0000"/>
    <w:rsid w:val="003E6DEC"/>
    <w:rsid w:val="003F2706"/>
    <w:rsid w:val="004167EE"/>
    <w:rsid w:val="00430507"/>
    <w:rsid w:val="00445199"/>
    <w:rsid w:val="00495B83"/>
    <w:rsid w:val="004F3425"/>
    <w:rsid w:val="004F449C"/>
    <w:rsid w:val="0057294E"/>
    <w:rsid w:val="005C1F90"/>
    <w:rsid w:val="005C59A6"/>
    <w:rsid w:val="006D6490"/>
    <w:rsid w:val="006E5452"/>
    <w:rsid w:val="006E6130"/>
    <w:rsid w:val="00701ACA"/>
    <w:rsid w:val="00734C75"/>
    <w:rsid w:val="007408DE"/>
    <w:rsid w:val="00750BA6"/>
    <w:rsid w:val="00756F5B"/>
    <w:rsid w:val="007A4306"/>
    <w:rsid w:val="007A512B"/>
    <w:rsid w:val="007C1F99"/>
    <w:rsid w:val="007E4948"/>
    <w:rsid w:val="007E76D7"/>
    <w:rsid w:val="008226BB"/>
    <w:rsid w:val="00832C54"/>
    <w:rsid w:val="00844921"/>
    <w:rsid w:val="008575C4"/>
    <w:rsid w:val="008C3C97"/>
    <w:rsid w:val="008F0E81"/>
    <w:rsid w:val="00903D94"/>
    <w:rsid w:val="00966EC3"/>
    <w:rsid w:val="00981682"/>
    <w:rsid w:val="009C653A"/>
    <w:rsid w:val="009F381F"/>
    <w:rsid w:val="00A16DC5"/>
    <w:rsid w:val="00A723A6"/>
    <w:rsid w:val="00A76B03"/>
    <w:rsid w:val="00A81F3C"/>
    <w:rsid w:val="00A93EEF"/>
    <w:rsid w:val="00AA2887"/>
    <w:rsid w:val="00AE2DED"/>
    <w:rsid w:val="00AE448C"/>
    <w:rsid w:val="00AE6DFB"/>
    <w:rsid w:val="00B75516"/>
    <w:rsid w:val="00B83761"/>
    <w:rsid w:val="00B859CF"/>
    <w:rsid w:val="00BC71A1"/>
    <w:rsid w:val="00BE26F4"/>
    <w:rsid w:val="00C02A14"/>
    <w:rsid w:val="00C04834"/>
    <w:rsid w:val="00C05A42"/>
    <w:rsid w:val="00C348B5"/>
    <w:rsid w:val="00C467C9"/>
    <w:rsid w:val="00C52558"/>
    <w:rsid w:val="00C54255"/>
    <w:rsid w:val="00CE6EB2"/>
    <w:rsid w:val="00D37DAF"/>
    <w:rsid w:val="00D617DD"/>
    <w:rsid w:val="00D71153"/>
    <w:rsid w:val="00DC27CA"/>
    <w:rsid w:val="00DC76AB"/>
    <w:rsid w:val="00DE0ACF"/>
    <w:rsid w:val="00DE0EF5"/>
    <w:rsid w:val="00DF3EE3"/>
    <w:rsid w:val="00E33A60"/>
    <w:rsid w:val="00E34D5D"/>
    <w:rsid w:val="00E80C15"/>
    <w:rsid w:val="00E826C5"/>
    <w:rsid w:val="00E922EA"/>
    <w:rsid w:val="00EA77F4"/>
    <w:rsid w:val="00ED13F1"/>
    <w:rsid w:val="00EF7F58"/>
    <w:rsid w:val="00F066A0"/>
    <w:rsid w:val="00F731B2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FB965D-228E-4616-85B7-116550DF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DFB"/>
    <w:pPr>
      <w:spacing w:after="0" w:line="240" w:lineRule="auto"/>
      <w:ind w:left="720"/>
      <w:contextualSpacing/>
    </w:pPr>
    <w:rPr>
      <w:rFonts w:eastAsiaTheme="minorEastAsia"/>
      <w:kern w:val="2"/>
      <w:sz w:val="24"/>
      <w:szCs w:val="24"/>
      <w:lang w:val="en-CA" w:eastAsia="zh-CN"/>
      <w14:ligatures w14:val="standardContextual"/>
    </w:rPr>
  </w:style>
  <w:style w:type="table" w:styleId="TableGrid">
    <w:name w:val="Table Grid"/>
    <w:basedOn w:val="TableNormal"/>
    <w:uiPriority w:val="39"/>
    <w:rsid w:val="00AE6DFB"/>
    <w:pPr>
      <w:spacing w:after="0" w:line="240" w:lineRule="auto"/>
    </w:pPr>
    <w:rPr>
      <w:rFonts w:eastAsiaTheme="minorEastAsia"/>
      <w:kern w:val="2"/>
      <w:sz w:val="24"/>
      <w:szCs w:val="24"/>
      <w:lang w:val="en-CA"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Sowmiya S</dc:creator>
  <cp:keywords/>
  <dc:description/>
  <cp:lastModifiedBy>Sowmiya S</cp:lastModifiedBy>
  <cp:revision>2</cp:revision>
  <dcterms:created xsi:type="dcterms:W3CDTF">2025-05-06T14:58:00Z</dcterms:created>
  <dcterms:modified xsi:type="dcterms:W3CDTF">2025-05-07T09:27:00Z</dcterms:modified>
</cp:coreProperties>
</file>