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1BEB" w:rsidRPr="0057486A" w:rsidRDefault="00C71BEB" w:rsidP="00C71BEB">
      <w:pPr>
        <w:spacing w:line="480" w:lineRule="auto"/>
        <w:rPr>
          <w:b/>
          <w:bCs/>
          <w:sz w:val="36"/>
          <w:szCs w:val="36"/>
          <w:lang w:val="en-US"/>
        </w:rPr>
      </w:pPr>
      <w:r w:rsidRPr="0057486A">
        <w:rPr>
          <w:b/>
          <w:bCs/>
          <w:sz w:val="36"/>
          <w:szCs w:val="36"/>
          <w:lang w:val="en-US"/>
        </w:rPr>
        <w:t>Supplemental materials</w:t>
      </w:r>
    </w:p>
    <w:p w:rsidR="00C71BEB" w:rsidRPr="0057486A" w:rsidRDefault="00C71BEB" w:rsidP="00C71BEB">
      <w:pPr>
        <w:spacing w:line="480" w:lineRule="auto"/>
        <w:rPr>
          <w:b/>
          <w:bCs/>
          <w:lang w:val="en-US"/>
        </w:rPr>
      </w:pPr>
      <w:r w:rsidRPr="0057486A">
        <w:rPr>
          <w:b/>
          <w:bCs/>
          <w:lang w:val="en-US"/>
        </w:rPr>
        <w:t>Supplemental Figure 1</w:t>
      </w:r>
    </w:p>
    <w:p w:rsidR="00C71BEB" w:rsidRPr="0057486A" w:rsidRDefault="00C71BEB" w:rsidP="00C71BEB">
      <w:pPr>
        <w:spacing w:line="480" w:lineRule="auto"/>
        <w:jc w:val="center"/>
        <w:rPr>
          <w:b/>
          <w:bCs/>
          <w:lang w:val="en-US"/>
        </w:rPr>
      </w:pPr>
      <w:r w:rsidRPr="0057486A">
        <w:rPr>
          <w:b/>
          <w:bCs/>
          <w:noProof/>
          <w:lang w:val="en-US"/>
        </w:rPr>
        <w:drawing>
          <wp:inline distT="0" distB="0" distL="0" distR="0" wp14:anchorId="462928DB" wp14:editId="3411417C">
            <wp:extent cx="5760720" cy="7059295"/>
            <wp:effectExtent l="0" t="0" r="5080" b="1905"/>
            <wp:docPr id="123367174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671748" name="Grafik 123367174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5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BEB" w:rsidRPr="0057486A" w:rsidRDefault="00C71BEB" w:rsidP="00C71BEB">
      <w:pPr>
        <w:spacing w:after="120" w:line="480" w:lineRule="auto"/>
        <w:jc w:val="both"/>
        <w:rPr>
          <w:color w:val="000000"/>
          <w:sz w:val="22"/>
          <w:szCs w:val="22"/>
          <w:lang w:val="en-US"/>
        </w:rPr>
      </w:pPr>
      <w:r w:rsidRPr="0057486A">
        <w:rPr>
          <w:b/>
          <w:bCs/>
          <w:sz w:val="22"/>
          <w:szCs w:val="22"/>
          <w:lang w:val="en-US"/>
        </w:rPr>
        <w:t>Supplemental Figure 1.</w:t>
      </w:r>
      <w:r w:rsidRPr="0057486A">
        <w:rPr>
          <w:sz w:val="22"/>
          <w:szCs w:val="22"/>
          <w:lang w:val="en-US"/>
        </w:rPr>
        <w:t xml:space="preserve"> Scatterplot of </w:t>
      </w:r>
      <w:r w:rsidRPr="0057486A">
        <w:rPr>
          <w:b/>
          <w:bCs/>
          <w:sz w:val="22"/>
          <w:szCs w:val="22"/>
          <w:lang w:val="en-US"/>
        </w:rPr>
        <w:t>A.</w:t>
      </w:r>
      <w:r w:rsidRPr="0057486A">
        <w:rPr>
          <w:sz w:val="22"/>
          <w:szCs w:val="22"/>
          <w:lang w:val="en-US"/>
        </w:rPr>
        <w:t xml:space="preserve"> median glucose (mmol/L), </w:t>
      </w:r>
      <w:r w:rsidRPr="0057486A">
        <w:rPr>
          <w:b/>
          <w:bCs/>
          <w:sz w:val="22"/>
          <w:szCs w:val="22"/>
          <w:lang w:val="en-US"/>
        </w:rPr>
        <w:t>B.</w:t>
      </w:r>
      <w:r w:rsidRPr="0057486A">
        <w:rPr>
          <w:sz w:val="22"/>
          <w:szCs w:val="22"/>
          <w:lang w:val="en-US"/>
        </w:rPr>
        <w:t xml:space="preserve"> median lactate-to-pyruvate ratio (LPR), </w:t>
      </w:r>
      <w:r w:rsidRPr="0057486A">
        <w:rPr>
          <w:b/>
          <w:bCs/>
          <w:sz w:val="22"/>
          <w:szCs w:val="22"/>
          <w:lang w:val="en-US"/>
        </w:rPr>
        <w:t>C.</w:t>
      </w:r>
      <w:r w:rsidRPr="0057486A">
        <w:rPr>
          <w:sz w:val="22"/>
          <w:szCs w:val="22"/>
          <w:lang w:val="en-US"/>
        </w:rPr>
        <w:t xml:space="preserve"> median glutamate (</w:t>
      </w:r>
      <w:r w:rsidRPr="0057486A">
        <w:rPr>
          <w:color w:val="000000"/>
          <w:sz w:val="22"/>
          <w:szCs w:val="22"/>
          <w:lang w:val="en-US"/>
        </w:rPr>
        <w:t xml:space="preserve">µmol/L), </w:t>
      </w:r>
      <w:r w:rsidRPr="0057486A">
        <w:rPr>
          <w:b/>
          <w:bCs/>
          <w:color w:val="000000"/>
          <w:sz w:val="22"/>
          <w:szCs w:val="22"/>
          <w:lang w:val="en-US"/>
        </w:rPr>
        <w:t>D.</w:t>
      </w:r>
      <w:r w:rsidRPr="0057486A">
        <w:rPr>
          <w:color w:val="000000"/>
          <w:sz w:val="22"/>
          <w:szCs w:val="22"/>
          <w:lang w:val="en-US"/>
        </w:rPr>
        <w:t xml:space="preserve"> median glycerol (mmol/L), </w:t>
      </w:r>
      <w:r w:rsidRPr="0057486A">
        <w:rPr>
          <w:b/>
          <w:bCs/>
          <w:color w:val="000000"/>
          <w:sz w:val="22"/>
          <w:szCs w:val="22"/>
          <w:lang w:val="en-US"/>
        </w:rPr>
        <w:t>E.</w:t>
      </w:r>
      <w:r w:rsidRPr="0057486A">
        <w:rPr>
          <w:color w:val="000000"/>
          <w:sz w:val="22"/>
          <w:szCs w:val="22"/>
          <w:lang w:val="en-US"/>
        </w:rPr>
        <w:t xml:space="preserve"> mean pressure reactivity index (</w:t>
      </w:r>
      <w:proofErr w:type="spellStart"/>
      <w:r w:rsidRPr="0057486A">
        <w:rPr>
          <w:color w:val="000000"/>
          <w:sz w:val="22"/>
          <w:szCs w:val="22"/>
          <w:lang w:val="en-US"/>
        </w:rPr>
        <w:t>PRx</w:t>
      </w:r>
      <w:proofErr w:type="spellEnd"/>
      <w:r w:rsidRPr="0057486A">
        <w:rPr>
          <w:color w:val="000000"/>
          <w:sz w:val="22"/>
          <w:szCs w:val="22"/>
          <w:lang w:val="en-US"/>
        </w:rPr>
        <w:t xml:space="preserve">), </w:t>
      </w:r>
      <w:r w:rsidRPr="0057486A">
        <w:rPr>
          <w:b/>
          <w:bCs/>
          <w:color w:val="000000"/>
          <w:sz w:val="22"/>
          <w:szCs w:val="22"/>
          <w:lang w:val="en-US"/>
        </w:rPr>
        <w:t>F.</w:t>
      </w:r>
      <w:r w:rsidRPr="0057486A">
        <w:rPr>
          <w:color w:val="000000"/>
          <w:sz w:val="22"/>
          <w:szCs w:val="22"/>
          <w:lang w:val="en-US"/>
        </w:rPr>
        <w:t xml:space="preserve"> median brain tissue oxygen pressure (PtiO</w:t>
      </w:r>
      <w:r w:rsidRPr="0057486A">
        <w:rPr>
          <w:color w:val="000000"/>
          <w:sz w:val="22"/>
          <w:szCs w:val="22"/>
          <w:vertAlign w:val="subscript"/>
          <w:lang w:val="en-US"/>
        </w:rPr>
        <w:t>2</w:t>
      </w:r>
      <w:r w:rsidRPr="0057486A">
        <w:rPr>
          <w:color w:val="000000"/>
          <w:sz w:val="22"/>
          <w:szCs w:val="22"/>
          <w:lang w:val="en-US"/>
        </w:rPr>
        <w:t xml:space="preserve"> (mmHg)) over 7 days (168 hours) preceding </w:t>
      </w:r>
      <w:r w:rsidRPr="0057486A">
        <w:rPr>
          <w:color w:val="000000"/>
          <w:sz w:val="22"/>
          <w:szCs w:val="22"/>
          <w:lang w:val="en-US"/>
        </w:rPr>
        <w:lastRenderedPageBreak/>
        <w:t xml:space="preserve">cerebral hypoperfusion and treatment initiation. Data has been dichotomized based on treatment response (development of DCI-related infarction or not). </w:t>
      </w:r>
      <w:r w:rsidRPr="0057486A">
        <w:rPr>
          <w:sz w:val="22"/>
          <w:szCs w:val="22"/>
          <w:lang w:val="en-US"/>
        </w:rPr>
        <w:t xml:space="preserve">Locally estimated scatterplot smoothing lines are plotted for each outcome group with shaded areas representing 95% confidence intervals. </w:t>
      </w:r>
    </w:p>
    <w:p w:rsidR="00C71BEB" w:rsidRPr="0057486A" w:rsidRDefault="00C71BEB" w:rsidP="00C71BEB">
      <w:pPr>
        <w:spacing w:line="480" w:lineRule="auto"/>
        <w:rPr>
          <w:sz w:val="16"/>
          <w:szCs w:val="16"/>
          <w:lang w:val="en-US"/>
        </w:rPr>
      </w:pPr>
      <w:r w:rsidRPr="0057486A">
        <w:rPr>
          <w:sz w:val="16"/>
          <w:szCs w:val="16"/>
          <w:lang w:val="en-US"/>
        </w:rPr>
        <w:t xml:space="preserve">DCI, delayed cerebral ischemia; </w:t>
      </w:r>
      <w:proofErr w:type="spellStart"/>
      <w:r w:rsidRPr="0057486A">
        <w:rPr>
          <w:sz w:val="16"/>
          <w:szCs w:val="16"/>
          <w:lang w:val="en-US"/>
        </w:rPr>
        <w:t>hrs</w:t>
      </w:r>
      <w:proofErr w:type="spellEnd"/>
      <w:r w:rsidRPr="0057486A">
        <w:rPr>
          <w:sz w:val="16"/>
          <w:szCs w:val="16"/>
          <w:lang w:val="en-US"/>
        </w:rPr>
        <w:t xml:space="preserve">, hours; L, litter; mmHg, millimeters of mercury, </w:t>
      </w:r>
      <w:r w:rsidRPr="0057486A">
        <w:rPr>
          <w:color w:val="000000"/>
          <w:sz w:val="16"/>
          <w:szCs w:val="16"/>
          <w:lang w:val="en-US"/>
        </w:rPr>
        <w:t>µmol</w:t>
      </w:r>
      <w:r w:rsidRPr="0057486A">
        <w:rPr>
          <w:sz w:val="16"/>
          <w:szCs w:val="16"/>
          <w:lang w:val="en-US"/>
        </w:rPr>
        <w:t xml:space="preserve">, micromole; mmol, millimole. </w:t>
      </w:r>
    </w:p>
    <w:p w:rsidR="00C71BEB" w:rsidRPr="0057486A" w:rsidRDefault="00C71BEB" w:rsidP="00C71BEB">
      <w:pPr>
        <w:spacing w:line="480" w:lineRule="auto"/>
        <w:rPr>
          <w:b/>
          <w:bCs/>
          <w:lang w:val="en-US"/>
        </w:rPr>
      </w:pPr>
      <w:r w:rsidRPr="0057486A">
        <w:rPr>
          <w:b/>
          <w:bCs/>
          <w:lang w:val="en-US"/>
        </w:rPr>
        <w:br w:type="page"/>
      </w:r>
    </w:p>
    <w:p w:rsidR="00C71BEB" w:rsidRPr="0057486A" w:rsidRDefault="00C71BEB" w:rsidP="00C71BEB">
      <w:pPr>
        <w:spacing w:line="480" w:lineRule="auto"/>
        <w:rPr>
          <w:b/>
          <w:bCs/>
          <w:lang w:val="en-US"/>
        </w:rPr>
      </w:pPr>
      <w:r w:rsidRPr="0057486A">
        <w:rPr>
          <w:b/>
          <w:bCs/>
          <w:lang w:val="en-US"/>
        </w:rPr>
        <w:lastRenderedPageBreak/>
        <w:t>Supplemental Figure 2</w:t>
      </w:r>
    </w:p>
    <w:p w:rsidR="00C71BEB" w:rsidRPr="0057486A" w:rsidRDefault="00C71BEB" w:rsidP="00C71BEB">
      <w:pPr>
        <w:spacing w:line="480" w:lineRule="auto"/>
        <w:jc w:val="center"/>
        <w:rPr>
          <w:lang w:val="en-US"/>
        </w:rPr>
      </w:pPr>
      <w:r w:rsidRPr="0057486A">
        <w:rPr>
          <w:noProof/>
          <w:lang w:val="en-US"/>
        </w:rPr>
        <w:drawing>
          <wp:inline distT="0" distB="0" distL="0" distR="0" wp14:anchorId="150A096B" wp14:editId="3D17F968">
            <wp:extent cx="5760720" cy="6989445"/>
            <wp:effectExtent l="0" t="0" r="5080" b="0"/>
            <wp:docPr id="139610021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00218" name="Grafik 13961002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8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BEB" w:rsidRPr="0057486A" w:rsidRDefault="00C71BEB" w:rsidP="00C71BEB">
      <w:pPr>
        <w:spacing w:after="120" w:line="480" w:lineRule="auto"/>
        <w:jc w:val="both"/>
        <w:rPr>
          <w:b/>
          <w:bCs/>
          <w:sz w:val="22"/>
          <w:szCs w:val="22"/>
          <w:lang w:val="en-US"/>
        </w:rPr>
      </w:pPr>
      <w:r w:rsidRPr="0057486A">
        <w:rPr>
          <w:b/>
          <w:bCs/>
          <w:sz w:val="22"/>
          <w:szCs w:val="22"/>
          <w:lang w:val="en-US"/>
        </w:rPr>
        <w:t>Supplemental Figure 2.</w:t>
      </w:r>
      <w:r w:rsidRPr="0057486A">
        <w:rPr>
          <w:sz w:val="22"/>
          <w:szCs w:val="22"/>
          <w:lang w:val="en-US"/>
        </w:rPr>
        <w:t xml:space="preserve"> Scatterplot of </w:t>
      </w:r>
      <w:r w:rsidRPr="0057486A">
        <w:rPr>
          <w:b/>
          <w:bCs/>
          <w:sz w:val="22"/>
          <w:szCs w:val="22"/>
          <w:lang w:val="en-US"/>
        </w:rPr>
        <w:t>A.</w:t>
      </w:r>
      <w:r w:rsidRPr="0057486A">
        <w:rPr>
          <w:sz w:val="22"/>
          <w:szCs w:val="22"/>
          <w:lang w:val="en-US"/>
        </w:rPr>
        <w:t xml:space="preserve"> average mean arterial pressure (MAP (mmHg)), </w:t>
      </w:r>
      <w:r w:rsidRPr="0057486A">
        <w:rPr>
          <w:b/>
          <w:bCs/>
          <w:sz w:val="22"/>
          <w:szCs w:val="22"/>
          <w:lang w:val="en-US"/>
        </w:rPr>
        <w:t>B.</w:t>
      </w:r>
      <w:r w:rsidRPr="0057486A">
        <w:rPr>
          <w:sz w:val="22"/>
          <w:szCs w:val="22"/>
          <w:lang w:val="en-US"/>
        </w:rPr>
        <w:t xml:space="preserve"> mean intracranial pressure (ICP (mmHg)), </w:t>
      </w:r>
      <w:r w:rsidRPr="0057486A">
        <w:rPr>
          <w:b/>
          <w:bCs/>
          <w:sz w:val="22"/>
          <w:szCs w:val="22"/>
          <w:lang w:val="en-US"/>
        </w:rPr>
        <w:t>C.</w:t>
      </w:r>
      <w:r w:rsidRPr="0057486A">
        <w:rPr>
          <w:sz w:val="22"/>
          <w:szCs w:val="22"/>
          <w:lang w:val="en-US"/>
        </w:rPr>
        <w:t xml:space="preserve"> mean cerebral perfusion pressure (CPP (mmHg)), </w:t>
      </w:r>
      <w:r w:rsidRPr="0057486A">
        <w:rPr>
          <w:b/>
          <w:bCs/>
          <w:sz w:val="22"/>
          <w:szCs w:val="22"/>
          <w:lang w:val="en-US"/>
        </w:rPr>
        <w:t>D.</w:t>
      </w:r>
      <w:r w:rsidRPr="0057486A">
        <w:rPr>
          <w:sz w:val="22"/>
          <w:szCs w:val="22"/>
          <w:lang w:val="en-US"/>
        </w:rPr>
        <w:t xml:space="preserve"> mean pressure reactivity index (</w:t>
      </w:r>
      <w:proofErr w:type="spellStart"/>
      <w:r w:rsidRPr="0057486A">
        <w:rPr>
          <w:sz w:val="22"/>
          <w:szCs w:val="22"/>
          <w:lang w:val="en-US"/>
        </w:rPr>
        <w:t>PRx</w:t>
      </w:r>
      <w:proofErr w:type="spellEnd"/>
      <w:r w:rsidRPr="0057486A">
        <w:rPr>
          <w:sz w:val="22"/>
          <w:szCs w:val="22"/>
          <w:lang w:val="en-US"/>
        </w:rPr>
        <w:t xml:space="preserve">), </w:t>
      </w:r>
      <w:r w:rsidRPr="0057486A">
        <w:rPr>
          <w:b/>
          <w:bCs/>
          <w:sz w:val="22"/>
          <w:szCs w:val="22"/>
          <w:lang w:val="en-US"/>
        </w:rPr>
        <w:t>E.</w:t>
      </w:r>
      <w:r w:rsidRPr="0057486A">
        <w:rPr>
          <w:sz w:val="22"/>
          <w:szCs w:val="22"/>
          <w:lang w:val="en-US"/>
        </w:rPr>
        <w:t xml:space="preserve"> median brain tissue oxygen pressure (PtiO</w:t>
      </w:r>
      <w:r w:rsidRPr="0057486A">
        <w:rPr>
          <w:sz w:val="22"/>
          <w:szCs w:val="22"/>
          <w:vertAlign w:val="subscript"/>
          <w:lang w:val="en-US"/>
        </w:rPr>
        <w:t>2</w:t>
      </w:r>
      <w:r w:rsidRPr="0057486A">
        <w:rPr>
          <w:sz w:val="22"/>
          <w:szCs w:val="22"/>
          <w:lang w:val="en-US"/>
        </w:rPr>
        <w:t xml:space="preserve"> (mmHg)), </w:t>
      </w:r>
      <w:r w:rsidRPr="0057486A">
        <w:rPr>
          <w:b/>
          <w:bCs/>
          <w:sz w:val="22"/>
          <w:szCs w:val="22"/>
          <w:lang w:val="en-US"/>
        </w:rPr>
        <w:t>F.</w:t>
      </w:r>
      <w:r w:rsidRPr="0057486A">
        <w:rPr>
          <w:sz w:val="22"/>
          <w:szCs w:val="22"/>
          <w:lang w:val="en-US"/>
        </w:rPr>
        <w:t xml:space="preserve"> median lactate-to-pyruvate ratio (LPR), </w:t>
      </w:r>
      <w:r w:rsidRPr="0057486A">
        <w:rPr>
          <w:color w:val="000000"/>
          <w:sz w:val="22"/>
          <w:szCs w:val="22"/>
          <w:lang w:val="en-US"/>
        </w:rPr>
        <w:t xml:space="preserve">over 3 days (72 hrs.) preceding cerebral hypoperfusion. Data has been dichotomized based on treatment response (development of DCI-related infarction or not). </w:t>
      </w:r>
      <w:r w:rsidRPr="0057486A">
        <w:rPr>
          <w:sz w:val="22"/>
          <w:szCs w:val="22"/>
          <w:lang w:val="en-US"/>
        </w:rPr>
        <w:t xml:space="preserve">Locally </w:t>
      </w:r>
      <w:r w:rsidRPr="0057486A">
        <w:rPr>
          <w:sz w:val="22"/>
          <w:szCs w:val="22"/>
          <w:lang w:val="en-US"/>
        </w:rPr>
        <w:lastRenderedPageBreak/>
        <w:t xml:space="preserve">estimated scatterplot smoothing lines are plotted for each outcome group with shaded areas representing 95% confidence intervals. </w:t>
      </w:r>
    </w:p>
    <w:p w:rsidR="00D57E5F" w:rsidRDefault="00C71BEB" w:rsidP="00C71BEB">
      <w:pPr>
        <w:spacing w:line="480" w:lineRule="auto"/>
        <w:rPr>
          <w:sz w:val="16"/>
          <w:szCs w:val="16"/>
          <w:lang w:val="en-US"/>
        </w:rPr>
      </w:pPr>
      <w:r w:rsidRPr="0057486A">
        <w:rPr>
          <w:sz w:val="16"/>
          <w:szCs w:val="16"/>
          <w:lang w:val="en-US"/>
        </w:rPr>
        <w:t xml:space="preserve">DCI, delayed cerebral ischemia; </w:t>
      </w:r>
      <w:proofErr w:type="spellStart"/>
      <w:r w:rsidRPr="0057486A">
        <w:rPr>
          <w:sz w:val="16"/>
          <w:szCs w:val="16"/>
          <w:lang w:val="en-US"/>
        </w:rPr>
        <w:t>hrs</w:t>
      </w:r>
      <w:proofErr w:type="spellEnd"/>
      <w:r w:rsidRPr="0057486A">
        <w:rPr>
          <w:sz w:val="16"/>
          <w:szCs w:val="16"/>
          <w:lang w:val="en-US"/>
        </w:rPr>
        <w:t xml:space="preserve">, hours; mmHg, millimeter of mercury. </w:t>
      </w:r>
    </w:p>
    <w:p w:rsidR="0015038E" w:rsidRDefault="0015038E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br w:type="page"/>
      </w:r>
    </w:p>
    <w:p w:rsidR="0015038E" w:rsidRPr="0057486A" w:rsidRDefault="0015038E" w:rsidP="0015038E">
      <w:pPr>
        <w:spacing w:line="480" w:lineRule="auto"/>
        <w:rPr>
          <w:b/>
          <w:bCs/>
          <w:lang w:val="en-US"/>
        </w:rPr>
      </w:pPr>
      <w:r w:rsidRPr="0057486A">
        <w:rPr>
          <w:b/>
          <w:bCs/>
          <w:lang w:val="en-US"/>
        </w:rPr>
        <w:lastRenderedPageBreak/>
        <w:t xml:space="preserve">Supplemental </w:t>
      </w:r>
      <w:r>
        <w:rPr>
          <w:b/>
          <w:bCs/>
          <w:lang w:val="en-US"/>
        </w:rPr>
        <w:t>Table</w:t>
      </w:r>
      <w:r w:rsidRPr="0057486A">
        <w:rPr>
          <w:b/>
          <w:bCs/>
          <w:lang w:val="en-US"/>
        </w:rPr>
        <w:t xml:space="preserve"> 1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181"/>
        <w:gridCol w:w="1276"/>
        <w:gridCol w:w="1276"/>
        <w:gridCol w:w="1276"/>
        <w:gridCol w:w="1701"/>
        <w:gridCol w:w="2126"/>
      </w:tblGrid>
      <w:tr w:rsidR="0015038E" w:rsidRPr="0015038E" w:rsidTr="0015038E">
        <w:trPr>
          <w:trHeight w:val="26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b/>
                <w:bCs/>
                <w:color w:val="000000"/>
                <w:sz w:val="16"/>
                <w:szCs w:val="16"/>
                <w:lang w:val="en-US"/>
              </w:rPr>
              <w:t>Year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b/>
                <w:bCs/>
                <w:color w:val="000000"/>
                <w:sz w:val="16"/>
                <w:szCs w:val="16"/>
                <w:lang w:val="en-US"/>
              </w:rPr>
              <w:t>Total number of SAH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b/>
                <w:bCs/>
                <w:color w:val="000000"/>
                <w:sz w:val="16"/>
                <w:szCs w:val="16"/>
                <w:lang w:val="en-US"/>
              </w:rPr>
              <w:t>Patients with PtiO2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b/>
                <w:bCs/>
                <w:color w:val="000000"/>
                <w:sz w:val="16"/>
                <w:szCs w:val="16"/>
                <w:lang w:val="en-US"/>
              </w:rPr>
              <w:t>Patients with CMD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b/>
                <w:bCs/>
                <w:color w:val="000000"/>
                <w:sz w:val="16"/>
                <w:szCs w:val="16"/>
                <w:lang w:val="en-US"/>
              </w:rPr>
              <w:t>Patients with INM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b/>
                <w:bCs/>
                <w:color w:val="000000"/>
                <w:sz w:val="16"/>
                <w:szCs w:val="16"/>
                <w:lang w:val="en-US"/>
              </w:rPr>
              <w:t>Proportion of patients with INM (%)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b/>
                <w:bCs/>
                <w:color w:val="000000"/>
                <w:sz w:val="16"/>
                <w:szCs w:val="16"/>
                <w:lang w:val="en-US"/>
              </w:rPr>
              <w:t>Proportion of patients with dual INM (%)</w:t>
            </w:r>
          </w:p>
        </w:tc>
      </w:tr>
      <w:tr w:rsidR="0015038E" w:rsidRPr="0015038E" w:rsidTr="0015038E">
        <w:trPr>
          <w:trHeight w:val="220"/>
        </w:trPr>
        <w:tc>
          <w:tcPr>
            <w:tcW w:w="505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38,7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9,7</w:t>
            </w:r>
          </w:p>
        </w:tc>
      </w:tr>
      <w:tr w:rsidR="0015038E" w:rsidRPr="0015038E" w:rsidTr="0015038E">
        <w:trPr>
          <w:trHeight w:val="220"/>
        </w:trPr>
        <w:tc>
          <w:tcPr>
            <w:tcW w:w="505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58,5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56,1</w:t>
            </w:r>
          </w:p>
        </w:tc>
      </w:tr>
      <w:tr w:rsidR="0015038E" w:rsidRPr="0015038E" w:rsidTr="0015038E">
        <w:trPr>
          <w:trHeight w:val="220"/>
        </w:trPr>
        <w:tc>
          <w:tcPr>
            <w:tcW w:w="505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35,1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35,1</w:t>
            </w:r>
          </w:p>
        </w:tc>
      </w:tr>
      <w:tr w:rsidR="0015038E" w:rsidRPr="0015038E" w:rsidTr="0015038E">
        <w:trPr>
          <w:trHeight w:val="220"/>
        </w:trPr>
        <w:tc>
          <w:tcPr>
            <w:tcW w:w="505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41,9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41,9</w:t>
            </w:r>
          </w:p>
        </w:tc>
      </w:tr>
      <w:tr w:rsidR="0015038E" w:rsidRPr="0015038E" w:rsidTr="0015038E">
        <w:trPr>
          <w:trHeight w:val="220"/>
        </w:trPr>
        <w:tc>
          <w:tcPr>
            <w:tcW w:w="505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2018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52,5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27,5</w:t>
            </w:r>
          </w:p>
        </w:tc>
      </w:tr>
      <w:tr w:rsidR="0015038E" w:rsidRPr="0015038E" w:rsidTr="0015038E">
        <w:trPr>
          <w:trHeight w:val="220"/>
        </w:trPr>
        <w:tc>
          <w:tcPr>
            <w:tcW w:w="505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61,9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52,4</w:t>
            </w:r>
          </w:p>
        </w:tc>
      </w:tr>
      <w:tr w:rsidR="0015038E" w:rsidRPr="0015038E" w:rsidTr="0015038E">
        <w:trPr>
          <w:trHeight w:val="220"/>
        </w:trPr>
        <w:tc>
          <w:tcPr>
            <w:tcW w:w="50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2020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37,0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17,4</w:t>
            </w:r>
          </w:p>
        </w:tc>
      </w:tr>
      <w:tr w:rsidR="0015038E" w:rsidRPr="0015038E" w:rsidTr="0015038E">
        <w:trPr>
          <w:trHeight w:val="24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b/>
                <w:bCs/>
                <w:color w:val="000000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268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126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038E">
              <w:rPr>
                <w:color w:val="000000"/>
                <w:sz w:val="16"/>
                <w:szCs w:val="16"/>
                <w:lang w:val="en-US"/>
              </w:rPr>
              <w:t>126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5038E" w:rsidRPr="0015038E" w:rsidRDefault="0015038E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15038E" w:rsidRDefault="0015038E" w:rsidP="00C71BEB">
      <w:pPr>
        <w:spacing w:line="480" w:lineRule="auto"/>
        <w:rPr>
          <w:sz w:val="22"/>
          <w:szCs w:val="22"/>
          <w:lang w:val="en-US"/>
        </w:rPr>
      </w:pPr>
    </w:p>
    <w:p w:rsidR="003A4B79" w:rsidRPr="0057486A" w:rsidRDefault="0015038E" w:rsidP="003A4B79">
      <w:pPr>
        <w:spacing w:after="120" w:line="480" w:lineRule="auto"/>
        <w:jc w:val="both"/>
        <w:rPr>
          <w:b/>
          <w:bCs/>
          <w:sz w:val="22"/>
          <w:szCs w:val="22"/>
          <w:lang w:val="en-US"/>
        </w:rPr>
      </w:pPr>
      <w:r w:rsidRPr="0015038E">
        <w:rPr>
          <w:b/>
          <w:bCs/>
          <w:sz w:val="22"/>
          <w:szCs w:val="22"/>
          <w:lang w:val="en-US"/>
        </w:rPr>
        <w:t>Supplemental Table 1</w:t>
      </w:r>
      <w:r w:rsidRPr="0015038E">
        <w:rPr>
          <w:b/>
          <w:bCs/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 xml:space="preserve"> Overview of absolute and relative (%) numbers of patients with invasive neuromonitoring stratified by year of presentation over the study’s inclusion time period from 2014 until 2020. </w:t>
      </w:r>
    </w:p>
    <w:p w:rsidR="0015038E" w:rsidRPr="003A4B79" w:rsidRDefault="003A4B79" w:rsidP="00C71BEB">
      <w:pPr>
        <w:spacing w:line="480" w:lineRule="auto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CMD</w:t>
      </w:r>
      <w:r w:rsidRPr="0057486A">
        <w:rPr>
          <w:sz w:val="16"/>
          <w:szCs w:val="16"/>
          <w:lang w:val="en-US"/>
        </w:rPr>
        <w:t xml:space="preserve">, </w:t>
      </w:r>
      <w:r>
        <w:rPr>
          <w:sz w:val="16"/>
          <w:szCs w:val="16"/>
          <w:lang w:val="en-US"/>
        </w:rPr>
        <w:t xml:space="preserve">cerebral microdialysis; INM, invasive neuromonitoring; PtiO2, brain tissue oxygen saturation measurement; SAH, aneurysmal subarachnoid hemorrhage. </w:t>
      </w:r>
      <w:r w:rsidRPr="0057486A">
        <w:rPr>
          <w:sz w:val="16"/>
          <w:szCs w:val="16"/>
          <w:lang w:val="en-US"/>
        </w:rPr>
        <w:t xml:space="preserve"> </w:t>
      </w:r>
    </w:p>
    <w:sectPr w:rsidR="0015038E" w:rsidRPr="003A4B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EB"/>
    <w:rsid w:val="0000291D"/>
    <w:rsid w:val="00006A3A"/>
    <w:rsid w:val="000206CB"/>
    <w:rsid w:val="000208A4"/>
    <w:rsid w:val="00021782"/>
    <w:rsid w:val="000229F5"/>
    <w:rsid w:val="000341BF"/>
    <w:rsid w:val="00053A83"/>
    <w:rsid w:val="00063F6F"/>
    <w:rsid w:val="000724C3"/>
    <w:rsid w:val="0007475D"/>
    <w:rsid w:val="00097E06"/>
    <w:rsid w:val="000A6B38"/>
    <w:rsid w:val="000B28EC"/>
    <w:rsid w:val="000B727F"/>
    <w:rsid w:val="000D4B10"/>
    <w:rsid w:val="000D4CA9"/>
    <w:rsid w:val="000E681A"/>
    <w:rsid w:val="000F249B"/>
    <w:rsid w:val="000F3FD7"/>
    <w:rsid w:val="000F5AB0"/>
    <w:rsid w:val="0010441F"/>
    <w:rsid w:val="001163D0"/>
    <w:rsid w:val="001206A0"/>
    <w:rsid w:val="00122EA2"/>
    <w:rsid w:val="00125C3B"/>
    <w:rsid w:val="0013162B"/>
    <w:rsid w:val="00131B31"/>
    <w:rsid w:val="001332D6"/>
    <w:rsid w:val="001364BB"/>
    <w:rsid w:val="0015038E"/>
    <w:rsid w:val="001544B2"/>
    <w:rsid w:val="0016166E"/>
    <w:rsid w:val="00163867"/>
    <w:rsid w:val="00167F0D"/>
    <w:rsid w:val="00171CF4"/>
    <w:rsid w:val="00177814"/>
    <w:rsid w:val="001834A9"/>
    <w:rsid w:val="001963B5"/>
    <w:rsid w:val="00197F82"/>
    <w:rsid w:val="001A15FD"/>
    <w:rsid w:val="001A3B33"/>
    <w:rsid w:val="001A48EA"/>
    <w:rsid w:val="001A7980"/>
    <w:rsid w:val="001C6625"/>
    <w:rsid w:val="001D0489"/>
    <w:rsid w:val="001E34B8"/>
    <w:rsid w:val="001F589E"/>
    <w:rsid w:val="001F6215"/>
    <w:rsid w:val="00210661"/>
    <w:rsid w:val="0022133B"/>
    <w:rsid w:val="00222300"/>
    <w:rsid w:val="00223F12"/>
    <w:rsid w:val="00231DE0"/>
    <w:rsid w:val="002404AE"/>
    <w:rsid w:val="00244833"/>
    <w:rsid w:val="00244AB3"/>
    <w:rsid w:val="00257999"/>
    <w:rsid w:val="00281067"/>
    <w:rsid w:val="00291735"/>
    <w:rsid w:val="002950D6"/>
    <w:rsid w:val="002A4120"/>
    <w:rsid w:val="002A4AB1"/>
    <w:rsid w:val="002A61EB"/>
    <w:rsid w:val="002B1A5F"/>
    <w:rsid w:val="002B658F"/>
    <w:rsid w:val="002C2C34"/>
    <w:rsid w:val="002C34B1"/>
    <w:rsid w:val="002C5313"/>
    <w:rsid w:val="002D1FA6"/>
    <w:rsid w:val="002D65C3"/>
    <w:rsid w:val="002E67A0"/>
    <w:rsid w:val="002E70CD"/>
    <w:rsid w:val="002F069E"/>
    <w:rsid w:val="003037EE"/>
    <w:rsid w:val="00303DD3"/>
    <w:rsid w:val="00305792"/>
    <w:rsid w:val="00315E73"/>
    <w:rsid w:val="0032216D"/>
    <w:rsid w:val="003248B8"/>
    <w:rsid w:val="003336E7"/>
    <w:rsid w:val="00340394"/>
    <w:rsid w:val="00362C3F"/>
    <w:rsid w:val="00365756"/>
    <w:rsid w:val="0036757C"/>
    <w:rsid w:val="00367C93"/>
    <w:rsid w:val="00397567"/>
    <w:rsid w:val="003A4B79"/>
    <w:rsid w:val="003A6D59"/>
    <w:rsid w:val="003B25E6"/>
    <w:rsid w:val="003C5425"/>
    <w:rsid w:val="003C7740"/>
    <w:rsid w:val="003D3BA1"/>
    <w:rsid w:val="00414377"/>
    <w:rsid w:val="00417FC0"/>
    <w:rsid w:val="0042051B"/>
    <w:rsid w:val="00431E39"/>
    <w:rsid w:val="00434388"/>
    <w:rsid w:val="00445490"/>
    <w:rsid w:val="00465A73"/>
    <w:rsid w:val="004663D1"/>
    <w:rsid w:val="00480F1D"/>
    <w:rsid w:val="00494187"/>
    <w:rsid w:val="004A0A93"/>
    <w:rsid w:val="004A7799"/>
    <w:rsid w:val="004C4A80"/>
    <w:rsid w:val="004D4A80"/>
    <w:rsid w:val="004D4C65"/>
    <w:rsid w:val="004F017A"/>
    <w:rsid w:val="004F1C72"/>
    <w:rsid w:val="00521439"/>
    <w:rsid w:val="00523788"/>
    <w:rsid w:val="00530C79"/>
    <w:rsid w:val="00537375"/>
    <w:rsid w:val="005464FA"/>
    <w:rsid w:val="00546D60"/>
    <w:rsid w:val="0055007A"/>
    <w:rsid w:val="00550C2B"/>
    <w:rsid w:val="00551CB7"/>
    <w:rsid w:val="00561711"/>
    <w:rsid w:val="00566C2D"/>
    <w:rsid w:val="005748BE"/>
    <w:rsid w:val="00581BA0"/>
    <w:rsid w:val="00596050"/>
    <w:rsid w:val="00596533"/>
    <w:rsid w:val="005A0E00"/>
    <w:rsid w:val="005A3B18"/>
    <w:rsid w:val="005C26FB"/>
    <w:rsid w:val="005C3A87"/>
    <w:rsid w:val="005C44F4"/>
    <w:rsid w:val="005C48AC"/>
    <w:rsid w:val="005C49EA"/>
    <w:rsid w:val="005E497C"/>
    <w:rsid w:val="00601A61"/>
    <w:rsid w:val="00605539"/>
    <w:rsid w:val="00607B08"/>
    <w:rsid w:val="00617DD5"/>
    <w:rsid w:val="00621465"/>
    <w:rsid w:val="006450B3"/>
    <w:rsid w:val="00657179"/>
    <w:rsid w:val="00660DA8"/>
    <w:rsid w:val="00673652"/>
    <w:rsid w:val="00674690"/>
    <w:rsid w:val="00675EFC"/>
    <w:rsid w:val="006915A0"/>
    <w:rsid w:val="00697F22"/>
    <w:rsid w:val="006A1CAD"/>
    <w:rsid w:val="006A2226"/>
    <w:rsid w:val="006A5B19"/>
    <w:rsid w:val="006B02DD"/>
    <w:rsid w:val="006C3F47"/>
    <w:rsid w:val="006E02BD"/>
    <w:rsid w:val="006E2F7F"/>
    <w:rsid w:val="006E6BB0"/>
    <w:rsid w:val="006E71E5"/>
    <w:rsid w:val="006F1705"/>
    <w:rsid w:val="00704C23"/>
    <w:rsid w:val="007148BA"/>
    <w:rsid w:val="007176AB"/>
    <w:rsid w:val="00723EAB"/>
    <w:rsid w:val="00732A78"/>
    <w:rsid w:val="00734183"/>
    <w:rsid w:val="00734B12"/>
    <w:rsid w:val="00743DD5"/>
    <w:rsid w:val="00756BDF"/>
    <w:rsid w:val="00760CD0"/>
    <w:rsid w:val="00762AC3"/>
    <w:rsid w:val="0076332C"/>
    <w:rsid w:val="00770480"/>
    <w:rsid w:val="00771833"/>
    <w:rsid w:val="007719AF"/>
    <w:rsid w:val="0078272A"/>
    <w:rsid w:val="00783684"/>
    <w:rsid w:val="007A76EC"/>
    <w:rsid w:val="007B0F2E"/>
    <w:rsid w:val="007B3B0E"/>
    <w:rsid w:val="007B74FD"/>
    <w:rsid w:val="007B7AFF"/>
    <w:rsid w:val="007C758C"/>
    <w:rsid w:val="007E0C32"/>
    <w:rsid w:val="007E5A3B"/>
    <w:rsid w:val="007F3BF1"/>
    <w:rsid w:val="007F60C7"/>
    <w:rsid w:val="00800D83"/>
    <w:rsid w:val="00801359"/>
    <w:rsid w:val="008032A2"/>
    <w:rsid w:val="00810964"/>
    <w:rsid w:val="00811129"/>
    <w:rsid w:val="0081394D"/>
    <w:rsid w:val="00816DE6"/>
    <w:rsid w:val="00826438"/>
    <w:rsid w:val="00843608"/>
    <w:rsid w:val="00855E4D"/>
    <w:rsid w:val="0086126C"/>
    <w:rsid w:val="00895D28"/>
    <w:rsid w:val="008A3732"/>
    <w:rsid w:val="008C25F7"/>
    <w:rsid w:val="008E2711"/>
    <w:rsid w:val="008F10F9"/>
    <w:rsid w:val="008F4D92"/>
    <w:rsid w:val="009016D6"/>
    <w:rsid w:val="00920896"/>
    <w:rsid w:val="009359D4"/>
    <w:rsid w:val="00935FBE"/>
    <w:rsid w:val="00945529"/>
    <w:rsid w:val="00960141"/>
    <w:rsid w:val="00963C19"/>
    <w:rsid w:val="009745D0"/>
    <w:rsid w:val="009A0167"/>
    <w:rsid w:val="009B2762"/>
    <w:rsid w:val="009C57E6"/>
    <w:rsid w:val="009D32CB"/>
    <w:rsid w:val="009D54AA"/>
    <w:rsid w:val="009E081B"/>
    <w:rsid w:val="009E7ACA"/>
    <w:rsid w:val="009F2FAD"/>
    <w:rsid w:val="009F7084"/>
    <w:rsid w:val="00A044FF"/>
    <w:rsid w:val="00A06393"/>
    <w:rsid w:val="00A07519"/>
    <w:rsid w:val="00A22CEF"/>
    <w:rsid w:val="00A34CA1"/>
    <w:rsid w:val="00A37762"/>
    <w:rsid w:val="00A4108D"/>
    <w:rsid w:val="00A41A32"/>
    <w:rsid w:val="00A449F5"/>
    <w:rsid w:val="00A50A68"/>
    <w:rsid w:val="00A57EE5"/>
    <w:rsid w:val="00A607EC"/>
    <w:rsid w:val="00A649C6"/>
    <w:rsid w:val="00A7407A"/>
    <w:rsid w:val="00A80AA7"/>
    <w:rsid w:val="00A86966"/>
    <w:rsid w:val="00A92ACD"/>
    <w:rsid w:val="00A9419C"/>
    <w:rsid w:val="00A952D1"/>
    <w:rsid w:val="00A97EE8"/>
    <w:rsid w:val="00AB51D4"/>
    <w:rsid w:val="00AB67F2"/>
    <w:rsid w:val="00AC4B3D"/>
    <w:rsid w:val="00AD050A"/>
    <w:rsid w:val="00AD0FC0"/>
    <w:rsid w:val="00AD74BF"/>
    <w:rsid w:val="00AE03E5"/>
    <w:rsid w:val="00AE1B32"/>
    <w:rsid w:val="00AF1D00"/>
    <w:rsid w:val="00AF779D"/>
    <w:rsid w:val="00B022CB"/>
    <w:rsid w:val="00B06FD2"/>
    <w:rsid w:val="00B113F5"/>
    <w:rsid w:val="00B116A8"/>
    <w:rsid w:val="00B22F99"/>
    <w:rsid w:val="00B40258"/>
    <w:rsid w:val="00B404A2"/>
    <w:rsid w:val="00B45649"/>
    <w:rsid w:val="00B45C67"/>
    <w:rsid w:val="00B46AFF"/>
    <w:rsid w:val="00B5640F"/>
    <w:rsid w:val="00B645E4"/>
    <w:rsid w:val="00B70E50"/>
    <w:rsid w:val="00B723AD"/>
    <w:rsid w:val="00B73BE3"/>
    <w:rsid w:val="00B746B9"/>
    <w:rsid w:val="00B84898"/>
    <w:rsid w:val="00B9329B"/>
    <w:rsid w:val="00BA1C03"/>
    <w:rsid w:val="00BB311C"/>
    <w:rsid w:val="00BB5CF9"/>
    <w:rsid w:val="00BC0A8F"/>
    <w:rsid w:val="00BC7FEF"/>
    <w:rsid w:val="00BD48AC"/>
    <w:rsid w:val="00C168DA"/>
    <w:rsid w:val="00C272BB"/>
    <w:rsid w:val="00C3143C"/>
    <w:rsid w:val="00C32598"/>
    <w:rsid w:val="00C37876"/>
    <w:rsid w:val="00C42BAE"/>
    <w:rsid w:val="00C5121F"/>
    <w:rsid w:val="00C5332C"/>
    <w:rsid w:val="00C55D75"/>
    <w:rsid w:val="00C617B6"/>
    <w:rsid w:val="00C618D7"/>
    <w:rsid w:val="00C71BEB"/>
    <w:rsid w:val="00C75C19"/>
    <w:rsid w:val="00C90457"/>
    <w:rsid w:val="00C95646"/>
    <w:rsid w:val="00C961AE"/>
    <w:rsid w:val="00CA0A18"/>
    <w:rsid w:val="00CA20BB"/>
    <w:rsid w:val="00CB7BD0"/>
    <w:rsid w:val="00CE16F0"/>
    <w:rsid w:val="00CE5AEF"/>
    <w:rsid w:val="00CF34A9"/>
    <w:rsid w:val="00D12B47"/>
    <w:rsid w:val="00D153FF"/>
    <w:rsid w:val="00D16429"/>
    <w:rsid w:val="00D165D8"/>
    <w:rsid w:val="00D20908"/>
    <w:rsid w:val="00D20E90"/>
    <w:rsid w:val="00D22ABC"/>
    <w:rsid w:val="00D411CB"/>
    <w:rsid w:val="00D5314C"/>
    <w:rsid w:val="00D568C4"/>
    <w:rsid w:val="00D57E5F"/>
    <w:rsid w:val="00D8219A"/>
    <w:rsid w:val="00D90F18"/>
    <w:rsid w:val="00D93DA8"/>
    <w:rsid w:val="00D959B4"/>
    <w:rsid w:val="00DA2C6D"/>
    <w:rsid w:val="00DB6793"/>
    <w:rsid w:val="00DC1A40"/>
    <w:rsid w:val="00DD1AF4"/>
    <w:rsid w:val="00DD2375"/>
    <w:rsid w:val="00DE37D7"/>
    <w:rsid w:val="00E204F6"/>
    <w:rsid w:val="00E26FE3"/>
    <w:rsid w:val="00E275A8"/>
    <w:rsid w:val="00E34226"/>
    <w:rsid w:val="00E4746C"/>
    <w:rsid w:val="00E72292"/>
    <w:rsid w:val="00E77B3A"/>
    <w:rsid w:val="00E824F6"/>
    <w:rsid w:val="00E86A11"/>
    <w:rsid w:val="00E91462"/>
    <w:rsid w:val="00EA4550"/>
    <w:rsid w:val="00EB33E2"/>
    <w:rsid w:val="00EB5F4C"/>
    <w:rsid w:val="00ED57F2"/>
    <w:rsid w:val="00EF05D8"/>
    <w:rsid w:val="00EF75A9"/>
    <w:rsid w:val="00F014C3"/>
    <w:rsid w:val="00F0304F"/>
    <w:rsid w:val="00F07C2B"/>
    <w:rsid w:val="00F1611D"/>
    <w:rsid w:val="00F36754"/>
    <w:rsid w:val="00F41BD6"/>
    <w:rsid w:val="00F46CF0"/>
    <w:rsid w:val="00F47107"/>
    <w:rsid w:val="00F66C30"/>
    <w:rsid w:val="00F70E2C"/>
    <w:rsid w:val="00F81FB8"/>
    <w:rsid w:val="00F85BA4"/>
    <w:rsid w:val="00F8696B"/>
    <w:rsid w:val="00FA790F"/>
    <w:rsid w:val="00FB545E"/>
    <w:rsid w:val="00FB5965"/>
    <w:rsid w:val="00FC338B"/>
    <w:rsid w:val="00FC632D"/>
    <w:rsid w:val="00FD7003"/>
    <w:rsid w:val="00FD7D40"/>
    <w:rsid w:val="00FE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C45451"/>
  <w15:chartTrackingRefBased/>
  <w15:docId w15:val="{C7EC1B08-2C30-1C48-91FA-7B0A1382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038E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1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71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1B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71B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71B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71B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71B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71B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71B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1B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71B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1B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71BE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71BE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71BE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71BE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71BE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71B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71B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C71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71BE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71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71BE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C71BE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71BEB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C71BE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71B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71BE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71B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8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305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Veldeman</dc:creator>
  <cp:keywords/>
  <dc:description/>
  <cp:lastModifiedBy>Michael Veldeman</cp:lastModifiedBy>
  <cp:revision>2</cp:revision>
  <dcterms:created xsi:type="dcterms:W3CDTF">2025-04-16T17:05:00Z</dcterms:created>
  <dcterms:modified xsi:type="dcterms:W3CDTF">2025-05-08T13:47:00Z</dcterms:modified>
</cp:coreProperties>
</file>