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B55DEA" w14:textId="77777777" w:rsidR="00667DD1" w:rsidRDefault="00667DD1" w:rsidP="00667DD1">
      <w:pPr>
        <w:ind w:left="360" w:hanging="360"/>
        <w:rPr>
          <w:rFonts w:ascii="Times New Roman" w:hAnsi="Times New Roman" w:cs="Times New Roman"/>
          <w:sz w:val="24"/>
          <w:szCs w:val="24"/>
        </w:rPr>
      </w:pPr>
      <w:r w:rsidRPr="005973AA">
        <w:rPr>
          <w:rFonts w:ascii="Times New Roman" w:hAnsi="Times New Roman" w:cs="Times New Roman"/>
          <w:sz w:val="24"/>
          <w:szCs w:val="24"/>
        </w:rPr>
        <w:t>Supplementary</w:t>
      </w:r>
      <w:r w:rsidRPr="005973AA">
        <w:rPr>
          <w:rFonts w:ascii="Times New Roman" w:hAnsi="Times New Roman" w:cs="Times New Roman" w:hint="eastAsia"/>
          <w:sz w:val="24"/>
          <w:szCs w:val="24"/>
        </w:rPr>
        <w:t xml:space="preserve"> methods</w:t>
      </w:r>
    </w:p>
    <w:p w14:paraId="09E0AFBB" w14:textId="77777777" w:rsidR="00667DD1" w:rsidRDefault="00667DD1" w:rsidP="00667DD1">
      <w:pPr>
        <w:ind w:left="360" w:hanging="360"/>
      </w:pPr>
      <w:bookmarkStart w:id="0" w:name="_GoBack"/>
      <w:bookmarkEnd w:id="0"/>
    </w:p>
    <w:p w14:paraId="0BC2449F" w14:textId="77777777" w:rsidR="00667DD1" w:rsidRPr="00B46B66" w:rsidRDefault="00667DD1" w:rsidP="00667DD1">
      <w:pPr>
        <w:pStyle w:val="ListParagraph"/>
        <w:numPr>
          <w:ilvl w:val="0"/>
          <w:numId w:val="1"/>
        </w:numPr>
        <w:contextualSpacing w:val="0"/>
        <w:rPr>
          <w:rFonts w:ascii="Times New Roman" w:hAnsi="Times New Roman" w:cs="Times New Roman"/>
        </w:rPr>
      </w:pPr>
      <w:r w:rsidRPr="00D51659">
        <w:rPr>
          <w:rFonts w:ascii="Times New Roman" w:hAnsi="Times New Roman" w:cs="Times New Roman"/>
          <w:szCs w:val="21"/>
        </w:rPr>
        <w:t>broad-spectrum tNGS assay</w:t>
      </w:r>
      <w:r w:rsidRPr="00D51659">
        <w:rPr>
          <w:rFonts w:ascii="Times New Roman" w:hAnsi="Times New Roman" w:cs="Times New Roman" w:hint="eastAsia"/>
          <w:szCs w:val="21"/>
        </w:rPr>
        <w:t xml:space="preserve"> </w:t>
      </w:r>
      <w:r w:rsidRPr="00D51659">
        <w:rPr>
          <w:rFonts w:ascii="Times New Roman" w:hAnsi="Times New Roman" w:cs="Times New Roman"/>
          <w:szCs w:val="21"/>
        </w:rPr>
        <w:t>workflow</w:t>
      </w:r>
    </w:p>
    <w:p w14:paraId="36CF3744" w14:textId="77777777" w:rsidR="00667DD1" w:rsidRPr="00B46B66" w:rsidRDefault="00667DD1" w:rsidP="00667DD1">
      <w:pPr>
        <w:rPr>
          <w:rFonts w:ascii="Times New Roman" w:hAnsi="Times New Roman" w:cs="Times New Roman"/>
        </w:rPr>
      </w:pPr>
      <w:r>
        <w:rPr>
          <w:rFonts w:ascii="Times New Roman" w:hAnsi="Times New Roman" w:cs="Times New Roman" w:hint="eastAsia"/>
        </w:rPr>
        <w:t xml:space="preserve">1.1 </w:t>
      </w:r>
      <w:r w:rsidRPr="00B46B66">
        <w:rPr>
          <w:rFonts w:ascii="Times New Roman" w:hAnsi="Times New Roman" w:cs="Times New Roman" w:hint="eastAsia"/>
        </w:rPr>
        <w:t>Sample processing and nucleic acid extraction</w:t>
      </w:r>
    </w:p>
    <w:p w14:paraId="46880BB0" w14:textId="7963380A" w:rsidR="00667DD1" w:rsidRDefault="00667DD1" w:rsidP="00667DD1">
      <w:pPr>
        <w:rPr>
          <w:rFonts w:ascii="Times New Roman" w:hAnsi="Times New Roman" w:cs="Times New Roman"/>
        </w:rPr>
      </w:pPr>
      <w:r w:rsidRPr="006A44EA">
        <w:rPr>
          <w:rFonts w:ascii="Times New Roman" w:hAnsi="Times New Roman" w:cs="Times New Roman" w:hint="eastAsia"/>
        </w:rPr>
        <w:t xml:space="preserve">BALF was divided into aliquots of 400 </w:t>
      </w:r>
      <w:r w:rsidRPr="006A44EA">
        <w:rPr>
          <w:rFonts w:ascii="Times New Roman" w:hAnsi="Times New Roman" w:cs="Times New Roman"/>
        </w:rPr>
        <w:t>μL</w:t>
      </w:r>
      <w:r w:rsidRPr="006A44EA">
        <w:rPr>
          <w:rFonts w:ascii="Times New Roman" w:hAnsi="Times New Roman" w:cs="Times New Roman" w:hint="eastAsia"/>
        </w:rPr>
        <w:t xml:space="preserve"> for nucleic acid extraction. </w:t>
      </w:r>
      <w:bookmarkStart w:id="1" w:name="OLE_LINK3"/>
      <w:r w:rsidRPr="006A44EA">
        <w:rPr>
          <w:rFonts w:ascii="Times New Roman" w:hAnsi="Times New Roman" w:cs="Times New Roman" w:hint="eastAsia"/>
        </w:rPr>
        <w:t xml:space="preserve">Samples, and </w:t>
      </w:r>
      <w:r w:rsidRPr="006A44EA">
        <w:rPr>
          <w:rFonts w:ascii="Times New Roman" w:hAnsi="Times New Roman" w:cs="Times New Roman"/>
        </w:rPr>
        <w:t>lysis buffer(Vazyme, Nanjing, China), protease K mixture, binding buffer (Vazyme, Nanjing, China), and 1.2 g glass bead were added to the grinding tube and agitated vigorously at 4500 rpm for a total of 30s by FastPrep-24</w:t>
      </w:r>
      <w:r w:rsidRPr="006A44EA">
        <w:rPr>
          <w:rFonts w:ascii="Times New Roman" w:hAnsi="Times New Roman" w:cs="Times New Roman" w:hint="eastAsia"/>
        </w:rPr>
        <w:t>™</w:t>
      </w:r>
      <w:r w:rsidRPr="006A44EA">
        <w:rPr>
          <w:rFonts w:ascii="Times New Roman" w:hAnsi="Times New Roman" w:cs="Times New Roman"/>
        </w:rPr>
        <w:t xml:space="preserve"> 5G Instrument (MP Biomedical, CA, USA).</w:t>
      </w:r>
      <w:bookmarkEnd w:id="1"/>
      <w:r w:rsidRPr="006A44EA">
        <w:rPr>
          <w:rFonts w:ascii="Times New Roman" w:hAnsi="Times New Roman" w:cs="Times New Roman" w:hint="eastAsia"/>
        </w:rPr>
        <w:t xml:space="preserve"> Samples rested at room temperature for approximately 20 min before nucleic acid extraction. Extraction was performed using the VAMNE Magnetic Pathogen DNA/RNA kit </w:t>
      </w:r>
      <w:bookmarkStart w:id="2" w:name="OLE_LINK1"/>
      <w:r w:rsidRPr="006A44EA">
        <w:rPr>
          <w:rFonts w:ascii="Times New Roman" w:hAnsi="Times New Roman" w:cs="Times New Roman" w:hint="eastAsia"/>
        </w:rPr>
        <w:t>(Vazyme, Nanjing, China)</w:t>
      </w:r>
      <w:bookmarkEnd w:id="2"/>
      <w:r w:rsidRPr="006A44EA">
        <w:rPr>
          <w:rFonts w:ascii="Times New Roman" w:hAnsi="Times New Roman" w:cs="Times New Roman" w:hint="eastAsia"/>
        </w:rPr>
        <w:t xml:space="preserve">. Nucleic acids were quantified using a Qubit 3.0 fluorometer with double-stranded DNA (dsDNA) and RNA high-sensitivity (HS) reagents. Then, the RNA was reverse-transcribed into cDNA using Hieff NGS® ds-cDNA Synthesis Kit (Yeasen, Shanghai, China). </w:t>
      </w:r>
      <w:r w:rsidRPr="006A44EA">
        <w:rPr>
          <w:rFonts w:ascii="Times New Roman" w:hAnsi="Times New Roman" w:cs="Times New Roman"/>
        </w:rPr>
        <w:t>A549 human cells (GenePlus, Suzhou, China) were used as negative controls (NTC) to detect contamination, and A549 human cells spiked with Staphylococcus aureus (BeNa Culture Collection, Beijing, China) were used as positive controls (PTC).</w:t>
      </w:r>
    </w:p>
    <w:p w14:paraId="6C352C90" w14:textId="77777777" w:rsidR="00667DD1" w:rsidRPr="00B46B66" w:rsidRDefault="00667DD1" w:rsidP="00667DD1">
      <w:pPr>
        <w:rPr>
          <w:rFonts w:ascii="Times New Roman" w:hAnsi="Times New Roman" w:cs="Times New Roman"/>
        </w:rPr>
      </w:pPr>
    </w:p>
    <w:p w14:paraId="4EFB710B" w14:textId="77777777" w:rsidR="00667DD1" w:rsidRPr="00B46B66" w:rsidRDefault="00667DD1" w:rsidP="00667DD1">
      <w:pPr>
        <w:rPr>
          <w:rFonts w:ascii="Times New Roman" w:hAnsi="Times New Roman" w:cs="Times New Roman"/>
        </w:rPr>
      </w:pPr>
      <w:r>
        <w:rPr>
          <w:rFonts w:ascii="Times New Roman" w:hAnsi="Times New Roman" w:cs="Times New Roman" w:hint="eastAsia"/>
        </w:rPr>
        <w:t xml:space="preserve">1.2 </w:t>
      </w:r>
      <w:r w:rsidRPr="00B46B66">
        <w:rPr>
          <w:rFonts w:ascii="Times New Roman" w:hAnsi="Times New Roman" w:cs="Times New Roman" w:hint="eastAsia"/>
        </w:rPr>
        <w:t>Library preparation and enrichment</w:t>
      </w:r>
    </w:p>
    <w:p w14:paraId="1F2CA005" w14:textId="77777777" w:rsidR="00667DD1" w:rsidRDefault="00667DD1" w:rsidP="00667DD1">
      <w:pPr>
        <w:rPr>
          <w:rFonts w:ascii="Times New Roman" w:hAnsi="Times New Roman" w:cs="Times New Roman"/>
        </w:rPr>
      </w:pPr>
      <w:r w:rsidRPr="002270CB">
        <w:rPr>
          <w:rFonts w:ascii="Times New Roman" w:hAnsi="Times New Roman" w:cs="Times New Roman" w:hint="eastAsia"/>
        </w:rPr>
        <w:t>Load 50 ng of the extracted nucleic acid based on its concentration.</w:t>
      </w:r>
      <w:r>
        <w:rPr>
          <w:rFonts w:ascii="Times New Roman" w:hAnsi="Times New Roman" w:cs="Times New Roman" w:hint="eastAsia"/>
        </w:rPr>
        <w:t xml:space="preserve"> </w:t>
      </w:r>
      <w:r w:rsidRPr="00B46B66">
        <w:rPr>
          <w:rFonts w:ascii="Times New Roman" w:hAnsi="Times New Roman" w:cs="Times New Roman" w:hint="eastAsia"/>
        </w:rPr>
        <w:t>cDNA synthesis and library preparation were performed with the HieffNGS®C37P4 One PotcDNA&amp;gDNA Library Prep Kit (Yeasen, Shanghai, China) according to the protocol. An aliquot was taken through library enrichment with NadPrep® NanoBlockers (Nanodigmbio, Nanjing, China) reagents to generate the product for targeted sequencing, with the remaining saved after the post-indexing cleanup step as the product for metagenomic sequencing. Target enrichment was performed by incubating Geneplus probes</w:t>
      </w:r>
      <w:r>
        <w:rPr>
          <w:rFonts w:ascii="Times New Roman" w:hAnsi="Times New Roman" w:cs="Times New Roman" w:hint="eastAsia"/>
        </w:rPr>
        <w:t xml:space="preserve"> </w:t>
      </w:r>
      <w:r w:rsidRPr="00E00B66">
        <w:rPr>
          <w:rFonts w:ascii="Times New Roman" w:hAnsi="Times New Roman" w:cs="Times New Roman" w:hint="eastAsia"/>
        </w:rPr>
        <w:t xml:space="preserve">(covered 1872 </w:t>
      </w:r>
      <w:r w:rsidRPr="00E00B66">
        <w:rPr>
          <w:rFonts w:ascii="Times New Roman" w:hAnsi="Times New Roman" w:cs="Times New Roman"/>
        </w:rPr>
        <w:t>species</w:t>
      </w:r>
      <w:r w:rsidRPr="00E00B66">
        <w:rPr>
          <w:rFonts w:ascii="Times New Roman" w:hAnsi="Times New Roman" w:cs="Times New Roman" w:hint="eastAsia"/>
        </w:rPr>
        <w:t>)</w:t>
      </w:r>
      <w:r>
        <w:rPr>
          <w:rFonts w:ascii="Times New Roman" w:hAnsi="Times New Roman" w:cs="Times New Roman" w:hint="eastAsia"/>
        </w:rPr>
        <w:t xml:space="preserve"> </w:t>
      </w:r>
      <w:r w:rsidRPr="00B46B66">
        <w:rPr>
          <w:rFonts w:ascii="Times New Roman" w:hAnsi="Times New Roman" w:cs="Times New Roman" w:hint="eastAsia"/>
        </w:rPr>
        <w:t xml:space="preserve">with samples for </w:t>
      </w:r>
      <w:r w:rsidRPr="00B46B66">
        <w:rPr>
          <w:rFonts w:ascii="Times New Roman" w:hAnsi="Times New Roman" w:cs="Times New Roman"/>
        </w:rPr>
        <w:t xml:space="preserve">approximately 4 h. The probe and bound products were captured, removed, and eluted and underwent an 18-cycle PCR for library preparation. Products for metagenomic and targeted sequencing were quantified with a Qubit 3.0 instrument using dsDNA HS reagents. Products were stored at −20°C until </w:t>
      </w:r>
      <w:r>
        <w:rPr>
          <w:rFonts w:ascii="Times New Roman" w:hAnsi="Times New Roman" w:cs="Times New Roman" w:hint="eastAsia"/>
        </w:rPr>
        <w:t>s</w:t>
      </w:r>
      <w:r w:rsidRPr="00B46B66">
        <w:rPr>
          <w:rFonts w:ascii="Times New Roman" w:hAnsi="Times New Roman" w:cs="Times New Roman"/>
        </w:rPr>
        <w:t>equencing.</w:t>
      </w:r>
    </w:p>
    <w:p w14:paraId="0E039E4F" w14:textId="77777777" w:rsidR="00667DD1" w:rsidRPr="00B46B66" w:rsidRDefault="00667DD1" w:rsidP="00667DD1">
      <w:pPr>
        <w:rPr>
          <w:rFonts w:ascii="Times New Roman" w:hAnsi="Times New Roman" w:cs="Times New Roman"/>
        </w:rPr>
      </w:pPr>
    </w:p>
    <w:p w14:paraId="3BDD02E8" w14:textId="77777777" w:rsidR="00667DD1" w:rsidRPr="00B46B66" w:rsidRDefault="00667DD1" w:rsidP="00667DD1">
      <w:pPr>
        <w:rPr>
          <w:rFonts w:ascii="Times New Roman" w:hAnsi="Times New Roman" w:cs="Times New Roman"/>
        </w:rPr>
      </w:pPr>
      <w:r>
        <w:rPr>
          <w:rFonts w:ascii="Times New Roman" w:hAnsi="Times New Roman" w:cs="Times New Roman" w:hint="eastAsia"/>
        </w:rPr>
        <w:t xml:space="preserve">1.3 </w:t>
      </w:r>
      <w:r w:rsidRPr="00B46B66">
        <w:rPr>
          <w:rFonts w:ascii="Times New Roman" w:hAnsi="Times New Roman" w:cs="Times New Roman" w:hint="eastAsia"/>
        </w:rPr>
        <w:t>Sequencing and Bioinformatic analysis</w:t>
      </w:r>
    </w:p>
    <w:p w14:paraId="28C55FB1" w14:textId="6BB221D4" w:rsidR="00667DD1" w:rsidRDefault="00667DD1" w:rsidP="00667DD1">
      <w:pPr>
        <w:rPr>
          <w:rFonts w:ascii="Times New Roman" w:hAnsi="Times New Roman" w:cs="Times New Roman"/>
        </w:rPr>
      </w:pPr>
      <w:r w:rsidRPr="00B46B66">
        <w:rPr>
          <w:rFonts w:ascii="Times New Roman" w:hAnsi="Times New Roman" w:cs="Times New Roman" w:hint="eastAsia"/>
        </w:rPr>
        <w:t>Sequencing was performed on Gene+Seq-100 (GenePlus-Suzhou</w:t>
      </w:r>
      <w:r>
        <w:rPr>
          <w:rFonts w:ascii="Times New Roman" w:hAnsi="Times New Roman" w:cs="Times New Roman" w:hint="eastAsia"/>
        </w:rPr>
        <w:t>, China</w:t>
      </w:r>
      <w:r w:rsidRPr="00B46B66">
        <w:rPr>
          <w:rFonts w:ascii="Times New Roman" w:hAnsi="Times New Roman" w:cs="Times New Roman" w:hint="eastAsia"/>
        </w:rPr>
        <w:t xml:space="preserve">) with a 100-bp single-end read sequencing to goal depths of 5 million reads for the targeted workflow. </w:t>
      </w:r>
      <w:r w:rsidRPr="006A44EA">
        <w:rPr>
          <w:rFonts w:ascii="Times New Roman" w:hAnsi="Times New Roman" w:cs="Times New Roman"/>
        </w:rPr>
        <w:t>After sequencing, ensure that the final sequencing output is no less than 5 million reads, with Q20 and Q30 values not lower than 95% and 88%, respectively.</w:t>
      </w:r>
      <w:r w:rsidRPr="006A44EA">
        <w:rPr>
          <w:rFonts w:ascii="Times New Roman" w:hAnsi="Times New Roman" w:cs="Times New Roman" w:hint="eastAsia"/>
        </w:rPr>
        <w:t xml:space="preserve"> Clean reads were obtained by removing seq</w:t>
      </w:r>
      <w:r w:rsidRPr="007B141E">
        <w:rPr>
          <w:rFonts w:ascii="Times New Roman" w:hAnsi="Times New Roman" w:cs="Times New Roman" w:hint="eastAsia"/>
        </w:rPr>
        <w:t>uencing adapters, low-quality reads, or reads below 35 bp using fastp (version 0.23.1)</w:t>
      </w:r>
      <w:r>
        <w:rPr>
          <w:rFonts w:ascii="Times New Roman" w:hAnsi="Times New Roman" w:cs="Times New Roman" w:hint="eastAsia"/>
        </w:rPr>
        <w:t xml:space="preserve">. </w:t>
      </w:r>
      <w:r w:rsidRPr="007B141E">
        <w:rPr>
          <w:rFonts w:ascii="Times New Roman" w:hAnsi="Times New Roman" w:cs="Times New Roman" w:hint="eastAsia"/>
        </w:rPr>
        <w:t>The remaining reads were aligned to the human reference (hg38) using Burrow-Wheeler Aligner (version 0.7.12-r1039), and human reads were filtered. The filtered reads were compared with the self-built pathogenic microorganism database, and the retained results were annotated.</w:t>
      </w:r>
      <w:r>
        <w:rPr>
          <w:rFonts w:ascii="Times New Roman" w:hAnsi="Times New Roman" w:cs="Times New Roman" w:hint="eastAsia"/>
        </w:rPr>
        <w:t xml:space="preserve"> </w:t>
      </w:r>
      <w:r w:rsidRPr="00B46B66">
        <w:rPr>
          <w:rFonts w:ascii="Times New Roman" w:hAnsi="Times New Roman" w:cs="Times New Roman" w:hint="eastAsia"/>
        </w:rPr>
        <w:t xml:space="preserve">Analysis of sequencing data generated by the workflow was a Geneplus' self-built automated Data Analysis Solution. Microbial reads within the target range were normalized to reads per million (RPM), and only microorganisms above a predefined threshold were </w:t>
      </w:r>
      <w:r>
        <w:rPr>
          <w:rFonts w:ascii="Times New Roman" w:hAnsi="Times New Roman" w:cs="Times New Roman" w:hint="eastAsia"/>
        </w:rPr>
        <w:t xml:space="preserve">initial </w:t>
      </w:r>
      <w:r w:rsidRPr="00B46B66">
        <w:rPr>
          <w:rFonts w:ascii="Times New Roman" w:hAnsi="Times New Roman" w:cs="Times New Roman" w:hint="eastAsia"/>
        </w:rPr>
        <w:t xml:space="preserve">reported in this study. The threshold was set at RPM </w:t>
      </w:r>
      <w:r w:rsidRPr="00B46B66">
        <w:rPr>
          <w:rFonts w:ascii="Times New Roman" w:hAnsi="Times New Roman" w:cs="Times New Roman" w:hint="eastAsia"/>
        </w:rPr>
        <w:t>≥</w:t>
      </w:r>
      <w:r w:rsidRPr="00B46B66">
        <w:rPr>
          <w:rFonts w:ascii="Times New Roman" w:hAnsi="Times New Roman" w:cs="Times New Roman" w:hint="eastAsia"/>
        </w:rPr>
        <w:t xml:space="preserve">6 for common pathogens (excluding mycobacteria) and </w:t>
      </w:r>
      <w:r w:rsidRPr="00B46B66">
        <w:rPr>
          <w:rFonts w:ascii="Times New Roman" w:hAnsi="Times New Roman" w:cs="Times New Roman" w:hint="eastAsia"/>
        </w:rPr>
        <w:t>≥</w:t>
      </w:r>
      <w:r w:rsidRPr="00B46B66">
        <w:rPr>
          <w:rFonts w:ascii="Times New Roman" w:hAnsi="Times New Roman" w:cs="Times New Roman" w:hint="eastAsia"/>
        </w:rPr>
        <w:t xml:space="preserve">0.5 for fungi and mycobacteria. A manual review is conducted. </w:t>
      </w:r>
      <w:r w:rsidRPr="00942DDC">
        <w:rPr>
          <w:rFonts w:ascii="Times New Roman" w:hAnsi="Times New Roman" w:cs="Times New Roman" w:hint="eastAsia"/>
        </w:rPr>
        <w:t>Oral commensals were not reported regardless of their relative abundance, unless otherwise proven or deemed significant by the attending physician.</w:t>
      </w:r>
      <w:r>
        <w:rPr>
          <w:rFonts w:ascii="Times New Roman" w:hAnsi="Times New Roman" w:cs="Times New Roman" w:hint="eastAsia"/>
        </w:rPr>
        <w:t xml:space="preserve"> M</w:t>
      </w:r>
      <w:r w:rsidRPr="00B46B66">
        <w:rPr>
          <w:rFonts w:ascii="Times New Roman" w:hAnsi="Times New Roman" w:cs="Times New Roman" w:hint="eastAsia"/>
        </w:rPr>
        <w:t>icroorganisms with abnormal genomic coverage will be filtered out.</w:t>
      </w:r>
    </w:p>
    <w:p w14:paraId="36F4C1DF" w14:textId="77777777" w:rsidR="00667DD1" w:rsidRPr="00B46B66" w:rsidRDefault="00667DD1" w:rsidP="00667DD1">
      <w:pPr>
        <w:rPr>
          <w:rFonts w:ascii="Times New Roman" w:hAnsi="Times New Roman" w:cs="Times New Roman"/>
        </w:rPr>
      </w:pPr>
    </w:p>
    <w:p w14:paraId="66BE672B" w14:textId="77777777" w:rsidR="00667DD1" w:rsidRPr="00F02777" w:rsidRDefault="00667DD1" w:rsidP="00667DD1">
      <w:pPr>
        <w:rPr>
          <w:rFonts w:ascii="Times New Roman" w:hAnsi="Times New Roman" w:cs="Times New Roman"/>
        </w:rPr>
      </w:pPr>
      <w:r w:rsidRPr="00F02777">
        <w:rPr>
          <w:rFonts w:ascii="Times New Roman" w:hAnsi="Times New Roman" w:cs="Times New Roman" w:hint="eastAsia"/>
        </w:rPr>
        <w:t>Upon arrival at the laboratory within 1 hour, the median turnaround time for mNGS was 20 hours (interquartile range: 19-25 hours; maximum: 28 hours), whereas for bstNGS, it was 18 hours (interquartile range: 16-21 hours; maximum: 24 hours), indicating a comparable duration for both sequencing processes.</w:t>
      </w:r>
    </w:p>
    <w:p w14:paraId="1E8BCA04" w14:textId="77777777" w:rsidR="00256BEE" w:rsidRPr="00667DD1" w:rsidRDefault="00256BEE"/>
    <w:sectPr w:rsidR="00256BEE" w:rsidRPr="00667DD1" w:rsidSect="00421A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EF2B9" w14:textId="77777777" w:rsidR="00987FE2" w:rsidRDefault="00987FE2" w:rsidP="00667DD1">
      <w:r>
        <w:separator/>
      </w:r>
    </w:p>
  </w:endnote>
  <w:endnote w:type="continuationSeparator" w:id="0">
    <w:p w14:paraId="63BA6FB9" w14:textId="77777777" w:rsidR="00987FE2" w:rsidRDefault="00987FE2" w:rsidP="00667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56C39" w14:textId="77777777" w:rsidR="00987FE2" w:rsidRDefault="00987FE2" w:rsidP="00667DD1">
      <w:r>
        <w:separator/>
      </w:r>
    </w:p>
  </w:footnote>
  <w:footnote w:type="continuationSeparator" w:id="0">
    <w:p w14:paraId="102BF3C7" w14:textId="77777777" w:rsidR="00987FE2" w:rsidRDefault="00987FE2" w:rsidP="00667D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D45AAF"/>
    <w:multiLevelType w:val="multilevel"/>
    <w:tmpl w:val="659EDF4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51"/>
    <w:rsid w:val="00165B82"/>
    <w:rsid w:val="00256BEE"/>
    <w:rsid w:val="00421A6E"/>
    <w:rsid w:val="00426697"/>
    <w:rsid w:val="00667DD1"/>
    <w:rsid w:val="006A44EA"/>
    <w:rsid w:val="006B1564"/>
    <w:rsid w:val="00987FE2"/>
    <w:rsid w:val="009902AA"/>
    <w:rsid w:val="009F2939"/>
    <w:rsid w:val="00A61D17"/>
    <w:rsid w:val="00AA289E"/>
    <w:rsid w:val="00BE7293"/>
    <w:rsid w:val="00D05251"/>
    <w:rsid w:val="00DB2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4FF47"/>
  <w15:chartTrackingRefBased/>
  <w15:docId w15:val="{C95FCABA-D7FC-4B54-A819-37D6AFB5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DD1"/>
    <w:pPr>
      <w:widowControl w:val="0"/>
      <w:jc w:val="both"/>
    </w:pPr>
  </w:style>
  <w:style w:type="paragraph" w:styleId="Heading1">
    <w:name w:val="heading 1"/>
    <w:basedOn w:val="Normal"/>
    <w:next w:val="Normal"/>
    <w:link w:val="Heading1Char"/>
    <w:uiPriority w:val="9"/>
    <w:qFormat/>
    <w:rsid w:val="00D0525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D0525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D0525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D0525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D05251"/>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05251"/>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D05251"/>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D05251"/>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D05251"/>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251"/>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D05251"/>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05251"/>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05251"/>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05251"/>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D05251"/>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D05251"/>
    <w:rPr>
      <w:rFonts w:cstheme="majorBidi"/>
      <w:b/>
      <w:bCs/>
      <w:color w:val="595959" w:themeColor="text1" w:themeTint="A6"/>
    </w:rPr>
  </w:style>
  <w:style w:type="character" w:customStyle="1" w:styleId="Heading8Char">
    <w:name w:val="Heading 8 Char"/>
    <w:basedOn w:val="DefaultParagraphFont"/>
    <w:link w:val="Heading8"/>
    <w:uiPriority w:val="9"/>
    <w:semiHidden/>
    <w:rsid w:val="00D05251"/>
    <w:rPr>
      <w:rFonts w:cstheme="majorBidi"/>
      <w:color w:val="595959" w:themeColor="text1" w:themeTint="A6"/>
    </w:rPr>
  </w:style>
  <w:style w:type="character" w:customStyle="1" w:styleId="Heading9Char">
    <w:name w:val="Heading 9 Char"/>
    <w:basedOn w:val="DefaultParagraphFont"/>
    <w:link w:val="Heading9"/>
    <w:uiPriority w:val="9"/>
    <w:semiHidden/>
    <w:rsid w:val="00D05251"/>
    <w:rPr>
      <w:rFonts w:eastAsiaTheme="majorEastAsia" w:cstheme="majorBidi"/>
      <w:color w:val="595959" w:themeColor="text1" w:themeTint="A6"/>
    </w:rPr>
  </w:style>
  <w:style w:type="paragraph" w:styleId="Title">
    <w:name w:val="Title"/>
    <w:basedOn w:val="Normal"/>
    <w:next w:val="Normal"/>
    <w:link w:val="TitleChar"/>
    <w:uiPriority w:val="10"/>
    <w:qFormat/>
    <w:rsid w:val="00D05251"/>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25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25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052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251"/>
    <w:rPr>
      <w:i/>
      <w:iCs/>
      <w:color w:val="404040" w:themeColor="text1" w:themeTint="BF"/>
    </w:rPr>
  </w:style>
  <w:style w:type="paragraph" w:styleId="ListParagraph">
    <w:name w:val="List Paragraph"/>
    <w:basedOn w:val="Normal"/>
    <w:uiPriority w:val="34"/>
    <w:qFormat/>
    <w:rsid w:val="00D05251"/>
    <w:pPr>
      <w:ind w:left="720"/>
      <w:contextualSpacing/>
    </w:pPr>
  </w:style>
  <w:style w:type="character" w:styleId="IntenseEmphasis">
    <w:name w:val="Intense Emphasis"/>
    <w:basedOn w:val="DefaultParagraphFont"/>
    <w:uiPriority w:val="21"/>
    <w:qFormat/>
    <w:rsid w:val="00D05251"/>
    <w:rPr>
      <w:i/>
      <w:iCs/>
      <w:color w:val="0F4761" w:themeColor="accent1" w:themeShade="BF"/>
    </w:rPr>
  </w:style>
  <w:style w:type="paragraph" w:styleId="IntenseQuote">
    <w:name w:val="Intense Quote"/>
    <w:basedOn w:val="Normal"/>
    <w:next w:val="Normal"/>
    <w:link w:val="IntenseQuoteChar"/>
    <w:uiPriority w:val="30"/>
    <w:qFormat/>
    <w:rsid w:val="00D05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251"/>
    <w:rPr>
      <w:i/>
      <w:iCs/>
      <w:color w:val="0F4761" w:themeColor="accent1" w:themeShade="BF"/>
    </w:rPr>
  </w:style>
  <w:style w:type="character" w:styleId="IntenseReference">
    <w:name w:val="Intense Reference"/>
    <w:basedOn w:val="DefaultParagraphFont"/>
    <w:uiPriority w:val="32"/>
    <w:qFormat/>
    <w:rsid w:val="00D05251"/>
    <w:rPr>
      <w:b/>
      <w:bCs/>
      <w:smallCaps/>
      <w:color w:val="0F4761" w:themeColor="accent1" w:themeShade="BF"/>
      <w:spacing w:val="5"/>
    </w:rPr>
  </w:style>
  <w:style w:type="paragraph" w:styleId="Header">
    <w:name w:val="header"/>
    <w:basedOn w:val="Normal"/>
    <w:link w:val="HeaderChar"/>
    <w:uiPriority w:val="99"/>
    <w:unhideWhenUsed/>
    <w:rsid w:val="00667DD1"/>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67DD1"/>
    <w:rPr>
      <w:sz w:val="18"/>
      <w:szCs w:val="18"/>
    </w:rPr>
  </w:style>
  <w:style w:type="paragraph" w:styleId="Footer">
    <w:name w:val="footer"/>
    <w:basedOn w:val="Normal"/>
    <w:link w:val="FooterChar"/>
    <w:uiPriority w:val="99"/>
    <w:unhideWhenUsed/>
    <w:rsid w:val="00667DD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67D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552</Words>
  <Characters>3256</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Chuanxi Chen</dc:creator>
  <cp:keywords/>
  <dc:description/>
  <cp:lastModifiedBy>Rajalakshmi Thangaraj</cp:lastModifiedBy>
  <cp:revision>5</cp:revision>
  <dcterms:created xsi:type="dcterms:W3CDTF">2025-04-24T16:33:00Z</dcterms:created>
  <dcterms:modified xsi:type="dcterms:W3CDTF">2025-06-02T07:36:00Z</dcterms:modified>
</cp:coreProperties>
</file>