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AE662" w14:textId="3D70C2C4" w:rsidR="007C557E" w:rsidRDefault="00715CA6">
      <w:pPr>
        <w:rPr>
          <w:b/>
          <w:bCs/>
          <w:sz w:val="22"/>
          <w:szCs w:val="22"/>
        </w:rPr>
      </w:pPr>
      <w:r w:rsidRPr="0083312D">
        <w:rPr>
          <w:b/>
          <w:bCs/>
          <w:sz w:val="22"/>
          <w:szCs w:val="22"/>
        </w:rPr>
        <w:t>Supplemental Material</w:t>
      </w:r>
    </w:p>
    <w:p w14:paraId="0125443C" w14:textId="77777777" w:rsidR="00B6218A" w:rsidRPr="0083312D" w:rsidRDefault="00B6218A">
      <w:pPr>
        <w:rPr>
          <w:b/>
          <w:bCs/>
          <w:sz w:val="22"/>
          <w:szCs w:val="22"/>
        </w:rPr>
      </w:pPr>
    </w:p>
    <w:p w14:paraId="2FFE7DA8" w14:textId="62E2AB12" w:rsidR="00715CA6" w:rsidRDefault="00715CA6" w:rsidP="00B6218A">
      <w:pPr>
        <w:pStyle w:val="ListParagraph"/>
        <w:numPr>
          <w:ilvl w:val="0"/>
          <w:numId w:val="2"/>
        </w:numPr>
      </w:pPr>
      <w:r>
        <w:t>ALPS Data Management</w:t>
      </w:r>
    </w:p>
    <w:p w14:paraId="5D0DDCC8" w14:textId="6BDD2086" w:rsidR="00715CA6" w:rsidRDefault="00715CA6" w:rsidP="00715CA6">
      <w:pPr>
        <w:pStyle w:val="ListParagraph"/>
        <w:numPr>
          <w:ilvl w:val="0"/>
          <w:numId w:val="2"/>
        </w:numPr>
      </w:pPr>
      <w:r>
        <w:t>Predicted Probability of WLST</w:t>
      </w:r>
    </w:p>
    <w:p w14:paraId="2D38B894" w14:textId="29A6ACB1" w:rsidR="00715CA6" w:rsidRDefault="00715CA6" w:rsidP="00715CA6">
      <w:pPr>
        <w:pStyle w:val="ListParagraph"/>
        <w:numPr>
          <w:ilvl w:val="0"/>
          <w:numId w:val="2"/>
        </w:numPr>
      </w:pPr>
      <w:r>
        <w:t>Predicted Probability of Survival</w:t>
      </w:r>
    </w:p>
    <w:p w14:paraId="4BE3FDC5" w14:textId="4A05FDB3" w:rsidR="00302DC3" w:rsidRDefault="007C557E" w:rsidP="00B6218A">
      <w:pPr>
        <w:rPr>
          <w:b/>
          <w:bCs/>
        </w:rPr>
      </w:pPr>
      <w:r>
        <w:br w:type="page"/>
      </w:r>
    </w:p>
    <w:p w14:paraId="5A587463" w14:textId="4E6A6EFA" w:rsidR="007C557E" w:rsidRPr="007C557E" w:rsidRDefault="00B6218A">
      <w:pPr>
        <w:rPr>
          <w:b/>
          <w:bCs/>
        </w:rPr>
      </w:pPr>
      <w:r>
        <w:rPr>
          <w:b/>
          <w:bCs/>
        </w:rPr>
        <w:lastRenderedPageBreak/>
        <w:t>1</w:t>
      </w:r>
      <w:r w:rsidR="0083312D">
        <w:rPr>
          <w:b/>
          <w:bCs/>
        </w:rPr>
        <w:t xml:space="preserve">. </w:t>
      </w:r>
      <w:r w:rsidR="007C557E" w:rsidRPr="007C557E">
        <w:rPr>
          <w:b/>
          <w:bCs/>
        </w:rPr>
        <w:t xml:space="preserve">ALPS Data </w:t>
      </w:r>
      <w:r w:rsidR="00F7199A">
        <w:rPr>
          <w:b/>
          <w:bCs/>
        </w:rPr>
        <w:t>Management</w:t>
      </w:r>
    </w:p>
    <w:p w14:paraId="659FB2ED" w14:textId="77777777" w:rsidR="007C557E" w:rsidRDefault="007C557E"/>
    <w:p w14:paraId="458D0A38" w14:textId="7B424322" w:rsidR="007C557E" w:rsidRDefault="00F7199A">
      <w:r w:rsidRPr="00F363EC">
        <w:t>Deidentified</w:t>
      </w:r>
      <w:r w:rsidR="007C557E" w:rsidRPr="00F363EC">
        <w:t xml:space="preserve"> trial data were obtained as a comma-separated </w:t>
      </w:r>
      <w:r w:rsidR="00F363EC">
        <w:t>value file</w:t>
      </w:r>
      <w:r w:rsidR="007C557E" w:rsidRPr="00F363EC">
        <w:t xml:space="preserve"> from </w:t>
      </w:r>
      <w:r w:rsidR="00901240" w:rsidRPr="00F363EC">
        <w:t xml:space="preserve">the National </w:t>
      </w:r>
      <w:proofErr w:type="spellStart"/>
      <w:r w:rsidR="00901240" w:rsidRPr="00F363EC">
        <w:t>Heat</w:t>
      </w:r>
      <w:proofErr w:type="spellEnd"/>
      <w:r w:rsidR="00901240" w:rsidRPr="00F363EC">
        <w:t>, Lung and Blood Institute data warehouse (NCT01401647; https://biolincc.nhlbi.nih.gov/studies/roc_alps)</w:t>
      </w:r>
      <w:r w:rsidR="007C557E" w:rsidRPr="00F363EC">
        <w:t xml:space="preserve">.  </w:t>
      </w:r>
      <w:r w:rsidRPr="00F363EC">
        <w:t>The original trial enrolled patients under an Exception from the Requirement for Informed Consent for Emergency Care Research that had been approved by the institutional review boards of the participating sites (</w:t>
      </w:r>
      <w:proofErr w:type="spellStart"/>
      <w:r w:rsidRPr="00F363EC">
        <w:t>Ku</w:t>
      </w:r>
      <w:r w:rsidR="006630A5">
        <w:t>d</w:t>
      </w:r>
      <w:r w:rsidRPr="00F363EC">
        <w:t>enchuk</w:t>
      </w:r>
      <w:proofErr w:type="spellEnd"/>
      <w:r w:rsidRPr="00F363EC">
        <w:t xml:space="preserve"> 2016).  </w:t>
      </w:r>
      <w:r w:rsidR="00B10A39" w:rsidRPr="00F363EC">
        <w:t>The University of Pittsburgh Human Research Protections Office designated the u</w:t>
      </w:r>
      <w:r w:rsidRPr="00F363EC">
        <w:t xml:space="preserve">se of the </w:t>
      </w:r>
      <w:r w:rsidR="00901240" w:rsidRPr="00F363EC">
        <w:t>deidentified</w:t>
      </w:r>
      <w:r w:rsidR="00B10A39" w:rsidRPr="00F363EC">
        <w:t xml:space="preserve"> </w:t>
      </w:r>
      <w:r w:rsidRPr="00F363EC">
        <w:t>public use da</w:t>
      </w:r>
      <w:r w:rsidR="00B10A39" w:rsidRPr="00F363EC">
        <w:t>ta not to be human research.</w:t>
      </w:r>
    </w:p>
    <w:p w14:paraId="59264B2B" w14:textId="77777777" w:rsidR="00F363EC" w:rsidRDefault="00F363EC"/>
    <w:p w14:paraId="0AAF4024" w14:textId="4FFF05D3" w:rsidR="00F363EC" w:rsidRPr="00F363EC" w:rsidRDefault="00F363EC">
      <w:r>
        <w:t>Data analysis was conducted using STATA 18.5 (</w:t>
      </w:r>
      <w:r w:rsidRPr="00F363EC">
        <w:t xml:space="preserve">College Station, TX: </w:t>
      </w:r>
      <w:proofErr w:type="spellStart"/>
      <w:r w:rsidRPr="00F363EC">
        <w:t>StataCorp</w:t>
      </w:r>
      <w:proofErr w:type="spellEnd"/>
      <w:r w:rsidRPr="00F363EC">
        <w:t xml:space="preserve"> LLC</w:t>
      </w:r>
      <w:r>
        <w:t>), and graphs prepared with GraphPad Prism 10.4.1 (</w:t>
      </w:r>
      <w:r w:rsidRPr="00F363EC">
        <w:t>GraphPad Software, Boston</w:t>
      </w:r>
      <w:r>
        <w:t xml:space="preserve">, MA). </w:t>
      </w:r>
    </w:p>
    <w:p w14:paraId="04C547A5" w14:textId="77777777" w:rsidR="007C557E" w:rsidRPr="00F363EC" w:rsidRDefault="007C557E"/>
    <w:p w14:paraId="3FF1CB9F" w14:textId="090844C8" w:rsidR="009B61C3" w:rsidRDefault="007C557E" w:rsidP="009B61C3">
      <w:r w:rsidRPr="00F363EC">
        <w:t xml:space="preserve">We conducted analyses on the same cohort </w:t>
      </w:r>
      <w:r w:rsidR="00F363EC">
        <w:t>as reported in the primary manuscript</w:t>
      </w:r>
      <w:r w:rsidRPr="00F363EC">
        <w:t xml:space="preserve">, by keeping cases for which the indicator variable </w:t>
      </w:r>
      <w:proofErr w:type="spellStart"/>
      <w:r w:rsidRPr="00F363EC">
        <w:t>primaryma</w:t>
      </w:r>
      <w:r w:rsidR="00AC0B30">
        <w:t>n</w:t>
      </w:r>
      <w:r w:rsidRPr="00F363EC">
        <w:t>uscript</w:t>
      </w:r>
      <w:proofErr w:type="spellEnd"/>
      <w:r w:rsidRPr="00F363EC">
        <w:t xml:space="preserve">=1.  </w:t>
      </w:r>
      <w:r w:rsidR="00ED6EDB" w:rsidRPr="00F363EC">
        <w:t xml:space="preserve">This </w:t>
      </w:r>
      <w:r w:rsidRPr="00F363EC">
        <w:t>dataset</w:t>
      </w:r>
      <w:r w:rsidR="00ED6EDB" w:rsidRPr="00F363EC">
        <w:t xml:space="preserve"> contains</w:t>
      </w:r>
      <w:r w:rsidRPr="00F363EC">
        <w:t xml:space="preserve"> one </w:t>
      </w:r>
      <w:r w:rsidR="00ED6EDB" w:rsidRPr="00F363EC">
        <w:t>patient</w:t>
      </w:r>
      <w:r w:rsidRPr="00F363EC">
        <w:t xml:space="preserve"> in the placebo treatment group </w:t>
      </w:r>
      <w:r w:rsidR="00ED6EDB" w:rsidRPr="00F363EC">
        <w:t>with in-hospital death</w:t>
      </w:r>
      <w:r w:rsidRPr="00F363EC">
        <w:t xml:space="preserve">, </w:t>
      </w:r>
      <w:r w:rsidR="00ED6EDB" w:rsidRPr="00F363EC">
        <w:t>who</w:t>
      </w:r>
      <w:r w:rsidRPr="00F363EC">
        <w:t xml:space="preserve"> </w:t>
      </w:r>
      <w:r w:rsidR="006630A5">
        <w:t>was reported</w:t>
      </w:r>
      <w:r w:rsidRPr="00F363EC">
        <w:t xml:space="preserve"> to be alive </w:t>
      </w:r>
      <w:r w:rsidR="00B10A39" w:rsidRPr="00F363EC">
        <w:t>with modified Rankin score</w:t>
      </w:r>
      <w:r w:rsidRPr="00F363EC">
        <w:t xml:space="preserve">=5 in the primary manuscript.  </w:t>
      </w:r>
      <w:r w:rsidR="009B61C3">
        <w:t xml:space="preserve">Treatment effects were expressed as the absolute difference and 95% confidence intervals in proportion of survivors between treatment groups.   </w:t>
      </w:r>
    </w:p>
    <w:p w14:paraId="2F9D29DF" w14:textId="77777777" w:rsidR="007C557E" w:rsidRPr="00F363EC" w:rsidRDefault="007C557E"/>
    <w:p w14:paraId="4A2A68B6" w14:textId="48EEA29C" w:rsidR="00D23406" w:rsidRPr="00F363EC" w:rsidRDefault="007C557E">
      <w:r w:rsidRPr="00F363EC">
        <w:t>The following variables were recoded into binary variables</w:t>
      </w:r>
      <w:r w:rsidR="00D23406" w:rsidRPr="00F363EC">
        <w:t xml:space="preserve"> (yes/no)</w:t>
      </w:r>
      <w:r w:rsidRPr="00F363EC">
        <w:t>: bystander witnessed collapse, resuscitation attempted by bystander, male sex.</w:t>
      </w:r>
      <w:r w:rsidR="00D23406" w:rsidRPr="00F363EC">
        <w:t xml:space="preserve">  </w:t>
      </w:r>
      <w:r w:rsidRPr="00F363EC">
        <w:t>Missing values</w:t>
      </w:r>
      <w:r w:rsidR="00D23406" w:rsidRPr="00F363EC">
        <w:t xml:space="preserve"> were recoded to “no”</w:t>
      </w:r>
      <w:r w:rsidRPr="00F363EC">
        <w:t xml:space="preserve"> for pulses at ED arrival</w:t>
      </w:r>
      <w:r w:rsidR="00D23406" w:rsidRPr="00F363EC">
        <w:t xml:space="preserve"> (n=27)</w:t>
      </w:r>
      <w:r w:rsidRPr="00F363EC">
        <w:t>, coronary angiography in first 24 hours</w:t>
      </w:r>
      <w:r w:rsidR="00D23406" w:rsidRPr="00F363EC">
        <w:t xml:space="preserve"> (n=4)</w:t>
      </w:r>
      <w:r w:rsidRPr="00F363EC">
        <w:t xml:space="preserve">, </w:t>
      </w:r>
      <w:r w:rsidR="00D23406" w:rsidRPr="00F363EC">
        <w:t>hypothermia in the hospital (n=7), and CPR in the ED or hospital (n=1).  In-hospital interventions were recoded to “no” for patients who died prior to hospital admission.</w:t>
      </w:r>
      <w:r w:rsidR="00ED6EDB" w:rsidRPr="00F363EC">
        <w:t xml:space="preserve"> For admitted patients, the</w:t>
      </w:r>
      <w:r w:rsidR="00D23406" w:rsidRPr="00F363EC">
        <w:t xml:space="preserve"> missing values for time interval from ALS arrival to return of pulses (</w:t>
      </w:r>
      <w:r w:rsidR="00ED6EDB" w:rsidRPr="00F363EC">
        <w:t>n=158</w:t>
      </w:r>
      <w:r w:rsidR="00D23406" w:rsidRPr="00F363EC">
        <w:t>) and for total epinephrine dose (n=</w:t>
      </w:r>
      <w:r w:rsidR="00ED6EDB" w:rsidRPr="00F363EC">
        <w:t>35</w:t>
      </w:r>
      <w:r w:rsidR="00D23406" w:rsidRPr="00F363EC">
        <w:t>) were imputed as the mean of the group with WLST or without WLST.</w:t>
      </w:r>
    </w:p>
    <w:p w14:paraId="00AE803A" w14:textId="77777777" w:rsidR="009B61C3" w:rsidRDefault="009B61C3"/>
    <w:p w14:paraId="206EA1CB" w14:textId="5014829A" w:rsidR="00C460D6" w:rsidRDefault="00427005" w:rsidP="00427005">
      <w:r>
        <w:t xml:space="preserve">We calculated </w:t>
      </w:r>
      <w:proofErr w:type="spellStart"/>
      <w:r>
        <w:t>estimands</w:t>
      </w:r>
      <w:proofErr w:type="spellEnd"/>
      <w:r>
        <w:t xml:space="preserve"> for the Average Treatment Effect (ATE) that were the absolute differences between probability of survival among treated (amiodarone or lidocaine) patients and untreated patients (placebo).   Representing survival outcome as Y</w:t>
      </w:r>
      <w:r w:rsidR="003E14F3">
        <w:t xml:space="preserve"> (Y=1 is survival and Y=0 is </w:t>
      </w:r>
      <w:proofErr w:type="spellStart"/>
      <w:r w:rsidR="003E14F3">
        <w:t>nonsurvival</w:t>
      </w:r>
      <w:proofErr w:type="spellEnd"/>
      <w:r w:rsidR="003E14F3">
        <w:t>)</w:t>
      </w:r>
      <w:r>
        <w:t xml:space="preserve"> and treatment as A</w:t>
      </w:r>
      <w:r w:rsidR="003E14F3">
        <w:t xml:space="preserve"> (a=1 is treatment and a=0 is placebo)</w:t>
      </w:r>
      <w:r>
        <w:t xml:space="preserve">, </w:t>
      </w:r>
      <w:r w:rsidR="00C460D6">
        <w:t>we used</w:t>
      </w:r>
      <w:r>
        <w:t xml:space="preserve"> </w:t>
      </w:r>
      <w:r w:rsidR="00C460D6">
        <w:t xml:space="preserve">the various </w:t>
      </w:r>
      <w:r>
        <w:t>methods</w:t>
      </w:r>
      <w:r w:rsidR="00C460D6">
        <w:t xml:space="preserve"> to</w:t>
      </w:r>
      <w:r>
        <w:t xml:space="preserve"> estimate </w:t>
      </w:r>
      <w:r w:rsidR="00C460D6">
        <w:t>ATE:</w:t>
      </w:r>
    </w:p>
    <w:p w14:paraId="2482F7D4" w14:textId="77777777" w:rsidR="00C460D6" w:rsidRDefault="00C460D6" w:rsidP="00427005"/>
    <w:p w14:paraId="142D55CF" w14:textId="77777777" w:rsidR="00C460D6" w:rsidRDefault="00C460D6" w:rsidP="00427005">
      <w:r>
        <w:t xml:space="preserve">ATE = </w:t>
      </w:r>
      <w:proofErr w:type="gramStart"/>
      <w:r>
        <w:t>E[</w:t>
      </w:r>
      <w:proofErr w:type="gramEnd"/>
      <w:r>
        <w:t xml:space="preserve"> Y</w:t>
      </w:r>
      <w:r w:rsidRPr="00C460D6">
        <w:rPr>
          <w:vertAlign w:val="subscript"/>
        </w:rPr>
        <w:t>a=1</w:t>
      </w:r>
      <w:r>
        <w:t xml:space="preserve"> – Y</w:t>
      </w:r>
      <w:r w:rsidRPr="00C460D6">
        <w:rPr>
          <w:vertAlign w:val="subscript"/>
        </w:rPr>
        <w:t>a=</w:t>
      </w:r>
      <w:proofErr w:type="gramStart"/>
      <w:r w:rsidRPr="00C460D6">
        <w:rPr>
          <w:vertAlign w:val="subscript"/>
        </w:rPr>
        <w:t>0</w:t>
      </w:r>
      <w:r>
        <w:rPr>
          <w:vertAlign w:val="subscript"/>
        </w:rPr>
        <w:t xml:space="preserve"> </w:t>
      </w:r>
      <w:r>
        <w:t>]</w:t>
      </w:r>
      <w:proofErr w:type="gramEnd"/>
      <w:r>
        <w:t xml:space="preserve"> </w:t>
      </w:r>
    </w:p>
    <w:p w14:paraId="46B2E5CC" w14:textId="1BC68202" w:rsidR="00C460D6" w:rsidRDefault="00C460D6" w:rsidP="00427005">
      <w:r>
        <w:t xml:space="preserve">ATE = </w:t>
      </w:r>
      <w:proofErr w:type="gramStart"/>
      <w:r>
        <w:t>E[</w:t>
      </w:r>
      <w:proofErr w:type="gramEnd"/>
      <w:r>
        <w:t>Y</w:t>
      </w:r>
      <w:r w:rsidRPr="00C460D6">
        <w:rPr>
          <w:vertAlign w:val="subscript"/>
        </w:rPr>
        <w:t>a=</w:t>
      </w:r>
      <w:proofErr w:type="gramStart"/>
      <w:r w:rsidRPr="00C460D6">
        <w:rPr>
          <w:vertAlign w:val="subscript"/>
        </w:rPr>
        <w:t>1</w:t>
      </w:r>
      <w:r>
        <w:t xml:space="preserve"> ]</w:t>
      </w:r>
      <w:proofErr w:type="gramEnd"/>
      <w:r>
        <w:t xml:space="preserve"> – </w:t>
      </w:r>
      <w:proofErr w:type="gramStart"/>
      <w:r>
        <w:t>E[</w:t>
      </w:r>
      <w:proofErr w:type="gramEnd"/>
      <w:r>
        <w:t>Y</w:t>
      </w:r>
      <w:r w:rsidRPr="00C460D6">
        <w:rPr>
          <w:vertAlign w:val="subscript"/>
        </w:rPr>
        <w:t>a=</w:t>
      </w:r>
      <w:proofErr w:type="gramStart"/>
      <w:r w:rsidRPr="00C460D6">
        <w:rPr>
          <w:vertAlign w:val="subscript"/>
        </w:rPr>
        <w:t>0</w:t>
      </w:r>
      <w:r>
        <w:rPr>
          <w:vertAlign w:val="subscript"/>
        </w:rPr>
        <w:t xml:space="preserve"> </w:t>
      </w:r>
      <w:r>
        <w:t>]</w:t>
      </w:r>
      <w:proofErr w:type="gramEnd"/>
    </w:p>
    <w:p w14:paraId="22EA4F17" w14:textId="4F41A5D0" w:rsidR="00427005" w:rsidRDefault="00427005" w:rsidP="00427005">
      <w:r>
        <w:t>ATE = P(Y=1|a=1) – P(Y=1|a=0)</w:t>
      </w:r>
    </w:p>
    <w:p w14:paraId="11E8D756" w14:textId="77777777" w:rsidR="00427005" w:rsidRDefault="00427005" w:rsidP="00427005"/>
    <w:p w14:paraId="2C99B7A4" w14:textId="1FE5DEC1" w:rsidR="00427005" w:rsidRDefault="00C460D6" w:rsidP="00427005">
      <w:r>
        <w:t xml:space="preserve">For the </w:t>
      </w:r>
      <w:r w:rsidR="00427005">
        <w:t>Pessimistic Lower Bound</w:t>
      </w:r>
      <w:r w:rsidR="003E14F3">
        <w:t>:</w:t>
      </w:r>
    </w:p>
    <w:p w14:paraId="2026C74D" w14:textId="75F45119" w:rsidR="00427005" w:rsidRDefault="00C460D6" w:rsidP="00427005">
      <w:r>
        <w:t>ATE</w:t>
      </w:r>
      <w:r w:rsidR="00427005">
        <w:t xml:space="preserve"> = P(Y=1|a=1) - P(Y=0|a=0), where Y=Y</w:t>
      </w:r>
      <w:r w:rsidR="00427005" w:rsidRPr="00427005">
        <w:rPr>
          <w:vertAlign w:val="subscript"/>
        </w:rPr>
        <w:t>i</w:t>
      </w:r>
      <w:r w:rsidR="00427005">
        <w:t>, as observed</w:t>
      </w:r>
      <w:r w:rsidR="003E14F3">
        <w:t xml:space="preserve"> in the presence of WLST as practiced</w:t>
      </w:r>
      <w:r w:rsidR="00427005">
        <w:t>, independent of any covariables.</w:t>
      </w:r>
    </w:p>
    <w:p w14:paraId="0AB89BB5" w14:textId="77777777" w:rsidR="00427005" w:rsidRDefault="00427005" w:rsidP="00427005"/>
    <w:p w14:paraId="673A3436" w14:textId="0576213D" w:rsidR="00427005" w:rsidRDefault="003E14F3" w:rsidP="00427005">
      <w:r>
        <w:t xml:space="preserve">For the </w:t>
      </w:r>
      <w:r w:rsidR="00427005">
        <w:t>Optimistic Upper Bound</w:t>
      </w:r>
      <w:r>
        <w:t>:</w:t>
      </w:r>
    </w:p>
    <w:p w14:paraId="3EF1E411" w14:textId="6519709C" w:rsidR="00427005" w:rsidRDefault="00C460D6" w:rsidP="00427005">
      <w:r>
        <w:lastRenderedPageBreak/>
        <w:t>ATE</w:t>
      </w:r>
      <w:r w:rsidR="00427005">
        <w:t xml:space="preserve"> = P(Y=1|a=1)</w:t>
      </w:r>
      <w:r>
        <w:t xml:space="preserve"> </w:t>
      </w:r>
      <w:r w:rsidR="00427005">
        <w:t>-</w:t>
      </w:r>
      <w:r>
        <w:t xml:space="preserve"> </w:t>
      </w:r>
      <w:r w:rsidR="00427005">
        <w:t xml:space="preserve">P(Y=1|a=0), where Y=1, independent of </w:t>
      </w:r>
      <w:r>
        <w:t>any covariables</w:t>
      </w:r>
    </w:p>
    <w:p w14:paraId="27910CB4" w14:textId="77777777" w:rsidR="003E14F3" w:rsidRDefault="003E14F3" w:rsidP="00427005"/>
    <w:p w14:paraId="3EDCD8D1" w14:textId="1FF88E74" w:rsidR="003E14F3" w:rsidRDefault="003E14F3" w:rsidP="003E14F3">
      <w:r>
        <w:t>For the Simple Estimate:</w:t>
      </w:r>
    </w:p>
    <w:p w14:paraId="3976AAF5" w14:textId="6532E50F" w:rsidR="003E14F3" w:rsidRDefault="003E14F3" w:rsidP="003E14F3">
      <w:r>
        <w:t xml:space="preserve">ATE = E[P(Y=1|a=1)] – E[P(Y=1|a=0)], where E[P(Y=1)] is </w:t>
      </w:r>
      <w:r w:rsidR="00FD7E54">
        <w:t xml:space="preserve">based on reassigning a fixed proportion P(Y=1|wlst=0) of the outcomes for cases with </w:t>
      </w:r>
      <w:proofErr w:type="spellStart"/>
      <w:r w:rsidR="00FD7E54">
        <w:t>wlst</w:t>
      </w:r>
      <w:proofErr w:type="spellEnd"/>
      <w:r w:rsidR="00FD7E54">
        <w:t>=1 to Y=1 and the remainder to Y=0</w:t>
      </w:r>
      <w:r>
        <w:t>, independent of any covariables</w:t>
      </w:r>
      <w:r w:rsidR="00FD7E54">
        <w:t xml:space="preserve">.  </w:t>
      </w:r>
    </w:p>
    <w:p w14:paraId="43989024" w14:textId="77777777" w:rsidR="00427005" w:rsidRDefault="00427005"/>
    <w:p w14:paraId="663C6DB6" w14:textId="46DBEEA2" w:rsidR="00ED0EB1" w:rsidRDefault="000F3CA4">
      <w:r>
        <w:t>For IPW and AIPW</w:t>
      </w:r>
      <w:r w:rsidR="003E14F3">
        <w:t xml:space="preserve"> estimates</w:t>
      </w:r>
      <w:r>
        <w:t xml:space="preserve">, weights were used to </w:t>
      </w:r>
      <w:r w:rsidR="00ED0EB1">
        <w:t>estimate</w:t>
      </w:r>
      <w:r>
        <w:t xml:space="preserve"> </w:t>
      </w:r>
      <w:r w:rsidR="00ED0EB1">
        <w:t xml:space="preserve">differences in </w:t>
      </w:r>
      <w:r>
        <w:t xml:space="preserve">proportions of survivors </w:t>
      </w:r>
      <w:r w:rsidR="007E2172">
        <w:t>between</w:t>
      </w:r>
      <w:r>
        <w:t xml:space="preserve"> </w:t>
      </w:r>
      <w:r w:rsidR="00533B79">
        <w:t xml:space="preserve">drug </w:t>
      </w:r>
      <w:r>
        <w:t xml:space="preserve">treatment </w:t>
      </w:r>
      <w:r w:rsidR="00ED0EB1">
        <w:t>group</w:t>
      </w:r>
      <w:r w:rsidR="00533B79">
        <w:t xml:space="preserve"> (a1) and placebo (a0)</w:t>
      </w:r>
      <w:r w:rsidR="00ED0EB1">
        <w:t xml:space="preserve"> using the formulas below</w:t>
      </w:r>
      <w:r w:rsidR="007E2172">
        <w:t>,</w:t>
      </w:r>
      <w:r w:rsidR="002A57DE">
        <w:t xml:space="preserve"> where </w:t>
      </w:r>
      <w:r w:rsidR="002A57DE" w:rsidRPr="007E2172">
        <w:t>Y</w:t>
      </w:r>
      <w:r w:rsidR="002A57DE" w:rsidRPr="007E2172">
        <w:rPr>
          <w:vertAlign w:val="subscript"/>
        </w:rPr>
        <w:t>i</w:t>
      </w:r>
      <w:r w:rsidR="002A57DE" w:rsidRPr="007E2172">
        <w:t xml:space="preserve"> </w:t>
      </w:r>
      <w:r w:rsidR="002A57DE">
        <w:t xml:space="preserve">is outcome for case </w:t>
      </w:r>
      <w:proofErr w:type="spellStart"/>
      <w:r w:rsidR="002A57DE" w:rsidRPr="002A57DE">
        <w:rPr>
          <w:i/>
          <w:iCs/>
        </w:rPr>
        <w:t>i</w:t>
      </w:r>
      <w:proofErr w:type="spellEnd"/>
      <w:r w:rsidR="002A57DE">
        <w:t>, I</w:t>
      </w:r>
      <w:r w:rsidR="002A57DE" w:rsidRPr="002A57DE">
        <w:rPr>
          <w:vertAlign w:val="subscript"/>
        </w:rPr>
        <w:t>a1</w:t>
      </w:r>
      <w:r w:rsidR="002A57DE">
        <w:t>, I</w:t>
      </w:r>
      <w:r w:rsidR="002A57DE" w:rsidRPr="002A57DE">
        <w:rPr>
          <w:vertAlign w:val="subscript"/>
        </w:rPr>
        <w:t>a</w:t>
      </w:r>
      <w:r w:rsidR="00760276">
        <w:rPr>
          <w:vertAlign w:val="subscript"/>
        </w:rPr>
        <w:t>0</w:t>
      </w:r>
      <w:r w:rsidR="002A57DE">
        <w:t xml:space="preserve"> , are indicator variables for treatment level = a1</w:t>
      </w:r>
      <w:r w:rsidR="007E2172">
        <w:t xml:space="preserve"> or </w:t>
      </w:r>
      <w:r w:rsidR="002A57DE">
        <w:t>a0</w:t>
      </w:r>
      <w:r w:rsidR="007E2172">
        <w:t>,</w:t>
      </w:r>
      <w:r w:rsidR="002A57DE">
        <w:t xml:space="preserve"> </w:t>
      </w:r>
      <w:r w:rsidR="007E2172">
        <w:t xml:space="preserve">respectively, and </w:t>
      </w:r>
      <w:proofErr w:type="spellStart"/>
      <w:r w:rsidR="007E2172">
        <w:t>I</w:t>
      </w:r>
      <w:r w:rsidR="007E2172">
        <w:rPr>
          <w:vertAlign w:val="subscript"/>
        </w:rPr>
        <w:t>wlst</w:t>
      </w:r>
      <w:proofErr w:type="spellEnd"/>
      <w:r w:rsidR="007E2172">
        <w:rPr>
          <w:vertAlign w:val="subscript"/>
        </w:rPr>
        <w:t>=0</w:t>
      </w:r>
      <w:r w:rsidR="00AC0B30">
        <w:t xml:space="preserve"> ,</w:t>
      </w:r>
      <w:r w:rsidR="00AC0B30" w:rsidRPr="00AC0B30">
        <w:t xml:space="preserve"> </w:t>
      </w:r>
      <w:proofErr w:type="spellStart"/>
      <w:r w:rsidR="00AC0B30">
        <w:t>I</w:t>
      </w:r>
      <w:r w:rsidR="00AC0B30">
        <w:rPr>
          <w:vertAlign w:val="subscript"/>
        </w:rPr>
        <w:t>wlst</w:t>
      </w:r>
      <w:proofErr w:type="spellEnd"/>
      <w:r w:rsidR="00AC0B30">
        <w:rPr>
          <w:vertAlign w:val="subscript"/>
        </w:rPr>
        <w:t>=1</w:t>
      </w:r>
      <w:r w:rsidR="00AC0B30">
        <w:t xml:space="preserve">  are </w:t>
      </w:r>
      <w:r w:rsidR="007E2172">
        <w:t>indicator</w:t>
      </w:r>
      <w:r w:rsidR="00AC0B30">
        <w:t>s</w:t>
      </w:r>
      <w:r w:rsidR="007E2172">
        <w:t xml:space="preserve"> for </w:t>
      </w:r>
      <w:proofErr w:type="spellStart"/>
      <w:r w:rsidR="002A57DE">
        <w:t>wlst</w:t>
      </w:r>
      <w:proofErr w:type="spellEnd"/>
      <w:r w:rsidR="002A57DE">
        <w:t>=0</w:t>
      </w:r>
      <w:r w:rsidR="00AC0B30">
        <w:t xml:space="preserve"> or </w:t>
      </w:r>
      <w:proofErr w:type="spellStart"/>
      <w:r w:rsidR="00AC0B30">
        <w:t>wlst</w:t>
      </w:r>
      <w:proofErr w:type="spellEnd"/>
      <w:r w:rsidR="00AC0B30">
        <w:t>=1 respectively</w:t>
      </w:r>
      <w:r w:rsidR="002A57DE">
        <w:t xml:space="preserve">. </w:t>
      </w:r>
      <w:r>
        <w:t xml:space="preserve"> Variance</w:t>
      </w:r>
      <w:r w:rsidR="007E2172">
        <w:t>s</w:t>
      </w:r>
      <w:r>
        <w:t xml:space="preserve"> for the differences in these proportions </w:t>
      </w:r>
      <w:r w:rsidR="007E2172">
        <w:t>were</w:t>
      </w:r>
      <w:r>
        <w:t xml:space="preserve"> estimated using a </w:t>
      </w:r>
      <w:proofErr w:type="spellStart"/>
      <w:r>
        <w:t>pseudopopulation</w:t>
      </w:r>
      <w:proofErr w:type="spellEnd"/>
      <w:r>
        <w:t xml:space="preserve"> of the same size as the trial cohort </w:t>
      </w:r>
      <w:r w:rsidR="00E60584">
        <w:t>created using the IPW or AIPW estimated</w:t>
      </w:r>
      <w:r>
        <w:t xml:space="preserve"> proportions of survivors.  </w:t>
      </w:r>
      <w:r w:rsidR="009B61C3">
        <w:t xml:space="preserve">IPW estimates used only the cases with </w:t>
      </w:r>
      <w:proofErr w:type="spellStart"/>
      <w:r w:rsidR="009B61C3">
        <w:t>wlst</w:t>
      </w:r>
      <w:proofErr w:type="spellEnd"/>
      <w:r w:rsidR="009B61C3">
        <w:t>=0.  AIPW used</w:t>
      </w:r>
      <w:r w:rsidR="00A45611">
        <w:t xml:space="preserve"> all</w:t>
      </w:r>
      <w:r w:rsidR="009B61C3">
        <w:t xml:space="preserve"> cases with </w:t>
      </w:r>
      <w:proofErr w:type="spellStart"/>
      <w:r w:rsidR="009B61C3">
        <w:t>wlst</w:t>
      </w:r>
      <w:proofErr w:type="spellEnd"/>
      <w:r w:rsidR="009B61C3">
        <w:t xml:space="preserve">=0 </w:t>
      </w:r>
      <w:r w:rsidR="00A45611">
        <w:t>or</w:t>
      </w:r>
      <w:r w:rsidR="009B61C3">
        <w:t xml:space="preserve"> </w:t>
      </w:r>
      <w:proofErr w:type="spellStart"/>
      <w:r w:rsidR="009B61C3">
        <w:t>wlst</w:t>
      </w:r>
      <w:proofErr w:type="spellEnd"/>
      <w:r w:rsidR="009B61C3">
        <w:t>=1.</w:t>
      </w:r>
    </w:p>
    <w:p w14:paraId="4FCBD61E" w14:textId="77777777" w:rsidR="009B61C3" w:rsidRDefault="009B61C3"/>
    <w:p w14:paraId="7CE90B94" w14:textId="77777777" w:rsidR="009B61C3" w:rsidRPr="009B61C3" w:rsidRDefault="00ED0EB1" w:rsidP="00ED0EB1">
      <w:pPr>
        <w:rPr>
          <w:rFonts w:eastAsiaTheme="minorEastAsia"/>
        </w:rPr>
      </w:pPr>
      <m:oMathPara>
        <m:oMath>
          <m:r>
            <w:rPr>
              <w:rFonts w:ascii="Cambria Math" w:hAnsi="Cambria Math"/>
            </w:rPr>
            <m:t>IPW estimate=</m:t>
          </m:r>
        </m:oMath>
      </m:oMathPara>
    </w:p>
    <w:p w14:paraId="0976E74D" w14:textId="2FEDAF7E" w:rsidR="00ED0EB1" w:rsidRPr="009B61C3" w:rsidRDefault="00000000" w:rsidP="00ED0EB1">
      <w:pPr>
        <w:rPr>
          <w:rFonts w:eastAsiaTheme="minorEastAsia"/>
          <w:iCs/>
        </w:rPr>
      </w:pPr>
      <m:oMathPara>
        <m:oMath>
          <m:d>
            <m:dPr>
              <m:ctrlPr>
                <w:rPr>
                  <w:rFonts w:ascii="Cambria Math" w:hAnsi="Cambria Math"/>
                  <w:i/>
                </w:rPr>
              </m:ctrlPr>
            </m:dPr>
            <m:e>
              <m:f>
                <m:fPr>
                  <m:ctrlPr>
                    <w:rPr>
                      <w:rFonts w:ascii="Cambria Math" w:hAnsi="Cambria Math"/>
                      <w:i/>
                    </w:rPr>
                  </m:ctrlPr>
                </m:fPr>
                <m:num>
                  <m:r>
                    <w:rPr>
                      <w:rFonts w:ascii="Cambria Math" w:hAnsi="Cambria Math"/>
                    </w:rPr>
                    <m:t>1</m:t>
                  </m:r>
                </m:num>
                <m:den>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f>
                        <m:fPr>
                          <m:ctrlPr>
                            <w:rPr>
                              <w:rFonts w:ascii="Cambria Math" w:hAnsi="Cambria Math"/>
                              <w:i/>
                            </w:rPr>
                          </m:ctrlPr>
                        </m:fPr>
                        <m:num>
                          <m:r>
                            <w:rPr>
                              <w:rFonts w:ascii="Cambria Math" w:hAnsi="Cambria Math"/>
                            </w:rPr>
                            <m:t>1</m:t>
                          </m:r>
                        </m:num>
                        <m:den>
                          <m:sSub>
                            <m:sSubPr>
                              <m:ctrlPr>
                                <w:rPr>
                                  <w:rFonts w:ascii="Cambria Math" w:hAnsi="Cambria Math"/>
                                  <w:i/>
                                </w:rPr>
                              </m:ctrlPr>
                            </m:sSubPr>
                            <m:e>
                              <m:func>
                                <m:funcPr>
                                  <m:ctrlPr>
                                    <w:rPr>
                                      <w:rFonts w:ascii="Cambria Math" w:hAnsi="Cambria Math"/>
                                    </w:rPr>
                                  </m:ctrlPr>
                                </m:funcPr>
                                <m:fName>
                                  <m:r>
                                    <m:rPr>
                                      <m:sty m:val="p"/>
                                    </m:rPr>
                                    <w:rPr>
                                      <w:rFonts w:ascii="Cambria Math" w:hAnsi="Cambria Math"/>
                                    </w:rPr>
                                    <m:t>Pr</m:t>
                                  </m:r>
                                </m:fName>
                                <m:e>
                                  <m:d>
                                    <m:dPr>
                                      <m:ctrlPr>
                                        <w:rPr>
                                          <w:rFonts w:ascii="Cambria Math" w:hAnsi="Cambria Math"/>
                                          <w:i/>
                                        </w:rPr>
                                      </m:ctrlPr>
                                    </m:dPr>
                                    <m:e>
                                      <m:r>
                                        <w:rPr>
                                          <w:rFonts w:ascii="Cambria Math" w:hAnsi="Cambria Math"/>
                                        </w:rPr>
                                        <m:t>wlst</m:t>
                                      </m:r>
                                    </m:e>
                                  </m:d>
                                </m:e>
                              </m:func>
                            </m:e>
                            <m:sub>
                              <m:r>
                                <w:rPr>
                                  <w:rFonts w:ascii="Cambria Math" w:hAnsi="Cambria Math"/>
                                </w:rPr>
                                <m:t>i</m:t>
                              </m:r>
                            </m:sub>
                          </m:sSub>
                        </m:den>
                      </m:f>
                    </m:e>
                  </m:nary>
                </m:den>
              </m:f>
            </m:e>
          </m:d>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d>
                <m:dPr>
                  <m:ctrlPr>
                    <w:rPr>
                      <w:rFonts w:ascii="Cambria Math" w:hAnsi="Cambria Math"/>
                      <w:i/>
                    </w:rPr>
                  </m:ctrlPr>
                </m:dPr>
                <m:e>
                  <m:f>
                    <m:fPr>
                      <m:ctrlPr>
                        <w:rPr>
                          <w:rFonts w:ascii="Cambria Math" w:hAnsi="Cambria Math"/>
                          <w:i/>
                        </w:rPr>
                      </m:ctrlPr>
                    </m:fPr>
                    <m:num>
                      <m:sSub>
                        <m:sSubPr>
                          <m:ctrlPr>
                            <w:rPr>
                              <w:rFonts w:ascii="Cambria Math" w:hAnsi="Cambria Math"/>
                              <w:iCs/>
                            </w:rPr>
                          </m:ctrlPr>
                        </m:sSubPr>
                        <m:e>
                          <m:r>
                            <m:rPr>
                              <m:sty m:val="p"/>
                            </m:rPr>
                            <w:rPr>
                              <w:rFonts w:ascii="Cambria Math" w:hAnsi="Cambria Math"/>
                            </w:rPr>
                            <m:t>Y</m:t>
                          </m:r>
                        </m:e>
                        <m:sub>
                          <m:r>
                            <w:rPr>
                              <w:rFonts w:ascii="Cambria Math" w:hAnsi="Cambria Math"/>
                            </w:rPr>
                            <m:t>i</m:t>
                          </m:r>
                        </m:sub>
                      </m:sSub>
                    </m:num>
                    <m:den>
                      <m:sSub>
                        <m:sSubPr>
                          <m:ctrlPr>
                            <w:rPr>
                              <w:rFonts w:ascii="Cambria Math" w:hAnsi="Cambria Math"/>
                              <w:i/>
                            </w:rPr>
                          </m:ctrlPr>
                        </m:sSubPr>
                        <m:e>
                          <m:r>
                            <m:rPr>
                              <m:sty m:val="p"/>
                            </m:rPr>
                            <w:rPr>
                              <w:rFonts w:ascii="Cambria Math" w:hAnsi="Cambria Math"/>
                            </w:rPr>
                            <m:t>Pr⁡</m:t>
                          </m:r>
                          <m:r>
                            <w:rPr>
                              <w:rFonts w:ascii="Cambria Math" w:hAnsi="Cambria Math"/>
                            </w:rPr>
                            <m:t>(wlst)</m:t>
                          </m:r>
                        </m:e>
                        <m:sub>
                          <m:r>
                            <w:rPr>
                              <w:rFonts w:ascii="Cambria Math" w:hAnsi="Cambria Math"/>
                            </w:rPr>
                            <m:t>i</m:t>
                          </m:r>
                        </m:sub>
                      </m:sSub>
                    </m:den>
                  </m:f>
                </m:e>
              </m:d>
            </m:e>
          </m:nary>
          <m:d>
            <m:dPr>
              <m:ctrlPr>
                <w:rPr>
                  <w:rFonts w:ascii="Cambria Math" w:hAnsi="Cambria Math"/>
                  <w:iCs/>
                </w:rPr>
              </m:ctrlPr>
            </m:dPr>
            <m:e>
              <m:sSub>
                <m:sSubPr>
                  <m:ctrlPr>
                    <w:rPr>
                      <w:rFonts w:ascii="Cambria Math" w:hAnsi="Cambria Math"/>
                      <w:iCs/>
                    </w:rPr>
                  </m:ctrlPr>
                </m:sSubPr>
                <m:e>
                  <m:r>
                    <m:rPr>
                      <m:sty m:val="p"/>
                    </m:rPr>
                    <w:rPr>
                      <w:rFonts w:ascii="Cambria Math" w:hAnsi="Cambria Math"/>
                    </w:rPr>
                    <m:t>I</m:t>
                  </m:r>
                </m:e>
                <m:sub>
                  <m:r>
                    <w:rPr>
                      <w:rFonts w:ascii="Cambria Math" w:hAnsi="Cambria Math"/>
                    </w:rPr>
                    <m:t>a1</m:t>
                  </m:r>
                </m:sub>
              </m:sSub>
              <m:r>
                <w:rPr>
                  <w:rFonts w:ascii="Cambria Math" w:hAnsi="Cambria Math"/>
                </w:rPr>
                <m:t>-</m:t>
              </m:r>
              <m:sSub>
                <m:sSubPr>
                  <m:ctrlPr>
                    <w:rPr>
                      <w:rFonts w:ascii="Cambria Math" w:hAnsi="Cambria Math"/>
                      <w:i/>
                      <w:iCs/>
                    </w:rPr>
                  </m:ctrlPr>
                </m:sSubPr>
                <m:e>
                  <m:r>
                    <m:rPr>
                      <m:sty m:val="p"/>
                    </m:rPr>
                    <w:rPr>
                      <w:rFonts w:ascii="Cambria Math" w:hAnsi="Cambria Math"/>
                    </w:rPr>
                    <m:t>I</m:t>
                  </m:r>
                </m:e>
                <m:sub>
                  <m:r>
                    <w:rPr>
                      <w:rFonts w:ascii="Cambria Math" w:hAnsi="Cambria Math"/>
                    </w:rPr>
                    <m:t>a</m:t>
                  </m:r>
                  <m:r>
                    <w:rPr>
                      <w:rFonts w:ascii="Cambria Math" w:hAnsi="Cambria Math"/>
                    </w:rPr>
                    <m:t>0</m:t>
                  </m:r>
                </m:sub>
              </m:sSub>
            </m:e>
          </m:d>
        </m:oMath>
      </m:oMathPara>
    </w:p>
    <w:p w14:paraId="31942D18" w14:textId="77777777" w:rsidR="00ED0EB1" w:rsidRDefault="00ED0EB1" w:rsidP="00ED0EB1">
      <w:pPr>
        <w:rPr>
          <w:rFonts w:eastAsiaTheme="minorEastAsia"/>
        </w:rPr>
      </w:pPr>
    </w:p>
    <w:p w14:paraId="6070E156" w14:textId="77777777" w:rsidR="00F72806" w:rsidRPr="009B61C3" w:rsidRDefault="00F72806" w:rsidP="00ED0EB1">
      <w:pPr>
        <w:rPr>
          <w:rFonts w:eastAsiaTheme="minorEastAsia"/>
        </w:rPr>
      </w:pPr>
    </w:p>
    <w:p w14:paraId="36CCA27A" w14:textId="77777777" w:rsidR="009B61C3" w:rsidRPr="009B61C3" w:rsidRDefault="00ED0EB1" w:rsidP="00ED0EB1">
      <w:pPr>
        <w:rPr>
          <w:rFonts w:eastAsiaTheme="minorEastAsia"/>
        </w:rPr>
      </w:pPr>
      <m:oMathPara>
        <m:oMath>
          <m:r>
            <w:rPr>
              <w:rFonts w:ascii="Cambria Math" w:hAnsi="Cambria Math"/>
            </w:rPr>
            <m:t>AIPW estimate=</m:t>
          </m:r>
        </m:oMath>
      </m:oMathPara>
    </w:p>
    <w:p w14:paraId="1C92CD6F" w14:textId="69E720AA" w:rsidR="00ED0EB1" w:rsidRPr="009B61C3" w:rsidRDefault="00000000" w:rsidP="00ED0EB1">
      <m:oMathPara>
        <m:oMath>
          <m:d>
            <m:dPr>
              <m:ctrlPr>
                <w:rPr>
                  <w:rFonts w:ascii="Cambria Math" w:hAnsi="Cambria Math"/>
                  <w:i/>
                </w:rPr>
              </m:ctrlPr>
            </m:dPr>
            <m:e>
              <m:f>
                <m:fPr>
                  <m:ctrlPr>
                    <w:rPr>
                      <w:rFonts w:ascii="Cambria Math" w:hAnsi="Cambria Math"/>
                      <w:i/>
                    </w:rPr>
                  </m:ctrlPr>
                </m:fPr>
                <m:num>
                  <m:r>
                    <w:rPr>
                      <w:rFonts w:ascii="Cambria Math" w:hAnsi="Cambria Math"/>
                    </w:rPr>
                    <m:t>1</m:t>
                  </m:r>
                </m:num>
                <m:den>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f>
                        <m:fPr>
                          <m:ctrlPr>
                            <w:rPr>
                              <w:rFonts w:ascii="Cambria Math" w:hAnsi="Cambria Math"/>
                              <w:i/>
                            </w:rPr>
                          </m:ctrlPr>
                        </m:fPr>
                        <m:num>
                          <m:r>
                            <w:rPr>
                              <w:rFonts w:ascii="Cambria Math" w:hAnsi="Cambria Math"/>
                            </w:rPr>
                            <m:t>1</m:t>
                          </m:r>
                        </m:num>
                        <m:den>
                          <m:sSub>
                            <m:sSubPr>
                              <m:ctrlPr>
                                <w:rPr>
                                  <w:rFonts w:ascii="Cambria Math" w:hAnsi="Cambria Math"/>
                                  <w:i/>
                                </w:rPr>
                              </m:ctrlPr>
                            </m:sSubPr>
                            <m:e>
                              <m:func>
                                <m:funcPr>
                                  <m:ctrlPr>
                                    <w:rPr>
                                      <w:rFonts w:ascii="Cambria Math" w:hAnsi="Cambria Math"/>
                                    </w:rPr>
                                  </m:ctrlPr>
                                </m:funcPr>
                                <m:fName>
                                  <m:r>
                                    <m:rPr>
                                      <m:sty m:val="p"/>
                                    </m:rPr>
                                    <w:rPr>
                                      <w:rFonts w:ascii="Cambria Math" w:hAnsi="Cambria Math"/>
                                    </w:rPr>
                                    <m:t>Pr</m:t>
                                  </m:r>
                                </m:fName>
                                <m:e>
                                  <m:d>
                                    <m:dPr>
                                      <m:ctrlPr>
                                        <w:rPr>
                                          <w:rFonts w:ascii="Cambria Math" w:hAnsi="Cambria Math"/>
                                          <w:i/>
                                        </w:rPr>
                                      </m:ctrlPr>
                                    </m:dPr>
                                    <m:e>
                                      <m:r>
                                        <w:rPr>
                                          <w:rFonts w:ascii="Cambria Math" w:hAnsi="Cambria Math"/>
                                        </w:rPr>
                                        <m:t>wlst</m:t>
                                      </m:r>
                                    </m:e>
                                  </m:d>
                                </m:e>
                              </m:func>
                            </m:e>
                            <m:sub>
                              <m:r>
                                <w:rPr>
                                  <w:rFonts w:ascii="Cambria Math" w:hAnsi="Cambria Math"/>
                                </w:rPr>
                                <m:t>i</m:t>
                              </m:r>
                            </m:sub>
                          </m:sSub>
                        </m:den>
                      </m:f>
                    </m:e>
                  </m:nary>
                </m:den>
              </m:f>
            </m:e>
          </m:d>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r>
                <w:rPr>
                  <w:rFonts w:ascii="Cambria Math" w:hAnsi="Cambria Math"/>
                </w:rPr>
                <m:t xml:space="preserve"> </m:t>
              </m:r>
              <m:d>
                <m:dPr>
                  <m:ctrlPr>
                    <w:rPr>
                      <w:rFonts w:ascii="Cambria Math" w:hAnsi="Cambria Math"/>
                      <w:i/>
                    </w:rPr>
                  </m:ctrlPr>
                </m:dPr>
                <m:e>
                  <m:r>
                    <w:rPr>
                      <w:rFonts w:ascii="Cambria Math" w:hAnsi="Cambria Math"/>
                    </w:rPr>
                    <m:t xml:space="preserve"> </m:t>
                  </m:r>
                  <m:f>
                    <m:fPr>
                      <m:ctrlPr>
                        <w:rPr>
                          <w:rFonts w:ascii="Cambria Math" w:hAnsi="Cambria Math"/>
                          <w:i/>
                        </w:rPr>
                      </m:ctrlPr>
                    </m:fPr>
                    <m:num>
                      <m:sSub>
                        <m:sSubPr>
                          <m:ctrlPr>
                            <w:rPr>
                              <w:rFonts w:ascii="Cambria Math" w:hAnsi="Cambria Math"/>
                              <w:iCs/>
                            </w:rPr>
                          </m:ctrlPr>
                        </m:sSubPr>
                        <m:e>
                          <m:r>
                            <m:rPr>
                              <m:sty m:val="p"/>
                            </m:rPr>
                            <w:rPr>
                              <w:rFonts w:ascii="Cambria Math" w:hAnsi="Cambria Math"/>
                            </w:rPr>
                            <m:t>I</m:t>
                          </m:r>
                        </m:e>
                        <m:sub>
                          <m:r>
                            <m:rPr>
                              <m:sty m:val="p"/>
                            </m:rPr>
                            <w:rPr>
                              <w:rFonts w:ascii="Cambria Math" w:hAnsi="Cambria Math"/>
                            </w:rPr>
                            <m:t>wlst=0</m:t>
                          </m:r>
                        </m:sub>
                      </m:sSub>
                      <m:sSub>
                        <m:sSubPr>
                          <m:ctrlPr>
                            <w:rPr>
                              <w:rFonts w:ascii="Cambria Math" w:hAnsi="Cambria Math"/>
                              <w:iCs/>
                            </w:rPr>
                          </m:ctrlPr>
                        </m:sSubPr>
                        <m:e>
                          <m:r>
                            <m:rPr>
                              <m:sty m:val="p"/>
                            </m:rPr>
                            <w:rPr>
                              <w:rFonts w:ascii="Cambria Math" w:hAnsi="Cambria Math"/>
                            </w:rPr>
                            <m:t>Y</m:t>
                          </m:r>
                        </m:e>
                        <m:sub>
                          <m:r>
                            <w:rPr>
                              <w:rFonts w:ascii="Cambria Math" w:hAnsi="Cambria Math"/>
                            </w:rPr>
                            <m:t>i</m:t>
                          </m:r>
                        </m:sub>
                      </m:sSub>
                    </m:num>
                    <m:den>
                      <m:sSub>
                        <m:sSubPr>
                          <m:ctrlPr>
                            <w:rPr>
                              <w:rFonts w:ascii="Cambria Math" w:hAnsi="Cambria Math"/>
                              <w:i/>
                            </w:rPr>
                          </m:ctrlPr>
                        </m:sSubPr>
                        <m:e>
                          <m:func>
                            <m:funcPr>
                              <m:ctrlPr>
                                <w:rPr>
                                  <w:rFonts w:ascii="Cambria Math" w:hAnsi="Cambria Math"/>
                                  <w:i/>
                                </w:rPr>
                              </m:ctrlPr>
                            </m:funcPr>
                            <m:fName>
                              <m:r>
                                <m:rPr>
                                  <m:sty m:val="p"/>
                                </m:rPr>
                                <w:rPr>
                                  <w:rFonts w:ascii="Cambria Math" w:hAnsi="Cambria Math"/>
                                </w:rPr>
                                <m:t>Pr</m:t>
                              </m:r>
                              <m:ctrlPr>
                                <w:rPr>
                                  <w:rFonts w:ascii="Cambria Math" w:hAnsi="Cambria Math"/>
                                  <w:iCs/>
                                </w:rPr>
                              </m:ctrlPr>
                            </m:fName>
                            <m:e>
                              <m:d>
                                <m:dPr>
                                  <m:ctrlPr>
                                    <w:rPr>
                                      <w:rFonts w:ascii="Cambria Math" w:hAnsi="Cambria Math"/>
                                      <w:i/>
                                    </w:rPr>
                                  </m:ctrlPr>
                                </m:dPr>
                                <m:e>
                                  <m:r>
                                    <w:rPr>
                                      <w:rFonts w:ascii="Cambria Math" w:hAnsi="Cambria Math"/>
                                    </w:rPr>
                                    <m:t>wlst</m:t>
                                  </m:r>
                                </m:e>
                              </m:d>
                            </m:e>
                          </m:func>
                        </m:e>
                        <m:sub>
                          <m:r>
                            <w:rPr>
                              <w:rFonts w:ascii="Cambria Math" w:hAnsi="Cambria Math"/>
                            </w:rPr>
                            <m:t>i</m:t>
                          </m:r>
                        </m:sub>
                      </m:sSub>
                    </m:den>
                  </m:f>
                  <m:r>
                    <w:rPr>
                      <w:rFonts w:ascii="Cambria Math" w:hAnsi="Cambria Math"/>
                    </w:rPr>
                    <m:t>-</m:t>
                  </m:r>
                  <m:f>
                    <m:fPr>
                      <m:ctrlPr>
                        <w:rPr>
                          <w:rFonts w:ascii="Cambria Math" w:hAnsi="Cambria Math"/>
                          <w:i/>
                        </w:rPr>
                      </m:ctrlPr>
                    </m:fPr>
                    <m:num>
                      <m:d>
                        <m:dPr>
                          <m:ctrlPr>
                            <w:rPr>
                              <w:rFonts w:ascii="Cambria Math" w:hAnsi="Cambria Math"/>
                              <w:i/>
                            </w:rPr>
                          </m:ctrlPr>
                        </m:dPr>
                        <m:e>
                          <m:sSub>
                            <m:sSubPr>
                              <m:ctrlPr>
                                <w:rPr>
                                  <w:rFonts w:ascii="Cambria Math" w:hAnsi="Cambria Math"/>
                                  <w:i/>
                                </w:rPr>
                              </m:ctrlPr>
                            </m:sSubPr>
                            <m:e>
                              <m:r>
                                <m:rPr>
                                  <m:sty m:val="p"/>
                                </m:rPr>
                                <w:rPr>
                                  <w:rFonts w:ascii="Cambria Math" w:hAnsi="Cambria Math"/>
                                </w:rPr>
                                <m:t>I</m:t>
                              </m:r>
                            </m:e>
                            <m:sub>
                              <m:r>
                                <w:rPr>
                                  <w:rFonts w:ascii="Cambria Math" w:hAnsi="Cambria Math"/>
                                </w:rPr>
                                <m:t>wlst=1</m:t>
                              </m:r>
                            </m:sub>
                          </m:sSub>
                          <m:r>
                            <w:rPr>
                              <w:rFonts w:ascii="Cambria Math" w:hAnsi="Cambria Math"/>
                            </w:rPr>
                            <m:t>-</m:t>
                          </m:r>
                          <m:sSub>
                            <m:sSubPr>
                              <m:ctrlPr>
                                <w:rPr>
                                  <w:rFonts w:ascii="Cambria Math" w:hAnsi="Cambria Math"/>
                                </w:rPr>
                              </m:ctrlPr>
                            </m:sSubPr>
                            <m:e>
                              <m:func>
                                <m:funcPr>
                                  <m:ctrlPr>
                                    <w:rPr>
                                      <w:rFonts w:ascii="Cambria Math" w:hAnsi="Cambria Math"/>
                                    </w:rPr>
                                  </m:ctrlPr>
                                </m:funcPr>
                                <m:fName>
                                  <m:r>
                                    <m:rPr>
                                      <m:sty m:val="p"/>
                                    </m:rPr>
                                    <w:rPr>
                                      <w:rFonts w:ascii="Cambria Math" w:hAnsi="Cambria Math"/>
                                    </w:rPr>
                                    <m:t>Pr</m:t>
                                  </m:r>
                                </m:fName>
                                <m:e>
                                  <m:d>
                                    <m:dPr>
                                      <m:ctrlPr>
                                        <w:rPr>
                                          <w:rFonts w:ascii="Cambria Math" w:hAnsi="Cambria Math"/>
                                          <w:i/>
                                        </w:rPr>
                                      </m:ctrlPr>
                                    </m:dPr>
                                    <m:e>
                                      <m:r>
                                        <w:rPr>
                                          <w:rFonts w:ascii="Cambria Math" w:hAnsi="Cambria Math"/>
                                        </w:rPr>
                                        <m:t>wlst</m:t>
                                      </m:r>
                                    </m:e>
                                  </m:d>
                                </m:e>
                              </m:func>
                            </m:e>
                            <m:sub>
                              <m:r>
                                <w:rPr>
                                  <w:rFonts w:ascii="Cambria Math" w:hAnsi="Cambria Math"/>
                                </w:rPr>
                                <m:t>i</m:t>
                              </m:r>
                            </m:sub>
                          </m:sSub>
                        </m:e>
                      </m:d>
                      <m:sSub>
                        <m:sSubPr>
                          <m:ctrlPr>
                            <w:rPr>
                              <w:rFonts w:ascii="Cambria Math" w:hAnsi="Cambria Math"/>
                            </w:rPr>
                          </m:ctrlPr>
                        </m:sSubPr>
                        <m:e>
                          <m:r>
                            <w:rPr>
                              <w:rFonts w:ascii="Cambria Math" w:hAnsi="Cambria Math"/>
                            </w:rPr>
                            <m:t xml:space="preserve"> </m:t>
                          </m:r>
                          <m:func>
                            <m:funcPr>
                              <m:ctrlPr>
                                <w:rPr>
                                  <w:rFonts w:ascii="Cambria Math" w:hAnsi="Cambria Math"/>
                                </w:rPr>
                              </m:ctrlPr>
                            </m:funcPr>
                            <m:fName>
                              <m:r>
                                <m:rPr>
                                  <m:sty m:val="p"/>
                                </m:rPr>
                                <w:rPr>
                                  <w:rFonts w:ascii="Cambria Math" w:hAnsi="Cambria Math"/>
                                </w:rPr>
                                <m:t>Pr</m:t>
                              </m:r>
                            </m:fName>
                            <m:e>
                              <m:d>
                                <m:dPr>
                                  <m:ctrlPr>
                                    <w:rPr>
                                      <w:rFonts w:ascii="Cambria Math" w:hAnsi="Cambria Math"/>
                                      <w:i/>
                                    </w:rPr>
                                  </m:ctrlPr>
                                </m:dPr>
                                <m:e>
                                  <m:r>
                                    <w:rPr>
                                      <w:rFonts w:ascii="Cambria Math" w:hAnsi="Cambria Math"/>
                                    </w:rPr>
                                    <m:t>surv</m:t>
                                  </m:r>
                                </m:e>
                              </m:d>
                            </m:e>
                          </m:func>
                        </m:e>
                        <m:sub>
                          <m:r>
                            <w:rPr>
                              <w:rFonts w:ascii="Cambria Math" w:hAnsi="Cambria Math"/>
                            </w:rPr>
                            <m:t>i</m:t>
                          </m:r>
                        </m:sub>
                      </m:sSub>
                    </m:num>
                    <m:den>
                      <m:sSub>
                        <m:sSubPr>
                          <m:ctrlPr>
                            <w:rPr>
                              <w:rFonts w:ascii="Cambria Math" w:hAnsi="Cambria Math"/>
                              <w:i/>
                            </w:rPr>
                          </m:ctrlPr>
                        </m:sSubPr>
                        <m:e>
                          <m:func>
                            <m:funcPr>
                              <m:ctrlPr>
                                <w:rPr>
                                  <w:rFonts w:ascii="Cambria Math" w:hAnsi="Cambria Math"/>
                                </w:rPr>
                              </m:ctrlPr>
                            </m:funcPr>
                            <m:fName>
                              <m:r>
                                <m:rPr>
                                  <m:sty m:val="p"/>
                                </m:rPr>
                                <w:rPr>
                                  <w:rFonts w:ascii="Cambria Math" w:hAnsi="Cambria Math"/>
                                </w:rPr>
                                <m:t>Pr</m:t>
                              </m:r>
                            </m:fName>
                            <m:e>
                              <m:d>
                                <m:dPr>
                                  <m:ctrlPr>
                                    <w:rPr>
                                      <w:rFonts w:ascii="Cambria Math" w:hAnsi="Cambria Math"/>
                                      <w:i/>
                                    </w:rPr>
                                  </m:ctrlPr>
                                </m:dPr>
                                <m:e>
                                  <m:r>
                                    <w:rPr>
                                      <w:rFonts w:ascii="Cambria Math" w:hAnsi="Cambria Math"/>
                                    </w:rPr>
                                    <m:t>wlst</m:t>
                                  </m:r>
                                </m:e>
                              </m:d>
                            </m:e>
                          </m:func>
                        </m:e>
                        <m:sub>
                          <m:r>
                            <w:rPr>
                              <w:rFonts w:ascii="Cambria Math" w:hAnsi="Cambria Math"/>
                            </w:rPr>
                            <m:t>i</m:t>
                          </m:r>
                        </m:sub>
                      </m:sSub>
                    </m:den>
                  </m:f>
                </m:e>
              </m:d>
              <m:d>
                <m:dPr>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a1</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a0</m:t>
                      </m:r>
                    </m:sub>
                  </m:sSub>
                </m:e>
              </m:d>
              <m:r>
                <w:rPr>
                  <w:rFonts w:ascii="Cambria Math" w:hAnsi="Cambria Math"/>
                </w:rPr>
                <m:t xml:space="preserve"> </m:t>
              </m:r>
            </m:e>
          </m:nary>
        </m:oMath>
      </m:oMathPara>
    </w:p>
    <w:p w14:paraId="33924926" w14:textId="77777777" w:rsidR="009B61C3" w:rsidRDefault="009B61C3"/>
    <w:p w14:paraId="370CCA2B" w14:textId="419C5D38" w:rsidR="003E14F3" w:rsidRDefault="000F3CA4" w:rsidP="003E14F3">
      <w:r>
        <w:t xml:space="preserve">For single imputation, values for outcomes of </w:t>
      </w:r>
      <w:r w:rsidR="006630A5">
        <w:t>patients with death after WLST</w:t>
      </w:r>
      <w:r>
        <w:t xml:space="preserve"> were predicted using a logit model</w:t>
      </w:r>
      <w:r w:rsidR="006630A5">
        <w:t xml:space="preserve"> using all </w:t>
      </w:r>
      <w:r w:rsidR="00F72806">
        <w:t xml:space="preserve">14 </w:t>
      </w:r>
      <w:r w:rsidR="006630A5">
        <w:t>variables in Table 1</w:t>
      </w:r>
      <w:r w:rsidR="007E2172">
        <w:t xml:space="preserve"> and treatment group</w:t>
      </w:r>
      <w:r>
        <w:t xml:space="preserve">.  </w:t>
      </w:r>
      <w:r w:rsidR="00C460D6">
        <w:t>ATE = P(Y=1|a=1)</w:t>
      </w:r>
      <w:r w:rsidR="003E14F3">
        <w:t xml:space="preserve"> -</w:t>
      </w:r>
      <w:r w:rsidR="00C460D6">
        <w:t xml:space="preserve"> P(Y=1|a=0)</w:t>
      </w:r>
      <w:r w:rsidR="003E14F3">
        <w:t xml:space="preserve">.  </w:t>
      </w:r>
      <w:r>
        <w:t xml:space="preserve">Variance of the imputed treatment effects were estimated using the delta-method.   </w:t>
      </w:r>
      <w:r w:rsidR="004863EC">
        <w:t xml:space="preserve">For multiple imputation, </w:t>
      </w:r>
      <w:r>
        <w:t>100 data sets were imputed</w:t>
      </w:r>
      <w:r w:rsidR="007E2172">
        <w:t xml:space="preserve"> from the same</w:t>
      </w:r>
      <w:r w:rsidR="00F72806">
        <w:t xml:space="preserve"> 14</w:t>
      </w:r>
      <w:r w:rsidR="007E2172">
        <w:t xml:space="preserve"> predictor variables and treatment group</w:t>
      </w:r>
      <w:r>
        <w:t xml:space="preserve"> </w:t>
      </w:r>
      <w:r w:rsidR="006630A5">
        <w:t>with predicted</w:t>
      </w:r>
      <w:r>
        <w:t xml:space="preserve"> outcomes </w:t>
      </w:r>
      <w:r w:rsidR="006630A5">
        <w:t xml:space="preserve">for patients who died after WLST </w:t>
      </w:r>
      <w:r>
        <w:t xml:space="preserve">using </w:t>
      </w:r>
      <w:r w:rsidR="004863EC">
        <w:t>a logi</w:t>
      </w:r>
      <w:r>
        <w:t xml:space="preserve">t method. </w:t>
      </w:r>
      <w:r w:rsidR="003E14F3">
        <w:t xml:space="preserve"> ATE = P(Y=1|a=1) - P(Y=1|a=0). </w:t>
      </w:r>
      <w:r>
        <w:t>Mean effects of treatment and variance were estimated using Rubin’s rule</w:t>
      </w:r>
      <w:r w:rsidR="00886D32">
        <w:t>s</w:t>
      </w:r>
      <w:r w:rsidR="003E14F3">
        <w:t>.</w:t>
      </w:r>
    </w:p>
    <w:p w14:paraId="2F3DBBD0" w14:textId="00B4A466" w:rsidR="00262805" w:rsidRDefault="00262805"/>
    <w:p w14:paraId="462B0E58" w14:textId="38E6E261" w:rsidR="00ED0EB1" w:rsidRDefault="00ED0EB1">
      <w:r>
        <w:br w:type="page"/>
      </w:r>
    </w:p>
    <w:p w14:paraId="0C877943" w14:textId="77777777" w:rsidR="002A0A97" w:rsidRDefault="002A0A97"/>
    <w:p w14:paraId="40E0A08C" w14:textId="28DA82FE" w:rsidR="00A221ED" w:rsidRPr="00B644D9" w:rsidRDefault="00F363EC">
      <w:pPr>
        <w:rPr>
          <w:b/>
          <w:bCs/>
        </w:rPr>
      </w:pPr>
      <w:r>
        <w:rPr>
          <w:b/>
          <w:bCs/>
        </w:rPr>
        <w:t>2</w:t>
      </w:r>
      <w:r w:rsidR="0083312D">
        <w:rPr>
          <w:b/>
          <w:bCs/>
        </w:rPr>
        <w:t xml:space="preserve">. </w:t>
      </w:r>
      <w:r w:rsidR="00B644D9" w:rsidRPr="00B644D9">
        <w:rPr>
          <w:b/>
          <w:bCs/>
        </w:rPr>
        <w:t>Predicted Probability of WLST</w:t>
      </w:r>
    </w:p>
    <w:p w14:paraId="32FA2175" w14:textId="77777777" w:rsidR="00B644D9" w:rsidRDefault="00B644D9"/>
    <w:p w14:paraId="008A6513" w14:textId="4382BC16" w:rsidR="00B644D9" w:rsidRDefault="00B644D9" w:rsidP="00B644D9">
      <w:r>
        <w:t>An estimate of the probability of W</w:t>
      </w:r>
      <w:r w:rsidR="00B10A39">
        <w:t>L</w:t>
      </w:r>
      <w:r>
        <w:t>ST is required in order to create weights for Inverse Probability Weighting (IPW) and for Augmented Inverse Probability Weighting (AIPW) estimates of treatment effect.   We created a logistic model to predict WLST using treatment group and the other 14 variables in Table 1.  The area under the curve for this model was 0.7495.</w:t>
      </w:r>
    </w:p>
    <w:p w14:paraId="2FB4F0B6" w14:textId="77777777" w:rsidR="00B644D9" w:rsidRDefault="00B644D9" w:rsidP="00B644D9"/>
    <w:p w14:paraId="0C81E3C6" w14:textId="052E823C" w:rsidR="00B644D9" w:rsidRDefault="00B644D9" w:rsidP="00B644D9">
      <w:r>
        <w:t>Histograms of the predicted probability of WLST</w:t>
      </w:r>
      <w:r w:rsidR="00B13A1A">
        <w:t xml:space="preserve"> (</w:t>
      </w:r>
      <w:proofErr w:type="spellStart"/>
      <w:r w:rsidR="00B13A1A">
        <w:t>Pr</w:t>
      </w:r>
      <w:proofErr w:type="spellEnd"/>
      <w:r w:rsidR="00B13A1A">
        <w:t>(</w:t>
      </w:r>
      <w:proofErr w:type="spellStart"/>
      <w:r w:rsidR="00B13A1A">
        <w:t>wlst</w:t>
      </w:r>
      <w:proofErr w:type="spellEnd"/>
      <w:r w:rsidR="00B13A1A">
        <w:t>))</w:t>
      </w:r>
      <w:r>
        <w:t xml:space="preserve"> for cases with (</w:t>
      </w:r>
      <w:proofErr w:type="spellStart"/>
      <w:r>
        <w:t>wlst</w:t>
      </w:r>
      <w:proofErr w:type="spellEnd"/>
      <w:r>
        <w:t>=</w:t>
      </w:r>
      <w:r w:rsidR="005574EF">
        <w:t>1</w:t>
      </w:r>
      <w:r>
        <w:t xml:space="preserve">) </w:t>
      </w:r>
      <w:r w:rsidR="005574EF">
        <w:t>or</w:t>
      </w:r>
      <w:r>
        <w:t xml:space="preserve"> with</w:t>
      </w:r>
      <w:r w:rsidR="005574EF">
        <w:t>out</w:t>
      </w:r>
      <w:r>
        <w:t xml:space="preserve"> (</w:t>
      </w:r>
      <w:proofErr w:type="spellStart"/>
      <w:r>
        <w:t>wlst</w:t>
      </w:r>
      <w:proofErr w:type="spellEnd"/>
      <w:r>
        <w:t>=</w:t>
      </w:r>
      <w:r w:rsidR="005574EF">
        <w:t>0</w:t>
      </w:r>
      <w:r>
        <w:t xml:space="preserve">) WLST are shown in the Figure.  </w:t>
      </w:r>
    </w:p>
    <w:p w14:paraId="082EF537" w14:textId="77777777" w:rsidR="00B644D9" w:rsidRDefault="00B644D9" w:rsidP="00B644D9"/>
    <w:p w14:paraId="717D6FFA" w14:textId="32E58A8A" w:rsidR="00653D6C" w:rsidRDefault="00A221ED">
      <w:r w:rsidRPr="00A221ED">
        <w:rPr>
          <w:noProof/>
        </w:rPr>
        <w:drawing>
          <wp:inline distT="0" distB="0" distL="0" distR="0" wp14:anchorId="1F8A471F" wp14:editId="4DB846FE">
            <wp:extent cx="5943600" cy="3566160"/>
            <wp:effectExtent l="0" t="0" r="0" b="2540"/>
            <wp:docPr id="780759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759036" name=""/>
                    <pic:cNvPicPr/>
                  </pic:nvPicPr>
                  <pic:blipFill>
                    <a:blip r:embed="rId5"/>
                    <a:stretch>
                      <a:fillRect/>
                    </a:stretch>
                  </pic:blipFill>
                  <pic:spPr>
                    <a:xfrm>
                      <a:off x="0" y="0"/>
                      <a:ext cx="5943600" cy="3566160"/>
                    </a:xfrm>
                    <a:prstGeom prst="rect">
                      <a:avLst/>
                    </a:prstGeom>
                  </pic:spPr>
                </pic:pic>
              </a:graphicData>
            </a:graphic>
          </wp:inline>
        </w:drawing>
      </w:r>
    </w:p>
    <w:p w14:paraId="0D320E4B" w14:textId="77777777" w:rsidR="00A221ED" w:rsidRDefault="00A221ED"/>
    <w:p w14:paraId="5738DBBD" w14:textId="77777777" w:rsidR="00A221ED" w:rsidRDefault="00A221ED"/>
    <w:p w14:paraId="737C464D" w14:textId="77777777" w:rsidR="00A221ED" w:rsidRDefault="00A221ED"/>
    <w:p w14:paraId="43EF8F70" w14:textId="77777777" w:rsidR="00A221ED" w:rsidRDefault="00A221ED"/>
    <w:p w14:paraId="548AF0AB" w14:textId="77777777" w:rsidR="00653D6C" w:rsidRDefault="00653D6C"/>
    <w:p w14:paraId="4FA95F8A" w14:textId="77777777" w:rsidR="00653D6C" w:rsidRDefault="00653D6C"/>
    <w:p w14:paraId="6721744B" w14:textId="4B8C50E1" w:rsidR="00A221ED" w:rsidRDefault="00A221ED">
      <w:r>
        <w:br w:type="page"/>
      </w:r>
    </w:p>
    <w:p w14:paraId="151BD02B" w14:textId="77777777" w:rsidR="00B644D9" w:rsidRDefault="00B644D9"/>
    <w:p w14:paraId="04A82AA7" w14:textId="31C0B4A8" w:rsidR="00B644D9" w:rsidRPr="00B644D9" w:rsidRDefault="00B6218A" w:rsidP="00B644D9">
      <w:pPr>
        <w:rPr>
          <w:b/>
          <w:bCs/>
        </w:rPr>
      </w:pPr>
      <w:r>
        <w:rPr>
          <w:b/>
          <w:bCs/>
        </w:rPr>
        <w:t>3</w:t>
      </w:r>
      <w:r w:rsidR="0083312D">
        <w:rPr>
          <w:b/>
          <w:bCs/>
        </w:rPr>
        <w:t xml:space="preserve">. </w:t>
      </w:r>
      <w:r w:rsidR="00B644D9" w:rsidRPr="00B644D9">
        <w:rPr>
          <w:b/>
          <w:bCs/>
        </w:rPr>
        <w:t xml:space="preserve">Predicted Probability of </w:t>
      </w:r>
      <w:r w:rsidR="00B644D9">
        <w:rPr>
          <w:b/>
          <w:bCs/>
        </w:rPr>
        <w:t>Survival</w:t>
      </w:r>
    </w:p>
    <w:p w14:paraId="34B33D08" w14:textId="77777777" w:rsidR="00B644D9" w:rsidRDefault="00B644D9"/>
    <w:p w14:paraId="013E8DB1" w14:textId="4278F09B" w:rsidR="00B644D9" w:rsidRDefault="00B644D9">
      <w:r>
        <w:t>An estimate of the probability of survival is required in order to create weights for Augmented Inverse Probability Weighting (AIPW) estimates of treatment effect.   We created a logistic model to predict final survival using treatment group and the other 14 variables in Table 1.  The area under the curve for this model was 0.8528.</w:t>
      </w:r>
    </w:p>
    <w:p w14:paraId="2324EFDA" w14:textId="77777777" w:rsidR="00B644D9" w:rsidRDefault="00B644D9"/>
    <w:p w14:paraId="6683A893" w14:textId="55FC0AED" w:rsidR="00B644D9" w:rsidRDefault="00B644D9">
      <w:r>
        <w:t>Histograms of the predicted probability of survival</w:t>
      </w:r>
      <w:r w:rsidR="00B13A1A">
        <w:t xml:space="preserve"> (Pr(finalsurvival))</w:t>
      </w:r>
      <w:r>
        <w:t xml:space="preserve"> for cases admitted to the hospital with (</w:t>
      </w:r>
      <w:proofErr w:type="spellStart"/>
      <w:r>
        <w:t>wlst</w:t>
      </w:r>
      <w:proofErr w:type="spellEnd"/>
      <w:r>
        <w:t>=</w:t>
      </w:r>
      <w:r w:rsidR="005574EF">
        <w:t>1</w:t>
      </w:r>
      <w:r>
        <w:t xml:space="preserve">) </w:t>
      </w:r>
      <w:r w:rsidR="005574EF">
        <w:t>or</w:t>
      </w:r>
      <w:r>
        <w:t xml:space="preserve"> with</w:t>
      </w:r>
      <w:r w:rsidR="005574EF">
        <w:t>out</w:t>
      </w:r>
      <w:r>
        <w:t xml:space="preserve"> (</w:t>
      </w:r>
      <w:proofErr w:type="spellStart"/>
      <w:r>
        <w:t>wlst</w:t>
      </w:r>
      <w:proofErr w:type="spellEnd"/>
      <w:r>
        <w:t>=</w:t>
      </w:r>
      <w:r w:rsidR="005574EF">
        <w:t>0</w:t>
      </w:r>
      <w:r>
        <w:t xml:space="preserve">) WLST, who did (survive=1) </w:t>
      </w:r>
      <w:r w:rsidR="005574EF">
        <w:t xml:space="preserve">or did not (survive=0) </w:t>
      </w:r>
      <w:r>
        <w:t xml:space="preserve">survive are shown in the Figure.  </w:t>
      </w:r>
    </w:p>
    <w:p w14:paraId="25AB4505" w14:textId="77777777" w:rsidR="00B644D9" w:rsidRDefault="00B644D9"/>
    <w:p w14:paraId="6107930A" w14:textId="47ABD230" w:rsidR="00653D6C" w:rsidRDefault="00A221ED">
      <w:r w:rsidRPr="00A221ED">
        <w:rPr>
          <w:noProof/>
        </w:rPr>
        <w:drawing>
          <wp:inline distT="0" distB="0" distL="0" distR="0" wp14:anchorId="032394E7" wp14:editId="6E4AD911">
            <wp:extent cx="5943600" cy="3566160"/>
            <wp:effectExtent l="0" t="0" r="0" b="2540"/>
            <wp:docPr id="1161059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059961" name=""/>
                    <pic:cNvPicPr/>
                  </pic:nvPicPr>
                  <pic:blipFill>
                    <a:blip r:embed="rId6"/>
                    <a:stretch>
                      <a:fillRect/>
                    </a:stretch>
                  </pic:blipFill>
                  <pic:spPr>
                    <a:xfrm>
                      <a:off x="0" y="0"/>
                      <a:ext cx="5943600" cy="3566160"/>
                    </a:xfrm>
                    <a:prstGeom prst="rect">
                      <a:avLst/>
                    </a:prstGeom>
                  </pic:spPr>
                </pic:pic>
              </a:graphicData>
            </a:graphic>
          </wp:inline>
        </w:drawing>
      </w:r>
    </w:p>
    <w:p w14:paraId="5B1655A0" w14:textId="77777777" w:rsidR="00653D6C" w:rsidRDefault="00653D6C"/>
    <w:p w14:paraId="5DCB77EE" w14:textId="77777777" w:rsidR="00653D6C" w:rsidRDefault="00653D6C"/>
    <w:p w14:paraId="7FE10C57" w14:textId="77777777" w:rsidR="00653D6C" w:rsidRDefault="00653D6C"/>
    <w:p w14:paraId="6CF9AF5D" w14:textId="047C0377" w:rsidR="00F7199A" w:rsidRDefault="00F7199A"/>
    <w:sectPr w:rsidR="00F719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20F1F"/>
    <w:multiLevelType w:val="hybridMultilevel"/>
    <w:tmpl w:val="F2A0A8DE"/>
    <w:lvl w:ilvl="0" w:tplc="3E7EC55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FA04F2"/>
    <w:multiLevelType w:val="hybridMultilevel"/>
    <w:tmpl w:val="51CC80A8"/>
    <w:lvl w:ilvl="0" w:tplc="2E76C8C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2764091">
    <w:abstractNumId w:val="1"/>
  </w:num>
  <w:num w:numId="2" w16cid:durableId="1907644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62A"/>
    <w:rsid w:val="000F3CA4"/>
    <w:rsid w:val="0012015C"/>
    <w:rsid w:val="0013362A"/>
    <w:rsid w:val="00141BF8"/>
    <w:rsid w:val="002128B6"/>
    <w:rsid w:val="0021481F"/>
    <w:rsid w:val="00262805"/>
    <w:rsid w:val="002A0A97"/>
    <w:rsid w:val="002A57DE"/>
    <w:rsid w:val="002C3B8A"/>
    <w:rsid w:val="00302DC3"/>
    <w:rsid w:val="003E14F3"/>
    <w:rsid w:val="00427005"/>
    <w:rsid w:val="004863EC"/>
    <w:rsid w:val="004E505A"/>
    <w:rsid w:val="0051289F"/>
    <w:rsid w:val="00533B79"/>
    <w:rsid w:val="005574EF"/>
    <w:rsid w:val="00653D6C"/>
    <w:rsid w:val="006630A5"/>
    <w:rsid w:val="00715CA6"/>
    <w:rsid w:val="00760276"/>
    <w:rsid w:val="007C557E"/>
    <w:rsid w:val="007C621B"/>
    <w:rsid w:val="007D742E"/>
    <w:rsid w:val="007E2172"/>
    <w:rsid w:val="0083312D"/>
    <w:rsid w:val="00855C99"/>
    <w:rsid w:val="00886D32"/>
    <w:rsid w:val="008C29C0"/>
    <w:rsid w:val="00901240"/>
    <w:rsid w:val="009614EB"/>
    <w:rsid w:val="009B61C3"/>
    <w:rsid w:val="009C5E5D"/>
    <w:rsid w:val="00A221ED"/>
    <w:rsid w:val="00A45611"/>
    <w:rsid w:val="00A92E11"/>
    <w:rsid w:val="00AC0B30"/>
    <w:rsid w:val="00B10A39"/>
    <w:rsid w:val="00B13A1A"/>
    <w:rsid w:val="00B6218A"/>
    <w:rsid w:val="00B644D9"/>
    <w:rsid w:val="00BB320D"/>
    <w:rsid w:val="00BC5793"/>
    <w:rsid w:val="00C460D6"/>
    <w:rsid w:val="00CC12EE"/>
    <w:rsid w:val="00CD3D7E"/>
    <w:rsid w:val="00D23406"/>
    <w:rsid w:val="00D64CB3"/>
    <w:rsid w:val="00E44BD7"/>
    <w:rsid w:val="00E60584"/>
    <w:rsid w:val="00E97A8F"/>
    <w:rsid w:val="00EC5511"/>
    <w:rsid w:val="00ED0EB1"/>
    <w:rsid w:val="00ED6EDB"/>
    <w:rsid w:val="00F363EC"/>
    <w:rsid w:val="00F7199A"/>
    <w:rsid w:val="00F72806"/>
    <w:rsid w:val="00FD7E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40421207"/>
  <w15:chartTrackingRefBased/>
  <w15:docId w15:val="{76D3FE23-25C6-A749-93C6-E532D2D95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E11"/>
  </w:style>
  <w:style w:type="paragraph" w:styleId="Heading1">
    <w:name w:val="heading 1"/>
    <w:basedOn w:val="Normal"/>
    <w:next w:val="Normal"/>
    <w:link w:val="Heading1Char"/>
    <w:uiPriority w:val="9"/>
    <w:qFormat/>
    <w:rsid w:val="001336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36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36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36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36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362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362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362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362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6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36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36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36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36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36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36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36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362A"/>
    <w:rPr>
      <w:rFonts w:eastAsiaTheme="majorEastAsia" w:cstheme="majorBidi"/>
      <w:color w:val="272727" w:themeColor="text1" w:themeTint="D8"/>
    </w:rPr>
  </w:style>
  <w:style w:type="paragraph" w:styleId="Title">
    <w:name w:val="Title"/>
    <w:basedOn w:val="Normal"/>
    <w:next w:val="Normal"/>
    <w:link w:val="TitleChar"/>
    <w:uiPriority w:val="10"/>
    <w:qFormat/>
    <w:rsid w:val="0013362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36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362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36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362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3362A"/>
    <w:rPr>
      <w:i/>
      <w:iCs/>
      <w:color w:val="404040" w:themeColor="text1" w:themeTint="BF"/>
    </w:rPr>
  </w:style>
  <w:style w:type="paragraph" w:styleId="ListParagraph">
    <w:name w:val="List Paragraph"/>
    <w:basedOn w:val="Normal"/>
    <w:uiPriority w:val="34"/>
    <w:qFormat/>
    <w:rsid w:val="0013362A"/>
    <w:pPr>
      <w:ind w:left="720"/>
      <w:contextualSpacing/>
    </w:pPr>
  </w:style>
  <w:style w:type="character" w:styleId="IntenseEmphasis">
    <w:name w:val="Intense Emphasis"/>
    <w:basedOn w:val="DefaultParagraphFont"/>
    <w:uiPriority w:val="21"/>
    <w:qFormat/>
    <w:rsid w:val="0013362A"/>
    <w:rPr>
      <w:i/>
      <w:iCs/>
      <w:color w:val="0F4761" w:themeColor="accent1" w:themeShade="BF"/>
    </w:rPr>
  </w:style>
  <w:style w:type="paragraph" w:styleId="IntenseQuote">
    <w:name w:val="Intense Quote"/>
    <w:basedOn w:val="Normal"/>
    <w:next w:val="Normal"/>
    <w:link w:val="IntenseQuoteChar"/>
    <w:uiPriority w:val="30"/>
    <w:qFormat/>
    <w:rsid w:val="001336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362A"/>
    <w:rPr>
      <w:i/>
      <w:iCs/>
      <w:color w:val="0F4761" w:themeColor="accent1" w:themeShade="BF"/>
    </w:rPr>
  </w:style>
  <w:style w:type="character" w:styleId="IntenseReference">
    <w:name w:val="Intense Reference"/>
    <w:basedOn w:val="DefaultParagraphFont"/>
    <w:uiPriority w:val="32"/>
    <w:qFormat/>
    <w:rsid w:val="0013362A"/>
    <w:rPr>
      <w:b/>
      <w:bCs/>
      <w:smallCaps/>
      <w:color w:val="0F4761" w:themeColor="accent1" w:themeShade="BF"/>
      <w:spacing w:val="5"/>
    </w:rPr>
  </w:style>
  <w:style w:type="character" w:styleId="CommentReference">
    <w:name w:val="annotation reference"/>
    <w:basedOn w:val="DefaultParagraphFont"/>
    <w:uiPriority w:val="99"/>
    <w:semiHidden/>
    <w:unhideWhenUsed/>
    <w:rsid w:val="00A92E11"/>
    <w:rPr>
      <w:sz w:val="16"/>
      <w:szCs w:val="16"/>
    </w:rPr>
  </w:style>
  <w:style w:type="paragraph" w:styleId="CommentText">
    <w:name w:val="annotation text"/>
    <w:basedOn w:val="Normal"/>
    <w:link w:val="CommentTextChar"/>
    <w:uiPriority w:val="99"/>
    <w:unhideWhenUsed/>
    <w:rsid w:val="00A92E11"/>
    <w:rPr>
      <w:sz w:val="20"/>
      <w:szCs w:val="20"/>
    </w:rPr>
  </w:style>
  <w:style w:type="character" w:customStyle="1" w:styleId="CommentTextChar">
    <w:name w:val="Comment Text Char"/>
    <w:basedOn w:val="DefaultParagraphFont"/>
    <w:link w:val="CommentText"/>
    <w:uiPriority w:val="99"/>
    <w:rsid w:val="00A92E11"/>
    <w:rPr>
      <w:sz w:val="20"/>
      <w:szCs w:val="20"/>
    </w:rPr>
  </w:style>
  <w:style w:type="character" w:styleId="PlaceholderText">
    <w:name w:val="Placeholder Text"/>
    <w:basedOn w:val="DefaultParagraphFont"/>
    <w:uiPriority w:val="99"/>
    <w:semiHidden/>
    <w:rsid w:val="002A0A97"/>
    <w:rPr>
      <w:color w:val="666666"/>
    </w:rPr>
  </w:style>
  <w:style w:type="paragraph" w:styleId="Revision">
    <w:name w:val="Revision"/>
    <w:hidden/>
    <w:uiPriority w:val="99"/>
    <w:semiHidden/>
    <w:rsid w:val="00BC5793"/>
  </w:style>
  <w:style w:type="paragraph" w:styleId="CommentSubject">
    <w:name w:val="annotation subject"/>
    <w:basedOn w:val="CommentText"/>
    <w:next w:val="CommentText"/>
    <w:link w:val="CommentSubjectChar"/>
    <w:uiPriority w:val="99"/>
    <w:semiHidden/>
    <w:unhideWhenUsed/>
    <w:rsid w:val="00BC5793"/>
    <w:rPr>
      <w:b/>
      <w:bCs/>
    </w:rPr>
  </w:style>
  <w:style w:type="character" w:customStyle="1" w:styleId="CommentSubjectChar">
    <w:name w:val="Comment Subject Char"/>
    <w:basedOn w:val="CommentTextChar"/>
    <w:link w:val="CommentSubject"/>
    <w:uiPriority w:val="99"/>
    <w:semiHidden/>
    <w:rsid w:val="00BC57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851</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Callaway, Clifton</dc:creator>
  <cp:keywords/>
  <dc:description/>
  <cp:lastModifiedBy>Callaway, Clifton</cp:lastModifiedBy>
  <cp:revision>2</cp:revision>
  <dcterms:created xsi:type="dcterms:W3CDTF">2025-06-07T07:14:00Z</dcterms:created>
  <dcterms:modified xsi:type="dcterms:W3CDTF">2025-06-07T07:14:00Z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2025-04-02T11:46:52Z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006f8fd9-7f4a-47cc-a945-6c66573ac18d</vt:lpwstr>
  </property>
  <property fmtid="{D5CDD505-2E9C-101B-9397-08002B2CF9AE}" pid="8" name="MSIP_Label_5e4b1be8-281e-475d-98b0-21c3457e5a46_ContentBits">
    <vt:lpwstr>0</vt:lpwstr>
  </property>
</Properties>
</file>