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166A4B">
      <w:pPr>
        <w:spacing w:line="480" w:lineRule="auto"/>
        <w:jc w:val="center"/>
        <w:rPr>
          <w:b/>
          <w:bCs/>
          <w:color w:val="auto"/>
          <w:sz w:val="24"/>
          <w:szCs w:val="24"/>
        </w:rPr>
      </w:pPr>
      <w:r>
        <w:rPr>
          <w:b/>
          <w:bCs/>
          <w:color w:val="auto"/>
          <w:sz w:val="24"/>
          <w:szCs w:val="24"/>
        </w:rPr>
        <w:t>Additional file 1</w:t>
      </w:r>
    </w:p>
    <w:p w14:paraId="6BF8B734">
      <w:pPr>
        <w:widowControl/>
        <w:spacing w:line="480" w:lineRule="auto"/>
        <w:jc w:val="center"/>
        <w:rPr>
          <w:b/>
          <w:bCs/>
          <w:color w:val="auto"/>
          <w:sz w:val="24"/>
          <w:szCs w:val="24"/>
        </w:rPr>
      </w:pPr>
      <w:r>
        <w:rPr>
          <w:b/>
          <w:bCs/>
          <w:color w:val="auto"/>
          <w:kern w:val="0"/>
          <w:sz w:val="24"/>
          <w:szCs w:val="24"/>
          <w:lang w:bidi="ar"/>
        </w:rPr>
        <w:t xml:space="preserve">Effects of inhaled </w:t>
      </w:r>
      <w:bookmarkStart w:id="0" w:name="_Hlk196677734"/>
      <w:r>
        <w:rPr>
          <w:b/>
          <w:bCs/>
          <w:color w:val="auto"/>
          <w:kern w:val="0"/>
          <w:sz w:val="24"/>
          <w:szCs w:val="24"/>
          <w:lang w:bidi="ar"/>
        </w:rPr>
        <w:t>nitric oxide</w:t>
      </w:r>
      <w:bookmarkEnd w:id="0"/>
      <w:r>
        <w:rPr>
          <w:b/>
          <w:bCs/>
          <w:color w:val="auto"/>
          <w:kern w:val="0"/>
          <w:sz w:val="24"/>
          <w:szCs w:val="24"/>
          <w:lang w:bidi="ar"/>
        </w:rPr>
        <w:t xml:space="preserve"> on </w:t>
      </w:r>
      <w:r>
        <w:rPr>
          <w:rFonts w:hint="eastAsia"/>
          <w:b/>
          <w:bCs/>
          <w:color w:val="auto"/>
          <w:sz w:val="24"/>
          <w:szCs w:val="24"/>
        </w:rPr>
        <w:t>ventilation/perfusion mismatch</w:t>
      </w:r>
      <w:r>
        <w:rPr>
          <w:b/>
          <w:bCs/>
          <w:color w:val="auto"/>
          <w:kern w:val="0"/>
          <w:sz w:val="24"/>
          <w:szCs w:val="24"/>
          <w:lang w:bidi="ar"/>
        </w:rPr>
        <w:t xml:space="preserve"> assessed by </w:t>
      </w:r>
      <w:bookmarkStart w:id="1" w:name="_Hlk196677666"/>
      <w:r>
        <w:rPr>
          <w:rFonts w:hint="eastAsia"/>
          <w:b/>
          <w:bCs/>
          <w:color w:val="auto"/>
          <w:kern w:val="0"/>
          <w:sz w:val="24"/>
          <w:szCs w:val="24"/>
          <w:lang w:bidi="ar"/>
        </w:rPr>
        <w:t>e</w:t>
      </w:r>
      <w:r>
        <w:rPr>
          <w:b/>
          <w:bCs/>
          <w:color w:val="auto"/>
          <w:kern w:val="0"/>
          <w:sz w:val="24"/>
          <w:szCs w:val="24"/>
          <w:lang w:bidi="ar"/>
        </w:rPr>
        <w:t>lectrical impedance tomography</w:t>
      </w:r>
      <w:bookmarkEnd w:id="1"/>
      <w:r>
        <w:rPr>
          <w:b/>
          <w:bCs/>
          <w:color w:val="auto"/>
          <w:kern w:val="0"/>
          <w:sz w:val="24"/>
          <w:szCs w:val="24"/>
          <w:lang w:bidi="ar"/>
        </w:rPr>
        <w:t xml:space="preserve"> in patients with ARDS</w:t>
      </w:r>
      <w:r>
        <w:rPr>
          <w:rFonts w:hint="eastAsia"/>
          <w:b/>
          <w:bCs/>
          <w:color w:val="auto"/>
          <w:kern w:val="0"/>
          <w:sz w:val="24"/>
          <w:szCs w:val="24"/>
          <w:lang w:bidi="ar"/>
        </w:rPr>
        <w:t>: a prospective observational study</w:t>
      </w:r>
    </w:p>
    <w:p w14:paraId="75092523">
      <w:pPr>
        <w:widowControl/>
        <w:spacing w:line="480" w:lineRule="auto"/>
        <w:jc w:val="center"/>
        <w:rPr>
          <w:color w:val="auto"/>
          <w:kern w:val="0"/>
          <w:sz w:val="24"/>
          <w:szCs w:val="24"/>
          <w:lang w:bidi="ar"/>
        </w:rPr>
      </w:pPr>
      <w:r>
        <w:rPr>
          <w:color w:val="auto"/>
          <w:kern w:val="0"/>
          <w:sz w:val="24"/>
          <w:szCs w:val="24"/>
          <w:lang w:bidi="ar"/>
        </w:rPr>
        <w:t xml:space="preserve">Hongling Zhang; Xuehui Gao; Yongran Wu; </w:t>
      </w:r>
      <w:r>
        <w:rPr>
          <w:rFonts w:hint="eastAsia"/>
          <w:color w:val="auto"/>
          <w:kern w:val="0"/>
          <w:sz w:val="24"/>
          <w:szCs w:val="24"/>
          <w:lang w:bidi="ar"/>
        </w:rPr>
        <w:t xml:space="preserve">Yaqi Ouyang; Xiangzhi Fang; </w:t>
      </w:r>
      <w:r>
        <w:rPr>
          <w:color w:val="auto"/>
          <w:kern w:val="0"/>
          <w:sz w:val="24"/>
          <w:szCs w:val="24"/>
          <w:lang w:bidi="ar"/>
        </w:rPr>
        <w:t>Rui</w:t>
      </w:r>
      <w:r>
        <w:rPr>
          <w:rFonts w:hint="eastAsia"/>
          <w:color w:val="auto"/>
          <w:kern w:val="0"/>
          <w:sz w:val="24"/>
          <w:szCs w:val="24"/>
          <w:lang w:bidi="ar"/>
        </w:rPr>
        <w:t>ting</w:t>
      </w:r>
      <w:r>
        <w:rPr>
          <w:color w:val="auto"/>
          <w:kern w:val="0"/>
          <w:sz w:val="24"/>
          <w:szCs w:val="24"/>
          <w:lang w:bidi="ar"/>
        </w:rPr>
        <w:t xml:space="preserve"> Li; Huaqing Shu; Xiaobo Yang; Hong Qi; Xiaojing Zou; You Shang</w:t>
      </w:r>
      <w:r>
        <w:rPr>
          <w:color w:val="auto"/>
          <w:kern w:val="0"/>
          <w:sz w:val="24"/>
          <w:szCs w:val="24"/>
          <w:lang w:bidi="ar"/>
        </w:rPr>
        <w:br w:type="page"/>
      </w:r>
    </w:p>
    <w:p w14:paraId="7AE2A44D">
      <w:pPr>
        <w:widowControl/>
        <w:spacing w:line="480" w:lineRule="auto"/>
        <w:rPr>
          <w:color w:val="auto"/>
          <w:sz w:val="24"/>
          <w:szCs w:val="24"/>
        </w:rPr>
      </w:pPr>
      <w:r>
        <w:rPr>
          <w:rFonts w:hint="eastAsia"/>
          <w:color w:val="auto"/>
          <w:sz w:val="24"/>
          <w:szCs w:val="24"/>
        </w:rPr>
        <w:t>Methods</w:t>
      </w:r>
    </w:p>
    <w:p w14:paraId="63C61016">
      <w:pPr>
        <w:spacing w:line="480" w:lineRule="auto"/>
        <w:rPr>
          <w:i/>
          <w:iCs/>
          <w:color w:val="auto"/>
        </w:rPr>
      </w:pPr>
      <w:r>
        <w:rPr>
          <w:i/>
          <w:iCs/>
          <w:color w:val="auto"/>
          <w:kern w:val="0"/>
          <w:sz w:val="24"/>
          <w:szCs w:val="24"/>
          <w:lang w:bidi="ar"/>
        </w:rPr>
        <w:t xml:space="preserve">Administration and management of inhaled nitric oxide </w:t>
      </w:r>
      <w:r>
        <w:rPr>
          <w:rFonts w:hint="eastAsia"/>
          <w:i/>
          <w:iCs/>
          <w:color w:val="auto"/>
          <w:kern w:val="0"/>
          <w:sz w:val="24"/>
          <w:szCs w:val="24"/>
          <w:lang w:bidi="ar"/>
        </w:rPr>
        <w:t>(</w:t>
      </w:r>
      <w:r>
        <w:rPr>
          <w:i/>
          <w:iCs/>
          <w:color w:val="auto"/>
          <w:kern w:val="0"/>
          <w:sz w:val="24"/>
          <w:szCs w:val="24"/>
          <w:lang w:bidi="ar"/>
        </w:rPr>
        <w:t>iNO</w:t>
      </w:r>
      <w:r>
        <w:rPr>
          <w:rFonts w:hint="eastAsia"/>
          <w:i/>
          <w:iCs/>
          <w:color w:val="auto"/>
          <w:kern w:val="0"/>
          <w:sz w:val="24"/>
          <w:szCs w:val="24"/>
          <w:lang w:bidi="ar"/>
        </w:rPr>
        <w:t>)</w:t>
      </w:r>
    </w:p>
    <w:p w14:paraId="40640E68">
      <w:pPr>
        <w:spacing w:line="480" w:lineRule="auto"/>
        <w:rPr>
          <w:color w:val="auto"/>
        </w:rPr>
      </w:pPr>
      <w:r>
        <w:rPr>
          <w:color w:val="auto"/>
          <w:kern w:val="0"/>
          <w:sz w:val="24"/>
          <w:szCs w:val="24"/>
          <w:lang w:bidi="ar"/>
        </w:rPr>
        <w:t>In this study, a state-of-the-art iNO generator, the INOwill N200 Nitric Oxide</w:t>
      </w:r>
      <w:r>
        <w:rPr>
          <w:rFonts w:hint="eastAsia"/>
          <w:color w:val="auto"/>
          <w:kern w:val="0"/>
          <w:sz w:val="24"/>
          <w:szCs w:val="24"/>
          <w:lang w:bidi="ar"/>
        </w:rPr>
        <w:t xml:space="preserve"> (NO)</w:t>
      </w:r>
      <w:r>
        <w:rPr>
          <w:color w:val="auto"/>
          <w:kern w:val="0"/>
          <w:sz w:val="24"/>
          <w:szCs w:val="24"/>
          <w:lang w:bidi="ar"/>
        </w:rPr>
        <w:t xml:space="preserve"> Generator and Delivery System (manufactured by Novlead Biotechnology Co., Ltd, China), was employed to facilitate the instantaneous production of NO gas at a concentration from zero to 200 ppm. This cutting-edge device utilized the electrochemical reduction method to convert nitrite/Cu (II)-ligand solution into NO gas in a real-time, stable, and safe manner </w:t>
      </w:r>
      <w:bookmarkStart w:id="2" w:name="_Hlk187591263"/>
      <w:r>
        <w:rPr>
          <w:color w:val="auto"/>
          <w:sz w:val="24"/>
        </w:rPr>
        <w:t>[1]</w:t>
      </w:r>
      <w:bookmarkEnd w:id="2"/>
      <w:r>
        <w:rPr>
          <w:color w:val="auto"/>
          <w:kern w:val="0"/>
          <w:sz w:val="24"/>
          <w:szCs w:val="24"/>
          <w:lang w:bidi="ar"/>
        </w:rPr>
        <w:t xml:space="preserve">. This approach efficiently delivers NO gas using nitrogen as the carrier gas, ensuring precise mixing with the respiratory gas and synchronized delivery during the inspiratory phase. A flow sensor in the inspiratory circuit enables real-time NO flow adjustments, conserving gas, minimizing environmental emissions, and reducing impurities like </w:t>
      </w:r>
      <w:bookmarkStart w:id="3" w:name="_Hlk187591839"/>
      <w:r>
        <w:rPr>
          <w:rFonts w:hint="eastAsia"/>
          <w:color w:val="auto"/>
          <w:kern w:val="0"/>
          <w:sz w:val="24"/>
          <w:szCs w:val="24"/>
          <w:lang w:bidi="ar"/>
        </w:rPr>
        <w:t>n</w:t>
      </w:r>
      <w:r>
        <w:rPr>
          <w:color w:val="auto"/>
          <w:kern w:val="0"/>
          <w:sz w:val="24"/>
          <w:szCs w:val="24"/>
          <w:lang w:bidi="ar"/>
        </w:rPr>
        <w:t xml:space="preserve">itrogen </w:t>
      </w:r>
      <w:r>
        <w:rPr>
          <w:rFonts w:hint="eastAsia"/>
          <w:color w:val="auto"/>
          <w:kern w:val="0"/>
          <w:sz w:val="24"/>
          <w:szCs w:val="24"/>
          <w:lang w:bidi="ar"/>
        </w:rPr>
        <w:t>d</w:t>
      </w:r>
      <w:r>
        <w:rPr>
          <w:color w:val="auto"/>
          <w:kern w:val="0"/>
          <w:sz w:val="24"/>
          <w:szCs w:val="24"/>
          <w:lang w:bidi="ar"/>
        </w:rPr>
        <w:t xml:space="preserve">ioxide </w:t>
      </w:r>
      <w:bookmarkEnd w:id="3"/>
      <w:r>
        <w:rPr>
          <w:color w:val="auto"/>
          <w:kern w:val="0"/>
          <w:sz w:val="24"/>
          <w:szCs w:val="24"/>
          <w:lang w:bidi="ar"/>
        </w:rPr>
        <w:t>(NO₂). A strategically placed sampling port near the patient end ensures accurate monitoring of NO, NO₂, and O₂ concentrations in real time.</w:t>
      </w:r>
    </w:p>
    <w:p w14:paraId="598993A1">
      <w:pPr>
        <w:spacing w:line="480" w:lineRule="auto"/>
        <w:rPr>
          <w:i/>
          <w:iCs/>
          <w:color w:val="auto"/>
        </w:rPr>
      </w:pPr>
      <w:bookmarkStart w:id="4" w:name="_Hlk196677648"/>
      <w:r>
        <w:rPr>
          <w:rFonts w:hint="eastAsia"/>
          <w:i/>
          <w:iCs/>
          <w:color w:val="auto"/>
          <w:kern w:val="0"/>
          <w:sz w:val="24"/>
          <w:szCs w:val="24"/>
          <w:lang w:bidi="ar"/>
        </w:rPr>
        <w:t>E</w:t>
      </w:r>
      <w:r>
        <w:rPr>
          <w:i/>
          <w:iCs/>
          <w:color w:val="auto"/>
          <w:kern w:val="0"/>
          <w:sz w:val="24"/>
          <w:szCs w:val="24"/>
          <w:lang w:bidi="ar"/>
        </w:rPr>
        <w:t>lectrical impedance tomography</w:t>
      </w:r>
      <w:bookmarkEnd w:id="4"/>
      <w:r>
        <w:rPr>
          <w:i/>
          <w:iCs/>
          <w:color w:val="auto"/>
          <w:kern w:val="0"/>
          <w:sz w:val="24"/>
          <w:szCs w:val="24"/>
          <w:lang w:bidi="ar"/>
        </w:rPr>
        <w:t xml:space="preserve"> (EIT) assessment</w:t>
      </w:r>
    </w:p>
    <w:p w14:paraId="4D429FD3">
      <w:pPr>
        <w:spacing w:line="480" w:lineRule="auto"/>
        <w:rPr>
          <w:color w:val="auto"/>
        </w:rPr>
      </w:pPr>
      <w:r>
        <w:rPr>
          <w:color w:val="auto"/>
          <w:kern w:val="0"/>
          <w:sz w:val="24"/>
          <w:szCs w:val="24"/>
          <w:lang w:bidi="ar"/>
        </w:rPr>
        <w:t>EIT functional images and data were generated using the PulmoVista 500 (Dräger Medical, Lübeck, Germany). A 16-electrode EIT belt was placed around the thorax at the 3rd, 4th, or 5th intercostal space along the parasternal line, as appropriate. To ensure intra-patient repeatability, the EIT belt was not removed throughout the study, and patients were positioned semi-recumbent with a 15° bed incline during EIT measurements. EIT images were continuously recorded at 20 Hz. After a 2-minute baseline recording, lung perfusion was assessed using a hypertonic saline bolus method</w:t>
      </w:r>
      <w:r>
        <w:rPr>
          <w:rFonts w:hint="eastAsia"/>
          <w:color w:val="auto"/>
          <w:kern w:val="0"/>
          <w:sz w:val="24"/>
          <w:szCs w:val="24"/>
          <w:lang w:bidi="ar"/>
        </w:rPr>
        <w:t>.</w:t>
      </w:r>
      <w:r>
        <w:rPr>
          <w:color w:val="auto"/>
          <w:kern w:val="0"/>
          <w:sz w:val="24"/>
          <w:szCs w:val="24"/>
          <w:lang w:bidi="ar"/>
        </w:rPr>
        <w:t xml:space="preserve"> </w:t>
      </w:r>
      <w:bookmarkStart w:id="5" w:name="_Hlk187593906"/>
      <w:r>
        <w:rPr>
          <w:color w:val="auto"/>
          <w:kern w:val="0"/>
          <w:sz w:val="24"/>
          <w:szCs w:val="24"/>
          <w:lang w:bidi="ar"/>
        </w:rPr>
        <w:t xml:space="preserve">A 10 mL bolus of hypertonic saline (10% NaCl) was injected via a central venous catheter for perfusion assessment. </w:t>
      </w:r>
      <w:r>
        <w:rPr>
          <w:rFonts w:hint="eastAsia"/>
          <w:color w:val="auto"/>
          <w:kern w:val="0"/>
          <w:sz w:val="24"/>
          <w:szCs w:val="24"/>
          <w:lang w:bidi="ar"/>
        </w:rPr>
        <w:t>The injection took less than 2 seconds and was performed during a short end-expiratory apnea of approximately 10 seconds</w:t>
      </w:r>
      <w:r>
        <w:rPr>
          <w:color w:val="auto"/>
          <w:kern w:val="0"/>
          <w:sz w:val="24"/>
          <w:szCs w:val="24"/>
          <w:lang w:bidi="ar"/>
        </w:rPr>
        <w:t xml:space="preserve">. During the apnea, the airway was maintained at end-expiratory pressure (PEEP level), which varied between patients according to their clinical setting. To reduce baseline drift and non-perfusion-related fluctuations, high-pass filtering (0.05–0.1 Hz) was applied to the raw EIT signals, isolating transient changes from the saline bolus. Perfusion maps were reconstructed based on the first-pass conductivity kinetics </w:t>
      </w:r>
      <w:r>
        <w:rPr>
          <w:color w:val="auto"/>
          <w:sz w:val="24"/>
        </w:rPr>
        <w:t>[2</w:t>
      </w:r>
      <w:r>
        <w:rPr>
          <w:rFonts w:hint="eastAsia"/>
          <w:color w:val="auto"/>
          <w:sz w:val="24"/>
        </w:rPr>
        <w:t>,3</w:t>
      </w:r>
      <w:r>
        <w:rPr>
          <w:color w:val="auto"/>
          <w:sz w:val="24"/>
        </w:rPr>
        <w:t>]</w:t>
      </w:r>
      <w:bookmarkEnd w:id="5"/>
      <w:r>
        <w:rPr>
          <w:color w:val="auto"/>
          <w:kern w:val="0"/>
          <w:sz w:val="24"/>
          <w:szCs w:val="24"/>
          <w:lang w:bidi="ar"/>
        </w:rPr>
        <w:t xml:space="preserve">. </w:t>
      </w:r>
      <w:bookmarkStart w:id="6" w:name="_Hlk121214863"/>
      <w:bookmarkEnd w:id="6"/>
    </w:p>
    <w:p w14:paraId="04853346">
      <w:pPr>
        <w:widowControl/>
        <w:spacing w:line="480" w:lineRule="auto"/>
        <w:ind w:firstLine="480" w:firstLineChars="200"/>
        <w:rPr>
          <w:color w:val="auto"/>
        </w:rPr>
      </w:pPr>
      <w:bookmarkStart w:id="7" w:name="OLE_LINK16"/>
      <w:bookmarkStart w:id="8" w:name="_Hlk173999480"/>
      <w:r>
        <w:rPr>
          <w:color w:val="auto"/>
          <w:kern w:val="0"/>
          <w:sz w:val="24"/>
          <w:szCs w:val="24"/>
          <w:lang w:bidi="ar"/>
        </w:rPr>
        <w:t xml:space="preserve">The EIT data were analyzed offline with custom software developed in MATLAB (R2023a, The MathWorks Inc., Natick, MA). Regional functional ventilation maps were calculated by subtracting end-expiration impedance from end-inspiration impedance. Regional functional perfusion maps were generated by analyzing the slope of the time-impedance curve after saline injection, with removal of the time period when the saline bolus still within the cardiac region. Ventilated and perfused regions were defined as pixels exceeding 10% of the maximum value in the functional ventilation and perfusion maps, respectively </w:t>
      </w:r>
      <w:r>
        <w:rPr>
          <w:color w:val="auto"/>
          <w:sz w:val="24"/>
        </w:rPr>
        <w:t>[3,4]</w:t>
      </w:r>
      <w:r>
        <w:rPr>
          <w:color w:val="auto"/>
          <w:kern w:val="0"/>
          <w:sz w:val="24"/>
          <w:szCs w:val="24"/>
          <w:lang w:bidi="ar"/>
        </w:rPr>
        <w:t>.</w:t>
      </w:r>
      <w:r>
        <w:rPr>
          <w:rFonts w:hint="eastAsia"/>
          <w:color w:val="auto"/>
          <w:kern w:val="0"/>
          <w:sz w:val="24"/>
          <w:szCs w:val="24"/>
          <w:lang w:val="en-US" w:eastAsia="zh-CN" w:bidi="ar"/>
        </w:rPr>
        <w:t xml:space="preserve"> </w:t>
      </w:r>
      <w:r>
        <w:rPr>
          <w:rFonts w:hint="eastAsia"/>
          <w:color w:val="FF0000"/>
          <w:kern w:val="0"/>
          <w:sz w:val="24"/>
          <w:szCs w:val="24"/>
          <w:lang w:bidi="ar"/>
        </w:rPr>
        <w:t xml:space="preserve">For quantitative analysis, the lungs were divided into ventral and dorsal regions. </w:t>
      </w:r>
      <w:r>
        <w:rPr>
          <w:rFonts w:hint="eastAsia"/>
          <w:color w:val="FF0000"/>
          <w:kern w:val="0"/>
          <w:sz w:val="24"/>
          <w:szCs w:val="24"/>
          <w:lang w:bidi="ar"/>
        </w:rPr>
        <w:t>The sum of these two regions represented the whole lung in our analysis</w:t>
      </w:r>
      <w:r>
        <w:rPr>
          <w:rFonts w:hint="eastAsia"/>
          <w:color w:val="FF0000"/>
          <w:kern w:val="0"/>
          <w:sz w:val="24"/>
          <w:szCs w:val="24"/>
          <w:lang w:val="en-US" w:eastAsia="zh-CN" w:bidi="ar"/>
        </w:rPr>
        <w:t xml:space="preserve"> [5]</w:t>
      </w:r>
      <w:r>
        <w:rPr>
          <w:rFonts w:hint="eastAsia"/>
          <w:color w:val="FF0000"/>
          <w:kern w:val="0"/>
          <w:sz w:val="24"/>
          <w:szCs w:val="24"/>
          <w:lang w:bidi="ar"/>
        </w:rPr>
        <w:t>.</w:t>
      </w:r>
      <w:r>
        <w:rPr>
          <w:rFonts w:hint="eastAsia"/>
          <w:color w:val="FF0000"/>
          <w:kern w:val="0"/>
          <w:sz w:val="24"/>
          <w:szCs w:val="24"/>
          <w:lang w:val="en-US" w:eastAsia="zh-CN" w:bidi="ar"/>
        </w:rPr>
        <w:t xml:space="preserve"> </w:t>
      </w:r>
      <w:r>
        <w:rPr>
          <w:color w:val="auto"/>
          <w:kern w:val="0"/>
          <w:sz w:val="24"/>
          <w:szCs w:val="24"/>
          <w:lang w:bidi="ar"/>
        </w:rPr>
        <w:t>Based on the analysis and integration of ventilation and perfusion maps, we assessed the following measures:</w:t>
      </w:r>
    </w:p>
    <w:bookmarkEnd w:id="7"/>
    <w:p w14:paraId="050CA5A0">
      <w:pPr>
        <w:pStyle w:val="21"/>
        <w:widowControl/>
        <w:numPr>
          <w:ilvl w:val="0"/>
          <w:numId w:val="2"/>
        </w:numPr>
        <w:autoSpaceDE w:val="0"/>
        <w:autoSpaceDN w:val="0"/>
        <w:spacing w:afterAutospacing="1"/>
        <w:ind w:firstLineChars="0"/>
        <w:contextualSpacing/>
        <w:rPr>
          <w:color w:val="auto"/>
        </w:rPr>
      </w:pPr>
      <w:r>
        <w:rPr>
          <w:color w:val="auto"/>
        </w:rPr>
        <w:t>Ventilation (%) and perfusion (%)</w:t>
      </w:r>
      <w:r>
        <w:rPr>
          <w:rFonts w:hint="eastAsia" w:cs="宋体"/>
          <w:color w:val="auto"/>
        </w:rPr>
        <w:t>，</w:t>
      </w:r>
      <w:r>
        <w:rPr>
          <w:color w:val="auto"/>
        </w:rPr>
        <w:t>corresponding to the p</w:t>
      </w:r>
      <w:r>
        <w:rPr>
          <w:rFonts w:hint="eastAsia"/>
          <w:color w:val="auto"/>
          <w:lang w:val="en-US" w:eastAsia="zh-CN"/>
        </w:rPr>
        <w:t>roportion</w:t>
      </w:r>
      <w:r>
        <w:rPr>
          <w:color w:val="auto"/>
        </w:rPr>
        <w:t>s of ventilation and perfusion distribution</w:t>
      </w:r>
      <w:r>
        <w:rPr>
          <w:rFonts w:hint="eastAsia"/>
          <w:color w:val="auto"/>
        </w:rPr>
        <w:t xml:space="preserve"> [</w:t>
      </w:r>
      <w:r>
        <w:rPr>
          <w:rFonts w:hint="eastAsia"/>
          <w:color w:val="auto"/>
          <w:lang w:val="en-US" w:eastAsia="zh-CN"/>
        </w:rPr>
        <w:t>6</w:t>
      </w:r>
      <w:r>
        <w:rPr>
          <w:rFonts w:hint="eastAsia"/>
          <w:color w:val="auto"/>
        </w:rPr>
        <w:t xml:space="preserve">, </w:t>
      </w:r>
      <w:r>
        <w:rPr>
          <w:rFonts w:hint="eastAsia"/>
          <w:color w:val="auto"/>
          <w:lang w:val="en-US" w:eastAsia="zh-CN"/>
        </w:rPr>
        <w:t>7</w:t>
      </w:r>
      <w:r>
        <w:rPr>
          <w:rFonts w:hint="eastAsia"/>
          <w:color w:val="auto"/>
        </w:rPr>
        <w:t>]</w:t>
      </w:r>
      <w:r>
        <w:rPr>
          <w:color w:val="auto"/>
        </w:rPr>
        <w:t xml:space="preserve">. </w:t>
      </w:r>
    </w:p>
    <w:p w14:paraId="53924CB5">
      <w:pPr>
        <w:pStyle w:val="21"/>
        <w:widowControl/>
        <w:numPr>
          <w:ilvl w:val="0"/>
          <w:numId w:val="2"/>
        </w:numPr>
        <w:autoSpaceDE w:val="0"/>
        <w:autoSpaceDN w:val="0"/>
        <w:spacing w:afterAutospacing="1"/>
        <w:ind w:firstLineChars="0"/>
        <w:contextualSpacing/>
        <w:rPr>
          <w:color w:val="auto"/>
        </w:rPr>
      </w:pPr>
      <w:r>
        <w:rPr>
          <w:rFonts w:hint="eastAsia"/>
          <w:color w:val="auto"/>
        </w:rPr>
        <w:t>Only ventilated units</w:t>
      </w:r>
      <w:r>
        <w:rPr>
          <w:color w:val="auto"/>
        </w:rPr>
        <w:t xml:space="preserve"> (%), corresponding to the non-perfused pixels divided by the total number of pixels classified as</w:t>
      </w:r>
      <w:r>
        <w:rPr>
          <w:rFonts w:hint="eastAsia"/>
          <w:color w:val="auto"/>
          <w:lang w:val="en-US" w:eastAsia="zh-CN"/>
        </w:rPr>
        <w:t xml:space="preserve"> </w:t>
      </w:r>
      <w:r>
        <w:rPr>
          <w:color w:val="auto"/>
        </w:rPr>
        <w:t xml:space="preserve">ventilated and/or </w:t>
      </w:r>
      <w:bookmarkStart w:id="17" w:name="_GoBack"/>
      <w:bookmarkEnd w:id="17"/>
      <w:r>
        <w:rPr>
          <w:color w:val="auto"/>
        </w:rPr>
        <w:t xml:space="preserve">perfused </w:t>
      </w:r>
      <w:bookmarkStart w:id="9" w:name="_Hlk187594276"/>
      <w:r>
        <w:rPr>
          <w:color w:val="auto"/>
        </w:rPr>
        <w:t>[</w:t>
      </w:r>
      <w:r>
        <w:rPr>
          <w:rFonts w:hint="eastAsia"/>
          <w:color w:val="auto"/>
          <w:lang w:val="en-US" w:eastAsia="zh-CN"/>
        </w:rPr>
        <w:t>7</w:t>
      </w:r>
      <w:r>
        <w:rPr>
          <w:color w:val="auto"/>
        </w:rPr>
        <w:t>]</w:t>
      </w:r>
      <w:bookmarkEnd w:id="9"/>
      <w:r>
        <w:rPr>
          <w:color w:val="auto"/>
        </w:rPr>
        <w:t>.</w:t>
      </w:r>
    </w:p>
    <w:p w14:paraId="2E95A1A8">
      <w:pPr>
        <w:pStyle w:val="21"/>
        <w:widowControl/>
        <w:numPr>
          <w:ilvl w:val="0"/>
          <w:numId w:val="2"/>
        </w:numPr>
        <w:autoSpaceDE w:val="0"/>
        <w:autoSpaceDN w:val="0"/>
        <w:spacing w:afterAutospacing="1"/>
        <w:ind w:firstLineChars="0"/>
        <w:contextualSpacing/>
        <w:rPr>
          <w:color w:val="auto"/>
        </w:rPr>
      </w:pPr>
      <w:r>
        <w:rPr>
          <w:rFonts w:hint="eastAsia"/>
          <w:color w:val="auto"/>
        </w:rPr>
        <w:t>Only perfused units</w:t>
      </w:r>
      <w:r>
        <w:rPr>
          <w:color w:val="auto"/>
        </w:rPr>
        <w:t xml:space="preserve"> (%), corresponding to the non</w:t>
      </w:r>
      <w:r>
        <w:rPr>
          <w:rFonts w:hint="eastAsia"/>
          <w:color w:val="auto"/>
          <w:lang w:val="en-US" w:eastAsia="zh-CN"/>
        </w:rPr>
        <w:t>-</w:t>
      </w:r>
      <w:r>
        <w:rPr>
          <w:color w:val="auto"/>
        </w:rPr>
        <w:t>ventilated pixels divided by the total number of pixels ventilated and/or perfused [</w:t>
      </w:r>
      <w:r>
        <w:rPr>
          <w:rFonts w:hint="eastAsia"/>
          <w:color w:val="auto"/>
          <w:lang w:val="en-US" w:eastAsia="zh-CN"/>
        </w:rPr>
        <w:t>7</w:t>
      </w:r>
      <w:r>
        <w:rPr>
          <w:color w:val="auto"/>
        </w:rPr>
        <w:t>].</w:t>
      </w:r>
    </w:p>
    <w:p w14:paraId="6294617E">
      <w:pPr>
        <w:pStyle w:val="21"/>
        <w:widowControl/>
        <w:numPr>
          <w:ilvl w:val="0"/>
          <w:numId w:val="2"/>
        </w:numPr>
        <w:autoSpaceDE w:val="0"/>
        <w:autoSpaceDN w:val="0"/>
        <w:spacing w:before="9" w:afterAutospacing="1"/>
        <w:ind w:firstLineChars="0"/>
        <w:contextualSpacing/>
        <w:rPr>
          <w:i/>
          <w:iCs/>
          <w:color w:val="auto"/>
          <w:lang w:bidi="ar"/>
        </w:rPr>
      </w:pPr>
      <w:bookmarkStart w:id="10" w:name="OLE_LINK20"/>
      <w:r>
        <w:rPr>
          <w:rFonts w:hint="eastAsia"/>
          <w:color w:val="auto"/>
        </w:rPr>
        <w:t>Unmatched units</w:t>
      </w:r>
      <w:r>
        <w:rPr>
          <w:color w:val="auto"/>
        </w:rPr>
        <w:t xml:space="preserve"> (%),</w:t>
      </w:r>
      <w:bookmarkEnd w:id="8"/>
      <w:r>
        <w:rPr>
          <w:color w:val="auto"/>
        </w:rPr>
        <w:t xml:space="preserve"> calculated by summing </w:t>
      </w:r>
      <w:r>
        <w:rPr>
          <w:rFonts w:hint="eastAsia"/>
          <w:color w:val="auto"/>
        </w:rPr>
        <w:t xml:space="preserve">the </w:t>
      </w:r>
      <w:r>
        <w:rPr>
          <w:rFonts w:hint="eastAsia"/>
          <w:color w:val="auto"/>
          <w:lang w:val="en-US" w:eastAsia="zh-CN"/>
        </w:rPr>
        <w:t>proportion</w:t>
      </w:r>
      <w:r>
        <w:rPr>
          <w:rFonts w:hint="eastAsia"/>
          <w:color w:val="auto"/>
        </w:rPr>
        <w:t xml:space="preserve"> of only ventilated units </w:t>
      </w:r>
      <w:r>
        <w:rPr>
          <w:rFonts w:hint="eastAsia"/>
          <w:color w:val="auto"/>
          <w:lang w:val="en-US" w:eastAsia="zh-CN"/>
        </w:rPr>
        <w:t>and</w:t>
      </w:r>
      <w:r>
        <w:rPr>
          <w:rFonts w:hint="eastAsia"/>
          <w:color w:val="auto"/>
        </w:rPr>
        <w:t xml:space="preserve"> the </w:t>
      </w:r>
      <w:r>
        <w:rPr>
          <w:rFonts w:hint="eastAsia"/>
          <w:color w:val="auto"/>
          <w:lang w:val="en-US" w:eastAsia="zh-CN"/>
        </w:rPr>
        <w:t>proportion</w:t>
      </w:r>
      <w:r>
        <w:rPr>
          <w:rFonts w:hint="eastAsia"/>
          <w:color w:val="auto"/>
        </w:rPr>
        <w:t xml:space="preserve"> of only perfused units</w:t>
      </w:r>
      <w:r>
        <w:rPr>
          <w:color w:val="auto"/>
        </w:rPr>
        <w:t xml:space="preserve"> </w:t>
      </w:r>
      <w:bookmarkEnd w:id="10"/>
      <w:bookmarkStart w:id="11" w:name="_Hlk187594311"/>
      <w:r>
        <w:rPr>
          <w:color w:val="auto"/>
        </w:rPr>
        <w:t>[</w:t>
      </w:r>
      <w:r>
        <w:rPr>
          <w:rFonts w:hint="eastAsia"/>
          <w:color w:val="auto"/>
          <w:lang w:val="en-US" w:eastAsia="zh-CN"/>
        </w:rPr>
        <w:t>7</w:t>
      </w:r>
      <w:r>
        <w:rPr>
          <w:color w:val="auto"/>
        </w:rPr>
        <w:t>,</w:t>
      </w:r>
      <w:r>
        <w:rPr>
          <w:rFonts w:hint="eastAsia"/>
          <w:color w:val="auto"/>
          <w:lang w:val="en-US" w:eastAsia="zh-CN"/>
        </w:rPr>
        <w:t>8</w:t>
      </w:r>
      <w:r>
        <w:rPr>
          <w:color w:val="auto"/>
        </w:rPr>
        <w:t>]</w:t>
      </w:r>
      <w:bookmarkEnd w:id="11"/>
      <w:r>
        <w:rPr>
          <w:color w:val="auto"/>
        </w:rPr>
        <w:t>.</w:t>
      </w:r>
    </w:p>
    <w:p w14:paraId="16020F11">
      <w:pPr>
        <w:pStyle w:val="21"/>
        <w:widowControl/>
        <w:autoSpaceDE w:val="0"/>
        <w:autoSpaceDN w:val="0"/>
        <w:spacing w:before="9" w:afterAutospacing="1"/>
        <w:ind w:firstLine="0" w:firstLineChars="0"/>
        <w:contextualSpacing/>
        <w:rPr>
          <w:i/>
          <w:iCs/>
          <w:color w:val="auto"/>
          <w:lang w:bidi="ar"/>
        </w:rPr>
      </w:pPr>
      <w:r>
        <w:rPr>
          <w:i/>
          <w:iCs/>
          <w:color w:val="auto"/>
          <w:lang w:bidi="ar"/>
        </w:rPr>
        <w:t xml:space="preserve">Sample Size Calculation </w:t>
      </w:r>
    </w:p>
    <w:p w14:paraId="653E42A3">
      <w:pPr>
        <w:pStyle w:val="21"/>
        <w:widowControl/>
        <w:autoSpaceDE w:val="0"/>
        <w:autoSpaceDN w:val="0"/>
        <w:spacing w:before="9" w:afterAutospacing="1"/>
        <w:ind w:firstLine="0" w:firstLineChars="0"/>
        <w:contextualSpacing/>
        <w:rPr>
          <w:i/>
          <w:iCs/>
          <w:color w:val="auto"/>
          <w:lang w:bidi="ar"/>
        </w:rPr>
      </w:pPr>
      <w:r>
        <w:rPr>
          <w:color w:val="auto"/>
        </w:rPr>
        <w:t>As a pilot study, no formal sample size calculation was performed due to the lack of prior reference data. Thirty patients were enrolled based on similar physiological studies [3,4].</w:t>
      </w:r>
      <w:r>
        <w:rPr>
          <w:color w:val="auto"/>
        </w:rPr>
        <w:br w:type="page"/>
      </w:r>
    </w:p>
    <w:p w14:paraId="4768D19D">
      <w:pPr>
        <w:spacing w:line="480" w:lineRule="auto"/>
        <w:rPr>
          <w:color w:val="auto"/>
          <w:sz w:val="24"/>
          <w:szCs w:val="24"/>
        </w:rPr>
      </w:pPr>
      <w:r>
        <w:rPr>
          <w:rFonts w:hint="eastAsia"/>
          <w:color w:val="auto"/>
          <w:sz w:val="24"/>
          <w:szCs w:val="24"/>
        </w:rPr>
        <w:t>Table S1. Exclusion criteria</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41CB0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trPr>
        <w:tc>
          <w:tcPr>
            <w:tcW w:w="0" w:type="auto"/>
            <w:vAlign w:val="center"/>
          </w:tcPr>
          <w:p w14:paraId="1B3E5838">
            <w:pPr>
              <w:numPr>
                <w:ilvl w:val="0"/>
                <w:numId w:val="3"/>
              </w:numPr>
              <w:spacing w:line="480" w:lineRule="auto"/>
              <w:rPr>
                <w:rFonts w:eastAsia="Times New Roman"/>
                <w:color w:val="auto"/>
                <w:sz w:val="24"/>
                <w:szCs w:val="24"/>
                <w:lang w:bidi="ar"/>
              </w:rPr>
            </w:pPr>
            <w:r>
              <w:rPr>
                <w:rFonts w:hint="eastAsia" w:eastAsia="Times New Roman"/>
                <w:color w:val="auto"/>
                <w:sz w:val="24"/>
                <w:szCs w:val="24"/>
                <w:lang w:bidi="ar"/>
              </w:rPr>
              <w:t>C</w:t>
            </w:r>
            <w:r>
              <w:rPr>
                <w:rFonts w:eastAsia="Times New Roman"/>
                <w:color w:val="auto"/>
                <w:sz w:val="24"/>
                <w:szCs w:val="24"/>
                <w:lang w:bidi="ar"/>
              </w:rPr>
              <w:t xml:space="preserve">ontraindications to </w:t>
            </w:r>
            <w:r>
              <w:rPr>
                <w:rFonts w:hint="eastAsia" w:eastAsia="Times New Roman"/>
                <w:color w:val="auto"/>
                <w:sz w:val="24"/>
                <w:szCs w:val="24"/>
                <w:lang w:bidi="ar"/>
              </w:rPr>
              <w:t>the use of e</w:t>
            </w:r>
            <w:r>
              <w:rPr>
                <w:rFonts w:eastAsia="Times New Roman"/>
                <w:color w:val="auto"/>
                <w:sz w:val="24"/>
                <w:szCs w:val="24"/>
                <w:lang w:bidi="ar"/>
              </w:rPr>
              <w:t>lectrical impedance tomography</w:t>
            </w:r>
            <w:r>
              <w:rPr>
                <w:rFonts w:hint="eastAsia" w:eastAsia="Times New Roman"/>
                <w:color w:val="auto"/>
                <w:sz w:val="24"/>
                <w:szCs w:val="24"/>
                <w:lang w:bidi="ar"/>
              </w:rPr>
              <w:t xml:space="preserve"> </w:t>
            </w:r>
            <w:r>
              <w:rPr>
                <w:rFonts w:eastAsia="Times New Roman"/>
                <w:color w:val="auto"/>
                <w:sz w:val="24"/>
                <w:szCs w:val="24"/>
                <w:lang w:bidi="ar"/>
              </w:rPr>
              <w:t>(e.g., chest surgical wounds dressing or presence of pacemaker)</w:t>
            </w:r>
          </w:p>
        </w:tc>
      </w:tr>
      <w:tr w14:paraId="01FEF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trPr>
        <w:tc>
          <w:tcPr>
            <w:tcW w:w="0" w:type="auto"/>
            <w:vAlign w:val="center"/>
          </w:tcPr>
          <w:p w14:paraId="255326AA">
            <w:pPr>
              <w:numPr>
                <w:ilvl w:val="0"/>
                <w:numId w:val="3"/>
              </w:numPr>
              <w:spacing w:line="480" w:lineRule="auto"/>
              <w:rPr>
                <w:rFonts w:eastAsia="Times New Roman"/>
                <w:color w:val="auto"/>
                <w:sz w:val="24"/>
                <w:szCs w:val="24"/>
                <w:lang w:bidi="ar"/>
              </w:rPr>
            </w:pPr>
            <w:r>
              <w:rPr>
                <w:rFonts w:hint="eastAsia" w:eastAsia="Times New Roman"/>
                <w:color w:val="auto"/>
                <w:sz w:val="24"/>
                <w:szCs w:val="24"/>
                <w:lang w:bidi="ar"/>
              </w:rPr>
              <w:t>A history of cerebral hemorrhage within the past six months</w:t>
            </w:r>
          </w:p>
        </w:tc>
      </w:tr>
      <w:tr w14:paraId="2C9A9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trPr>
        <w:tc>
          <w:tcPr>
            <w:tcW w:w="0" w:type="auto"/>
            <w:vAlign w:val="center"/>
          </w:tcPr>
          <w:p w14:paraId="2E3B1B7F">
            <w:pPr>
              <w:numPr>
                <w:ilvl w:val="0"/>
                <w:numId w:val="3"/>
              </w:numPr>
              <w:spacing w:line="480" w:lineRule="auto"/>
              <w:rPr>
                <w:rFonts w:eastAsia="Times New Roman"/>
                <w:color w:val="auto"/>
                <w:sz w:val="24"/>
                <w:szCs w:val="24"/>
                <w:lang w:bidi="ar"/>
              </w:rPr>
            </w:pPr>
            <w:r>
              <w:rPr>
                <w:rFonts w:hint="eastAsia" w:eastAsia="Times New Roman"/>
                <w:color w:val="auto"/>
                <w:sz w:val="24"/>
                <w:szCs w:val="24"/>
                <w:lang w:bidi="ar"/>
              </w:rPr>
              <w:t>Active bleeding,</w:t>
            </w:r>
          </w:p>
        </w:tc>
      </w:tr>
      <w:tr w14:paraId="19FA6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trPr>
        <w:tc>
          <w:tcPr>
            <w:tcW w:w="0" w:type="auto"/>
            <w:vAlign w:val="center"/>
          </w:tcPr>
          <w:p w14:paraId="42BE4F70">
            <w:pPr>
              <w:numPr>
                <w:ilvl w:val="0"/>
                <w:numId w:val="3"/>
              </w:numPr>
              <w:spacing w:line="480" w:lineRule="auto"/>
              <w:rPr>
                <w:rFonts w:eastAsia="Times New Roman"/>
                <w:color w:val="auto"/>
                <w:sz w:val="24"/>
                <w:szCs w:val="24"/>
                <w:lang w:bidi="ar"/>
              </w:rPr>
            </w:pPr>
            <w:r>
              <w:rPr>
                <w:rFonts w:hint="eastAsia" w:eastAsia="Times New Roman"/>
                <w:color w:val="auto"/>
                <w:sz w:val="24"/>
                <w:szCs w:val="24"/>
                <w:lang w:bidi="ar"/>
              </w:rPr>
              <w:t>Pneumothorax or moderate to massive pleural effusion</w:t>
            </w:r>
          </w:p>
        </w:tc>
      </w:tr>
      <w:tr w14:paraId="6367C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trPr>
        <w:tc>
          <w:tcPr>
            <w:tcW w:w="0" w:type="auto"/>
            <w:vAlign w:val="center"/>
          </w:tcPr>
          <w:p w14:paraId="35539AD6">
            <w:pPr>
              <w:numPr>
                <w:ilvl w:val="0"/>
                <w:numId w:val="3"/>
              </w:numPr>
              <w:spacing w:line="480" w:lineRule="auto"/>
              <w:rPr>
                <w:rFonts w:eastAsia="Times New Roman"/>
                <w:color w:val="auto"/>
                <w:sz w:val="24"/>
                <w:szCs w:val="24"/>
                <w:lang w:bidi="ar"/>
              </w:rPr>
            </w:pPr>
            <w:r>
              <w:rPr>
                <w:rFonts w:hint="eastAsia" w:eastAsia="Times New Roman"/>
                <w:color w:val="auto"/>
                <w:sz w:val="24"/>
                <w:szCs w:val="24"/>
                <w:lang w:bidi="ar"/>
              </w:rPr>
              <w:t>Refractory shock</w:t>
            </w:r>
          </w:p>
        </w:tc>
      </w:tr>
      <w:tr w14:paraId="72384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trPr>
        <w:tc>
          <w:tcPr>
            <w:tcW w:w="0" w:type="auto"/>
            <w:vAlign w:val="center"/>
          </w:tcPr>
          <w:p w14:paraId="1EAD1CD8">
            <w:pPr>
              <w:numPr>
                <w:ilvl w:val="0"/>
                <w:numId w:val="3"/>
              </w:numPr>
              <w:spacing w:line="480" w:lineRule="auto"/>
              <w:rPr>
                <w:rFonts w:eastAsia="Times New Roman"/>
                <w:color w:val="auto"/>
                <w:sz w:val="24"/>
                <w:szCs w:val="24"/>
                <w:lang w:bidi="ar"/>
              </w:rPr>
            </w:pPr>
            <w:r>
              <w:rPr>
                <w:rFonts w:hint="eastAsia" w:eastAsia="Times New Roman"/>
                <w:color w:val="auto"/>
                <w:sz w:val="24"/>
                <w:szCs w:val="24"/>
                <w:lang w:bidi="ar"/>
              </w:rPr>
              <w:t>Atrial fibrillation or other malignant arrhythmias that result in reduced cardiac output</w:t>
            </w:r>
          </w:p>
        </w:tc>
      </w:tr>
      <w:tr w14:paraId="4FBBA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trPr>
        <w:tc>
          <w:tcPr>
            <w:tcW w:w="0" w:type="auto"/>
            <w:vAlign w:val="center"/>
          </w:tcPr>
          <w:p w14:paraId="74006F53">
            <w:pPr>
              <w:numPr>
                <w:ilvl w:val="0"/>
                <w:numId w:val="3"/>
              </w:numPr>
              <w:spacing w:line="480" w:lineRule="auto"/>
              <w:rPr>
                <w:rFonts w:eastAsia="Times New Roman"/>
                <w:color w:val="auto"/>
                <w:sz w:val="24"/>
                <w:szCs w:val="24"/>
                <w:lang w:bidi="ar"/>
              </w:rPr>
            </w:pPr>
            <w:r>
              <w:rPr>
                <w:rFonts w:hint="eastAsia" w:eastAsia="Times New Roman"/>
                <w:color w:val="auto"/>
                <w:sz w:val="24"/>
                <w:szCs w:val="24"/>
                <w:lang w:bidi="ar"/>
              </w:rPr>
              <w:t>Chronic kidney disease</w:t>
            </w:r>
          </w:p>
        </w:tc>
      </w:tr>
      <w:tr w14:paraId="76916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trPr>
        <w:tc>
          <w:tcPr>
            <w:tcW w:w="0" w:type="auto"/>
            <w:vAlign w:val="center"/>
          </w:tcPr>
          <w:p w14:paraId="6D4E7953">
            <w:pPr>
              <w:numPr>
                <w:ilvl w:val="0"/>
                <w:numId w:val="3"/>
              </w:numPr>
              <w:spacing w:line="480" w:lineRule="auto"/>
              <w:rPr>
                <w:rFonts w:eastAsia="Times New Roman"/>
                <w:color w:val="auto"/>
                <w:sz w:val="24"/>
                <w:szCs w:val="24"/>
                <w:lang w:bidi="ar"/>
              </w:rPr>
            </w:pPr>
            <w:r>
              <w:rPr>
                <w:rFonts w:hint="eastAsia" w:eastAsia="Times New Roman"/>
                <w:color w:val="auto"/>
                <w:sz w:val="24"/>
                <w:szCs w:val="24"/>
                <w:lang w:bidi="ar"/>
              </w:rPr>
              <w:t>Pregnancy</w:t>
            </w:r>
          </w:p>
        </w:tc>
      </w:tr>
    </w:tbl>
    <w:p w14:paraId="4B42571F">
      <w:pPr>
        <w:spacing w:line="480" w:lineRule="auto"/>
        <w:rPr>
          <w:color w:val="auto"/>
          <w:sz w:val="24"/>
          <w:szCs w:val="24"/>
        </w:rPr>
        <w:sectPr>
          <w:footerReference r:id="rId3" w:type="default"/>
          <w:pgSz w:w="11906" w:h="16838"/>
          <w:pgMar w:top="1440" w:right="1800" w:bottom="1440" w:left="1800" w:header="851" w:footer="992" w:gutter="0"/>
          <w:lnNumType w:countBy="1" w:restart="continuous"/>
          <w:cols w:space="0" w:num="1"/>
          <w:docGrid w:type="lines" w:linePitch="319" w:charSpace="0"/>
        </w:sectPr>
      </w:pPr>
    </w:p>
    <w:p w14:paraId="4B153034">
      <w:pPr>
        <w:widowControl/>
        <w:spacing w:line="480" w:lineRule="auto"/>
        <w:rPr>
          <w:color w:val="auto"/>
          <w:kern w:val="0"/>
          <w:sz w:val="24"/>
          <w:szCs w:val="24"/>
          <w:lang w:bidi="ar"/>
        </w:rPr>
      </w:pPr>
      <w:r>
        <w:rPr>
          <w:rFonts w:eastAsia="等线"/>
          <w:color w:val="auto"/>
          <w:kern w:val="0"/>
          <w:sz w:val="24"/>
          <w:szCs w:val="24"/>
          <w:lang w:bidi="ar"/>
        </w:rPr>
        <w:t xml:space="preserve">Table </w:t>
      </w:r>
      <w:r>
        <w:rPr>
          <w:rFonts w:hint="eastAsia" w:eastAsia="等线"/>
          <w:color w:val="auto"/>
          <w:kern w:val="0"/>
          <w:sz w:val="24"/>
          <w:szCs w:val="24"/>
          <w:lang w:bidi="ar"/>
        </w:rPr>
        <w:t>S2</w:t>
      </w:r>
      <w:r>
        <w:rPr>
          <w:color w:val="auto"/>
          <w:kern w:val="0"/>
          <w:sz w:val="24"/>
          <w:szCs w:val="24"/>
          <w:lang w:bidi="ar"/>
        </w:rPr>
        <w:t xml:space="preserve"> Gas exchange, respiratory and hemodynamic parameters at different time points between groups</w:t>
      </w:r>
    </w:p>
    <w:tbl>
      <w:tblPr>
        <w:tblStyle w:val="5"/>
        <w:tblW w:w="5000" w:type="pct"/>
        <w:tblInd w:w="0" w:type="dxa"/>
        <w:tblLayout w:type="fixed"/>
        <w:tblCellMar>
          <w:top w:w="0" w:type="dxa"/>
          <w:left w:w="108" w:type="dxa"/>
          <w:bottom w:w="0" w:type="dxa"/>
          <w:right w:w="108" w:type="dxa"/>
        </w:tblCellMar>
      </w:tblPr>
      <w:tblGrid>
        <w:gridCol w:w="5270"/>
        <w:gridCol w:w="2604"/>
        <w:gridCol w:w="2604"/>
        <w:gridCol w:w="2605"/>
        <w:gridCol w:w="1092"/>
      </w:tblGrid>
      <w:tr w14:paraId="30C98C3E">
        <w:tblPrEx>
          <w:tblCellMar>
            <w:top w:w="0" w:type="dxa"/>
            <w:left w:w="108" w:type="dxa"/>
            <w:bottom w:w="0" w:type="dxa"/>
            <w:right w:w="108" w:type="dxa"/>
          </w:tblCellMar>
        </w:tblPrEx>
        <w:trPr>
          <w:trHeight w:val="630" w:hRule="atLeast"/>
        </w:trPr>
        <w:tc>
          <w:tcPr>
            <w:tcW w:w="5275" w:type="dxa"/>
            <w:tcBorders>
              <w:top w:val="single" w:color="000000" w:sz="8" w:space="0"/>
              <w:left w:val="nil"/>
              <w:bottom w:val="single" w:color="000000" w:sz="8" w:space="0"/>
              <w:right w:val="nil"/>
            </w:tcBorders>
            <w:shd w:val="clear" w:color="auto" w:fill="auto"/>
            <w:noWrap/>
            <w:vAlign w:val="center"/>
          </w:tcPr>
          <w:p w14:paraId="06E722F8">
            <w:pPr>
              <w:rPr>
                <w:color w:val="auto"/>
                <w:sz w:val="24"/>
                <w:szCs w:val="24"/>
              </w:rPr>
            </w:pPr>
            <w:r>
              <w:rPr>
                <w:color w:val="auto"/>
                <w:sz w:val="24"/>
                <w:szCs w:val="24"/>
              </w:rPr>
              <w:t>Variables</w:t>
            </w:r>
          </w:p>
        </w:tc>
        <w:tc>
          <w:tcPr>
            <w:tcW w:w="2603" w:type="dxa"/>
            <w:tcBorders>
              <w:top w:val="single" w:color="000000" w:sz="8" w:space="0"/>
              <w:left w:val="nil"/>
              <w:bottom w:val="single" w:color="000000" w:sz="8" w:space="0"/>
              <w:right w:val="nil"/>
            </w:tcBorders>
            <w:shd w:val="clear" w:color="auto" w:fill="auto"/>
            <w:vAlign w:val="center"/>
          </w:tcPr>
          <w:p w14:paraId="6C354308">
            <w:pPr>
              <w:widowControl/>
              <w:jc w:val="center"/>
              <w:rPr>
                <w:color w:val="auto"/>
                <w:sz w:val="24"/>
                <w:szCs w:val="24"/>
                <w:lang w:bidi="ar"/>
              </w:rPr>
            </w:pPr>
            <w:r>
              <w:rPr>
                <w:rFonts w:hint="eastAsia"/>
                <w:color w:val="auto"/>
                <w:kern w:val="0"/>
                <w:sz w:val="24"/>
                <w:szCs w:val="24"/>
                <w:lang w:bidi="ar"/>
              </w:rPr>
              <w:t>Overall</w:t>
            </w:r>
            <w:r>
              <w:rPr>
                <w:color w:val="auto"/>
                <w:kern w:val="0"/>
                <w:sz w:val="24"/>
                <w:szCs w:val="24"/>
                <w:lang w:bidi="ar"/>
              </w:rPr>
              <w:t xml:space="preserve"> </w:t>
            </w:r>
            <w:r>
              <w:rPr>
                <w:color w:val="auto"/>
                <w:kern w:val="0"/>
                <w:sz w:val="24"/>
                <w:szCs w:val="24"/>
                <w:lang w:bidi="ar"/>
              </w:rPr>
              <w:br w:type="textWrapping"/>
            </w:r>
            <w:r>
              <w:rPr>
                <w:color w:val="auto"/>
                <w:kern w:val="0"/>
                <w:sz w:val="24"/>
                <w:szCs w:val="24"/>
                <w:lang w:bidi="ar"/>
              </w:rPr>
              <w:t>(n</w:t>
            </w:r>
            <w:r>
              <w:rPr>
                <w:rFonts w:hint="eastAsia"/>
                <w:color w:val="auto"/>
                <w:kern w:val="0"/>
                <w:sz w:val="24"/>
                <w:szCs w:val="24"/>
                <w:lang w:bidi="ar"/>
              </w:rPr>
              <w:t xml:space="preserve"> </w:t>
            </w:r>
            <w:r>
              <w:rPr>
                <w:color w:val="auto"/>
                <w:kern w:val="0"/>
                <w:sz w:val="24"/>
                <w:szCs w:val="24"/>
                <w:lang w:bidi="ar"/>
              </w:rPr>
              <w:t>=</w:t>
            </w:r>
            <w:r>
              <w:rPr>
                <w:rFonts w:hint="eastAsia"/>
                <w:color w:val="auto"/>
                <w:kern w:val="0"/>
                <w:sz w:val="24"/>
                <w:szCs w:val="24"/>
                <w:lang w:bidi="ar"/>
              </w:rPr>
              <w:t xml:space="preserve"> 30</w:t>
            </w:r>
            <w:r>
              <w:rPr>
                <w:color w:val="auto"/>
                <w:kern w:val="0"/>
                <w:sz w:val="24"/>
                <w:szCs w:val="24"/>
                <w:lang w:bidi="ar"/>
              </w:rPr>
              <w:t>)</w:t>
            </w:r>
          </w:p>
        </w:tc>
        <w:tc>
          <w:tcPr>
            <w:tcW w:w="2603" w:type="dxa"/>
            <w:tcBorders>
              <w:top w:val="single" w:color="000000" w:sz="8" w:space="0"/>
              <w:left w:val="nil"/>
              <w:bottom w:val="single" w:color="000000" w:sz="8" w:space="0"/>
              <w:right w:val="nil"/>
            </w:tcBorders>
            <w:shd w:val="clear" w:color="auto" w:fill="auto"/>
            <w:vAlign w:val="center"/>
          </w:tcPr>
          <w:p w14:paraId="525979EC">
            <w:pPr>
              <w:widowControl/>
              <w:jc w:val="center"/>
              <w:rPr>
                <w:color w:val="auto"/>
                <w:sz w:val="24"/>
                <w:szCs w:val="24"/>
              </w:rPr>
            </w:pPr>
            <w:r>
              <w:rPr>
                <w:color w:val="auto"/>
                <w:kern w:val="0"/>
                <w:sz w:val="24"/>
                <w:szCs w:val="24"/>
                <w:lang w:bidi="ar"/>
              </w:rPr>
              <w:t>Responder</w:t>
            </w:r>
            <w:r>
              <w:rPr>
                <w:rFonts w:hint="eastAsia"/>
                <w:color w:val="auto"/>
                <w:kern w:val="0"/>
                <w:sz w:val="24"/>
                <w:szCs w:val="24"/>
                <w:lang w:bidi="ar"/>
              </w:rPr>
              <w:t>s</w:t>
            </w:r>
            <w:r>
              <w:rPr>
                <w:color w:val="auto"/>
                <w:kern w:val="0"/>
                <w:sz w:val="24"/>
                <w:szCs w:val="24"/>
                <w:lang w:bidi="ar"/>
              </w:rPr>
              <w:t xml:space="preserve">  </w:t>
            </w:r>
            <w:r>
              <w:rPr>
                <w:color w:val="auto"/>
                <w:kern w:val="0"/>
                <w:sz w:val="24"/>
                <w:szCs w:val="24"/>
                <w:lang w:bidi="ar"/>
              </w:rPr>
              <w:br w:type="textWrapping"/>
            </w:r>
            <w:r>
              <w:rPr>
                <w:color w:val="auto"/>
                <w:kern w:val="0"/>
                <w:sz w:val="24"/>
                <w:szCs w:val="24"/>
                <w:lang w:bidi="ar"/>
              </w:rPr>
              <w:t>(n</w:t>
            </w:r>
            <w:r>
              <w:rPr>
                <w:rFonts w:hint="eastAsia"/>
                <w:color w:val="auto"/>
                <w:kern w:val="0"/>
                <w:sz w:val="24"/>
                <w:szCs w:val="24"/>
                <w:lang w:bidi="ar"/>
              </w:rPr>
              <w:t xml:space="preserve"> </w:t>
            </w:r>
            <w:r>
              <w:rPr>
                <w:color w:val="auto"/>
                <w:kern w:val="0"/>
                <w:sz w:val="24"/>
                <w:szCs w:val="24"/>
                <w:lang w:bidi="ar"/>
              </w:rPr>
              <w:t>=</w:t>
            </w:r>
            <w:r>
              <w:rPr>
                <w:rFonts w:hint="eastAsia"/>
                <w:color w:val="auto"/>
                <w:kern w:val="0"/>
                <w:sz w:val="24"/>
                <w:szCs w:val="24"/>
                <w:lang w:bidi="ar"/>
              </w:rPr>
              <w:t xml:space="preserve"> </w:t>
            </w:r>
            <w:r>
              <w:rPr>
                <w:color w:val="auto"/>
                <w:kern w:val="0"/>
                <w:sz w:val="24"/>
                <w:szCs w:val="24"/>
                <w:lang w:bidi="ar"/>
              </w:rPr>
              <w:t>11)</w:t>
            </w:r>
          </w:p>
        </w:tc>
        <w:tc>
          <w:tcPr>
            <w:tcW w:w="2604" w:type="dxa"/>
            <w:tcBorders>
              <w:top w:val="single" w:color="000000" w:sz="8" w:space="0"/>
              <w:left w:val="nil"/>
              <w:bottom w:val="single" w:color="000000" w:sz="8" w:space="0"/>
              <w:right w:val="nil"/>
            </w:tcBorders>
            <w:shd w:val="clear" w:color="auto" w:fill="auto"/>
            <w:vAlign w:val="center"/>
          </w:tcPr>
          <w:p w14:paraId="4DA741DA">
            <w:pPr>
              <w:widowControl/>
              <w:jc w:val="center"/>
              <w:rPr>
                <w:color w:val="auto"/>
                <w:sz w:val="24"/>
                <w:szCs w:val="24"/>
              </w:rPr>
            </w:pPr>
            <w:r>
              <w:rPr>
                <w:color w:val="auto"/>
                <w:kern w:val="0"/>
                <w:sz w:val="24"/>
                <w:szCs w:val="24"/>
                <w:lang w:bidi="ar"/>
              </w:rPr>
              <w:t>Non-</w:t>
            </w:r>
            <w:r>
              <w:rPr>
                <w:rFonts w:hint="eastAsia"/>
                <w:color w:val="auto"/>
                <w:kern w:val="0"/>
                <w:sz w:val="24"/>
                <w:szCs w:val="24"/>
                <w:lang w:bidi="ar"/>
              </w:rPr>
              <w:t>r</w:t>
            </w:r>
            <w:r>
              <w:rPr>
                <w:color w:val="auto"/>
                <w:kern w:val="0"/>
                <w:sz w:val="24"/>
                <w:szCs w:val="24"/>
                <w:lang w:bidi="ar"/>
              </w:rPr>
              <w:t>esponder</w:t>
            </w:r>
            <w:r>
              <w:rPr>
                <w:rFonts w:hint="eastAsia"/>
                <w:color w:val="auto"/>
                <w:kern w:val="0"/>
                <w:sz w:val="24"/>
                <w:szCs w:val="24"/>
                <w:lang w:bidi="ar"/>
              </w:rPr>
              <w:t>s</w:t>
            </w:r>
            <w:r>
              <w:rPr>
                <w:color w:val="auto"/>
                <w:kern w:val="0"/>
                <w:sz w:val="24"/>
                <w:szCs w:val="24"/>
                <w:lang w:bidi="ar"/>
              </w:rPr>
              <w:t xml:space="preserve"> </w:t>
            </w:r>
            <w:r>
              <w:rPr>
                <w:color w:val="auto"/>
                <w:kern w:val="0"/>
                <w:sz w:val="24"/>
                <w:szCs w:val="24"/>
                <w:lang w:bidi="ar"/>
              </w:rPr>
              <w:br w:type="textWrapping"/>
            </w:r>
            <w:r>
              <w:rPr>
                <w:color w:val="auto"/>
                <w:kern w:val="0"/>
                <w:sz w:val="24"/>
                <w:szCs w:val="24"/>
                <w:lang w:bidi="ar"/>
              </w:rPr>
              <w:t xml:space="preserve"> (n</w:t>
            </w:r>
            <w:r>
              <w:rPr>
                <w:rFonts w:hint="eastAsia"/>
                <w:color w:val="auto"/>
                <w:kern w:val="0"/>
                <w:sz w:val="24"/>
                <w:szCs w:val="24"/>
                <w:lang w:bidi="ar"/>
              </w:rPr>
              <w:t xml:space="preserve"> </w:t>
            </w:r>
            <w:r>
              <w:rPr>
                <w:color w:val="auto"/>
                <w:kern w:val="0"/>
                <w:sz w:val="24"/>
                <w:szCs w:val="24"/>
                <w:lang w:bidi="ar"/>
              </w:rPr>
              <w:t>=</w:t>
            </w:r>
            <w:r>
              <w:rPr>
                <w:rFonts w:hint="eastAsia"/>
                <w:color w:val="auto"/>
                <w:kern w:val="0"/>
                <w:sz w:val="24"/>
                <w:szCs w:val="24"/>
                <w:lang w:bidi="ar"/>
              </w:rPr>
              <w:t xml:space="preserve"> </w:t>
            </w:r>
            <w:r>
              <w:rPr>
                <w:color w:val="auto"/>
                <w:kern w:val="0"/>
                <w:sz w:val="24"/>
                <w:szCs w:val="24"/>
                <w:lang w:bidi="ar"/>
              </w:rPr>
              <w:t>19)</w:t>
            </w:r>
          </w:p>
        </w:tc>
        <w:tc>
          <w:tcPr>
            <w:tcW w:w="1089" w:type="dxa"/>
            <w:tcBorders>
              <w:top w:val="single" w:color="000000" w:sz="8" w:space="0"/>
              <w:left w:val="nil"/>
              <w:bottom w:val="single" w:color="000000" w:sz="8" w:space="0"/>
              <w:right w:val="nil"/>
            </w:tcBorders>
            <w:shd w:val="clear" w:color="auto" w:fill="auto"/>
            <w:noWrap/>
            <w:vAlign w:val="center"/>
          </w:tcPr>
          <w:p w14:paraId="24963059">
            <w:pPr>
              <w:widowControl/>
              <w:jc w:val="center"/>
              <w:rPr>
                <w:i/>
                <w:iCs/>
                <w:color w:val="auto"/>
                <w:sz w:val="24"/>
                <w:szCs w:val="24"/>
              </w:rPr>
            </w:pPr>
            <w:r>
              <w:rPr>
                <w:i/>
                <w:iCs/>
                <w:color w:val="auto"/>
                <w:kern w:val="0"/>
                <w:sz w:val="24"/>
                <w:szCs w:val="24"/>
                <w:lang w:bidi="ar"/>
              </w:rPr>
              <w:t xml:space="preserve">P </w:t>
            </w:r>
            <w:r>
              <w:rPr>
                <w:color w:val="auto"/>
                <w:kern w:val="0"/>
                <w:sz w:val="24"/>
                <w:szCs w:val="24"/>
                <w:lang w:bidi="ar"/>
              </w:rPr>
              <w:t>value</w:t>
            </w:r>
          </w:p>
        </w:tc>
      </w:tr>
      <w:tr w14:paraId="24F6A368">
        <w:tblPrEx>
          <w:tblCellMar>
            <w:top w:w="0" w:type="dxa"/>
            <w:left w:w="108" w:type="dxa"/>
            <w:bottom w:w="0" w:type="dxa"/>
            <w:right w:w="108" w:type="dxa"/>
          </w:tblCellMar>
        </w:tblPrEx>
        <w:trPr>
          <w:trHeight w:val="322" w:hRule="atLeast"/>
        </w:trPr>
        <w:tc>
          <w:tcPr>
            <w:tcW w:w="5275" w:type="dxa"/>
            <w:tcBorders>
              <w:top w:val="single" w:color="000000" w:sz="8" w:space="0"/>
            </w:tcBorders>
            <w:shd w:val="clear" w:color="auto" w:fill="DDD9C4"/>
            <w:noWrap/>
            <w:vAlign w:val="center"/>
          </w:tcPr>
          <w:p w14:paraId="3F15EC0F">
            <w:pPr>
              <w:jc w:val="left"/>
              <w:rPr>
                <w:rFonts w:eastAsiaTheme="minorEastAsia"/>
                <w:color w:val="auto"/>
                <w:sz w:val="24"/>
                <w:szCs w:val="24"/>
              </w:rPr>
            </w:pPr>
            <w:r>
              <w:rPr>
                <w:color w:val="auto"/>
                <w:sz w:val="24"/>
                <w:szCs w:val="24"/>
              </w:rPr>
              <w:t>Gas exchange</w:t>
            </w:r>
          </w:p>
        </w:tc>
        <w:tc>
          <w:tcPr>
            <w:tcW w:w="2603" w:type="dxa"/>
            <w:tcBorders>
              <w:top w:val="single" w:color="000000" w:sz="8" w:space="0"/>
            </w:tcBorders>
            <w:shd w:val="clear" w:color="auto" w:fill="DDD9C4"/>
            <w:vAlign w:val="center"/>
          </w:tcPr>
          <w:p w14:paraId="470DC481">
            <w:pPr>
              <w:jc w:val="center"/>
              <w:rPr>
                <w:rFonts w:eastAsiaTheme="minorEastAsia"/>
                <w:color w:val="auto"/>
                <w:sz w:val="24"/>
                <w:szCs w:val="24"/>
              </w:rPr>
            </w:pPr>
          </w:p>
        </w:tc>
        <w:tc>
          <w:tcPr>
            <w:tcW w:w="2603" w:type="dxa"/>
            <w:tcBorders>
              <w:top w:val="single" w:color="000000" w:sz="8" w:space="0"/>
            </w:tcBorders>
            <w:shd w:val="clear" w:color="auto" w:fill="DDD9C4"/>
            <w:noWrap/>
            <w:vAlign w:val="center"/>
          </w:tcPr>
          <w:p w14:paraId="76386685">
            <w:pPr>
              <w:jc w:val="center"/>
              <w:rPr>
                <w:rFonts w:eastAsiaTheme="minorEastAsia"/>
                <w:color w:val="auto"/>
                <w:sz w:val="24"/>
                <w:szCs w:val="24"/>
              </w:rPr>
            </w:pPr>
          </w:p>
        </w:tc>
        <w:tc>
          <w:tcPr>
            <w:tcW w:w="2604" w:type="dxa"/>
            <w:tcBorders>
              <w:top w:val="single" w:color="000000" w:sz="8" w:space="0"/>
            </w:tcBorders>
            <w:shd w:val="clear" w:color="auto" w:fill="DDD9C4"/>
            <w:noWrap/>
            <w:vAlign w:val="center"/>
          </w:tcPr>
          <w:p w14:paraId="6CC1FE77">
            <w:pPr>
              <w:jc w:val="center"/>
              <w:rPr>
                <w:rFonts w:eastAsiaTheme="minorEastAsia"/>
                <w:color w:val="auto"/>
                <w:sz w:val="24"/>
                <w:szCs w:val="24"/>
              </w:rPr>
            </w:pPr>
          </w:p>
        </w:tc>
        <w:tc>
          <w:tcPr>
            <w:tcW w:w="1089" w:type="dxa"/>
            <w:tcBorders>
              <w:top w:val="single" w:color="000000" w:sz="8" w:space="0"/>
            </w:tcBorders>
            <w:shd w:val="clear" w:color="auto" w:fill="DDD9C4"/>
            <w:noWrap/>
            <w:vAlign w:val="center"/>
          </w:tcPr>
          <w:p w14:paraId="694C08B3">
            <w:pPr>
              <w:jc w:val="center"/>
              <w:rPr>
                <w:rFonts w:eastAsiaTheme="minorEastAsia"/>
                <w:color w:val="auto"/>
                <w:sz w:val="24"/>
                <w:szCs w:val="24"/>
              </w:rPr>
            </w:pPr>
          </w:p>
        </w:tc>
      </w:tr>
      <w:tr w14:paraId="25EB8FE4">
        <w:tblPrEx>
          <w:tblCellMar>
            <w:top w:w="0" w:type="dxa"/>
            <w:left w:w="108" w:type="dxa"/>
            <w:bottom w:w="0" w:type="dxa"/>
            <w:right w:w="108" w:type="dxa"/>
          </w:tblCellMar>
        </w:tblPrEx>
        <w:trPr>
          <w:trHeight w:val="322" w:hRule="atLeast"/>
        </w:trPr>
        <w:tc>
          <w:tcPr>
            <w:tcW w:w="5275" w:type="dxa"/>
            <w:shd w:val="clear" w:color="auto" w:fill="auto"/>
            <w:noWrap/>
            <w:vAlign w:val="center"/>
          </w:tcPr>
          <w:p w14:paraId="24E7813C">
            <w:pPr>
              <w:rPr>
                <w:rFonts w:eastAsiaTheme="minorEastAsia"/>
                <w:color w:val="auto"/>
                <w:sz w:val="24"/>
                <w:szCs w:val="24"/>
              </w:rPr>
            </w:pPr>
            <w:r>
              <w:rPr>
                <w:color w:val="auto"/>
                <w:sz w:val="24"/>
                <w:szCs w:val="24"/>
              </w:rPr>
              <w:t>PaO</w:t>
            </w:r>
            <w:r>
              <w:rPr>
                <w:color w:val="auto"/>
                <w:sz w:val="24"/>
                <w:szCs w:val="24"/>
                <w:vertAlign w:val="subscript"/>
              </w:rPr>
              <w:t>2</w:t>
            </w:r>
            <w:r>
              <w:rPr>
                <w:color w:val="auto"/>
                <w:sz w:val="24"/>
                <w:szCs w:val="24"/>
              </w:rPr>
              <w:t>/FiO</w:t>
            </w:r>
            <w:r>
              <w:rPr>
                <w:color w:val="auto"/>
                <w:sz w:val="24"/>
                <w:szCs w:val="24"/>
                <w:vertAlign w:val="subscript"/>
              </w:rPr>
              <w:t>2</w:t>
            </w:r>
            <w:r>
              <w:rPr>
                <w:color w:val="auto"/>
                <w:sz w:val="24"/>
                <w:szCs w:val="24"/>
              </w:rPr>
              <w:t xml:space="preserve"> – mmHg</w:t>
            </w:r>
          </w:p>
        </w:tc>
        <w:tc>
          <w:tcPr>
            <w:tcW w:w="2603" w:type="dxa"/>
            <w:shd w:val="clear" w:color="auto" w:fill="auto"/>
            <w:vAlign w:val="center"/>
          </w:tcPr>
          <w:p w14:paraId="605593F7">
            <w:pPr>
              <w:widowControl/>
              <w:jc w:val="center"/>
              <w:textAlignment w:val="center"/>
              <w:rPr>
                <w:rFonts w:eastAsiaTheme="minorEastAsia"/>
                <w:color w:val="auto"/>
                <w:sz w:val="24"/>
                <w:szCs w:val="24"/>
                <w:lang w:bidi="ar"/>
              </w:rPr>
            </w:pPr>
          </w:p>
        </w:tc>
        <w:tc>
          <w:tcPr>
            <w:tcW w:w="2603" w:type="dxa"/>
            <w:shd w:val="clear" w:color="auto" w:fill="auto"/>
            <w:noWrap/>
            <w:vAlign w:val="center"/>
          </w:tcPr>
          <w:p w14:paraId="4E1A5B46">
            <w:pPr>
              <w:widowControl/>
              <w:jc w:val="center"/>
              <w:textAlignment w:val="center"/>
              <w:rPr>
                <w:rFonts w:eastAsiaTheme="minorEastAsia"/>
                <w:color w:val="auto"/>
                <w:sz w:val="24"/>
                <w:szCs w:val="24"/>
              </w:rPr>
            </w:pPr>
          </w:p>
        </w:tc>
        <w:tc>
          <w:tcPr>
            <w:tcW w:w="2604" w:type="dxa"/>
            <w:shd w:val="clear" w:color="auto" w:fill="auto"/>
            <w:noWrap/>
            <w:vAlign w:val="center"/>
          </w:tcPr>
          <w:p w14:paraId="642C5F86">
            <w:pPr>
              <w:widowControl/>
              <w:jc w:val="center"/>
              <w:textAlignment w:val="center"/>
              <w:rPr>
                <w:rFonts w:eastAsiaTheme="minorEastAsia"/>
                <w:color w:val="auto"/>
                <w:sz w:val="24"/>
                <w:szCs w:val="24"/>
              </w:rPr>
            </w:pPr>
          </w:p>
        </w:tc>
        <w:tc>
          <w:tcPr>
            <w:tcW w:w="1089" w:type="dxa"/>
            <w:shd w:val="clear" w:color="auto" w:fill="auto"/>
            <w:noWrap/>
            <w:vAlign w:val="center"/>
          </w:tcPr>
          <w:p w14:paraId="15598261">
            <w:pPr>
              <w:widowControl/>
              <w:jc w:val="center"/>
              <w:rPr>
                <w:rFonts w:eastAsiaTheme="minorEastAsia"/>
                <w:color w:val="auto"/>
                <w:sz w:val="24"/>
                <w:szCs w:val="24"/>
              </w:rPr>
            </w:pPr>
          </w:p>
        </w:tc>
      </w:tr>
      <w:tr w14:paraId="3C958404">
        <w:tblPrEx>
          <w:tblCellMar>
            <w:top w:w="0" w:type="dxa"/>
            <w:left w:w="108" w:type="dxa"/>
            <w:bottom w:w="0" w:type="dxa"/>
            <w:right w:w="108" w:type="dxa"/>
          </w:tblCellMar>
        </w:tblPrEx>
        <w:trPr>
          <w:trHeight w:val="307" w:hRule="atLeast"/>
        </w:trPr>
        <w:tc>
          <w:tcPr>
            <w:tcW w:w="5275" w:type="dxa"/>
            <w:shd w:val="clear" w:color="auto" w:fill="auto"/>
            <w:noWrap/>
            <w:vAlign w:val="center"/>
          </w:tcPr>
          <w:p w14:paraId="58FBF0B3">
            <w:pPr>
              <w:ind w:firstLine="240" w:firstLineChars="100"/>
              <w:rPr>
                <w:color w:val="auto"/>
                <w:sz w:val="24"/>
                <w:szCs w:val="24"/>
              </w:rPr>
            </w:pPr>
            <w:r>
              <w:rPr>
                <w:color w:val="auto"/>
                <w:sz w:val="24"/>
                <w:szCs w:val="24"/>
              </w:rPr>
              <w:t>0h</w:t>
            </w:r>
          </w:p>
        </w:tc>
        <w:tc>
          <w:tcPr>
            <w:tcW w:w="2603" w:type="dxa"/>
            <w:shd w:val="clear" w:color="auto" w:fill="auto"/>
            <w:vAlign w:val="center"/>
          </w:tcPr>
          <w:p w14:paraId="544DD8D2">
            <w:pPr>
              <w:widowControl/>
              <w:jc w:val="center"/>
              <w:textAlignment w:val="center"/>
              <w:rPr>
                <w:color w:val="auto"/>
                <w:sz w:val="24"/>
                <w:szCs w:val="24"/>
                <w:lang w:bidi="ar"/>
              </w:rPr>
            </w:pPr>
            <w:r>
              <w:rPr>
                <w:color w:val="auto"/>
                <w:kern w:val="0"/>
                <w:sz w:val="24"/>
                <w:szCs w:val="24"/>
                <w:lang w:bidi="ar"/>
              </w:rPr>
              <w:t>167.39 ± 56.27</w:t>
            </w:r>
          </w:p>
        </w:tc>
        <w:tc>
          <w:tcPr>
            <w:tcW w:w="2603" w:type="dxa"/>
            <w:shd w:val="clear" w:color="auto" w:fill="auto"/>
            <w:noWrap/>
            <w:vAlign w:val="center"/>
          </w:tcPr>
          <w:p w14:paraId="4983C94E">
            <w:pPr>
              <w:widowControl/>
              <w:jc w:val="center"/>
              <w:textAlignment w:val="center"/>
              <w:rPr>
                <w:color w:val="auto"/>
                <w:sz w:val="24"/>
                <w:szCs w:val="24"/>
              </w:rPr>
            </w:pPr>
            <w:r>
              <w:rPr>
                <w:color w:val="auto"/>
                <w:kern w:val="0"/>
                <w:sz w:val="24"/>
                <w:szCs w:val="24"/>
                <w:lang w:bidi="ar"/>
              </w:rPr>
              <w:t>159.00 ± 51.78</w:t>
            </w:r>
          </w:p>
        </w:tc>
        <w:tc>
          <w:tcPr>
            <w:tcW w:w="2604" w:type="dxa"/>
            <w:shd w:val="clear" w:color="auto" w:fill="auto"/>
            <w:noWrap/>
            <w:vAlign w:val="center"/>
          </w:tcPr>
          <w:p w14:paraId="5FCE8715">
            <w:pPr>
              <w:widowControl/>
              <w:jc w:val="center"/>
              <w:textAlignment w:val="center"/>
              <w:rPr>
                <w:color w:val="auto"/>
                <w:sz w:val="24"/>
                <w:szCs w:val="24"/>
              </w:rPr>
            </w:pPr>
            <w:r>
              <w:rPr>
                <w:color w:val="auto"/>
                <w:kern w:val="0"/>
                <w:sz w:val="24"/>
                <w:szCs w:val="24"/>
                <w:lang w:bidi="ar"/>
              </w:rPr>
              <w:t>172.25 ± 59.53</w:t>
            </w:r>
          </w:p>
        </w:tc>
        <w:tc>
          <w:tcPr>
            <w:tcW w:w="1089" w:type="dxa"/>
            <w:shd w:val="clear" w:color="auto" w:fill="auto"/>
            <w:noWrap/>
            <w:vAlign w:val="center"/>
          </w:tcPr>
          <w:p w14:paraId="112110FD">
            <w:pPr>
              <w:widowControl/>
              <w:jc w:val="center"/>
              <w:textAlignment w:val="center"/>
              <w:rPr>
                <w:color w:val="auto"/>
                <w:sz w:val="24"/>
                <w:szCs w:val="24"/>
              </w:rPr>
            </w:pPr>
            <w:r>
              <w:rPr>
                <w:color w:val="auto"/>
                <w:kern w:val="0"/>
                <w:sz w:val="24"/>
                <w:szCs w:val="24"/>
                <w:lang w:bidi="ar"/>
              </w:rPr>
              <w:t>0.5</w:t>
            </w:r>
            <w:r>
              <w:rPr>
                <w:rFonts w:hint="eastAsia"/>
                <w:color w:val="auto"/>
                <w:kern w:val="0"/>
                <w:sz w:val="24"/>
                <w:szCs w:val="24"/>
                <w:lang w:bidi="ar"/>
              </w:rPr>
              <w:t>44</w:t>
            </w:r>
          </w:p>
        </w:tc>
      </w:tr>
      <w:tr w14:paraId="6A37B56E">
        <w:tblPrEx>
          <w:tblCellMar>
            <w:top w:w="0" w:type="dxa"/>
            <w:left w:w="108" w:type="dxa"/>
            <w:bottom w:w="0" w:type="dxa"/>
            <w:right w:w="108" w:type="dxa"/>
          </w:tblCellMar>
        </w:tblPrEx>
        <w:trPr>
          <w:trHeight w:val="345" w:hRule="atLeast"/>
        </w:trPr>
        <w:tc>
          <w:tcPr>
            <w:tcW w:w="5275" w:type="dxa"/>
            <w:shd w:val="clear" w:color="auto" w:fill="auto"/>
            <w:noWrap/>
            <w:vAlign w:val="center"/>
          </w:tcPr>
          <w:p w14:paraId="4EF65994">
            <w:pPr>
              <w:ind w:firstLine="240" w:firstLineChars="100"/>
              <w:rPr>
                <w:color w:val="auto"/>
                <w:sz w:val="24"/>
                <w:szCs w:val="24"/>
              </w:rPr>
            </w:pPr>
            <w:r>
              <w:rPr>
                <w:rFonts w:hint="eastAsia"/>
                <w:color w:val="auto"/>
                <w:sz w:val="24"/>
                <w:szCs w:val="24"/>
              </w:rPr>
              <w:t>30min</w:t>
            </w:r>
          </w:p>
        </w:tc>
        <w:tc>
          <w:tcPr>
            <w:tcW w:w="2603" w:type="dxa"/>
            <w:shd w:val="clear" w:color="auto" w:fill="auto"/>
            <w:vAlign w:val="center"/>
          </w:tcPr>
          <w:p w14:paraId="5BD77195">
            <w:pPr>
              <w:widowControl/>
              <w:jc w:val="center"/>
              <w:textAlignment w:val="center"/>
              <w:rPr>
                <w:color w:val="auto"/>
                <w:kern w:val="0"/>
                <w:sz w:val="24"/>
                <w:szCs w:val="24"/>
                <w:lang w:bidi="ar"/>
              </w:rPr>
            </w:pPr>
            <w:bookmarkStart w:id="12" w:name="OLE_LINK9"/>
            <w:r>
              <w:rPr>
                <w:color w:val="auto"/>
                <w:kern w:val="0"/>
                <w:sz w:val="24"/>
                <w:szCs w:val="24"/>
                <w:lang w:bidi="ar"/>
              </w:rPr>
              <w:t>194.67 ± 68.19</w:t>
            </w:r>
            <w:bookmarkEnd w:id="12"/>
            <w:r>
              <w:rPr>
                <w:rFonts w:hint="eastAsia"/>
                <w:color w:val="auto"/>
                <w:kern w:val="0"/>
                <w:sz w:val="24"/>
                <w:szCs w:val="24"/>
                <w:lang w:bidi="ar"/>
              </w:rPr>
              <w:t xml:space="preserve"> </w:t>
            </w:r>
            <w:r>
              <w:rPr>
                <w:rFonts w:hint="eastAsia"/>
                <w:color w:val="auto"/>
                <w:kern w:val="0"/>
                <w:sz w:val="24"/>
                <w:szCs w:val="24"/>
                <w:vertAlign w:val="superscript"/>
                <w:lang w:bidi="ar"/>
              </w:rPr>
              <w:t>*</w:t>
            </w:r>
          </w:p>
        </w:tc>
        <w:tc>
          <w:tcPr>
            <w:tcW w:w="2603" w:type="dxa"/>
            <w:shd w:val="clear" w:color="auto" w:fill="auto"/>
            <w:noWrap/>
            <w:vAlign w:val="center"/>
          </w:tcPr>
          <w:p w14:paraId="732D53C4">
            <w:pPr>
              <w:widowControl/>
              <w:jc w:val="center"/>
              <w:textAlignment w:val="center"/>
              <w:rPr>
                <w:color w:val="auto"/>
                <w:kern w:val="0"/>
                <w:sz w:val="24"/>
                <w:szCs w:val="24"/>
                <w:lang w:bidi="ar"/>
              </w:rPr>
            </w:pPr>
            <w:r>
              <w:rPr>
                <w:color w:val="auto"/>
                <w:kern w:val="0"/>
                <w:sz w:val="24"/>
                <w:szCs w:val="24"/>
                <w:lang w:bidi="ar"/>
              </w:rPr>
              <w:t>215.14 ± 65.43</w:t>
            </w:r>
            <w:r>
              <w:rPr>
                <w:rFonts w:hint="eastAsia"/>
                <w:color w:val="auto"/>
                <w:kern w:val="0"/>
                <w:sz w:val="24"/>
                <w:szCs w:val="24"/>
                <w:lang w:bidi="ar"/>
              </w:rPr>
              <w:t xml:space="preserve"> </w:t>
            </w:r>
            <w:r>
              <w:rPr>
                <w:rFonts w:hint="eastAsia"/>
                <w:color w:val="auto"/>
                <w:kern w:val="0"/>
                <w:sz w:val="24"/>
                <w:szCs w:val="24"/>
                <w:vertAlign w:val="superscript"/>
                <w:lang w:bidi="ar"/>
              </w:rPr>
              <w:t>*</w:t>
            </w:r>
          </w:p>
        </w:tc>
        <w:tc>
          <w:tcPr>
            <w:tcW w:w="2604" w:type="dxa"/>
            <w:shd w:val="clear" w:color="auto" w:fill="auto"/>
            <w:noWrap/>
            <w:vAlign w:val="center"/>
          </w:tcPr>
          <w:p w14:paraId="2CF382F6">
            <w:pPr>
              <w:widowControl/>
              <w:jc w:val="center"/>
              <w:textAlignment w:val="center"/>
              <w:rPr>
                <w:color w:val="auto"/>
                <w:kern w:val="0"/>
                <w:sz w:val="24"/>
                <w:szCs w:val="24"/>
                <w:lang w:bidi="ar"/>
              </w:rPr>
            </w:pPr>
            <w:r>
              <w:rPr>
                <w:color w:val="auto"/>
                <w:kern w:val="0"/>
                <w:sz w:val="24"/>
                <w:szCs w:val="24"/>
                <w:lang w:bidi="ar"/>
              </w:rPr>
              <w:t>182.83 ± 68.62</w:t>
            </w:r>
            <w:r>
              <w:rPr>
                <w:rFonts w:hint="eastAsia"/>
                <w:color w:val="auto"/>
                <w:kern w:val="0"/>
                <w:sz w:val="24"/>
                <w:szCs w:val="24"/>
                <w:vertAlign w:val="superscript"/>
                <w:lang w:bidi="ar"/>
              </w:rPr>
              <w:t>#</w:t>
            </w:r>
          </w:p>
        </w:tc>
        <w:tc>
          <w:tcPr>
            <w:tcW w:w="1089" w:type="dxa"/>
            <w:shd w:val="clear" w:color="auto" w:fill="auto"/>
            <w:noWrap/>
            <w:vAlign w:val="center"/>
          </w:tcPr>
          <w:p w14:paraId="14F3DB7B">
            <w:pPr>
              <w:widowControl/>
              <w:jc w:val="center"/>
              <w:textAlignment w:val="center"/>
              <w:rPr>
                <w:color w:val="auto"/>
                <w:kern w:val="0"/>
                <w:sz w:val="24"/>
                <w:szCs w:val="24"/>
                <w:lang w:bidi="ar"/>
              </w:rPr>
            </w:pPr>
            <w:r>
              <w:rPr>
                <w:color w:val="auto"/>
                <w:kern w:val="0"/>
                <w:sz w:val="24"/>
                <w:szCs w:val="24"/>
                <w:lang w:bidi="ar"/>
              </w:rPr>
              <w:t>0.2</w:t>
            </w:r>
            <w:r>
              <w:rPr>
                <w:rFonts w:hint="eastAsia"/>
                <w:color w:val="auto"/>
                <w:kern w:val="0"/>
                <w:sz w:val="24"/>
                <w:szCs w:val="24"/>
                <w:lang w:bidi="ar"/>
              </w:rPr>
              <w:t>17</w:t>
            </w:r>
          </w:p>
        </w:tc>
      </w:tr>
      <w:tr w14:paraId="6FB90E75">
        <w:tblPrEx>
          <w:tblCellMar>
            <w:top w:w="0" w:type="dxa"/>
            <w:left w:w="108" w:type="dxa"/>
            <w:bottom w:w="0" w:type="dxa"/>
            <w:right w:w="108" w:type="dxa"/>
          </w:tblCellMar>
        </w:tblPrEx>
        <w:trPr>
          <w:trHeight w:val="345" w:hRule="atLeast"/>
        </w:trPr>
        <w:tc>
          <w:tcPr>
            <w:tcW w:w="5275" w:type="dxa"/>
            <w:shd w:val="clear" w:color="auto" w:fill="auto"/>
            <w:noWrap/>
            <w:vAlign w:val="center"/>
          </w:tcPr>
          <w:p w14:paraId="76381C31">
            <w:pPr>
              <w:ind w:firstLine="240" w:firstLineChars="100"/>
              <w:rPr>
                <w:color w:val="auto"/>
                <w:sz w:val="24"/>
                <w:szCs w:val="24"/>
              </w:rPr>
            </w:pPr>
            <w:r>
              <w:rPr>
                <w:rFonts w:hint="eastAsia"/>
                <w:color w:val="auto"/>
                <w:sz w:val="24"/>
                <w:szCs w:val="24"/>
              </w:rPr>
              <w:t>3h</w:t>
            </w:r>
          </w:p>
        </w:tc>
        <w:tc>
          <w:tcPr>
            <w:tcW w:w="2603" w:type="dxa"/>
            <w:shd w:val="clear" w:color="auto" w:fill="auto"/>
            <w:vAlign w:val="center"/>
          </w:tcPr>
          <w:p w14:paraId="619E7ED5">
            <w:pPr>
              <w:widowControl/>
              <w:jc w:val="center"/>
              <w:textAlignment w:val="center"/>
              <w:rPr>
                <w:color w:val="auto"/>
                <w:kern w:val="0"/>
                <w:sz w:val="24"/>
                <w:szCs w:val="24"/>
                <w:lang w:bidi="ar"/>
              </w:rPr>
            </w:pPr>
            <w:r>
              <w:rPr>
                <w:color w:val="auto"/>
                <w:kern w:val="0"/>
                <w:sz w:val="24"/>
                <w:szCs w:val="24"/>
                <w:lang w:bidi="ar"/>
              </w:rPr>
              <w:t>19</w:t>
            </w:r>
            <w:r>
              <w:rPr>
                <w:rFonts w:hint="eastAsia"/>
                <w:color w:val="auto"/>
                <w:kern w:val="0"/>
                <w:sz w:val="24"/>
                <w:szCs w:val="24"/>
                <w:lang w:bidi="ar"/>
              </w:rPr>
              <w:t>0.10</w:t>
            </w:r>
            <w:r>
              <w:rPr>
                <w:color w:val="auto"/>
                <w:kern w:val="0"/>
                <w:sz w:val="24"/>
                <w:szCs w:val="24"/>
                <w:lang w:bidi="ar"/>
              </w:rPr>
              <w:t xml:space="preserve"> ± </w:t>
            </w:r>
            <w:r>
              <w:rPr>
                <w:rFonts w:hint="eastAsia"/>
                <w:color w:val="auto"/>
                <w:kern w:val="0"/>
                <w:sz w:val="24"/>
                <w:szCs w:val="24"/>
                <w:lang w:bidi="ar"/>
              </w:rPr>
              <w:t xml:space="preserve">73.50 </w:t>
            </w:r>
            <w:r>
              <w:rPr>
                <w:rFonts w:hint="eastAsia"/>
                <w:color w:val="auto"/>
                <w:kern w:val="0"/>
                <w:sz w:val="24"/>
                <w:szCs w:val="24"/>
                <w:vertAlign w:val="superscript"/>
                <w:lang w:bidi="ar"/>
              </w:rPr>
              <w:t>*</w:t>
            </w:r>
          </w:p>
        </w:tc>
        <w:tc>
          <w:tcPr>
            <w:tcW w:w="2603" w:type="dxa"/>
            <w:shd w:val="clear" w:color="auto" w:fill="auto"/>
            <w:noWrap/>
            <w:vAlign w:val="center"/>
          </w:tcPr>
          <w:p w14:paraId="1874951C">
            <w:pPr>
              <w:widowControl/>
              <w:jc w:val="center"/>
              <w:textAlignment w:val="center"/>
              <w:rPr>
                <w:color w:val="auto"/>
                <w:kern w:val="0"/>
                <w:sz w:val="24"/>
                <w:szCs w:val="24"/>
                <w:lang w:bidi="ar"/>
              </w:rPr>
            </w:pPr>
            <w:r>
              <w:rPr>
                <w:color w:val="auto"/>
                <w:kern w:val="0"/>
                <w:sz w:val="24"/>
                <w:szCs w:val="24"/>
                <w:lang w:bidi="ar"/>
              </w:rPr>
              <w:t>21</w:t>
            </w:r>
            <w:r>
              <w:rPr>
                <w:rFonts w:hint="eastAsia"/>
                <w:color w:val="auto"/>
                <w:kern w:val="0"/>
                <w:sz w:val="24"/>
                <w:szCs w:val="24"/>
                <w:lang w:bidi="ar"/>
              </w:rPr>
              <w:t>3.30</w:t>
            </w:r>
            <w:r>
              <w:rPr>
                <w:color w:val="auto"/>
                <w:kern w:val="0"/>
                <w:sz w:val="24"/>
                <w:szCs w:val="24"/>
                <w:lang w:bidi="ar"/>
              </w:rPr>
              <w:t xml:space="preserve"> ± </w:t>
            </w:r>
            <w:r>
              <w:rPr>
                <w:rFonts w:hint="eastAsia"/>
                <w:color w:val="auto"/>
                <w:kern w:val="0"/>
                <w:sz w:val="24"/>
                <w:szCs w:val="24"/>
                <w:lang w:bidi="ar"/>
              </w:rPr>
              <w:t xml:space="preserve">79.81 </w:t>
            </w:r>
            <w:r>
              <w:rPr>
                <w:rFonts w:hint="eastAsia"/>
                <w:color w:val="auto"/>
                <w:kern w:val="0"/>
                <w:sz w:val="24"/>
                <w:szCs w:val="24"/>
                <w:vertAlign w:val="superscript"/>
                <w:lang w:bidi="ar"/>
              </w:rPr>
              <w:t>*</w:t>
            </w:r>
          </w:p>
        </w:tc>
        <w:tc>
          <w:tcPr>
            <w:tcW w:w="2604" w:type="dxa"/>
            <w:shd w:val="clear" w:color="auto" w:fill="auto"/>
            <w:noWrap/>
            <w:vAlign w:val="center"/>
          </w:tcPr>
          <w:p w14:paraId="4B8923F2">
            <w:pPr>
              <w:widowControl/>
              <w:jc w:val="center"/>
              <w:textAlignment w:val="center"/>
              <w:rPr>
                <w:color w:val="auto"/>
                <w:kern w:val="0"/>
                <w:sz w:val="24"/>
                <w:szCs w:val="24"/>
                <w:lang w:bidi="ar"/>
              </w:rPr>
            </w:pPr>
            <w:r>
              <w:rPr>
                <w:rFonts w:hint="eastAsia"/>
                <w:color w:val="auto"/>
                <w:kern w:val="0"/>
                <w:sz w:val="24"/>
                <w:szCs w:val="24"/>
                <w:lang w:bidi="ar"/>
              </w:rPr>
              <w:t>176.70</w:t>
            </w:r>
            <w:r>
              <w:rPr>
                <w:color w:val="auto"/>
                <w:kern w:val="0"/>
                <w:sz w:val="24"/>
                <w:szCs w:val="24"/>
                <w:lang w:bidi="ar"/>
              </w:rPr>
              <w:t xml:space="preserve"> ± </w:t>
            </w:r>
            <w:r>
              <w:rPr>
                <w:rFonts w:hint="eastAsia"/>
                <w:color w:val="auto"/>
                <w:kern w:val="0"/>
                <w:sz w:val="24"/>
                <w:szCs w:val="24"/>
                <w:lang w:bidi="ar"/>
              </w:rPr>
              <w:t>68.16</w:t>
            </w:r>
          </w:p>
        </w:tc>
        <w:tc>
          <w:tcPr>
            <w:tcW w:w="1089" w:type="dxa"/>
            <w:shd w:val="clear" w:color="auto" w:fill="auto"/>
            <w:noWrap/>
            <w:vAlign w:val="center"/>
          </w:tcPr>
          <w:p w14:paraId="6734CD68">
            <w:pPr>
              <w:widowControl/>
              <w:jc w:val="center"/>
              <w:textAlignment w:val="center"/>
              <w:rPr>
                <w:color w:val="auto"/>
                <w:kern w:val="0"/>
                <w:sz w:val="24"/>
                <w:szCs w:val="24"/>
                <w:lang w:bidi="ar"/>
              </w:rPr>
            </w:pPr>
            <w:r>
              <w:rPr>
                <w:rFonts w:hint="eastAsia"/>
                <w:color w:val="auto"/>
                <w:kern w:val="0"/>
                <w:sz w:val="24"/>
                <w:szCs w:val="24"/>
                <w:lang w:bidi="ar"/>
              </w:rPr>
              <w:t>0.193</w:t>
            </w:r>
          </w:p>
        </w:tc>
      </w:tr>
      <w:tr w14:paraId="330DD525">
        <w:tblPrEx>
          <w:tblCellMar>
            <w:top w:w="0" w:type="dxa"/>
            <w:left w:w="108" w:type="dxa"/>
            <w:bottom w:w="0" w:type="dxa"/>
            <w:right w:w="108" w:type="dxa"/>
          </w:tblCellMar>
        </w:tblPrEx>
        <w:trPr>
          <w:trHeight w:val="307" w:hRule="atLeast"/>
        </w:trPr>
        <w:tc>
          <w:tcPr>
            <w:tcW w:w="5275" w:type="dxa"/>
            <w:shd w:val="clear" w:color="auto" w:fill="auto"/>
            <w:noWrap/>
            <w:vAlign w:val="center"/>
          </w:tcPr>
          <w:p w14:paraId="296C8C20">
            <w:pPr>
              <w:rPr>
                <w:color w:val="auto"/>
                <w:sz w:val="24"/>
                <w:szCs w:val="24"/>
              </w:rPr>
            </w:pPr>
            <w:r>
              <w:rPr>
                <w:color w:val="auto"/>
                <w:sz w:val="24"/>
                <w:szCs w:val="24"/>
              </w:rPr>
              <w:t xml:space="preserve"> </w:t>
            </w:r>
            <w:r>
              <w:rPr>
                <w:rFonts w:hint="eastAsia"/>
                <w:color w:val="auto"/>
                <w:sz w:val="24"/>
                <w:szCs w:val="24"/>
              </w:rPr>
              <w:t xml:space="preserve"> </w:t>
            </w:r>
            <w:r>
              <w:rPr>
                <w:i/>
                <w:iCs/>
                <w:color w:val="auto"/>
                <w:sz w:val="24"/>
                <w:szCs w:val="24"/>
              </w:rPr>
              <w:t>P</w:t>
            </w:r>
            <w:r>
              <w:rPr>
                <w:color w:val="auto"/>
                <w:sz w:val="24"/>
                <w:szCs w:val="24"/>
              </w:rPr>
              <w:t xml:space="preserve"> value</w:t>
            </w:r>
          </w:p>
        </w:tc>
        <w:tc>
          <w:tcPr>
            <w:tcW w:w="2603" w:type="dxa"/>
            <w:shd w:val="clear" w:color="auto" w:fill="auto"/>
            <w:vAlign w:val="center"/>
          </w:tcPr>
          <w:p w14:paraId="44487793">
            <w:pPr>
              <w:widowControl/>
              <w:jc w:val="center"/>
              <w:textAlignment w:val="center"/>
              <w:rPr>
                <w:color w:val="auto"/>
                <w:sz w:val="24"/>
                <w:szCs w:val="24"/>
                <w:lang w:bidi="ar"/>
              </w:rPr>
            </w:pPr>
            <w:r>
              <w:rPr>
                <w:rFonts w:hint="eastAsia"/>
                <w:color w:val="auto"/>
                <w:sz w:val="24"/>
                <w:szCs w:val="24"/>
                <w:lang w:bidi="ar"/>
              </w:rPr>
              <w:t>&lt;0.001</w:t>
            </w:r>
          </w:p>
        </w:tc>
        <w:tc>
          <w:tcPr>
            <w:tcW w:w="2603" w:type="dxa"/>
            <w:shd w:val="clear" w:color="auto" w:fill="auto"/>
            <w:noWrap/>
            <w:vAlign w:val="center"/>
          </w:tcPr>
          <w:p w14:paraId="2B2014FA">
            <w:pPr>
              <w:widowControl/>
              <w:jc w:val="center"/>
              <w:textAlignment w:val="center"/>
              <w:rPr>
                <w:color w:val="auto"/>
                <w:sz w:val="24"/>
                <w:szCs w:val="24"/>
              </w:rPr>
            </w:pPr>
            <w:r>
              <w:rPr>
                <w:rFonts w:hint="eastAsia"/>
                <w:color w:val="auto"/>
                <w:sz w:val="24"/>
                <w:szCs w:val="24"/>
                <w:lang w:bidi="ar"/>
              </w:rPr>
              <w:t>&lt;0.001</w:t>
            </w:r>
          </w:p>
        </w:tc>
        <w:tc>
          <w:tcPr>
            <w:tcW w:w="2604" w:type="dxa"/>
            <w:shd w:val="clear" w:color="auto" w:fill="auto"/>
            <w:noWrap/>
            <w:vAlign w:val="center"/>
          </w:tcPr>
          <w:p w14:paraId="08D174BE">
            <w:pPr>
              <w:widowControl/>
              <w:jc w:val="center"/>
              <w:textAlignment w:val="center"/>
              <w:rPr>
                <w:color w:val="auto"/>
                <w:sz w:val="24"/>
                <w:szCs w:val="24"/>
              </w:rPr>
            </w:pPr>
            <w:r>
              <w:rPr>
                <w:rFonts w:hint="eastAsia"/>
                <w:color w:val="auto"/>
                <w:sz w:val="24"/>
                <w:szCs w:val="24"/>
              </w:rPr>
              <w:t>0.017</w:t>
            </w:r>
          </w:p>
        </w:tc>
        <w:tc>
          <w:tcPr>
            <w:tcW w:w="1089" w:type="dxa"/>
            <w:shd w:val="clear" w:color="auto" w:fill="auto"/>
            <w:noWrap/>
            <w:vAlign w:val="center"/>
          </w:tcPr>
          <w:p w14:paraId="66786028">
            <w:pPr>
              <w:widowControl/>
              <w:jc w:val="center"/>
              <w:rPr>
                <w:color w:val="auto"/>
                <w:sz w:val="24"/>
                <w:szCs w:val="24"/>
              </w:rPr>
            </w:pPr>
          </w:p>
        </w:tc>
      </w:tr>
      <w:tr w14:paraId="6A7274D5">
        <w:tblPrEx>
          <w:tblCellMar>
            <w:top w:w="0" w:type="dxa"/>
            <w:left w:w="108" w:type="dxa"/>
            <w:bottom w:w="0" w:type="dxa"/>
            <w:right w:w="108" w:type="dxa"/>
          </w:tblCellMar>
        </w:tblPrEx>
        <w:trPr>
          <w:trHeight w:val="307" w:hRule="atLeast"/>
        </w:trPr>
        <w:tc>
          <w:tcPr>
            <w:tcW w:w="5275" w:type="dxa"/>
            <w:shd w:val="clear" w:color="auto" w:fill="auto"/>
            <w:noWrap/>
            <w:vAlign w:val="center"/>
          </w:tcPr>
          <w:p w14:paraId="34B6B486">
            <w:pPr>
              <w:rPr>
                <w:color w:val="auto"/>
                <w:sz w:val="24"/>
                <w:szCs w:val="24"/>
              </w:rPr>
            </w:pPr>
            <w:r>
              <w:rPr>
                <w:color w:val="auto"/>
                <w:sz w:val="24"/>
                <w:szCs w:val="24"/>
              </w:rPr>
              <w:t>PaCO</w:t>
            </w:r>
            <w:r>
              <w:rPr>
                <w:color w:val="auto"/>
                <w:sz w:val="24"/>
                <w:szCs w:val="24"/>
                <w:vertAlign w:val="subscript"/>
              </w:rPr>
              <w:t>2</w:t>
            </w:r>
            <w:r>
              <w:rPr>
                <w:color w:val="auto"/>
                <w:sz w:val="24"/>
                <w:szCs w:val="24"/>
              </w:rPr>
              <w:t xml:space="preserve"> – mmHg</w:t>
            </w:r>
          </w:p>
        </w:tc>
        <w:tc>
          <w:tcPr>
            <w:tcW w:w="2603" w:type="dxa"/>
            <w:shd w:val="clear" w:color="auto" w:fill="auto"/>
            <w:vAlign w:val="center"/>
          </w:tcPr>
          <w:p w14:paraId="6038487A">
            <w:pPr>
              <w:widowControl/>
              <w:jc w:val="center"/>
              <w:textAlignment w:val="center"/>
              <w:rPr>
                <w:color w:val="auto"/>
                <w:sz w:val="24"/>
                <w:szCs w:val="24"/>
                <w:lang w:bidi="ar"/>
              </w:rPr>
            </w:pPr>
          </w:p>
        </w:tc>
        <w:tc>
          <w:tcPr>
            <w:tcW w:w="2603" w:type="dxa"/>
            <w:shd w:val="clear" w:color="auto" w:fill="auto"/>
            <w:noWrap/>
            <w:vAlign w:val="center"/>
          </w:tcPr>
          <w:p w14:paraId="6A415B51">
            <w:pPr>
              <w:widowControl/>
              <w:jc w:val="center"/>
              <w:textAlignment w:val="center"/>
              <w:rPr>
                <w:color w:val="auto"/>
                <w:sz w:val="24"/>
                <w:szCs w:val="24"/>
              </w:rPr>
            </w:pPr>
          </w:p>
        </w:tc>
        <w:tc>
          <w:tcPr>
            <w:tcW w:w="2604" w:type="dxa"/>
            <w:shd w:val="clear" w:color="auto" w:fill="auto"/>
            <w:noWrap/>
            <w:vAlign w:val="center"/>
          </w:tcPr>
          <w:p w14:paraId="68591AF3">
            <w:pPr>
              <w:widowControl/>
              <w:jc w:val="center"/>
              <w:textAlignment w:val="center"/>
              <w:rPr>
                <w:color w:val="auto"/>
                <w:sz w:val="24"/>
                <w:szCs w:val="24"/>
              </w:rPr>
            </w:pPr>
          </w:p>
        </w:tc>
        <w:tc>
          <w:tcPr>
            <w:tcW w:w="1089" w:type="dxa"/>
            <w:shd w:val="clear" w:color="auto" w:fill="auto"/>
            <w:noWrap/>
            <w:vAlign w:val="center"/>
          </w:tcPr>
          <w:p w14:paraId="3D6BC507">
            <w:pPr>
              <w:widowControl/>
              <w:jc w:val="center"/>
              <w:textAlignment w:val="center"/>
              <w:rPr>
                <w:color w:val="auto"/>
                <w:sz w:val="24"/>
                <w:szCs w:val="24"/>
              </w:rPr>
            </w:pPr>
          </w:p>
        </w:tc>
      </w:tr>
      <w:tr w14:paraId="5728CB91">
        <w:tblPrEx>
          <w:tblCellMar>
            <w:top w:w="0" w:type="dxa"/>
            <w:left w:w="108" w:type="dxa"/>
            <w:bottom w:w="0" w:type="dxa"/>
            <w:right w:w="108" w:type="dxa"/>
          </w:tblCellMar>
        </w:tblPrEx>
        <w:trPr>
          <w:trHeight w:val="307" w:hRule="atLeast"/>
        </w:trPr>
        <w:tc>
          <w:tcPr>
            <w:tcW w:w="5275" w:type="dxa"/>
            <w:shd w:val="clear" w:color="auto" w:fill="auto"/>
            <w:noWrap/>
            <w:vAlign w:val="center"/>
          </w:tcPr>
          <w:p w14:paraId="43F900AC">
            <w:pPr>
              <w:ind w:firstLine="240" w:firstLineChars="100"/>
              <w:rPr>
                <w:color w:val="auto"/>
                <w:sz w:val="24"/>
                <w:szCs w:val="24"/>
              </w:rPr>
            </w:pPr>
            <w:r>
              <w:rPr>
                <w:color w:val="auto"/>
                <w:sz w:val="24"/>
                <w:szCs w:val="24"/>
              </w:rPr>
              <w:t>0h</w:t>
            </w:r>
          </w:p>
        </w:tc>
        <w:tc>
          <w:tcPr>
            <w:tcW w:w="2603" w:type="dxa"/>
            <w:shd w:val="clear" w:color="auto" w:fill="auto"/>
            <w:vAlign w:val="center"/>
          </w:tcPr>
          <w:p w14:paraId="429B9289">
            <w:pPr>
              <w:widowControl/>
              <w:jc w:val="center"/>
              <w:textAlignment w:val="center"/>
              <w:rPr>
                <w:color w:val="auto"/>
                <w:sz w:val="24"/>
                <w:szCs w:val="24"/>
                <w:lang w:bidi="ar"/>
              </w:rPr>
            </w:pPr>
            <w:r>
              <w:rPr>
                <w:color w:val="auto"/>
                <w:kern w:val="0"/>
                <w:sz w:val="24"/>
                <w:szCs w:val="24"/>
                <w:lang w:bidi="ar"/>
              </w:rPr>
              <w:t>41.07 ± 6.22</w:t>
            </w:r>
          </w:p>
        </w:tc>
        <w:tc>
          <w:tcPr>
            <w:tcW w:w="2603" w:type="dxa"/>
            <w:shd w:val="clear" w:color="auto" w:fill="auto"/>
            <w:noWrap/>
            <w:vAlign w:val="center"/>
          </w:tcPr>
          <w:p w14:paraId="6551799E">
            <w:pPr>
              <w:widowControl/>
              <w:jc w:val="center"/>
              <w:textAlignment w:val="center"/>
              <w:rPr>
                <w:color w:val="auto"/>
                <w:sz w:val="24"/>
                <w:szCs w:val="24"/>
              </w:rPr>
            </w:pPr>
            <w:r>
              <w:rPr>
                <w:color w:val="auto"/>
                <w:kern w:val="0"/>
                <w:sz w:val="24"/>
                <w:szCs w:val="24"/>
                <w:lang w:bidi="ar"/>
              </w:rPr>
              <w:t>40.35 ± 6.96</w:t>
            </w:r>
          </w:p>
        </w:tc>
        <w:tc>
          <w:tcPr>
            <w:tcW w:w="2604" w:type="dxa"/>
            <w:shd w:val="clear" w:color="auto" w:fill="auto"/>
            <w:noWrap/>
            <w:vAlign w:val="center"/>
          </w:tcPr>
          <w:p w14:paraId="01B3992A">
            <w:pPr>
              <w:widowControl/>
              <w:jc w:val="center"/>
              <w:textAlignment w:val="center"/>
              <w:rPr>
                <w:color w:val="auto"/>
                <w:sz w:val="24"/>
                <w:szCs w:val="24"/>
              </w:rPr>
            </w:pPr>
            <w:r>
              <w:rPr>
                <w:color w:val="auto"/>
                <w:kern w:val="0"/>
                <w:sz w:val="24"/>
                <w:szCs w:val="24"/>
                <w:lang w:bidi="ar"/>
              </w:rPr>
              <w:t>41.49 ± 5.91</w:t>
            </w:r>
          </w:p>
        </w:tc>
        <w:tc>
          <w:tcPr>
            <w:tcW w:w="1089" w:type="dxa"/>
            <w:shd w:val="clear" w:color="auto" w:fill="auto"/>
            <w:noWrap/>
            <w:vAlign w:val="center"/>
          </w:tcPr>
          <w:p w14:paraId="62078FE9">
            <w:pPr>
              <w:widowControl/>
              <w:jc w:val="center"/>
              <w:textAlignment w:val="center"/>
              <w:rPr>
                <w:color w:val="auto"/>
                <w:sz w:val="24"/>
                <w:szCs w:val="24"/>
              </w:rPr>
            </w:pPr>
            <w:r>
              <w:rPr>
                <w:color w:val="auto"/>
                <w:kern w:val="0"/>
                <w:sz w:val="24"/>
                <w:szCs w:val="24"/>
                <w:lang w:bidi="ar"/>
              </w:rPr>
              <w:t>0.638</w:t>
            </w:r>
          </w:p>
        </w:tc>
      </w:tr>
      <w:tr w14:paraId="13A91908">
        <w:tblPrEx>
          <w:tblCellMar>
            <w:top w:w="0" w:type="dxa"/>
            <w:left w:w="108" w:type="dxa"/>
            <w:bottom w:w="0" w:type="dxa"/>
            <w:right w:w="108" w:type="dxa"/>
          </w:tblCellMar>
        </w:tblPrEx>
        <w:trPr>
          <w:trHeight w:val="307" w:hRule="atLeast"/>
        </w:trPr>
        <w:tc>
          <w:tcPr>
            <w:tcW w:w="5275" w:type="dxa"/>
            <w:shd w:val="clear" w:color="auto" w:fill="auto"/>
            <w:noWrap/>
            <w:vAlign w:val="center"/>
          </w:tcPr>
          <w:p w14:paraId="53165610">
            <w:pPr>
              <w:ind w:firstLine="240" w:firstLineChars="100"/>
              <w:rPr>
                <w:color w:val="auto"/>
                <w:sz w:val="24"/>
                <w:szCs w:val="24"/>
              </w:rPr>
            </w:pPr>
            <w:r>
              <w:rPr>
                <w:color w:val="auto"/>
                <w:sz w:val="24"/>
                <w:szCs w:val="24"/>
              </w:rPr>
              <w:t>30min</w:t>
            </w:r>
          </w:p>
        </w:tc>
        <w:tc>
          <w:tcPr>
            <w:tcW w:w="2603" w:type="dxa"/>
            <w:shd w:val="clear" w:color="auto" w:fill="auto"/>
            <w:vAlign w:val="center"/>
          </w:tcPr>
          <w:p w14:paraId="1AF07C3B">
            <w:pPr>
              <w:widowControl/>
              <w:jc w:val="center"/>
              <w:textAlignment w:val="center"/>
              <w:rPr>
                <w:color w:val="auto"/>
                <w:sz w:val="24"/>
                <w:szCs w:val="24"/>
              </w:rPr>
            </w:pPr>
            <w:bookmarkStart w:id="13" w:name="OLE_LINK8"/>
            <w:r>
              <w:rPr>
                <w:color w:val="auto"/>
                <w:kern w:val="0"/>
                <w:sz w:val="24"/>
                <w:szCs w:val="24"/>
                <w:lang w:bidi="ar"/>
              </w:rPr>
              <w:t>40.24 ± 6.44</w:t>
            </w:r>
            <w:bookmarkEnd w:id="13"/>
          </w:p>
        </w:tc>
        <w:tc>
          <w:tcPr>
            <w:tcW w:w="2603" w:type="dxa"/>
            <w:shd w:val="clear" w:color="auto" w:fill="auto"/>
            <w:noWrap/>
            <w:vAlign w:val="center"/>
          </w:tcPr>
          <w:p w14:paraId="16DAA3CD">
            <w:pPr>
              <w:widowControl/>
              <w:jc w:val="center"/>
              <w:textAlignment w:val="center"/>
              <w:rPr>
                <w:color w:val="auto"/>
                <w:sz w:val="24"/>
                <w:szCs w:val="24"/>
              </w:rPr>
            </w:pPr>
            <w:bookmarkStart w:id="14" w:name="OLE_LINK7"/>
            <w:r>
              <w:rPr>
                <w:color w:val="auto"/>
                <w:kern w:val="0"/>
                <w:sz w:val="24"/>
                <w:szCs w:val="24"/>
                <w:lang w:bidi="ar"/>
              </w:rPr>
              <w:t>39.33 ± 6.03</w:t>
            </w:r>
            <w:bookmarkEnd w:id="14"/>
          </w:p>
        </w:tc>
        <w:tc>
          <w:tcPr>
            <w:tcW w:w="2604" w:type="dxa"/>
            <w:shd w:val="clear" w:color="auto" w:fill="auto"/>
            <w:noWrap/>
            <w:vAlign w:val="center"/>
          </w:tcPr>
          <w:p w14:paraId="5CCAA412">
            <w:pPr>
              <w:widowControl/>
              <w:jc w:val="center"/>
              <w:textAlignment w:val="center"/>
              <w:rPr>
                <w:color w:val="auto"/>
                <w:sz w:val="24"/>
                <w:szCs w:val="24"/>
              </w:rPr>
            </w:pPr>
            <w:r>
              <w:rPr>
                <w:color w:val="auto"/>
                <w:kern w:val="0"/>
                <w:sz w:val="24"/>
                <w:szCs w:val="24"/>
                <w:lang w:bidi="ar"/>
              </w:rPr>
              <w:t>40.76 ± 6.77</w:t>
            </w:r>
          </w:p>
        </w:tc>
        <w:tc>
          <w:tcPr>
            <w:tcW w:w="1089" w:type="dxa"/>
            <w:shd w:val="clear" w:color="auto" w:fill="auto"/>
            <w:noWrap/>
            <w:vAlign w:val="center"/>
          </w:tcPr>
          <w:p w14:paraId="65053402">
            <w:pPr>
              <w:widowControl/>
              <w:jc w:val="center"/>
              <w:textAlignment w:val="center"/>
              <w:rPr>
                <w:color w:val="auto"/>
                <w:sz w:val="24"/>
                <w:szCs w:val="24"/>
              </w:rPr>
            </w:pPr>
            <w:r>
              <w:rPr>
                <w:color w:val="auto"/>
                <w:kern w:val="0"/>
                <w:sz w:val="24"/>
                <w:szCs w:val="24"/>
                <w:lang w:bidi="ar"/>
              </w:rPr>
              <w:t>0.565</w:t>
            </w:r>
          </w:p>
        </w:tc>
      </w:tr>
      <w:tr w14:paraId="322B281C">
        <w:tblPrEx>
          <w:tblCellMar>
            <w:top w:w="0" w:type="dxa"/>
            <w:left w:w="108" w:type="dxa"/>
            <w:bottom w:w="0" w:type="dxa"/>
            <w:right w:w="108" w:type="dxa"/>
          </w:tblCellMar>
        </w:tblPrEx>
        <w:trPr>
          <w:trHeight w:val="307" w:hRule="atLeast"/>
        </w:trPr>
        <w:tc>
          <w:tcPr>
            <w:tcW w:w="5275" w:type="dxa"/>
            <w:shd w:val="clear" w:color="auto" w:fill="auto"/>
            <w:noWrap/>
            <w:vAlign w:val="center"/>
          </w:tcPr>
          <w:p w14:paraId="5931F563">
            <w:pPr>
              <w:ind w:firstLine="240" w:firstLineChars="100"/>
              <w:rPr>
                <w:color w:val="auto"/>
                <w:sz w:val="24"/>
                <w:szCs w:val="24"/>
              </w:rPr>
            </w:pPr>
            <w:r>
              <w:rPr>
                <w:rFonts w:hint="eastAsia"/>
                <w:color w:val="auto"/>
                <w:sz w:val="24"/>
                <w:szCs w:val="24"/>
              </w:rPr>
              <w:t>3h</w:t>
            </w:r>
          </w:p>
        </w:tc>
        <w:tc>
          <w:tcPr>
            <w:tcW w:w="2603" w:type="dxa"/>
            <w:shd w:val="clear" w:color="auto" w:fill="auto"/>
            <w:vAlign w:val="center"/>
          </w:tcPr>
          <w:p w14:paraId="6C9FBA9E">
            <w:pPr>
              <w:widowControl/>
              <w:jc w:val="center"/>
              <w:textAlignment w:val="center"/>
              <w:rPr>
                <w:color w:val="auto"/>
                <w:kern w:val="0"/>
                <w:sz w:val="24"/>
                <w:szCs w:val="24"/>
                <w:lang w:bidi="ar"/>
              </w:rPr>
            </w:pPr>
            <w:r>
              <w:rPr>
                <w:color w:val="auto"/>
                <w:kern w:val="0"/>
                <w:sz w:val="24"/>
                <w:szCs w:val="24"/>
                <w:lang w:bidi="ar"/>
              </w:rPr>
              <w:t>40.</w:t>
            </w:r>
            <w:r>
              <w:rPr>
                <w:rFonts w:hint="eastAsia"/>
                <w:color w:val="auto"/>
                <w:kern w:val="0"/>
                <w:sz w:val="24"/>
                <w:szCs w:val="24"/>
                <w:lang w:bidi="ar"/>
              </w:rPr>
              <w:t>39</w:t>
            </w:r>
            <w:r>
              <w:rPr>
                <w:color w:val="auto"/>
                <w:kern w:val="0"/>
                <w:sz w:val="24"/>
                <w:szCs w:val="24"/>
                <w:lang w:bidi="ar"/>
              </w:rPr>
              <w:t xml:space="preserve"> ± 6.</w:t>
            </w:r>
            <w:r>
              <w:rPr>
                <w:rFonts w:hint="eastAsia"/>
                <w:color w:val="auto"/>
                <w:kern w:val="0"/>
                <w:sz w:val="24"/>
                <w:szCs w:val="24"/>
                <w:lang w:bidi="ar"/>
              </w:rPr>
              <w:t>97</w:t>
            </w:r>
          </w:p>
        </w:tc>
        <w:tc>
          <w:tcPr>
            <w:tcW w:w="2603" w:type="dxa"/>
            <w:shd w:val="clear" w:color="auto" w:fill="auto"/>
            <w:noWrap/>
            <w:vAlign w:val="center"/>
          </w:tcPr>
          <w:p w14:paraId="46C72F91">
            <w:pPr>
              <w:widowControl/>
              <w:jc w:val="center"/>
              <w:textAlignment w:val="center"/>
              <w:rPr>
                <w:color w:val="auto"/>
                <w:kern w:val="0"/>
                <w:sz w:val="24"/>
                <w:szCs w:val="24"/>
                <w:lang w:bidi="ar"/>
              </w:rPr>
            </w:pPr>
            <w:r>
              <w:rPr>
                <w:color w:val="auto"/>
                <w:kern w:val="0"/>
                <w:sz w:val="24"/>
                <w:szCs w:val="24"/>
                <w:lang w:bidi="ar"/>
              </w:rPr>
              <w:t>39.3</w:t>
            </w:r>
            <w:r>
              <w:rPr>
                <w:rFonts w:hint="eastAsia"/>
                <w:color w:val="auto"/>
                <w:kern w:val="0"/>
                <w:sz w:val="24"/>
                <w:szCs w:val="24"/>
                <w:lang w:bidi="ar"/>
              </w:rPr>
              <w:t>6</w:t>
            </w:r>
            <w:r>
              <w:rPr>
                <w:color w:val="auto"/>
                <w:kern w:val="0"/>
                <w:sz w:val="24"/>
                <w:szCs w:val="24"/>
                <w:lang w:bidi="ar"/>
              </w:rPr>
              <w:t xml:space="preserve"> ± </w:t>
            </w:r>
            <w:r>
              <w:rPr>
                <w:rFonts w:hint="eastAsia"/>
                <w:color w:val="auto"/>
                <w:kern w:val="0"/>
                <w:sz w:val="24"/>
                <w:szCs w:val="24"/>
                <w:lang w:bidi="ar"/>
              </w:rPr>
              <w:t>7.58</w:t>
            </w:r>
          </w:p>
        </w:tc>
        <w:tc>
          <w:tcPr>
            <w:tcW w:w="2604" w:type="dxa"/>
            <w:shd w:val="clear" w:color="auto" w:fill="auto"/>
            <w:noWrap/>
            <w:vAlign w:val="center"/>
          </w:tcPr>
          <w:p w14:paraId="6278A45E">
            <w:pPr>
              <w:widowControl/>
              <w:jc w:val="center"/>
              <w:textAlignment w:val="center"/>
              <w:rPr>
                <w:color w:val="auto"/>
                <w:kern w:val="0"/>
                <w:sz w:val="24"/>
                <w:szCs w:val="24"/>
                <w:lang w:bidi="ar"/>
              </w:rPr>
            </w:pPr>
            <w:r>
              <w:rPr>
                <w:color w:val="auto"/>
                <w:kern w:val="0"/>
                <w:sz w:val="24"/>
                <w:szCs w:val="24"/>
                <w:lang w:bidi="ar"/>
              </w:rPr>
              <w:t>40.</w:t>
            </w:r>
            <w:r>
              <w:rPr>
                <w:rFonts w:hint="eastAsia"/>
                <w:color w:val="auto"/>
                <w:kern w:val="0"/>
                <w:sz w:val="24"/>
                <w:szCs w:val="24"/>
                <w:lang w:bidi="ar"/>
              </w:rPr>
              <w:t>98</w:t>
            </w:r>
            <w:r>
              <w:rPr>
                <w:color w:val="auto"/>
                <w:kern w:val="0"/>
                <w:sz w:val="24"/>
                <w:szCs w:val="24"/>
                <w:lang w:bidi="ar"/>
              </w:rPr>
              <w:t xml:space="preserve"> ± 6.7</w:t>
            </w:r>
            <w:r>
              <w:rPr>
                <w:rFonts w:hint="eastAsia"/>
                <w:color w:val="auto"/>
                <w:kern w:val="0"/>
                <w:sz w:val="24"/>
                <w:szCs w:val="24"/>
                <w:lang w:bidi="ar"/>
              </w:rPr>
              <w:t>3</w:t>
            </w:r>
          </w:p>
        </w:tc>
        <w:tc>
          <w:tcPr>
            <w:tcW w:w="1089" w:type="dxa"/>
            <w:shd w:val="clear" w:color="auto" w:fill="auto"/>
            <w:noWrap/>
            <w:vAlign w:val="center"/>
          </w:tcPr>
          <w:p w14:paraId="49468A0E">
            <w:pPr>
              <w:widowControl/>
              <w:jc w:val="center"/>
              <w:textAlignment w:val="center"/>
              <w:rPr>
                <w:color w:val="auto"/>
                <w:kern w:val="0"/>
                <w:sz w:val="24"/>
                <w:szCs w:val="24"/>
                <w:lang w:bidi="ar"/>
              </w:rPr>
            </w:pPr>
            <w:r>
              <w:rPr>
                <w:rFonts w:hint="eastAsia"/>
                <w:color w:val="auto"/>
                <w:kern w:val="0"/>
                <w:sz w:val="24"/>
                <w:szCs w:val="24"/>
                <w:lang w:bidi="ar"/>
              </w:rPr>
              <w:t>0.550</w:t>
            </w:r>
          </w:p>
        </w:tc>
      </w:tr>
      <w:tr w14:paraId="62E9CAEE">
        <w:tblPrEx>
          <w:tblCellMar>
            <w:top w:w="0" w:type="dxa"/>
            <w:left w:w="108" w:type="dxa"/>
            <w:bottom w:w="0" w:type="dxa"/>
            <w:right w:w="108" w:type="dxa"/>
          </w:tblCellMar>
        </w:tblPrEx>
        <w:trPr>
          <w:trHeight w:val="307" w:hRule="atLeast"/>
        </w:trPr>
        <w:tc>
          <w:tcPr>
            <w:tcW w:w="5275" w:type="dxa"/>
            <w:shd w:val="clear" w:color="auto" w:fill="auto"/>
            <w:noWrap/>
            <w:vAlign w:val="center"/>
          </w:tcPr>
          <w:p w14:paraId="3CAE78AA">
            <w:pPr>
              <w:rPr>
                <w:color w:val="auto"/>
                <w:sz w:val="24"/>
                <w:szCs w:val="24"/>
              </w:rPr>
            </w:pPr>
            <w:r>
              <w:rPr>
                <w:color w:val="auto"/>
                <w:sz w:val="24"/>
                <w:szCs w:val="24"/>
              </w:rPr>
              <w:t xml:space="preserve">  </w:t>
            </w:r>
            <w:r>
              <w:rPr>
                <w:i/>
                <w:iCs/>
                <w:color w:val="auto"/>
                <w:sz w:val="24"/>
                <w:szCs w:val="24"/>
              </w:rPr>
              <w:t>P</w:t>
            </w:r>
            <w:r>
              <w:rPr>
                <w:color w:val="auto"/>
                <w:sz w:val="24"/>
                <w:szCs w:val="24"/>
              </w:rPr>
              <w:t xml:space="preserve"> value</w:t>
            </w:r>
          </w:p>
        </w:tc>
        <w:tc>
          <w:tcPr>
            <w:tcW w:w="2603" w:type="dxa"/>
            <w:shd w:val="clear" w:color="auto" w:fill="auto"/>
            <w:vAlign w:val="center"/>
          </w:tcPr>
          <w:p w14:paraId="0C57D7F8">
            <w:pPr>
              <w:widowControl/>
              <w:jc w:val="center"/>
              <w:textAlignment w:val="center"/>
              <w:rPr>
                <w:rFonts w:eastAsiaTheme="minorEastAsia"/>
                <w:color w:val="auto"/>
                <w:sz w:val="24"/>
                <w:szCs w:val="24"/>
                <w:lang w:bidi="ar"/>
              </w:rPr>
            </w:pPr>
            <w:r>
              <w:rPr>
                <w:rFonts w:hint="eastAsia"/>
                <w:color w:val="auto"/>
                <w:sz w:val="24"/>
                <w:szCs w:val="24"/>
                <w:lang w:bidi="ar"/>
              </w:rPr>
              <w:t>0.447</w:t>
            </w:r>
          </w:p>
        </w:tc>
        <w:tc>
          <w:tcPr>
            <w:tcW w:w="2603" w:type="dxa"/>
            <w:shd w:val="clear" w:color="auto" w:fill="auto"/>
            <w:noWrap/>
            <w:vAlign w:val="center"/>
          </w:tcPr>
          <w:p w14:paraId="21050024">
            <w:pPr>
              <w:widowControl/>
              <w:jc w:val="center"/>
              <w:textAlignment w:val="center"/>
              <w:rPr>
                <w:rFonts w:eastAsiaTheme="minorEastAsia"/>
                <w:color w:val="auto"/>
                <w:sz w:val="24"/>
                <w:szCs w:val="24"/>
              </w:rPr>
            </w:pPr>
            <w:r>
              <w:rPr>
                <w:rFonts w:hint="eastAsia"/>
                <w:color w:val="auto"/>
                <w:sz w:val="24"/>
                <w:szCs w:val="24"/>
              </w:rPr>
              <w:t>0.475</w:t>
            </w:r>
          </w:p>
        </w:tc>
        <w:tc>
          <w:tcPr>
            <w:tcW w:w="2604" w:type="dxa"/>
            <w:shd w:val="clear" w:color="auto" w:fill="auto"/>
            <w:noWrap/>
            <w:vAlign w:val="center"/>
          </w:tcPr>
          <w:p w14:paraId="57E31DA6">
            <w:pPr>
              <w:widowControl/>
              <w:jc w:val="center"/>
              <w:textAlignment w:val="center"/>
              <w:rPr>
                <w:rFonts w:eastAsiaTheme="minorEastAsia"/>
                <w:color w:val="auto"/>
                <w:sz w:val="24"/>
                <w:szCs w:val="24"/>
              </w:rPr>
            </w:pPr>
            <w:r>
              <w:rPr>
                <w:rFonts w:hint="eastAsia"/>
                <w:color w:val="auto"/>
                <w:sz w:val="24"/>
                <w:szCs w:val="24"/>
              </w:rPr>
              <w:t>0.670</w:t>
            </w:r>
          </w:p>
        </w:tc>
        <w:tc>
          <w:tcPr>
            <w:tcW w:w="1089" w:type="dxa"/>
            <w:shd w:val="clear" w:color="auto" w:fill="auto"/>
            <w:noWrap/>
            <w:vAlign w:val="center"/>
          </w:tcPr>
          <w:p w14:paraId="3EF54877">
            <w:pPr>
              <w:widowControl/>
              <w:jc w:val="center"/>
              <w:textAlignment w:val="center"/>
              <w:rPr>
                <w:color w:val="auto"/>
                <w:sz w:val="24"/>
                <w:szCs w:val="24"/>
              </w:rPr>
            </w:pPr>
          </w:p>
        </w:tc>
      </w:tr>
      <w:tr w14:paraId="04A2EFDB">
        <w:tblPrEx>
          <w:tblCellMar>
            <w:top w:w="0" w:type="dxa"/>
            <w:left w:w="108" w:type="dxa"/>
            <w:bottom w:w="0" w:type="dxa"/>
            <w:right w:w="108" w:type="dxa"/>
          </w:tblCellMar>
        </w:tblPrEx>
        <w:trPr>
          <w:trHeight w:val="307" w:hRule="atLeast"/>
        </w:trPr>
        <w:tc>
          <w:tcPr>
            <w:tcW w:w="5275" w:type="dxa"/>
            <w:shd w:val="clear" w:color="auto" w:fill="DDD9C4"/>
            <w:noWrap/>
            <w:vAlign w:val="center"/>
          </w:tcPr>
          <w:p w14:paraId="3E1AF42A">
            <w:pPr>
              <w:jc w:val="left"/>
              <w:rPr>
                <w:rFonts w:eastAsiaTheme="minorEastAsia"/>
                <w:color w:val="auto"/>
                <w:sz w:val="24"/>
                <w:szCs w:val="24"/>
              </w:rPr>
            </w:pPr>
            <w:r>
              <w:rPr>
                <w:color w:val="auto"/>
                <w:sz w:val="24"/>
                <w:szCs w:val="24"/>
              </w:rPr>
              <w:t>Respiratory parameters</w:t>
            </w:r>
          </w:p>
        </w:tc>
        <w:tc>
          <w:tcPr>
            <w:tcW w:w="2603" w:type="dxa"/>
            <w:shd w:val="clear" w:color="auto" w:fill="DDD9C4"/>
            <w:vAlign w:val="center"/>
          </w:tcPr>
          <w:p w14:paraId="2B15B1B9">
            <w:pPr>
              <w:jc w:val="center"/>
              <w:rPr>
                <w:rFonts w:eastAsiaTheme="minorEastAsia"/>
                <w:color w:val="auto"/>
                <w:sz w:val="24"/>
                <w:szCs w:val="24"/>
              </w:rPr>
            </w:pPr>
          </w:p>
        </w:tc>
        <w:tc>
          <w:tcPr>
            <w:tcW w:w="2603" w:type="dxa"/>
            <w:shd w:val="clear" w:color="auto" w:fill="DDD9C4"/>
            <w:noWrap/>
            <w:vAlign w:val="center"/>
          </w:tcPr>
          <w:p w14:paraId="7A4FBE1A">
            <w:pPr>
              <w:jc w:val="center"/>
              <w:rPr>
                <w:rFonts w:eastAsiaTheme="minorEastAsia"/>
                <w:color w:val="auto"/>
                <w:sz w:val="24"/>
                <w:szCs w:val="24"/>
              </w:rPr>
            </w:pPr>
          </w:p>
        </w:tc>
        <w:tc>
          <w:tcPr>
            <w:tcW w:w="2604" w:type="dxa"/>
            <w:shd w:val="clear" w:color="auto" w:fill="DDD9C4"/>
            <w:noWrap/>
            <w:vAlign w:val="center"/>
          </w:tcPr>
          <w:p w14:paraId="603CD89D">
            <w:pPr>
              <w:jc w:val="center"/>
              <w:rPr>
                <w:rFonts w:eastAsiaTheme="minorEastAsia"/>
                <w:color w:val="auto"/>
                <w:sz w:val="24"/>
                <w:szCs w:val="24"/>
              </w:rPr>
            </w:pPr>
          </w:p>
        </w:tc>
        <w:tc>
          <w:tcPr>
            <w:tcW w:w="1089" w:type="dxa"/>
            <w:shd w:val="clear" w:color="auto" w:fill="DDD9C4"/>
            <w:noWrap/>
            <w:vAlign w:val="center"/>
          </w:tcPr>
          <w:p w14:paraId="194EF1E7">
            <w:pPr>
              <w:jc w:val="center"/>
              <w:rPr>
                <w:rFonts w:eastAsiaTheme="minorEastAsia"/>
                <w:color w:val="auto"/>
                <w:sz w:val="24"/>
                <w:szCs w:val="24"/>
              </w:rPr>
            </w:pPr>
          </w:p>
        </w:tc>
      </w:tr>
      <w:tr w14:paraId="75A7BE8A">
        <w:tblPrEx>
          <w:tblCellMar>
            <w:top w:w="0" w:type="dxa"/>
            <w:left w:w="108" w:type="dxa"/>
            <w:bottom w:w="0" w:type="dxa"/>
            <w:right w:w="108" w:type="dxa"/>
          </w:tblCellMar>
        </w:tblPrEx>
        <w:trPr>
          <w:trHeight w:val="307" w:hRule="atLeast"/>
        </w:trPr>
        <w:tc>
          <w:tcPr>
            <w:tcW w:w="5275" w:type="dxa"/>
            <w:shd w:val="clear" w:color="auto" w:fill="auto"/>
            <w:noWrap/>
            <w:vAlign w:val="center"/>
          </w:tcPr>
          <w:p w14:paraId="79D85C3A">
            <w:pPr>
              <w:rPr>
                <w:rFonts w:eastAsiaTheme="minorEastAsia"/>
                <w:color w:val="auto"/>
                <w:sz w:val="24"/>
                <w:szCs w:val="24"/>
              </w:rPr>
            </w:pPr>
            <w:r>
              <w:rPr>
                <w:rFonts w:hint="eastAsia"/>
                <w:color w:val="auto"/>
                <w:sz w:val="24"/>
                <w:szCs w:val="24"/>
              </w:rPr>
              <w:t>Tidal volume</w:t>
            </w:r>
            <w:r>
              <w:rPr>
                <w:color w:val="auto"/>
                <w:sz w:val="24"/>
                <w:szCs w:val="24"/>
              </w:rPr>
              <w:t xml:space="preserve"> – </w:t>
            </w:r>
            <w:r>
              <w:rPr>
                <w:rFonts w:hint="eastAsia"/>
                <w:color w:val="auto"/>
                <w:sz w:val="24"/>
                <w:szCs w:val="24"/>
              </w:rPr>
              <w:t>ml</w:t>
            </w:r>
          </w:p>
        </w:tc>
        <w:tc>
          <w:tcPr>
            <w:tcW w:w="2603" w:type="dxa"/>
            <w:shd w:val="clear" w:color="auto" w:fill="auto"/>
            <w:vAlign w:val="center"/>
          </w:tcPr>
          <w:p w14:paraId="7C571BB2">
            <w:pPr>
              <w:widowControl/>
              <w:jc w:val="center"/>
              <w:textAlignment w:val="center"/>
              <w:rPr>
                <w:rFonts w:eastAsiaTheme="minorEastAsia"/>
                <w:color w:val="auto"/>
                <w:sz w:val="24"/>
                <w:szCs w:val="24"/>
                <w:lang w:bidi="ar"/>
              </w:rPr>
            </w:pPr>
          </w:p>
        </w:tc>
        <w:tc>
          <w:tcPr>
            <w:tcW w:w="2603" w:type="dxa"/>
            <w:shd w:val="clear" w:color="auto" w:fill="auto"/>
            <w:noWrap/>
            <w:vAlign w:val="center"/>
          </w:tcPr>
          <w:p w14:paraId="34CE7AF8">
            <w:pPr>
              <w:widowControl/>
              <w:jc w:val="center"/>
              <w:textAlignment w:val="center"/>
              <w:rPr>
                <w:rFonts w:eastAsiaTheme="minorEastAsia"/>
                <w:color w:val="auto"/>
                <w:sz w:val="24"/>
                <w:szCs w:val="24"/>
              </w:rPr>
            </w:pPr>
          </w:p>
        </w:tc>
        <w:tc>
          <w:tcPr>
            <w:tcW w:w="2604" w:type="dxa"/>
            <w:shd w:val="clear" w:color="auto" w:fill="auto"/>
            <w:noWrap/>
            <w:vAlign w:val="center"/>
          </w:tcPr>
          <w:p w14:paraId="705046F2">
            <w:pPr>
              <w:widowControl/>
              <w:jc w:val="center"/>
              <w:textAlignment w:val="center"/>
              <w:rPr>
                <w:rFonts w:eastAsiaTheme="minorEastAsia"/>
                <w:color w:val="auto"/>
                <w:sz w:val="24"/>
                <w:szCs w:val="24"/>
              </w:rPr>
            </w:pPr>
          </w:p>
        </w:tc>
        <w:tc>
          <w:tcPr>
            <w:tcW w:w="1089" w:type="dxa"/>
            <w:shd w:val="clear" w:color="auto" w:fill="auto"/>
            <w:noWrap/>
            <w:vAlign w:val="center"/>
          </w:tcPr>
          <w:p w14:paraId="52BE9D5C">
            <w:pPr>
              <w:widowControl/>
              <w:jc w:val="center"/>
              <w:textAlignment w:val="center"/>
              <w:rPr>
                <w:rFonts w:eastAsiaTheme="minorEastAsia"/>
                <w:color w:val="auto"/>
                <w:sz w:val="24"/>
                <w:szCs w:val="24"/>
              </w:rPr>
            </w:pPr>
          </w:p>
        </w:tc>
      </w:tr>
      <w:tr w14:paraId="018DF300">
        <w:tblPrEx>
          <w:tblCellMar>
            <w:top w:w="0" w:type="dxa"/>
            <w:left w:w="108" w:type="dxa"/>
            <w:bottom w:w="0" w:type="dxa"/>
            <w:right w:w="108" w:type="dxa"/>
          </w:tblCellMar>
        </w:tblPrEx>
        <w:trPr>
          <w:trHeight w:val="303" w:hRule="atLeast"/>
        </w:trPr>
        <w:tc>
          <w:tcPr>
            <w:tcW w:w="5275" w:type="dxa"/>
            <w:shd w:val="clear" w:color="auto" w:fill="auto"/>
            <w:noWrap/>
            <w:vAlign w:val="center"/>
          </w:tcPr>
          <w:p w14:paraId="3F45B875">
            <w:pPr>
              <w:ind w:firstLine="240" w:firstLineChars="100"/>
              <w:rPr>
                <w:rFonts w:eastAsiaTheme="minorEastAsia"/>
                <w:color w:val="auto"/>
                <w:sz w:val="24"/>
                <w:szCs w:val="24"/>
              </w:rPr>
            </w:pPr>
            <w:r>
              <w:rPr>
                <w:color w:val="auto"/>
                <w:sz w:val="24"/>
                <w:szCs w:val="24"/>
              </w:rPr>
              <w:t>0h</w:t>
            </w:r>
          </w:p>
        </w:tc>
        <w:tc>
          <w:tcPr>
            <w:tcW w:w="2603" w:type="dxa"/>
            <w:shd w:val="clear" w:color="auto" w:fill="auto"/>
            <w:vAlign w:val="center"/>
          </w:tcPr>
          <w:p w14:paraId="70C231F3">
            <w:pPr>
              <w:widowControl/>
              <w:jc w:val="center"/>
              <w:textAlignment w:val="center"/>
              <w:rPr>
                <w:rFonts w:eastAsiaTheme="minorEastAsia"/>
                <w:color w:val="auto"/>
                <w:sz w:val="24"/>
                <w:szCs w:val="24"/>
                <w:lang w:bidi="ar"/>
              </w:rPr>
            </w:pPr>
            <w:r>
              <w:rPr>
                <w:color w:val="auto"/>
                <w:kern w:val="0"/>
                <w:sz w:val="24"/>
                <w:szCs w:val="24"/>
                <w:lang w:bidi="ar"/>
              </w:rPr>
              <w:t>4</w:t>
            </w:r>
            <w:r>
              <w:rPr>
                <w:rFonts w:hint="eastAsia"/>
                <w:color w:val="auto"/>
                <w:kern w:val="0"/>
                <w:sz w:val="24"/>
                <w:szCs w:val="24"/>
                <w:lang w:bidi="ar"/>
              </w:rPr>
              <w:t>46.1</w:t>
            </w:r>
            <w:r>
              <w:rPr>
                <w:color w:val="auto"/>
                <w:kern w:val="0"/>
                <w:sz w:val="24"/>
                <w:szCs w:val="24"/>
                <w:lang w:bidi="ar"/>
              </w:rPr>
              <w:t xml:space="preserve"> ± </w:t>
            </w:r>
            <w:r>
              <w:rPr>
                <w:rFonts w:hint="eastAsia"/>
                <w:color w:val="auto"/>
                <w:kern w:val="0"/>
                <w:sz w:val="24"/>
                <w:szCs w:val="24"/>
                <w:lang w:bidi="ar"/>
              </w:rPr>
              <w:t>94.70</w:t>
            </w:r>
          </w:p>
        </w:tc>
        <w:tc>
          <w:tcPr>
            <w:tcW w:w="2603" w:type="dxa"/>
            <w:shd w:val="clear" w:color="auto" w:fill="auto"/>
            <w:noWrap/>
            <w:vAlign w:val="center"/>
          </w:tcPr>
          <w:p w14:paraId="65032220">
            <w:pPr>
              <w:widowControl/>
              <w:jc w:val="center"/>
              <w:textAlignment w:val="center"/>
              <w:rPr>
                <w:rFonts w:eastAsiaTheme="minorEastAsia"/>
                <w:color w:val="auto"/>
                <w:sz w:val="24"/>
                <w:szCs w:val="24"/>
                <w:lang w:bidi="ar"/>
              </w:rPr>
            </w:pPr>
            <w:r>
              <w:rPr>
                <w:color w:val="auto"/>
                <w:kern w:val="0"/>
                <w:sz w:val="24"/>
                <w:szCs w:val="24"/>
                <w:lang w:bidi="ar"/>
              </w:rPr>
              <w:t>4</w:t>
            </w:r>
            <w:r>
              <w:rPr>
                <w:rFonts w:hint="eastAsia"/>
                <w:color w:val="auto"/>
                <w:kern w:val="0"/>
                <w:sz w:val="24"/>
                <w:szCs w:val="24"/>
                <w:lang w:bidi="ar"/>
              </w:rPr>
              <w:t>39.1</w:t>
            </w:r>
            <w:r>
              <w:rPr>
                <w:color w:val="auto"/>
                <w:kern w:val="0"/>
                <w:sz w:val="24"/>
                <w:szCs w:val="24"/>
                <w:lang w:bidi="ar"/>
              </w:rPr>
              <w:t xml:space="preserve"> ± </w:t>
            </w:r>
            <w:r>
              <w:rPr>
                <w:rFonts w:hint="eastAsia"/>
                <w:color w:val="auto"/>
                <w:kern w:val="0"/>
                <w:sz w:val="24"/>
                <w:szCs w:val="24"/>
                <w:lang w:bidi="ar"/>
              </w:rPr>
              <w:t>77.78</w:t>
            </w:r>
          </w:p>
        </w:tc>
        <w:tc>
          <w:tcPr>
            <w:tcW w:w="2604" w:type="dxa"/>
            <w:shd w:val="clear" w:color="auto" w:fill="auto"/>
            <w:noWrap/>
            <w:vAlign w:val="center"/>
          </w:tcPr>
          <w:p w14:paraId="4441005D">
            <w:pPr>
              <w:widowControl/>
              <w:jc w:val="center"/>
              <w:textAlignment w:val="center"/>
              <w:rPr>
                <w:rFonts w:eastAsiaTheme="minorEastAsia"/>
                <w:color w:val="auto"/>
                <w:sz w:val="24"/>
                <w:szCs w:val="24"/>
                <w:lang w:bidi="ar"/>
              </w:rPr>
            </w:pPr>
            <w:r>
              <w:rPr>
                <w:rFonts w:hint="eastAsia"/>
                <w:color w:val="auto"/>
                <w:kern w:val="0"/>
                <w:sz w:val="24"/>
                <w:szCs w:val="24"/>
                <w:lang w:bidi="ar"/>
              </w:rPr>
              <w:t>450.2</w:t>
            </w:r>
            <w:r>
              <w:rPr>
                <w:color w:val="auto"/>
                <w:kern w:val="0"/>
                <w:sz w:val="24"/>
                <w:szCs w:val="24"/>
                <w:lang w:bidi="ar"/>
              </w:rPr>
              <w:t xml:space="preserve"> ± </w:t>
            </w:r>
            <w:r>
              <w:rPr>
                <w:rFonts w:hint="eastAsia"/>
                <w:color w:val="auto"/>
                <w:kern w:val="0"/>
                <w:sz w:val="24"/>
                <w:szCs w:val="24"/>
                <w:lang w:bidi="ar"/>
              </w:rPr>
              <w:t>105.1</w:t>
            </w:r>
          </w:p>
        </w:tc>
        <w:tc>
          <w:tcPr>
            <w:tcW w:w="1089" w:type="dxa"/>
            <w:shd w:val="clear" w:color="auto" w:fill="auto"/>
            <w:noWrap/>
            <w:vAlign w:val="center"/>
          </w:tcPr>
          <w:p w14:paraId="0CB7C85B">
            <w:pPr>
              <w:widowControl/>
              <w:jc w:val="center"/>
              <w:textAlignment w:val="center"/>
              <w:rPr>
                <w:rFonts w:eastAsiaTheme="minorEastAsia"/>
                <w:color w:val="auto"/>
                <w:sz w:val="24"/>
                <w:szCs w:val="24"/>
              </w:rPr>
            </w:pPr>
            <w:r>
              <w:rPr>
                <w:rFonts w:hint="eastAsia"/>
                <w:color w:val="auto"/>
                <w:sz w:val="24"/>
                <w:szCs w:val="24"/>
              </w:rPr>
              <w:t>0.763</w:t>
            </w:r>
          </w:p>
        </w:tc>
      </w:tr>
      <w:tr w14:paraId="08CD8AF1">
        <w:tblPrEx>
          <w:tblCellMar>
            <w:top w:w="0" w:type="dxa"/>
            <w:left w:w="108" w:type="dxa"/>
            <w:bottom w:w="0" w:type="dxa"/>
            <w:right w:w="108" w:type="dxa"/>
          </w:tblCellMar>
        </w:tblPrEx>
        <w:trPr>
          <w:trHeight w:val="307" w:hRule="atLeast"/>
        </w:trPr>
        <w:tc>
          <w:tcPr>
            <w:tcW w:w="5275" w:type="dxa"/>
            <w:shd w:val="clear" w:color="auto" w:fill="auto"/>
            <w:noWrap/>
            <w:vAlign w:val="center"/>
          </w:tcPr>
          <w:p w14:paraId="3DAFF35C">
            <w:pPr>
              <w:ind w:firstLine="240" w:firstLineChars="100"/>
              <w:rPr>
                <w:rFonts w:eastAsiaTheme="minorEastAsia"/>
                <w:color w:val="auto"/>
                <w:sz w:val="24"/>
                <w:szCs w:val="24"/>
              </w:rPr>
            </w:pPr>
            <w:r>
              <w:rPr>
                <w:rFonts w:hint="eastAsia"/>
                <w:color w:val="auto"/>
                <w:sz w:val="24"/>
                <w:szCs w:val="24"/>
              </w:rPr>
              <w:t>30min</w:t>
            </w:r>
          </w:p>
        </w:tc>
        <w:tc>
          <w:tcPr>
            <w:tcW w:w="2603" w:type="dxa"/>
            <w:shd w:val="clear" w:color="auto" w:fill="auto"/>
            <w:vAlign w:val="center"/>
          </w:tcPr>
          <w:p w14:paraId="2217D848">
            <w:pPr>
              <w:widowControl/>
              <w:jc w:val="center"/>
              <w:textAlignment w:val="center"/>
              <w:rPr>
                <w:rFonts w:eastAsiaTheme="minorEastAsia"/>
                <w:color w:val="auto"/>
                <w:sz w:val="24"/>
                <w:szCs w:val="24"/>
                <w:lang w:bidi="ar"/>
              </w:rPr>
            </w:pPr>
            <w:r>
              <w:rPr>
                <w:rFonts w:hint="eastAsia"/>
                <w:color w:val="auto"/>
                <w:kern w:val="0"/>
                <w:sz w:val="24"/>
                <w:szCs w:val="24"/>
                <w:lang w:bidi="ar"/>
              </w:rPr>
              <w:t>449.2</w:t>
            </w:r>
            <w:r>
              <w:rPr>
                <w:color w:val="auto"/>
                <w:kern w:val="0"/>
                <w:sz w:val="24"/>
                <w:szCs w:val="24"/>
                <w:lang w:bidi="ar"/>
              </w:rPr>
              <w:t xml:space="preserve"> ± </w:t>
            </w:r>
            <w:r>
              <w:rPr>
                <w:rFonts w:hint="eastAsia"/>
                <w:color w:val="auto"/>
                <w:kern w:val="0"/>
                <w:sz w:val="24"/>
                <w:szCs w:val="24"/>
                <w:lang w:bidi="ar"/>
              </w:rPr>
              <w:t>92.58</w:t>
            </w:r>
          </w:p>
        </w:tc>
        <w:tc>
          <w:tcPr>
            <w:tcW w:w="2603" w:type="dxa"/>
            <w:shd w:val="clear" w:color="auto" w:fill="auto"/>
            <w:noWrap/>
            <w:vAlign w:val="center"/>
          </w:tcPr>
          <w:p w14:paraId="07D10885">
            <w:pPr>
              <w:widowControl/>
              <w:jc w:val="center"/>
              <w:textAlignment w:val="center"/>
              <w:rPr>
                <w:rFonts w:eastAsiaTheme="minorEastAsia"/>
                <w:color w:val="auto"/>
                <w:sz w:val="24"/>
                <w:szCs w:val="24"/>
                <w:lang w:bidi="ar"/>
              </w:rPr>
            </w:pPr>
            <w:r>
              <w:rPr>
                <w:rFonts w:hint="eastAsia"/>
                <w:color w:val="auto"/>
                <w:kern w:val="0"/>
                <w:sz w:val="24"/>
                <w:szCs w:val="24"/>
                <w:lang w:bidi="ar"/>
              </w:rPr>
              <w:t>440.5</w:t>
            </w:r>
            <w:r>
              <w:rPr>
                <w:color w:val="auto"/>
                <w:kern w:val="0"/>
                <w:sz w:val="24"/>
                <w:szCs w:val="24"/>
                <w:lang w:bidi="ar"/>
              </w:rPr>
              <w:t xml:space="preserve"> ± </w:t>
            </w:r>
            <w:r>
              <w:rPr>
                <w:rFonts w:hint="eastAsia"/>
                <w:color w:val="auto"/>
                <w:kern w:val="0"/>
                <w:sz w:val="24"/>
                <w:szCs w:val="24"/>
                <w:lang w:bidi="ar"/>
              </w:rPr>
              <w:t>81.11</w:t>
            </w:r>
          </w:p>
        </w:tc>
        <w:tc>
          <w:tcPr>
            <w:tcW w:w="2604" w:type="dxa"/>
            <w:shd w:val="clear" w:color="auto" w:fill="auto"/>
            <w:noWrap/>
            <w:vAlign w:val="center"/>
          </w:tcPr>
          <w:p w14:paraId="794078EE">
            <w:pPr>
              <w:widowControl/>
              <w:jc w:val="center"/>
              <w:textAlignment w:val="center"/>
              <w:rPr>
                <w:rFonts w:eastAsiaTheme="minorEastAsia"/>
                <w:color w:val="auto"/>
                <w:sz w:val="24"/>
                <w:szCs w:val="24"/>
                <w:lang w:bidi="ar"/>
              </w:rPr>
            </w:pPr>
            <w:r>
              <w:rPr>
                <w:rFonts w:hint="eastAsia"/>
                <w:color w:val="auto"/>
                <w:kern w:val="0"/>
                <w:sz w:val="24"/>
                <w:szCs w:val="24"/>
                <w:lang w:bidi="ar"/>
              </w:rPr>
              <w:t>454.2</w:t>
            </w:r>
            <w:r>
              <w:rPr>
                <w:color w:val="auto"/>
                <w:kern w:val="0"/>
                <w:sz w:val="24"/>
                <w:szCs w:val="24"/>
                <w:lang w:bidi="ar"/>
              </w:rPr>
              <w:t xml:space="preserve"> ± </w:t>
            </w:r>
            <w:r>
              <w:rPr>
                <w:rFonts w:hint="eastAsia"/>
                <w:color w:val="auto"/>
                <w:kern w:val="0"/>
                <w:sz w:val="24"/>
                <w:szCs w:val="24"/>
                <w:lang w:bidi="ar"/>
              </w:rPr>
              <w:t>100.4</w:t>
            </w:r>
          </w:p>
        </w:tc>
        <w:tc>
          <w:tcPr>
            <w:tcW w:w="1089" w:type="dxa"/>
            <w:shd w:val="clear" w:color="auto" w:fill="auto"/>
            <w:noWrap/>
            <w:vAlign w:val="center"/>
          </w:tcPr>
          <w:p w14:paraId="396C3F84">
            <w:pPr>
              <w:widowControl/>
              <w:jc w:val="center"/>
              <w:textAlignment w:val="center"/>
              <w:rPr>
                <w:rFonts w:eastAsiaTheme="minorEastAsia"/>
                <w:color w:val="auto"/>
                <w:sz w:val="24"/>
                <w:szCs w:val="24"/>
              </w:rPr>
            </w:pPr>
            <w:r>
              <w:rPr>
                <w:rFonts w:hint="eastAsia"/>
                <w:color w:val="auto"/>
                <w:sz w:val="24"/>
                <w:szCs w:val="24"/>
              </w:rPr>
              <w:t>0.705</w:t>
            </w:r>
          </w:p>
        </w:tc>
      </w:tr>
      <w:tr w14:paraId="31E67CBD">
        <w:tblPrEx>
          <w:tblCellMar>
            <w:top w:w="0" w:type="dxa"/>
            <w:left w:w="108" w:type="dxa"/>
            <w:bottom w:w="0" w:type="dxa"/>
            <w:right w:w="108" w:type="dxa"/>
          </w:tblCellMar>
        </w:tblPrEx>
        <w:trPr>
          <w:trHeight w:val="307" w:hRule="atLeast"/>
        </w:trPr>
        <w:tc>
          <w:tcPr>
            <w:tcW w:w="5275" w:type="dxa"/>
            <w:shd w:val="clear" w:color="auto" w:fill="auto"/>
            <w:noWrap/>
            <w:vAlign w:val="center"/>
          </w:tcPr>
          <w:p w14:paraId="5057E6D0">
            <w:pPr>
              <w:rPr>
                <w:rFonts w:eastAsiaTheme="minorEastAsia"/>
                <w:color w:val="auto"/>
                <w:sz w:val="24"/>
                <w:szCs w:val="24"/>
              </w:rPr>
            </w:pPr>
            <w:r>
              <w:rPr>
                <w:color w:val="auto"/>
                <w:sz w:val="24"/>
                <w:szCs w:val="24"/>
              </w:rPr>
              <w:t xml:space="preserve">  </w:t>
            </w:r>
            <w:r>
              <w:rPr>
                <w:rFonts w:hint="eastAsia"/>
                <w:color w:val="auto"/>
                <w:sz w:val="24"/>
                <w:szCs w:val="24"/>
              </w:rPr>
              <w:t>3h</w:t>
            </w:r>
          </w:p>
        </w:tc>
        <w:tc>
          <w:tcPr>
            <w:tcW w:w="2603" w:type="dxa"/>
            <w:shd w:val="clear" w:color="auto" w:fill="auto"/>
            <w:vAlign w:val="center"/>
          </w:tcPr>
          <w:p w14:paraId="573E9A4B">
            <w:pPr>
              <w:widowControl/>
              <w:jc w:val="center"/>
              <w:textAlignment w:val="center"/>
              <w:rPr>
                <w:rFonts w:eastAsiaTheme="minorEastAsia"/>
                <w:color w:val="auto"/>
                <w:sz w:val="24"/>
                <w:szCs w:val="24"/>
                <w:lang w:bidi="ar"/>
              </w:rPr>
            </w:pPr>
            <w:r>
              <w:rPr>
                <w:rFonts w:hint="eastAsia"/>
                <w:color w:val="auto"/>
                <w:kern w:val="0"/>
                <w:sz w:val="24"/>
                <w:szCs w:val="24"/>
                <w:lang w:bidi="ar"/>
              </w:rPr>
              <w:t>448.6</w:t>
            </w:r>
            <w:r>
              <w:rPr>
                <w:color w:val="auto"/>
                <w:kern w:val="0"/>
                <w:sz w:val="24"/>
                <w:szCs w:val="24"/>
                <w:lang w:bidi="ar"/>
              </w:rPr>
              <w:t xml:space="preserve"> ± </w:t>
            </w:r>
            <w:r>
              <w:rPr>
                <w:rFonts w:hint="eastAsia"/>
                <w:color w:val="auto"/>
                <w:kern w:val="0"/>
                <w:sz w:val="24"/>
                <w:szCs w:val="24"/>
                <w:lang w:bidi="ar"/>
              </w:rPr>
              <w:t>93.18</w:t>
            </w:r>
          </w:p>
        </w:tc>
        <w:tc>
          <w:tcPr>
            <w:tcW w:w="2603" w:type="dxa"/>
            <w:shd w:val="clear" w:color="auto" w:fill="auto"/>
            <w:noWrap/>
            <w:vAlign w:val="center"/>
          </w:tcPr>
          <w:p w14:paraId="17B21C32">
            <w:pPr>
              <w:widowControl/>
              <w:jc w:val="center"/>
              <w:textAlignment w:val="center"/>
              <w:rPr>
                <w:rFonts w:eastAsiaTheme="minorEastAsia"/>
                <w:color w:val="auto"/>
                <w:sz w:val="24"/>
                <w:szCs w:val="24"/>
              </w:rPr>
            </w:pPr>
            <w:r>
              <w:rPr>
                <w:rFonts w:hint="eastAsia"/>
                <w:color w:val="auto"/>
                <w:kern w:val="0"/>
                <w:sz w:val="24"/>
                <w:szCs w:val="24"/>
                <w:lang w:bidi="ar"/>
              </w:rPr>
              <w:t>440.2</w:t>
            </w:r>
            <w:r>
              <w:rPr>
                <w:color w:val="auto"/>
                <w:kern w:val="0"/>
                <w:sz w:val="24"/>
                <w:szCs w:val="24"/>
                <w:lang w:bidi="ar"/>
              </w:rPr>
              <w:t xml:space="preserve"> ± </w:t>
            </w:r>
            <w:r>
              <w:rPr>
                <w:rFonts w:hint="eastAsia"/>
                <w:color w:val="auto"/>
                <w:kern w:val="0"/>
                <w:sz w:val="24"/>
                <w:szCs w:val="24"/>
                <w:lang w:bidi="ar"/>
              </w:rPr>
              <w:t>79.09</w:t>
            </w:r>
          </w:p>
        </w:tc>
        <w:tc>
          <w:tcPr>
            <w:tcW w:w="2604" w:type="dxa"/>
            <w:shd w:val="clear" w:color="auto" w:fill="auto"/>
            <w:noWrap/>
            <w:vAlign w:val="center"/>
          </w:tcPr>
          <w:p w14:paraId="26F061B0">
            <w:pPr>
              <w:widowControl/>
              <w:jc w:val="center"/>
              <w:textAlignment w:val="center"/>
              <w:rPr>
                <w:rFonts w:eastAsiaTheme="minorEastAsia"/>
                <w:color w:val="auto"/>
                <w:sz w:val="24"/>
                <w:szCs w:val="24"/>
              </w:rPr>
            </w:pPr>
            <w:r>
              <w:rPr>
                <w:rFonts w:hint="eastAsia"/>
                <w:color w:val="auto"/>
                <w:sz w:val="24"/>
                <w:szCs w:val="24"/>
              </w:rPr>
              <w:t>453.4</w:t>
            </w:r>
            <w:r>
              <w:rPr>
                <w:color w:val="auto"/>
                <w:kern w:val="0"/>
                <w:sz w:val="24"/>
                <w:szCs w:val="24"/>
                <w:lang w:bidi="ar"/>
              </w:rPr>
              <w:t xml:space="preserve"> ± </w:t>
            </w:r>
            <w:r>
              <w:rPr>
                <w:rFonts w:hint="eastAsia"/>
                <w:color w:val="auto"/>
                <w:kern w:val="0"/>
                <w:sz w:val="24"/>
                <w:szCs w:val="24"/>
                <w:lang w:bidi="ar"/>
              </w:rPr>
              <w:t>102.2</w:t>
            </w:r>
          </w:p>
        </w:tc>
        <w:tc>
          <w:tcPr>
            <w:tcW w:w="1089" w:type="dxa"/>
            <w:shd w:val="clear" w:color="auto" w:fill="auto"/>
            <w:noWrap/>
            <w:vAlign w:val="center"/>
          </w:tcPr>
          <w:p w14:paraId="6EE06744">
            <w:pPr>
              <w:widowControl/>
              <w:jc w:val="center"/>
              <w:textAlignment w:val="center"/>
              <w:rPr>
                <w:rFonts w:eastAsiaTheme="minorEastAsia"/>
                <w:color w:val="auto"/>
                <w:sz w:val="24"/>
                <w:szCs w:val="24"/>
              </w:rPr>
            </w:pPr>
            <w:r>
              <w:rPr>
                <w:rFonts w:hint="eastAsia"/>
                <w:color w:val="auto"/>
                <w:sz w:val="24"/>
                <w:szCs w:val="24"/>
              </w:rPr>
              <w:t>0.715</w:t>
            </w:r>
          </w:p>
        </w:tc>
      </w:tr>
      <w:tr w14:paraId="051CAEBA">
        <w:tblPrEx>
          <w:tblCellMar>
            <w:top w:w="0" w:type="dxa"/>
            <w:left w:w="108" w:type="dxa"/>
            <w:bottom w:w="0" w:type="dxa"/>
            <w:right w:w="108" w:type="dxa"/>
          </w:tblCellMar>
        </w:tblPrEx>
        <w:trPr>
          <w:trHeight w:val="307" w:hRule="atLeast"/>
        </w:trPr>
        <w:tc>
          <w:tcPr>
            <w:tcW w:w="5275" w:type="dxa"/>
            <w:shd w:val="clear" w:color="auto" w:fill="auto"/>
            <w:noWrap/>
            <w:vAlign w:val="center"/>
          </w:tcPr>
          <w:p w14:paraId="724C1AD3">
            <w:pPr>
              <w:ind w:firstLine="240" w:firstLineChars="100"/>
              <w:rPr>
                <w:color w:val="auto"/>
                <w:sz w:val="24"/>
                <w:szCs w:val="24"/>
              </w:rPr>
            </w:pPr>
            <w:r>
              <w:rPr>
                <w:i/>
                <w:iCs/>
                <w:color w:val="auto"/>
                <w:sz w:val="24"/>
                <w:szCs w:val="24"/>
              </w:rPr>
              <w:t>P</w:t>
            </w:r>
            <w:r>
              <w:rPr>
                <w:color w:val="auto"/>
                <w:sz w:val="24"/>
                <w:szCs w:val="24"/>
              </w:rPr>
              <w:t xml:space="preserve"> value</w:t>
            </w:r>
          </w:p>
        </w:tc>
        <w:tc>
          <w:tcPr>
            <w:tcW w:w="2603" w:type="dxa"/>
            <w:shd w:val="clear" w:color="auto" w:fill="auto"/>
            <w:vAlign w:val="center"/>
          </w:tcPr>
          <w:p w14:paraId="6CAE0B62">
            <w:pPr>
              <w:widowControl/>
              <w:jc w:val="center"/>
              <w:textAlignment w:val="center"/>
              <w:rPr>
                <w:rFonts w:eastAsiaTheme="minorEastAsia"/>
                <w:color w:val="auto"/>
                <w:sz w:val="24"/>
                <w:szCs w:val="24"/>
                <w:lang w:bidi="ar"/>
              </w:rPr>
            </w:pPr>
            <w:r>
              <w:rPr>
                <w:rFonts w:hint="eastAsia"/>
                <w:color w:val="auto"/>
                <w:sz w:val="24"/>
                <w:szCs w:val="24"/>
                <w:lang w:bidi="ar"/>
              </w:rPr>
              <w:t>0.509</w:t>
            </w:r>
          </w:p>
        </w:tc>
        <w:tc>
          <w:tcPr>
            <w:tcW w:w="2603" w:type="dxa"/>
            <w:shd w:val="clear" w:color="auto" w:fill="auto"/>
            <w:noWrap/>
            <w:vAlign w:val="center"/>
          </w:tcPr>
          <w:p w14:paraId="6BF79CD2">
            <w:pPr>
              <w:widowControl/>
              <w:jc w:val="center"/>
              <w:textAlignment w:val="center"/>
              <w:rPr>
                <w:rFonts w:eastAsiaTheme="minorEastAsia"/>
                <w:color w:val="auto"/>
                <w:sz w:val="24"/>
                <w:szCs w:val="24"/>
              </w:rPr>
            </w:pPr>
            <w:r>
              <w:rPr>
                <w:rFonts w:hint="eastAsia"/>
                <w:color w:val="auto"/>
                <w:sz w:val="24"/>
                <w:szCs w:val="24"/>
              </w:rPr>
              <w:t>0.863</w:t>
            </w:r>
          </w:p>
        </w:tc>
        <w:tc>
          <w:tcPr>
            <w:tcW w:w="2604" w:type="dxa"/>
            <w:shd w:val="clear" w:color="auto" w:fill="auto"/>
            <w:noWrap/>
            <w:vAlign w:val="center"/>
          </w:tcPr>
          <w:p w14:paraId="154805A0">
            <w:pPr>
              <w:widowControl/>
              <w:jc w:val="center"/>
              <w:textAlignment w:val="center"/>
              <w:rPr>
                <w:rFonts w:eastAsiaTheme="minorEastAsia"/>
                <w:color w:val="auto"/>
                <w:sz w:val="24"/>
                <w:szCs w:val="24"/>
              </w:rPr>
            </w:pPr>
            <w:r>
              <w:rPr>
                <w:rFonts w:hint="eastAsia"/>
                <w:color w:val="auto"/>
                <w:sz w:val="24"/>
                <w:szCs w:val="24"/>
              </w:rPr>
              <w:t>0.500</w:t>
            </w:r>
          </w:p>
        </w:tc>
        <w:tc>
          <w:tcPr>
            <w:tcW w:w="1089" w:type="dxa"/>
            <w:shd w:val="clear" w:color="auto" w:fill="auto"/>
            <w:noWrap/>
            <w:vAlign w:val="center"/>
          </w:tcPr>
          <w:p w14:paraId="070C7CCE">
            <w:pPr>
              <w:widowControl/>
              <w:jc w:val="center"/>
              <w:textAlignment w:val="center"/>
              <w:rPr>
                <w:rFonts w:eastAsiaTheme="minorEastAsia"/>
                <w:color w:val="auto"/>
                <w:sz w:val="24"/>
                <w:szCs w:val="24"/>
              </w:rPr>
            </w:pPr>
          </w:p>
        </w:tc>
      </w:tr>
      <w:tr w14:paraId="24D649ED">
        <w:tblPrEx>
          <w:tblCellMar>
            <w:top w:w="0" w:type="dxa"/>
            <w:left w:w="108" w:type="dxa"/>
            <w:bottom w:w="0" w:type="dxa"/>
            <w:right w:w="108" w:type="dxa"/>
          </w:tblCellMar>
        </w:tblPrEx>
        <w:trPr>
          <w:trHeight w:val="307" w:hRule="atLeast"/>
        </w:trPr>
        <w:tc>
          <w:tcPr>
            <w:tcW w:w="5275" w:type="dxa"/>
            <w:shd w:val="clear" w:color="auto" w:fill="auto"/>
            <w:noWrap/>
            <w:vAlign w:val="center"/>
          </w:tcPr>
          <w:p w14:paraId="3867B86A">
            <w:pPr>
              <w:rPr>
                <w:color w:val="auto"/>
                <w:sz w:val="24"/>
                <w:szCs w:val="24"/>
              </w:rPr>
            </w:pPr>
            <w:r>
              <w:rPr>
                <w:color w:val="auto"/>
                <w:sz w:val="24"/>
                <w:szCs w:val="24"/>
              </w:rPr>
              <w:t>Positive end-expiratory pressure – cmH</w:t>
            </w:r>
            <w:r>
              <w:rPr>
                <w:color w:val="auto"/>
                <w:sz w:val="24"/>
                <w:szCs w:val="24"/>
                <w:vertAlign w:val="subscript"/>
              </w:rPr>
              <w:t>2</w:t>
            </w:r>
            <w:r>
              <w:rPr>
                <w:color w:val="auto"/>
                <w:sz w:val="24"/>
                <w:szCs w:val="24"/>
              </w:rPr>
              <w:t>O</w:t>
            </w:r>
          </w:p>
        </w:tc>
        <w:tc>
          <w:tcPr>
            <w:tcW w:w="2603" w:type="dxa"/>
            <w:shd w:val="clear" w:color="auto" w:fill="auto"/>
            <w:vAlign w:val="center"/>
          </w:tcPr>
          <w:p w14:paraId="7E1A7FBD">
            <w:pPr>
              <w:widowControl/>
              <w:jc w:val="center"/>
              <w:textAlignment w:val="center"/>
              <w:rPr>
                <w:rFonts w:eastAsiaTheme="minorEastAsia"/>
                <w:color w:val="auto"/>
                <w:sz w:val="24"/>
                <w:szCs w:val="24"/>
                <w:lang w:bidi="ar"/>
              </w:rPr>
            </w:pPr>
          </w:p>
        </w:tc>
        <w:tc>
          <w:tcPr>
            <w:tcW w:w="2603" w:type="dxa"/>
            <w:shd w:val="clear" w:color="auto" w:fill="auto"/>
            <w:noWrap/>
            <w:vAlign w:val="center"/>
          </w:tcPr>
          <w:p w14:paraId="59A36F91">
            <w:pPr>
              <w:widowControl/>
              <w:jc w:val="center"/>
              <w:textAlignment w:val="center"/>
              <w:rPr>
                <w:rFonts w:eastAsiaTheme="minorEastAsia"/>
                <w:color w:val="auto"/>
                <w:sz w:val="24"/>
                <w:szCs w:val="24"/>
              </w:rPr>
            </w:pPr>
          </w:p>
        </w:tc>
        <w:tc>
          <w:tcPr>
            <w:tcW w:w="2604" w:type="dxa"/>
            <w:shd w:val="clear" w:color="auto" w:fill="auto"/>
            <w:noWrap/>
            <w:vAlign w:val="center"/>
          </w:tcPr>
          <w:p w14:paraId="6DFBFBE5">
            <w:pPr>
              <w:widowControl/>
              <w:jc w:val="center"/>
              <w:textAlignment w:val="center"/>
              <w:rPr>
                <w:rFonts w:eastAsiaTheme="minorEastAsia"/>
                <w:color w:val="auto"/>
                <w:sz w:val="24"/>
                <w:szCs w:val="24"/>
              </w:rPr>
            </w:pPr>
          </w:p>
        </w:tc>
        <w:tc>
          <w:tcPr>
            <w:tcW w:w="1089" w:type="dxa"/>
            <w:shd w:val="clear" w:color="auto" w:fill="auto"/>
            <w:noWrap/>
            <w:vAlign w:val="center"/>
          </w:tcPr>
          <w:p w14:paraId="76FB6172">
            <w:pPr>
              <w:widowControl/>
              <w:jc w:val="center"/>
              <w:textAlignment w:val="center"/>
              <w:rPr>
                <w:rFonts w:eastAsiaTheme="minorEastAsia"/>
                <w:color w:val="auto"/>
                <w:sz w:val="24"/>
                <w:szCs w:val="24"/>
              </w:rPr>
            </w:pPr>
          </w:p>
        </w:tc>
      </w:tr>
      <w:tr w14:paraId="3EF6AAAA">
        <w:tblPrEx>
          <w:tblCellMar>
            <w:top w:w="0" w:type="dxa"/>
            <w:left w:w="108" w:type="dxa"/>
            <w:bottom w:w="0" w:type="dxa"/>
            <w:right w:w="108" w:type="dxa"/>
          </w:tblCellMar>
        </w:tblPrEx>
        <w:trPr>
          <w:trHeight w:val="303" w:hRule="atLeast"/>
        </w:trPr>
        <w:tc>
          <w:tcPr>
            <w:tcW w:w="5275" w:type="dxa"/>
            <w:shd w:val="clear" w:color="auto" w:fill="auto"/>
            <w:noWrap/>
            <w:vAlign w:val="center"/>
          </w:tcPr>
          <w:p w14:paraId="4BDED826">
            <w:pPr>
              <w:ind w:firstLine="240" w:firstLineChars="100"/>
              <w:rPr>
                <w:rFonts w:eastAsiaTheme="minorEastAsia"/>
                <w:color w:val="auto"/>
                <w:sz w:val="24"/>
                <w:szCs w:val="24"/>
              </w:rPr>
            </w:pPr>
            <w:r>
              <w:rPr>
                <w:color w:val="auto"/>
                <w:sz w:val="24"/>
                <w:szCs w:val="24"/>
              </w:rPr>
              <w:t>0h</w:t>
            </w:r>
          </w:p>
        </w:tc>
        <w:tc>
          <w:tcPr>
            <w:tcW w:w="2603" w:type="dxa"/>
            <w:shd w:val="clear" w:color="auto" w:fill="auto"/>
            <w:vAlign w:val="center"/>
          </w:tcPr>
          <w:p w14:paraId="3F16F57C">
            <w:pPr>
              <w:widowControl/>
              <w:jc w:val="center"/>
              <w:textAlignment w:val="center"/>
              <w:rPr>
                <w:rFonts w:eastAsiaTheme="minorEastAsia"/>
                <w:color w:val="auto"/>
                <w:sz w:val="24"/>
                <w:szCs w:val="24"/>
                <w:lang w:bidi="ar"/>
              </w:rPr>
            </w:pPr>
            <w:r>
              <w:rPr>
                <w:color w:val="auto"/>
                <w:kern w:val="0"/>
                <w:sz w:val="24"/>
                <w:szCs w:val="24"/>
                <w:lang w:bidi="ar"/>
              </w:rPr>
              <w:t>12.00 [10.00–1</w:t>
            </w:r>
            <w:r>
              <w:rPr>
                <w:rFonts w:hint="eastAsia"/>
                <w:color w:val="auto"/>
                <w:kern w:val="0"/>
                <w:sz w:val="24"/>
                <w:szCs w:val="24"/>
                <w:lang w:bidi="ar"/>
              </w:rPr>
              <w:t>5.00</w:t>
            </w:r>
            <w:r>
              <w:rPr>
                <w:color w:val="auto"/>
                <w:kern w:val="0"/>
                <w:sz w:val="24"/>
                <w:szCs w:val="24"/>
                <w:lang w:bidi="ar"/>
              </w:rPr>
              <w:t>]</w:t>
            </w:r>
          </w:p>
        </w:tc>
        <w:tc>
          <w:tcPr>
            <w:tcW w:w="2603" w:type="dxa"/>
            <w:shd w:val="clear" w:color="auto" w:fill="auto"/>
            <w:noWrap/>
            <w:vAlign w:val="center"/>
          </w:tcPr>
          <w:p w14:paraId="6ED45B0E">
            <w:pPr>
              <w:widowControl/>
              <w:jc w:val="center"/>
              <w:textAlignment w:val="center"/>
              <w:rPr>
                <w:rFonts w:eastAsiaTheme="minorEastAsia"/>
                <w:color w:val="auto"/>
                <w:sz w:val="24"/>
                <w:szCs w:val="24"/>
              </w:rPr>
            </w:pPr>
            <w:r>
              <w:rPr>
                <w:color w:val="auto"/>
                <w:kern w:val="0"/>
                <w:sz w:val="24"/>
                <w:szCs w:val="24"/>
                <w:lang w:bidi="ar"/>
              </w:rPr>
              <w:t>12.10 [1</w:t>
            </w:r>
            <w:r>
              <w:rPr>
                <w:rFonts w:hint="eastAsia"/>
                <w:color w:val="auto"/>
                <w:kern w:val="0"/>
                <w:sz w:val="24"/>
                <w:szCs w:val="24"/>
                <w:lang w:bidi="ar"/>
              </w:rPr>
              <w:t>0</w:t>
            </w:r>
            <w:r>
              <w:rPr>
                <w:color w:val="auto"/>
                <w:kern w:val="0"/>
                <w:sz w:val="24"/>
                <w:szCs w:val="24"/>
                <w:lang w:bidi="ar"/>
              </w:rPr>
              <w:t>.00–15.</w:t>
            </w:r>
            <w:r>
              <w:rPr>
                <w:rFonts w:hint="eastAsia"/>
                <w:color w:val="auto"/>
                <w:kern w:val="0"/>
                <w:sz w:val="24"/>
                <w:szCs w:val="24"/>
                <w:lang w:bidi="ar"/>
              </w:rPr>
              <w:t>4</w:t>
            </w:r>
            <w:r>
              <w:rPr>
                <w:color w:val="auto"/>
                <w:kern w:val="0"/>
                <w:sz w:val="24"/>
                <w:szCs w:val="24"/>
                <w:lang w:bidi="ar"/>
              </w:rPr>
              <w:t>0]</w:t>
            </w:r>
          </w:p>
        </w:tc>
        <w:tc>
          <w:tcPr>
            <w:tcW w:w="2604" w:type="dxa"/>
            <w:shd w:val="clear" w:color="auto" w:fill="auto"/>
            <w:noWrap/>
            <w:vAlign w:val="center"/>
          </w:tcPr>
          <w:p w14:paraId="63B60D16">
            <w:pPr>
              <w:widowControl/>
              <w:jc w:val="center"/>
              <w:textAlignment w:val="center"/>
              <w:rPr>
                <w:rFonts w:eastAsiaTheme="minorEastAsia"/>
                <w:color w:val="auto"/>
                <w:sz w:val="24"/>
                <w:szCs w:val="24"/>
              </w:rPr>
            </w:pPr>
            <w:r>
              <w:rPr>
                <w:color w:val="auto"/>
                <w:kern w:val="0"/>
                <w:sz w:val="24"/>
                <w:szCs w:val="24"/>
                <w:lang w:bidi="ar"/>
              </w:rPr>
              <w:t>12.00 [10.00–1</w:t>
            </w:r>
            <w:r>
              <w:rPr>
                <w:rFonts w:hint="eastAsia"/>
                <w:color w:val="auto"/>
                <w:kern w:val="0"/>
                <w:sz w:val="24"/>
                <w:szCs w:val="24"/>
                <w:lang w:bidi="ar"/>
              </w:rPr>
              <w:t>4.00</w:t>
            </w:r>
            <w:r>
              <w:rPr>
                <w:color w:val="auto"/>
                <w:kern w:val="0"/>
                <w:sz w:val="24"/>
                <w:szCs w:val="24"/>
                <w:lang w:bidi="ar"/>
              </w:rPr>
              <w:t>]</w:t>
            </w:r>
          </w:p>
        </w:tc>
        <w:tc>
          <w:tcPr>
            <w:tcW w:w="1089" w:type="dxa"/>
            <w:shd w:val="clear" w:color="auto" w:fill="auto"/>
            <w:noWrap/>
            <w:vAlign w:val="center"/>
          </w:tcPr>
          <w:p w14:paraId="5A20FF80">
            <w:pPr>
              <w:widowControl/>
              <w:jc w:val="center"/>
              <w:textAlignment w:val="center"/>
              <w:rPr>
                <w:rFonts w:eastAsiaTheme="minorEastAsia"/>
                <w:color w:val="auto"/>
                <w:sz w:val="24"/>
                <w:szCs w:val="24"/>
              </w:rPr>
            </w:pPr>
            <w:r>
              <w:rPr>
                <w:color w:val="auto"/>
                <w:kern w:val="0"/>
                <w:sz w:val="24"/>
                <w:szCs w:val="24"/>
                <w:lang w:bidi="ar"/>
              </w:rPr>
              <w:t>0.</w:t>
            </w:r>
            <w:r>
              <w:rPr>
                <w:rFonts w:hint="eastAsia"/>
                <w:color w:val="auto"/>
                <w:kern w:val="0"/>
                <w:sz w:val="24"/>
                <w:szCs w:val="24"/>
                <w:lang w:bidi="ar"/>
              </w:rPr>
              <w:t>331</w:t>
            </w:r>
          </w:p>
        </w:tc>
      </w:tr>
      <w:tr w14:paraId="419E7218">
        <w:tblPrEx>
          <w:tblCellMar>
            <w:top w:w="0" w:type="dxa"/>
            <w:left w:w="108" w:type="dxa"/>
            <w:bottom w:w="0" w:type="dxa"/>
            <w:right w:w="108" w:type="dxa"/>
          </w:tblCellMar>
        </w:tblPrEx>
        <w:trPr>
          <w:trHeight w:val="307" w:hRule="atLeast"/>
        </w:trPr>
        <w:tc>
          <w:tcPr>
            <w:tcW w:w="5275" w:type="dxa"/>
            <w:shd w:val="clear" w:color="auto" w:fill="auto"/>
            <w:noWrap/>
            <w:vAlign w:val="center"/>
          </w:tcPr>
          <w:p w14:paraId="17FE1B72">
            <w:pPr>
              <w:ind w:firstLine="240" w:firstLineChars="100"/>
              <w:rPr>
                <w:rFonts w:eastAsiaTheme="minorEastAsia"/>
                <w:color w:val="auto"/>
                <w:sz w:val="24"/>
                <w:szCs w:val="24"/>
              </w:rPr>
            </w:pPr>
            <w:r>
              <w:rPr>
                <w:rFonts w:hint="eastAsia"/>
                <w:color w:val="auto"/>
                <w:sz w:val="24"/>
                <w:szCs w:val="24"/>
              </w:rPr>
              <w:t>30min</w:t>
            </w:r>
          </w:p>
        </w:tc>
        <w:tc>
          <w:tcPr>
            <w:tcW w:w="2603" w:type="dxa"/>
            <w:shd w:val="clear" w:color="auto" w:fill="auto"/>
            <w:vAlign w:val="center"/>
          </w:tcPr>
          <w:p w14:paraId="0A6F962C">
            <w:pPr>
              <w:widowControl/>
              <w:jc w:val="center"/>
              <w:textAlignment w:val="center"/>
              <w:rPr>
                <w:rFonts w:eastAsiaTheme="minorEastAsia"/>
                <w:color w:val="auto"/>
                <w:sz w:val="24"/>
                <w:szCs w:val="24"/>
                <w:lang w:bidi="ar"/>
              </w:rPr>
            </w:pPr>
            <w:r>
              <w:rPr>
                <w:color w:val="auto"/>
                <w:kern w:val="0"/>
                <w:sz w:val="24"/>
                <w:szCs w:val="24"/>
                <w:lang w:bidi="ar"/>
              </w:rPr>
              <w:t>12.00 [10.00–1</w:t>
            </w:r>
            <w:r>
              <w:rPr>
                <w:rFonts w:hint="eastAsia"/>
                <w:color w:val="auto"/>
                <w:kern w:val="0"/>
                <w:sz w:val="24"/>
                <w:szCs w:val="24"/>
                <w:lang w:bidi="ar"/>
              </w:rPr>
              <w:t>5.00</w:t>
            </w:r>
            <w:r>
              <w:rPr>
                <w:color w:val="auto"/>
                <w:kern w:val="0"/>
                <w:sz w:val="24"/>
                <w:szCs w:val="24"/>
                <w:lang w:bidi="ar"/>
              </w:rPr>
              <w:t>]</w:t>
            </w:r>
          </w:p>
        </w:tc>
        <w:tc>
          <w:tcPr>
            <w:tcW w:w="2603" w:type="dxa"/>
            <w:shd w:val="clear" w:color="auto" w:fill="auto"/>
            <w:noWrap/>
            <w:vAlign w:val="center"/>
          </w:tcPr>
          <w:p w14:paraId="75E0BA79">
            <w:pPr>
              <w:widowControl/>
              <w:jc w:val="center"/>
              <w:textAlignment w:val="center"/>
              <w:rPr>
                <w:rFonts w:eastAsiaTheme="minorEastAsia"/>
                <w:color w:val="auto"/>
                <w:sz w:val="24"/>
                <w:szCs w:val="24"/>
              </w:rPr>
            </w:pPr>
            <w:r>
              <w:rPr>
                <w:color w:val="auto"/>
                <w:kern w:val="0"/>
                <w:sz w:val="24"/>
                <w:szCs w:val="24"/>
                <w:lang w:bidi="ar"/>
              </w:rPr>
              <w:t>12.10 [11.00–15.</w:t>
            </w:r>
            <w:r>
              <w:rPr>
                <w:rFonts w:hint="eastAsia"/>
                <w:color w:val="auto"/>
                <w:kern w:val="0"/>
                <w:sz w:val="24"/>
                <w:szCs w:val="24"/>
                <w:lang w:bidi="ar"/>
              </w:rPr>
              <w:t>50</w:t>
            </w:r>
            <w:r>
              <w:rPr>
                <w:color w:val="auto"/>
                <w:kern w:val="0"/>
                <w:sz w:val="24"/>
                <w:szCs w:val="24"/>
                <w:lang w:bidi="ar"/>
              </w:rPr>
              <w:t>]</w:t>
            </w:r>
          </w:p>
        </w:tc>
        <w:tc>
          <w:tcPr>
            <w:tcW w:w="2604" w:type="dxa"/>
            <w:shd w:val="clear" w:color="auto" w:fill="auto"/>
            <w:noWrap/>
            <w:vAlign w:val="center"/>
          </w:tcPr>
          <w:p w14:paraId="495E9F67">
            <w:pPr>
              <w:widowControl/>
              <w:jc w:val="center"/>
              <w:textAlignment w:val="center"/>
              <w:rPr>
                <w:rFonts w:eastAsiaTheme="minorEastAsia"/>
                <w:color w:val="auto"/>
                <w:sz w:val="24"/>
                <w:szCs w:val="24"/>
              </w:rPr>
            </w:pPr>
            <w:r>
              <w:rPr>
                <w:color w:val="auto"/>
                <w:kern w:val="0"/>
                <w:sz w:val="24"/>
                <w:szCs w:val="24"/>
                <w:lang w:bidi="ar"/>
              </w:rPr>
              <w:t>12.00 [10.00–1</w:t>
            </w:r>
            <w:r>
              <w:rPr>
                <w:rFonts w:hint="eastAsia"/>
                <w:color w:val="auto"/>
                <w:kern w:val="0"/>
                <w:sz w:val="24"/>
                <w:szCs w:val="24"/>
                <w:lang w:bidi="ar"/>
              </w:rPr>
              <w:t>4.00</w:t>
            </w:r>
            <w:r>
              <w:rPr>
                <w:color w:val="auto"/>
                <w:kern w:val="0"/>
                <w:sz w:val="24"/>
                <w:szCs w:val="24"/>
                <w:lang w:bidi="ar"/>
              </w:rPr>
              <w:t>]</w:t>
            </w:r>
          </w:p>
        </w:tc>
        <w:tc>
          <w:tcPr>
            <w:tcW w:w="1089" w:type="dxa"/>
            <w:shd w:val="clear" w:color="auto" w:fill="auto"/>
            <w:noWrap/>
            <w:vAlign w:val="center"/>
          </w:tcPr>
          <w:p w14:paraId="4E161E8A">
            <w:pPr>
              <w:widowControl/>
              <w:jc w:val="center"/>
              <w:textAlignment w:val="center"/>
              <w:rPr>
                <w:rFonts w:eastAsiaTheme="minorEastAsia"/>
                <w:color w:val="auto"/>
                <w:sz w:val="24"/>
                <w:szCs w:val="24"/>
              </w:rPr>
            </w:pPr>
            <w:r>
              <w:rPr>
                <w:color w:val="auto"/>
                <w:kern w:val="0"/>
                <w:sz w:val="24"/>
                <w:szCs w:val="24"/>
                <w:lang w:bidi="ar"/>
              </w:rPr>
              <w:t>0.3</w:t>
            </w:r>
            <w:r>
              <w:rPr>
                <w:rFonts w:hint="eastAsia"/>
                <w:color w:val="auto"/>
                <w:kern w:val="0"/>
                <w:sz w:val="24"/>
                <w:szCs w:val="24"/>
                <w:lang w:bidi="ar"/>
              </w:rPr>
              <w:t>54</w:t>
            </w:r>
          </w:p>
        </w:tc>
      </w:tr>
      <w:tr w14:paraId="3BBEC819">
        <w:tblPrEx>
          <w:tblCellMar>
            <w:top w:w="0" w:type="dxa"/>
            <w:left w:w="108" w:type="dxa"/>
            <w:bottom w:w="0" w:type="dxa"/>
            <w:right w:w="108" w:type="dxa"/>
          </w:tblCellMar>
        </w:tblPrEx>
        <w:trPr>
          <w:trHeight w:val="307" w:hRule="atLeast"/>
        </w:trPr>
        <w:tc>
          <w:tcPr>
            <w:tcW w:w="5275" w:type="dxa"/>
            <w:shd w:val="clear" w:color="auto" w:fill="auto"/>
            <w:noWrap/>
            <w:vAlign w:val="center"/>
          </w:tcPr>
          <w:p w14:paraId="768BD403">
            <w:pPr>
              <w:ind w:firstLine="240" w:firstLineChars="100"/>
              <w:rPr>
                <w:color w:val="auto"/>
                <w:sz w:val="24"/>
                <w:szCs w:val="24"/>
              </w:rPr>
            </w:pPr>
            <w:r>
              <w:rPr>
                <w:rFonts w:hint="eastAsia"/>
                <w:color w:val="auto"/>
                <w:sz w:val="24"/>
                <w:szCs w:val="24"/>
              </w:rPr>
              <w:t>3h</w:t>
            </w:r>
          </w:p>
        </w:tc>
        <w:tc>
          <w:tcPr>
            <w:tcW w:w="2603" w:type="dxa"/>
            <w:shd w:val="clear" w:color="auto" w:fill="auto"/>
            <w:vAlign w:val="center"/>
          </w:tcPr>
          <w:p w14:paraId="6D517A5D">
            <w:pPr>
              <w:widowControl/>
              <w:jc w:val="center"/>
              <w:textAlignment w:val="center"/>
              <w:rPr>
                <w:color w:val="auto"/>
                <w:kern w:val="0"/>
                <w:sz w:val="24"/>
                <w:szCs w:val="24"/>
                <w:lang w:bidi="ar"/>
              </w:rPr>
            </w:pPr>
            <w:r>
              <w:rPr>
                <w:color w:val="auto"/>
                <w:kern w:val="0"/>
                <w:sz w:val="24"/>
                <w:szCs w:val="24"/>
                <w:lang w:bidi="ar"/>
              </w:rPr>
              <w:t>12.00 [10.00–1</w:t>
            </w:r>
            <w:r>
              <w:rPr>
                <w:rFonts w:hint="eastAsia"/>
                <w:color w:val="auto"/>
                <w:kern w:val="0"/>
                <w:sz w:val="24"/>
                <w:szCs w:val="24"/>
                <w:lang w:bidi="ar"/>
              </w:rPr>
              <w:t>5.00</w:t>
            </w:r>
            <w:r>
              <w:rPr>
                <w:color w:val="auto"/>
                <w:kern w:val="0"/>
                <w:sz w:val="24"/>
                <w:szCs w:val="24"/>
                <w:lang w:bidi="ar"/>
              </w:rPr>
              <w:t>]</w:t>
            </w:r>
          </w:p>
        </w:tc>
        <w:tc>
          <w:tcPr>
            <w:tcW w:w="2603" w:type="dxa"/>
            <w:shd w:val="clear" w:color="auto" w:fill="auto"/>
            <w:noWrap/>
            <w:vAlign w:val="center"/>
          </w:tcPr>
          <w:p w14:paraId="69D0249D">
            <w:pPr>
              <w:widowControl/>
              <w:jc w:val="center"/>
              <w:textAlignment w:val="center"/>
              <w:rPr>
                <w:color w:val="auto"/>
                <w:kern w:val="0"/>
                <w:sz w:val="24"/>
                <w:szCs w:val="24"/>
                <w:lang w:bidi="ar"/>
              </w:rPr>
            </w:pPr>
            <w:r>
              <w:rPr>
                <w:color w:val="auto"/>
                <w:kern w:val="0"/>
                <w:sz w:val="24"/>
                <w:szCs w:val="24"/>
                <w:lang w:bidi="ar"/>
              </w:rPr>
              <w:t>12.00 [10.</w:t>
            </w:r>
            <w:r>
              <w:rPr>
                <w:rFonts w:hint="eastAsia"/>
                <w:color w:val="auto"/>
                <w:kern w:val="0"/>
                <w:sz w:val="24"/>
                <w:szCs w:val="24"/>
                <w:lang w:bidi="ar"/>
              </w:rPr>
              <w:t>70</w:t>
            </w:r>
            <w:r>
              <w:rPr>
                <w:color w:val="auto"/>
                <w:kern w:val="0"/>
                <w:sz w:val="24"/>
                <w:szCs w:val="24"/>
                <w:lang w:bidi="ar"/>
              </w:rPr>
              <w:t>–15.</w:t>
            </w:r>
            <w:r>
              <w:rPr>
                <w:rFonts w:hint="eastAsia"/>
                <w:color w:val="auto"/>
                <w:kern w:val="0"/>
                <w:sz w:val="24"/>
                <w:szCs w:val="24"/>
                <w:lang w:bidi="ar"/>
              </w:rPr>
              <w:t>2</w:t>
            </w:r>
            <w:r>
              <w:rPr>
                <w:color w:val="auto"/>
                <w:kern w:val="0"/>
                <w:sz w:val="24"/>
                <w:szCs w:val="24"/>
                <w:lang w:bidi="ar"/>
              </w:rPr>
              <w:t>0]</w:t>
            </w:r>
          </w:p>
        </w:tc>
        <w:tc>
          <w:tcPr>
            <w:tcW w:w="2604" w:type="dxa"/>
            <w:shd w:val="clear" w:color="auto" w:fill="auto"/>
            <w:noWrap/>
            <w:vAlign w:val="center"/>
          </w:tcPr>
          <w:p w14:paraId="71198B5A">
            <w:pPr>
              <w:widowControl/>
              <w:jc w:val="center"/>
              <w:textAlignment w:val="center"/>
              <w:rPr>
                <w:color w:val="auto"/>
                <w:kern w:val="0"/>
                <w:sz w:val="24"/>
                <w:szCs w:val="24"/>
                <w:lang w:bidi="ar"/>
              </w:rPr>
            </w:pPr>
            <w:r>
              <w:rPr>
                <w:color w:val="auto"/>
                <w:kern w:val="0"/>
                <w:sz w:val="24"/>
                <w:szCs w:val="24"/>
                <w:lang w:bidi="ar"/>
              </w:rPr>
              <w:t>12.00 [10.00–1</w:t>
            </w:r>
            <w:r>
              <w:rPr>
                <w:rFonts w:hint="eastAsia"/>
                <w:color w:val="auto"/>
                <w:kern w:val="0"/>
                <w:sz w:val="24"/>
                <w:szCs w:val="24"/>
                <w:lang w:bidi="ar"/>
              </w:rPr>
              <w:t>4.00</w:t>
            </w:r>
            <w:r>
              <w:rPr>
                <w:color w:val="auto"/>
                <w:kern w:val="0"/>
                <w:sz w:val="24"/>
                <w:szCs w:val="24"/>
                <w:lang w:bidi="ar"/>
              </w:rPr>
              <w:t>]</w:t>
            </w:r>
          </w:p>
        </w:tc>
        <w:tc>
          <w:tcPr>
            <w:tcW w:w="1089" w:type="dxa"/>
            <w:shd w:val="clear" w:color="auto" w:fill="auto"/>
            <w:noWrap/>
            <w:vAlign w:val="center"/>
          </w:tcPr>
          <w:p w14:paraId="7C03E03F">
            <w:pPr>
              <w:widowControl/>
              <w:jc w:val="center"/>
              <w:textAlignment w:val="center"/>
              <w:rPr>
                <w:color w:val="auto"/>
                <w:kern w:val="0"/>
                <w:sz w:val="24"/>
                <w:szCs w:val="24"/>
                <w:lang w:bidi="ar"/>
              </w:rPr>
            </w:pPr>
            <w:r>
              <w:rPr>
                <w:color w:val="auto"/>
                <w:kern w:val="0"/>
                <w:sz w:val="24"/>
                <w:szCs w:val="24"/>
                <w:lang w:bidi="ar"/>
              </w:rPr>
              <w:t>0.</w:t>
            </w:r>
            <w:r>
              <w:rPr>
                <w:rFonts w:hint="eastAsia"/>
                <w:color w:val="auto"/>
                <w:kern w:val="0"/>
                <w:sz w:val="24"/>
                <w:szCs w:val="24"/>
                <w:lang w:bidi="ar"/>
              </w:rPr>
              <w:t>401</w:t>
            </w:r>
          </w:p>
        </w:tc>
      </w:tr>
      <w:tr w14:paraId="16F753F1">
        <w:tblPrEx>
          <w:tblCellMar>
            <w:top w:w="0" w:type="dxa"/>
            <w:left w:w="108" w:type="dxa"/>
            <w:bottom w:w="0" w:type="dxa"/>
            <w:right w:w="108" w:type="dxa"/>
          </w:tblCellMar>
        </w:tblPrEx>
        <w:trPr>
          <w:trHeight w:val="303" w:hRule="atLeast"/>
        </w:trPr>
        <w:tc>
          <w:tcPr>
            <w:tcW w:w="5275" w:type="dxa"/>
            <w:shd w:val="clear" w:color="auto" w:fill="auto"/>
            <w:noWrap/>
            <w:vAlign w:val="center"/>
          </w:tcPr>
          <w:p w14:paraId="210F40A0">
            <w:pPr>
              <w:rPr>
                <w:rFonts w:eastAsiaTheme="minorEastAsia"/>
                <w:color w:val="auto"/>
                <w:sz w:val="24"/>
                <w:szCs w:val="24"/>
              </w:rPr>
            </w:pPr>
            <w:r>
              <w:rPr>
                <w:color w:val="auto"/>
                <w:sz w:val="24"/>
                <w:szCs w:val="24"/>
              </w:rPr>
              <w:t xml:space="preserve">  </w:t>
            </w:r>
            <w:r>
              <w:rPr>
                <w:i/>
                <w:iCs/>
                <w:color w:val="auto"/>
                <w:sz w:val="24"/>
                <w:szCs w:val="24"/>
              </w:rPr>
              <w:t>P</w:t>
            </w:r>
            <w:r>
              <w:rPr>
                <w:color w:val="auto"/>
                <w:sz w:val="24"/>
                <w:szCs w:val="24"/>
              </w:rPr>
              <w:t xml:space="preserve"> value</w:t>
            </w:r>
          </w:p>
        </w:tc>
        <w:tc>
          <w:tcPr>
            <w:tcW w:w="2603" w:type="dxa"/>
            <w:shd w:val="clear" w:color="auto" w:fill="auto"/>
            <w:vAlign w:val="center"/>
          </w:tcPr>
          <w:p w14:paraId="612EEFEC">
            <w:pPr>
              <w:widowControl/>
              <w:jc w:val="center"/>
              <w:textAlignment w:val="center"/>
              <w:rPr>
                <w:rFonts w:eastAsiaTheme="minorEastAsia"/>
                <w:color w:val="auto"/>
                <w:sz w:val="24"/>
                <w:szCs w:val="24"/>
                <w:lang w:bidi="ar"/>
              </w:rPr>
            </w:pPr>
            <w:r>
              <w:rPr>
                <w:rFonts w:hint="eastAsia"/>
                <w:color w:val="auto"/>
                <w:sz w:val="24"/>
                <w:szCs w:val="24"/>
                <w:lang w:bidi="ar"/>
              </w:rPr>
              <w:t>0.337</w:t>
            </w:r>
          </w:p>
        </w:tc>
        <w:tc>
          <w:tcPr>
            <w:tcW w:w="2603" w:type="dxa"/>
            <w:shd w:val="clear" w:color="auto" w:fill="auto"/>
            <w:noWrap/>
            <w:vAlign w:val="center"/>
          </w:tcPr>
          <w:p w14:paraId="60B71A9B">
            <w:pPr>
              <w:widowControl/>
              <w:jc w:val="center"/>
              <w:textAlignment w:val="center"/>
              <w:rPr>
                <w:rFonts w:eastAsiaTheme="minorEastAsia"/>
                <w:color w:val="auto"/>
                <w:sz w:val="24"/>
                <w:szCs w:val="24"/>
              </w:rPr>
            </w:pPr>
            <w:r>
              <w:rPr>
                <w:rFonts w:hint="eastAsia"/>
                <w:color w:val="auto"/>
                <w:sz w:val="24"/>
                <w:szCs w:val="24"/>
              </w:rPr>
              <w:t>0.896</w:t>
            </w:r>
          </w:p>
        </w:tc>
        <w:tc>
          <w:tcPr>
            <w:tcW w:w="2604" w:type="dxa"/>
            <w:shd w:val="clear" w:color="auto" w:fill="auto"/>
            <w:noWrap/>
            <w:vAlign w:val="center"/>
          </w:tcPr>
          <w:p w14:paraId="6B849F65">
            <w:pPr>
              <w:widowControl/>
              <w:jc w:val="center"/>
              <w:textAlignment w:val="center"/>
              <w:rPr>
                <w:rFonts w:eastAsiaTheme="minorEastAsia"/>
                <w:color w:val="auto"/>
                <w:sz w:val="24"/>
                <w:szCs w:val="24"/>
              </w:rPr>
            </w:pPr>
            <w:r>
              <w:rPr>
                <w:rFonts w:hint="eastAsia"/>
                <w:color w:val="auto"/>
                <w:sz w:val="24"/>
                <w:szCs w:val="24"/>
              </w:rPr>
              <w:t>0.217</w:t>
            </w:r>
          </w:p>
        </w:tc>
        <w:tc>
          <w:tcPr>
            <w:tcW w:w="1089" w:type="dxa"/>
            <w:shd w:val="clear" w:color="auto" w:fill="auto"/>
            <w:noWrap/>
            <w:vAlign w:val="center"/>
          </w:tcPr>
          <w:p w14:paraId="59E3E5E4">
            <w:pPr>
              <w:widowControl/>
              <w:jc w:val="center"/>
              <w:rPr>
                <w:rFonts w:eastAsiaTheme="minorEastAsia"/>
                <w:color w:val="auto"/>
                <w:sz w:val="24"/>
                <w:szCs w:val="24"/>
              </w:rPr>
            </w:pPr>
          </w:p>
        </w:tc>
      </w:tr>
      <w:tr w14:paraId="28287459">
        <w:tblPrEx>
          <w:tblCellMar>
            <w:top w:w="0" w:type="dxa"/>
            <w:left w:w="108" w:type="dxa"/>
            <w:bottom w:w="0" w:type="dxa"/>
            <w:right w:w="108" w:type="dxa"/>
          </w:tblCellMar>
        </w:tblPrEx>
        <w:trPr>
          <w:trHeight w:val="307" w:hRule="atLeast"/>
        </w:trPr>
        <w:tc>
          <w:tcPr>
            <w:tcW w:w="5275" w:type="dxa"/>
            <w:shd w:val="clear" w:color="auto" w:fill="auto"/>
            <w:noWrap/>
            <w:vAlign w:val="center"/>
          </w:tcPr>
          <w:p w14:paraId="295BFE8C">
            <w:pPr>
              <w:rPr>
                <w:color w:val="auto"/>
                <w:kern w:val="0"/>
                <w:sz w:val="24"/>
                <w:szCs w:val="24"/>
                <w:lang w:bidi="ar"/>
              </w:rPr>
            </w:pPr>
            <w:r>
              <w:rPr>
                <w:color w:val="auto"/>
                <w:kern w:val="0"/>
                <w:sz w:val="24"/>
                <w:szCs w:val="24"/>
                <w:lang w:bidi="ar"/>
              </w:rPr>
              <w:t>Driving pressure – cmH</w:t>
            </w:r>
            <w:r>
              <w:rPr>
                <w:color w:val="auto"/>
                <w:kern w:val="0"/>
                <w:sz w:val="24"/>
                <w:szCs w:val="24"/>
                <w:vertAlign w:val="subscript"/>
                <w:lang w:bidi="ar"/>
              </w:rPr>
              <w:t>2</w:t>
            </w:r>
            <w:r>
              <w:rPr>
                <w:color w:val="auto"/>
                <w:kern w:val="0"/>
                <w:sz w:val="24"/>
                <w:szCs w:val="24"/>
                <w:lang w:bidi="ar"/>
              </w:rPr>
              <w:t>O</w:t>
            </w:r>
          </w:p>
        </w:tc>
        <w:tc>
          <w:tcPr>
            <w:tcW w:w="2603" w:type="dxa"/>
            <w:shd w:val="clear" w:color="auto" w:fill="auto"/>
            <w:vAlign w:val="center"/>
          </w:tcPr>
          <w:p w14:paraId="49410AF7">
            <w:pPr>
              <w:widowControl/>
              <w:jc w:val="center"/>
              <w:textAlignment w:val="center"/>
              <w:rPr>
                <w:rFonts w:eastAsiaTheme="minorEastAsia"/>
                <w:color w:val="auto"/>
                <w:sz w:val="24"/>
                <w:szCs w:val="24"/>
              </w:rPr>
            </w:pPr>
          </w:p>
        </w:tc>
        <w:tc>
          <w:tcPr>
            <w:tcW w:w="2603" w:type="dxa"/>
            <w:shd w:val="clear" w:color="auto" w:fill="auto"/>
            <w:noWrap/>
            <w:vAlign w:val="center"/>
          </w:tcPr>
          <w:p w14:paraId="5F4E71DB">
            <w:pPr>
              <w:widowControl/>
              <w:jc w:val="center"/>
              <w:textAlignment w:val="center"/>
              <w:rPr>
                <w:rFonts w:eastAsiaTheme="minorEastAsia"/>
                <w:color w:val="auto"/>
                <w:sz w:val="24"/>
                <w:szCs w:val="24"/>
              </w:rPr>
            </w:pPr>
          </w:p>
        </w:tc>
        <w:tc>
          <w:tcPr>
            <w:tcW w:w="2604" w:type="dxa"/>
            <w:shd w:val="clear" w:color="auto" w:fill="auto"/>
            <w:noWrap/>
            <w:vAlign w:val="center"/>
          </w:tcPr>
          <w:p w14:paraId="5F72CD60">
            <w:pPr>
              <w:widowControl/>
              <w:jc w:val="center"/>
              <w:textAlignment w:val="center"/>
              <w:rPr>
                <w:rFonts w:eastAsiaTheme="minorEastAsia"/>
                <w:color w:val="auto"/>
                <w:sz w:val="24"/>
                <w:szCs w:val="24"/>
              </w:rPr>
            </w:pPr>
          </w:p>
        </w:tc>
        <w:tc>
          <w:tcPr>
            <w:tcW w:w="1089" w:type="dxa"/>
            <w:shd w:val="clear" w:color="auto" w:fill="auto"/>
            <w:noWrap/>
            <w:vAlign w:val="center"/>
          </w:tcPr>
          <w:p w14:paraId="523DCE84">
            <w:pPr>
              <w:widowControl/>
              <w:jc w:val="center"/>
              <w:textAlignment w:val="center"/>
              <w:rPr>
                <w:rFonts w:eastAsiaTheme="minorEastAsia"/>
                <w:color w:val="auto"/>
                <w:sz w:val="24"/>
                <w:szCs w:val="24"/>
              </w:rPr>
            </w:pPr>
          </w:p>
        </w:tc>
      </w:tr>
      <w:tr w14:paraId="5BD823F7">
        <w:tblPrEx>
          <w:tblCellMar>
            <w:top w:w="0" w:type="dxa"/>
            <w:left w:w="108" w:type="dxa"/>
            <w:bottom w:w="0" w:type="dxa"/>
            <w:right w:w="108" w:type="dxa"/>
          </w:tblCellMar>
        </w:tblPrEx>
        <w:trPr>
          <w:trHeight w:val="307" w:hRule="atLeast"/>
        </w:trPr>
        <w:tc>
          <w:tcPr>
            <w:tcW w:w="5275" w:type="dxa"/>
            <w:shd w:val="clear" w:color="auto" w:fill="auto"/>
            <w:noWrap/>
            <w:vAlign w:val="center"/>
          </w:tcPr>
          <w:p w14:paraId="33043E5E">
            <w:pPr>
              <w:ind w:firstLine="240" w:firstLineChars="100"/>
              <w:rPr>
                <w:rFonts w:eastAsiaTheme="minorEastAsia"/>
                <w:color w:val="auto"/>
                <w:sz w:val="24"/>
                <w:szCs w:val="24"/>
              </w:rPr>
            </w:pPr>
            <w:r>
              <w:rPr>
                <w:color w:val="auto"/>
                <w:sz w:val="24"/>
                <w:szCs w:val="24"/>
              </w:rPr>
              <w:t>0h</w:t>
            </w:r>
          </w:p>
        </w:tc>
        <w:tc>
          <w:tcPr>
            <w:tcW w:w="2603" w:type="dxa"/>
            <w:shd w:val="clear" w:color="auto" w:fill="auto"/>
            <w:vAlign w:val="center"/>
          </w:tcPr>
          <w:p w14:paraId="44D9734A">
            <w:pPr>
              <w:widowControl/>
              <w:jc w:val="center"/>
              <w:textAlignment w:val="center"/>
              <w:rPr>
                <w:rFonts w:eastAsiaTheme="minorEastAsia"/>
                <w:color w:val="auto"/>
                <w:sz w:val="24"/>
                <w:szCs w:val="24"/>
              </w:rPr>
            </w:pPr>
            <w:r>
              <w:rPr>
                <w:color w:val="auto"/>
                <w:kern w:val="0"/>
                <w:sz w:val="24"/>
                <w:szCs w:val="24"/>
                <w:lang w:bidi="ar"/>
              </w:rPr>
              <w:t>14.00 [12.</w:t>
            </w:r>
            <w:r>
              <w:rPr>
                <w:rFonts w:hint="eastAsia"/>
                <w:color w:val="auto"/>
                <w:kern w:val="0"/>
                <w:sz w:val="24"/>
                <w:szCs w:val="24"/>
                <w:lang w:bidi="ar"/>
              </w:rPr>
              <w:t>00</w:t>
            </w:r>
            <w:r>
              <w:rPr>
                <w:color w:val="auto"/>
                <w:kern w:val="0"/>
                <w:sz w:val="24"/>
                <w:szCs w:val="24"/>
                <w:lang w:bidi="ar"/>
              </w:rPr>
              <w:t>–1</w:t>
            </w:r>
            <w:r>
              <w:rPr>
                <w:rFonts w:hint="eastAsia"/>
                <w:color w:val="auto"/>
                <w:kern w:val="0"/>
                <w:sz w:val="24"/>
                <w:szCs w:val="24"/>
                <w:lang w:bidi="ar"/>
              </w:rPr>
              <w:t>5.00</w:t>
            </w:r>
            <w:r>
              <w:rPr>
                <w:color w:val="auto"/>
                <w:kern w:val="0"/>
                <w:sz w:val="24"/>
                <w:szCs w:val="24"/>
                <w:lang w:bidi="ar"/>
              </w:rPr>
              <w:t>]</w:t>
            </w:r>
          </w:p>
        </w:tc>
        <w:tc>
          <w:tcPr>
            <w:tcW w:w="2603" w:type="dxa"/>
            <w:shd w:val="clear" w:color="auto" w:fill="auto"/>
            <w:noWrap/>
            <w:vAlign w:val="center"/>
          </w:tcPr>
          <w:p w14:paraId="6528C13C">
            <w:pPr>
              <w:widowControl/>
              <w:jc w:val="center"/>
              <w:textAlignment w:val="center"/>
              <w:rPr>
                <w:rFonts w:eastAsiaTheme="minorEastAsia"/>
                <w:color w:val="auto"/>
                <w:sz w:val="24"/>
                <w:szCs w:val="24"/>
              </w:rPr>
            </w:pPr>
            <w:r>
              <w:rPr>
                <w:color w:val="auto"/>
                <w:kern w:val="0"/>
                <w:sz w:val="24"/>
                <w:szCs w:val="24"/>
                <w:lang w:bidi="ar"/>
              </w:rPr>
              <w:t>14.00 [12.</w:t>
            </w:r>
            <w:r>
              <w:rPr>
                <w:rFonts w:hint="eastAsia"/>
                <w:color w:val="auto"/>
                <w:kern w:val="0"/>
                <w:sz w:val="24"/>
                <w:szCs w:val="24"/>
                <w:lang w:bidi="ar"/>
              </w:rPr>
              <w:t>6</w:t>
            </w:r>
            <w:r>
              <w:rPr>
                <w:color w:val="auto"/>
                <w:kern w:val="0"/>
                <w:sz w:val="24"/>
                <w:szCs w:val="24"/>
                <w:lang w:bidi="ar"/>
              </w:rPr>
              <w:t>0–1</w:t>
            </w:r>
            <w:r>
              <w:rPr>
                <w:rFonts w:hint="eastAsia"/>
                <w:color w:val="auto"/>
                <w:kern w:val="0"/>
                <w:sz w:val="24"/>
                <w:szCs w:val="24"/>
                <w:lang w:bidi="ar"/>
              </w:rPr>
              <w:t>5.0</w:t>
            </w:r>
            <w:r>
              <w:rPr>
                <w:color w:val="auto"/>
                <w:kern w:val="0"/>
                <w:sz w:val="24"/>
                <w:szCs w:val="24"/>
                <w:lang w:bidi="ar"/>
              </w:rPr>
              <w:t>0]</w:t>
            </w:r>
          </w:p>
        </w:tc>
        <w:tc>
          <w:tcPr>
            <w:tcW w:w="2604" w:type="dxa"/>
            <w:shd w:val="clear" w:color="auto" w:fill="auto"/>
            <w:noWrap/>
            <w:vAlign w:val="center"/>
          </w:tcPr>
          <w:p w14:paraId="678A1574">
            <w:pPr>
              <w:widowControl/>
              <w:jc w:val="center"/>
              <w:textAlignment w:val="center"/>
              <w:rPr>
                <w:rFonts w:eastAsiaTheme="minorEastAsia"/>
                <w:color w:val="auto"/>
                <w:sz w:val="24"/>
                <w:szCs w:val="24"/>
              </w:rPr>
            </w:pPr>
            <w:r>
              <w:rPr>
                <w:color w:val="auto"/>
                <w:kern w:val="0"/>
                <w:sz w:val="24"/>
                <w:szCs w:val="24"/>
                <w:lang w:bidi="ar"/>
              </w:rPr>
              <w:t>14.00 [12.00–1</w:t>
            </w:r>
            <w:r>
              <w:rPr>
                <w:rFonts w:hint="eastAsia"/>
                <w:color w:val="auto"/>
                <w:kern w:val="0"/>
                <w:sz w:val="24"/>
                <w:szCs w:val="24"/>
                <w:lang w:bidi="ar"/>
              </w:rPr>
              <w:t>5.0</w:t>
            </w:r>
            <w:r>
              <w:rPr>
                <w:color w:val="auto"/>
                <w:kern w:val="0"/>
                <w:sz w:val="24"/>
                <w:szCs w:val="24"/>
                <w:lang w:bidi="ar"/>
              </w:rPr>
              <w:t>0]</w:t>
            </w:r>
          </w:p>
        </w:tc>
        <w:tc>
          <w:tcPr>
            <w:tcW w:w="1089" w:type="dxa"/>
            <w:shd w:val="clear" w:color="auto" w:fill="auto"/>
            <w:noWrap/>
            <w:vAlign w:val="center"/>
          </w:tcPr>
          <w:p w14:paraId="3765EA3E">
            <w:pPr>
              <w:widowControl/>
              <w:jc w:val="center"/>
              <w:textAlignment w:val="center"/>
              <w:rPr>
                <w:rFonts w:eastAsiaTheme="minorEastAsia"/>
                <w:color w:val="auto"/>
                <w:sz w:val="24"/>
                <w:szCs w:val="24"/>
              </w:rPr>
            </w:pPr>
            <w:r>
              <w:rPr>
                <w:color w:val="auto"/>
                <w:kern w:val="0"/>
                <w:sz w:val="24"/>
                <w:szCs w:val="24"/>
                <w:lang w:bidi="ar"/>
              </w:rPr>
              <w:t>0.7</w:t>
            </w:r>
            <w:r>
              <w:rPr>
                <w:rFonts w:hint="eastAsia"/>
                <w:color w:val="auto"/>
                <w:kern w:val="0"/>
                <w:sz w:val="24"/>
                <w:szCs w:val="24"/>
                <w:lang w:bidi="ar"/>
              </w:rPr>
              <w:t>56</w:t>
            </w:r>
          </w:p>
        </w:tc>
      </w:tr>
      <w:tr w14:paraId="6AD35288">
        <w:tblPrEx>
          <w:tblCellMar>
            <w:top w:w="0" w:type="dxa"/>
            <w:left w:w="108" w:type="dxa"/>
            <w:bottom w:w="0" w:type="dxa"/>
            <w:right w:w="108" w:type="dxa"/>
          </w:tblCellMar>
        </w:tblPrEx>
        <w:trPr>
          <w:trHeight w:val="307" w:hRule="atLeast"/>
        </w:trPr>
        <w:tc>
          <w:tcPr>
            <w:tcW w:w="5275" w:type="dxa"/>
            <w:shd w:val="clear" w:color="auto" w:fill="auto"/>
            <w:noWrap/>
            <w:vAlign w:val="center"/>
          </w:tcPr>
          <w:p w14:paraId="0DE89399">
            <w:pPr>
              <w:ind w:firstLine="240" w:firstLineChars="100"/>
              <w:rPr>
                <w:rFonts w:eastAsiaTheme="minorEastAsia"/>
                <w:color w:val="auto"/>
                <w:sz w:val="24"/>
                <w:szCs w:val="24"/>
              </w:rPr>
            </w:pPr>
            <w:r>
              <w:rPr>
                <w:color w:val="auto"/>
                <w:sz w:val="24"/>
                <w:szCs w:val="24"/>
              </w:rPr>
              <w:t>30min</w:t>
            </w:r>
          </w:p>
        </w:tc>
        <w:tc>
          <w:tcPr>
            <w:tcW w:w="2603" w:type="dxa"/>
            <w:shd w:val="clear" w:color="auto" w:fill="auto"/>
            <w:vAlign w:val="center"/>
          </w:tcPr>
          <w:p w14:paraId="2E731865">
            <w:pPr>
              <w:widowControl/>
              <w:jc w:val="center"/>
              <w:textAlignment w:val="center"/>
              <w:rPr>
                <w:rFonts w:eastAsiaTheme="minorEastAsia"/>
                <w:color w:val="auto"/>
                <w:sz w:val="24"/>
                <w:szCs w:val="24"/>
              </w:rPr>
            </w:pPr>
            <w:r>
              <w:rPr>
                <w:color w:val="auto"/>
                <w:kern w:val="0"/>
                <w:sz w:val="24"/>
                <w:szCs w:val="24"/>
                <w:lang w:bidi="ar"/>
              </w:rPr>
              <w:t>13.05 [12.</w:t>
            </w:r>
            <w:r>
              <w:rPr>
                <w:rFonts w:hint="eastAsia"/>
                <w:color w:val="auto"/>
                <w:kern w:val="0"/>
                <w:sz w:val="24"/>
                <w:szCs w:val="24"/>
                <w:lang w:bidi="ar"/>
              </w:rPr>
              <w:t>0</w:t>
            </w:r>
            <w:r>
              <w:rPr>
                <w:color w:val="auto"/>
                <w:kern w:val="0"/>
                <w:sz w:val="24"/>
                <w:szCs w:val="24"/>
                <w:lang w:bidi="ar"/>
              </w:rPr>
              <w:t>0–1</w:t>
            </w:r>
            <w:r>
              <w:rPr>
                <w:rFonts w:hint="eastAsia"/>
                <w:color w:val="auto"/>
                <w:kern w:val="0"/>
                <w:sz w:val="24"/>
                <w:szCs w:val="24"/>
                <w:lang w:bidi="ar"/>
              </w:rPr>
              <w:t>5.00</w:t>
            </w:r>
            <w:r>
              <w:rPr>
                <w:color w:val="auto"/>
                <w:kern w:val="0"/>
                <w:sz w:val="24"/>
                <w:szCs w:val="24"/>
                <w:lang w:bidi="ar"/>
              </w:rPr>
              <w:t>]</w:t>
            </w:r>
          </w:p>
        </w:tc>
        <w:tc>
          <w:tcPr>
            <w:tcW w:w="2603" w:type="dxa"/>
            <w:shd w:val="clear" w:color="auto" w:fill="auto"/>
            <w:noWrap/>
            <w:vAlign w:val="center"/>
          </w:tcPr>
          <w:p w14:paraId="107B9CEE">
            <w:pPr>
              <w:widowControl/>
              <w:jc w:val="center"/>
              <w:textAlignment w:val="center"/>
              <w:rPr>
                <w:rFonts w:eastAsiaTheme="minorEastAsia"/>
                <w:color w:val="auto"/>
                <w:sz w:val="24"/>
                <w:szCs w:val="24"/>
              </w:rPr>
            </w:pPr>
            <w:r>
              <w:rPr>
                <w:color w:val="auto"/>
                <w:kern w:val="0"/>
                <w:sz w:val="24"/>
                <w:szCs w:val="24"/>
                <w:lang w:bidi="ar"/>
              </w:rPr>
              <w:t>13.10 [12.</w:t>
            </w:r>
            <w:r>
              <w:rPr>
                <w:rFonts w:hint="eastAsia"/>
                <w:color w:val="auto"/>
                <w:kern w:val="0"/>
                <w:sz w:val="24"/>
                <w:szCs w:val="24"/>
                <w:lang w:bidi="ar"/>
              </w:rPr>
              <w:t>4</w:t>
            </w:r>
            <w:r>
              <w:rPr>
                <w:color w:val="auto"/>
                <w:kern w:val="0"/>
                <w:sz w:val="24"/>
                <w:szCs w:val="24"/>
                <w:lang w:bidi="ar"/>
              </w:rPr>
              <w:t>0–1</w:t>
            </w:r>
            <w:r>
              <w:rPr>
                <w:rFonts w:hint="eastAsia"/>
                <w:color w:val="auto"/>
                <w:kern w:val="0"/>
                <w:sz w:val="24"/>
                <w:szCs w:val="24"/>
                <w:lang w:bidi="ar"/>
              </w:rPr>
              <w:t>5.0</w:t>
            </w:r>
            <w:r>
              <w:rPr>
                <w:color w:val="auto"/>
                <w:kern w:val="0"/>
                <w:sz w:val="24"/>
                <w:szCs w:val="24"/>
                <w:lang w:bidi="ar"/>
              </w:rPr>
              <w:t>0]</w:t>
            </w:r>
          </w:p>
        </w:tc>
        <w:tc>
          <w:tcPr>
            <w:tcW w:w="2604" w:type="dxa"/>
            <w:shd w:val="clear" w:color="auto" w:fill="auto"/>
            <w:noWrap/>
            <w:vAlign w:val="center"/>
          </w:tcPr>
          <w:p w14:paraId="71401FD0">
            <w:pPr>
              <w:widowControl/>
              <w:jc w:val="center"/>
              <w:textAlignment w:val="center"/>
              <w:rPr>
                <w:rFonts w:eastAsiaTheme="minorEastAsia"/>
                <w:color w:val="auto"/>
                <w:sz w:val="24"/>
                <w:szCs w:val="24"/>
              </w:rPr>
            </w:pPr>
            <w:r>
              <w:rPr>
                <w:color w:val="auto"/>
                <w:kern w:val="0"/>
                <w:sz w:val="24"/>
                <w:szCs w:val="24"/>
                <w:lang w:bidi="ar"/>
              </w:rPr>
              <w:t>13.00 [12.00–1</w:t>
            </w:r>
            <w:r>
              <w:rPr>
                <w:rFonts w:hint="eastAsia"/>
                <w:color w:val="auto"/>
                <w:kern w:val="0"/>
                <w:sz w:val="24"/>
                <w:szCs w:val="24"/>
                <w:lang w:bidi="ar"/>
              </w:rPr>
              <w:t>5.0</w:t>
            </w:r>
            <w:r>
              <w:rPr>
                <w:color w:val="auto"/>
                <w:kern w:val="0"/>
                <w:sz w:val="24"/>
                <w:szCs w:val="24"/>
                <w:lang w:bidi="ar"/>
              </w:rPr>
              <w:t>0]</w:t>
            </w:r>
          </w:p>
        </w:tc>
        <w:tc>
          <w:tcPr>
            <w:tcW w:w="1089" w:type="dxa"/>
            <w:shd w:val="clear" w:color="auto" w:fill="auto"/>
            <w:noWrap/>
            <w:vAlign w:val="center"/>
          </w:tcPr>
          <w:p w14:paraId="44116819">
            <w:pPr>
              <w:widowControl/>
              <w:jc w:val="center"/>
              <w:textAlignment w:val="center"/>
              <w:rPr>
                <w:color w:val="auto"/>
                <w:kern w:val="0"/>
                <w:sz w:val="24"/>
                <w:szCs w:val="24"/>
                <w:lang w:bidi="ar"/>
              </w:rPr>
            </w:pPr>
            <w:r>
              <w:rPr>
                <w:color w:val="auto"/>
                <w:kern w:val="0"/>
                <w:sz w:val="24"/>
                <w:szCs w:val="24"/>
                <w:lang w:bidi="ar"/>
              </w:rPr>
              <w:t>0.8</w:t>
            </w:r>
            <w:r>
              <w:rPr>
                <w:rFonts w:hint="eastAsia"/>
                <w:color w:val="auto"/>
                <w:kern w:val="0"/>
                <w:sz w:val="24"/>
                <w:szCs w:val="24"/>
                <w:lang w:bidi="ar"/>
              </w:rPr>
              <w:t>23</w:t>
            </w:r>
          </w:p>
        </w:tc>
      </w:tr>
      <w:tr w14:paraId="5E11A44E">
        <w:tblPrEx>
          <w:tblCellMar>
            <w:top w:w="0" w:type="dxa"/>
            <w:left w:w="108" w:type="dxa"/>
            <w:bottom w:w="0" w:type="dxa"/>
            <w:right w:w="108" w:type="dxa"/>
          </w:tblCellMar>
        </w:tblPrEx>
        <w:trPr>
          <w:trHeight w:val="307" w:hRule="atLeast"/>
        </w:trPr>
        <w:tc>
          <w:tcPr>
            <w:tcW w:w="5275" w:type="dxa"/>
            <w:shd w:val="clear" w:color="auto" w:fill="auto"/>
            <w:noWrap/>
            <w:vAlign w:val="center"/>
          </w:tcPr>
          <w:p w14:paraId="4812283D">
            <w:pPr>
              <w:ind w:firstLine="240" w:firstLineChars="100"/>
              <w:rPr>
                <w:color w:val="auto"/>
                <w:sz w:val="24"/>
                <w:szCs w:val="24"/>
              </w:rPr>
            </w:pPr>
            <w:r>
              <w:rPr>
                <w:rFonts w:hint="eastAsia"/>
                <w:color w:val="auto"/>
                <w:sz w:val="24"/>
                <w:szCs w:val="24"/>
              </w:rPr>
              <w:t>3h</w:t>
            </w:r>
          </w:p>
        </w:tc>
        <w:tc>
          <w:tcPr>
            <w:tcW w:w="2603" w:type="dxa"/>
            <w:shd w:val="clear" w:color="auto" w:fill="auto"/>
            <w:vAlign w:val="center"/>
          </w:tcPr>
          <w:p w14:paraId="7B9E774F">
            <w:pPr>
              <w:widowControl/>
              <w:jc w:val="center"/>
              <w:textAlignment w:val="center"/>
              <w:rPr>
                <w:color w:val="auto"/>
                <w:kern w:val="0"/>
                <w:sz w:val="24"/>
                <w:szCs w:val="24"/>
                <w:lang w:bidi="ar"/>
              </w:rPr>
            </w:pPr>
            <w:r>
              <w:rPr>
                <w:color w:val="auto"/>
                <w:kern w:val="0"/>
                <w:sz w:val="24"/>
                <w:szCs w:val="24"/>
                <w:lang w:bidi="ar"/>
              </w:rPr>
              <w:t>13.50 [12.</w:t>
            </w:r>
            <w:r>
              <w:rPr>
                <w:rFonts w:hint="eastAsia"/>
                <w:color w:val="auto"/>
                <w:kern w:val="0"/>
                <w:sz w:val="24"/>
                <w:szCs w:val="24"/>
                <w:lang w:bidi="ar"/>
              </w:rPr>
              <w:t>45</w:t>
            </w:r>
            <w:r>
              <w:rPr>
                <w:color w:val="auto"/>
                <w:kern w:val="0"/>
                <w:sz w:val="24"/>
                <w:szCs w:val="24"/>
                <w:lang w:bidi="ar"/>
              </w:rPr>
              <w:t>–14.</w:t>
            </w:r>
            <w:r>
              <w:rPr>
                <w:rFonts w:hint="eastAsia"/>
                <w:color w:val="auto"/>
                <w:kern w:val="0"/>
                <w:sz w:val="24"/>
                <w:szCs w:val="24"/>
                <w:lang w:bidi="ar"/>
              </w:rPr>
              <w:t>25</w:t>
            </w:r>
            <w:r>
              <w:rPr>
                <w:color w:val="auto"/>
                <w:kern w:val="0"/>
                <w:sz w:val="24"/>
                <w:szCs w:val="24"/>
                <w:lang w:bidi="ar"/>
              </w:rPr>
              <w:t>]</w:t>
            </w:r>
          </w:p>
        </w:tc>
        <w:tc>
          <w:tcPr>
            <w:tcW w:w="2603" w:type="dxa"/>
            <w:shd w:val="clear" w:color="auto" w:fill="auto"/>
            <w:noWrap/>
            <w:vAlign w:val="center"/>
          </w:tcPr>
          <w:p w14:paraId="09541906">
            <w:pPr>
              <w:widowControl/>
              <w:jc w:val="center"/>
              <w:textAlignment w:val="center"/>
              <w:rPr>
                <w:color w:val="auto"/>
                <w:kern w:val="0"/>
                <w:sz w:val="24"/>
                <w:szCs w:val="24"/>
                <w:lang w:bidi="ar"/>
              </w:rPr>
            </w:pPr>
            <w:r>
              <w:rPr>
                <w:color w:val="auto"/>
                <w:kern w:val="0"/>
                <w:sz w:val="24"/>
                <w:szCs w:val="24"/>
                <w:lang w:bidi="ar"/>
              </w:rPr>
              <w:t>14.00 [12.</w:t>
            </w:r>
            <w:r>
              <w:rPr>
                <w:rFonts w:hint="eastAsia"/>
                <w:color w:val="auto"/>
                <w:kern w:val="0"/>
                <w:sz w:val="24"/>
                <w:szCs w:val="24"/>
                <w:lang w:bidi="ar"/>
              </w:rPr>
              <w:t>8</w:t>
            </w:r>
            <w:r>
              <w:rPr>
                <w:color w:val="auto"/>
                <w:kern w:val="0"/>
                <w:sz w:val="24"/>
                <w:szCs w:val="24"/>
                <w:lang w:bidi="ar"/>
              </w:rPr>
              <w:t>0–1</w:t>
            </w:r>
            <w:r>
              <w:rPr>
                <w:rFonts w:hint="eastAsia"/>
                <w:color w:val="auto"/>
                <w:kern w:val="0"/>
                <w:sz w:val="24"/>
                <w:szCs w:val="24"/>
                <w:lang w:bidi="ar"/>
              </w:rPr>
              <w:t>5.0</w:t>
            </w:r>
            <w:r>
              <w:rPr>
                <w:color w:val="auto"/>
                <w:kern w:val="0"/>
                <w:sz w:val="24"/>
                <w:szCs w:val="24"/>
                <w:lang w:bidi="ar"/>
              </w:rPr>
              <w:t>0]</w:t>
            </w:r>
          </w:p>
        </w:tc>
        <w:tc>
          <w:tcPr>
            <w:tcW w:w="2604" w:type="dxa"/>
            <w:shd w:val="clear" w:color="auto" w:fill="auto"/>
            <w:noWrap/>
            <w:vAlign w:val="center"/>
          </w:tcPr>
          <w:p w14:paraId="7A50B073">
            <w:pPr>
              <w:widowControl/>
              <w:jc w:val="center"/>
              <w:textAlignment w:val="center"/>
              <w:rPr>
                <w:color w:val="auto"/>
                <w:kern w:val="0"/>
                <w:sz w:val="24"/>
                <w:szCs w:val="24"/>
                <w:lang w:bidi="ar"/>
              </w:rPr>
            </w:pPr>
            <w:r>
              <w:rPr>
                <w:color w:val="auto"/>
                <w:kern w:val="0"/>
                <w:sz w:val="24"/>
                <w:szCs w:val="24"/>
                <w:lang w:bidi="ar"/>
              </w:rPr>
              <w:t>13.00 [12.00–14.00]</w:t>
            </w:r>
          </w:p>
        </w:tc>
        <w:tc>
          <w:tcPr>
            <w:tcW w:w="1089" w:type="dxa"/>
            <w:shd w:val="clear" w:color="auto" w:fill="auto"/>
            <w:noWrap/>
            <w:vAlign w:val="center"/>
          </w:tcPr>
          <w:p w14:paraId="048E319A">
            <w:pPr>
              <w:widowControl/>
              <w:jc w:val="center"/>
              <w:textAlignment w:val="center"/>
              <w:rPr>
                <w:color w:val="auto"/>
                <w:kern w:val="0"/>
                <w:sz w:val="24"/>
                <w:szCs w:val="24"/>
                <w:lang w:bidi="ar"/>
              </w:rPr>
            </w:pPr>
            <w:r>
              <w:rPr>
                <w:color w:val="auto"/>
                <w:kern w:val="0"/>
                <w:sz w:val="24"/>
                <w:szCs w:val="24"/>
                <w:lang w:bidi="ar"/>
              </w:rPr>
              <w:t>0.4</w:t>
            </w:r>
            <w:r>
              <w:rPr>
                <w:rFonts w:hint="eastAsia"/>
                <w:color w:val="auto"/>
                <w:kern w:val="0"/>
                <w:sz w:val="24"/>
                <w:szCs w:val="24"/>
                <w:lang w:bidi="ar"/>
              </w:rPr>
              <w:t>60</w:t>
            </w:r>
          </w:p>
        </w:tc>
      </w:tr>
      <w:tr w14:paraId="3D6D678A">
        <w:tblPrEx>
          <w:tblCellMar>
            <w:top w:w="0" w:type="dxa"/>
            <w:left w:w="108" w:type="dxa"/>
            <w:bottom w:w="0" w:type="dxa"/>
            <w:right w:w="108" w:type="dxa"/>
          </w:tblCellMar>
        </w:tblPrEx>
        <w:trPr>
          <w:trHeight w:val="307" w:hRule="atLeast"/>
        </w:trPr>
        <w:tc>
          <w:tcPr>
            <w:tcW w:w="5275" w:type="dxa"/>
            <w:shd w:val="clear" w:color="auto" w:fill="auto"/>
            <w:noWrap/>
            <w:vAlign w:val="center"/>
          </w:tcPr>
          <w:p w14:paraId="65D9297D">
            <w:pPr>
              <w:rPr>
                <w:rFonts w:eastAsiaTheme="minorEastAsia"/>
                <w:color w:val="auto"/>
                <w:sz w:val="24"/>
                <w:szCs w:val="24"/>
              </w:rPr>
            </w:pPr>
            <w:r>
              <w:rPr>
                <w:color w:val="auto"/>
                <w:sz w:val="24"/>
                <w:szCs w:val="24"/>
              </w:rPr>
              <w:t xml:space="preserve">  </w:t>
            </w:r>
            <w:r>
              <w:rPr>
                <w:i/>
                <w:iCs/>
                <w:color w:val="auto"/>
                <w:sz w:val="24"/>
                <w:szCs w:val="24"/>
              </w:rPr>
              <w:t>P</w:t>
            </w:r>
            <w:r>
              <w:rPr>
                <w:color w:val="auto"/>
                <w:sz w:val="24"/>
                <w:szCs w:val="24"/>
              </w:rPr>
              <w:t xml:space="preserve"> value</w:t>
            </w:r>
          </w:p>
        </w:tc>
        <w:tc>
          <w:tcPr>
            <w:tcW w:w="2603" w:type="dxa"/>
            <w:shd w:val="clear" w:color="auto" w:fill="auto"/>
            <w:vAlign w:val="center"/>
          </w:tcPr>
          <w:p w14:paraId="5719827D">
            <w:pPr>
              <w:widowControl/>
              <w:jc w:val="center"/>
              <w:textAlignment w:val="center"/>
              <w:rPr>
                <w:rFonts w:eastAsiaTheme="minorEastAsia"/>
                <w:color w:val="auto"/>
                <w:sz w:val="24"/>
                <w:szCs w:val="24"/>
              </w:rPr>
            </w:pPr>
            <w:r>
              <w:rPr>
                <w:rFonts w:hint="eastAsia"/>
                <w:color w:val="auto"/>
                <w:sz w:val="24"/>
                <w:szCs w:val="24"/>
              </w:rPr>
              <w:t>0.534</w:t>
            </w:r>
          </w:p>
        </w:tc>
        <w:tc>
          <w:tcPr>
            <w:tcW w:w="2603" w:type="dxa"/>
            <w:shd w:val="clear" w:color="auto" w:fill="auto"/>
            <w:noWrap/>
            <w:vAlign w:val="center"/>
          </w:tcPr>
          <w:p w14:paraId="08AFECB3">
            <w:pPr>
              <w:widowControl/>
              <w:jc w:val="center"/>
              <w:textAlignment w:val="center"/>
              <w:rPr>
                <w:rFonts w:eastAsiaTheme="minorEastAsia"/>
                <w:color w:val="auto"/>
                <w:sz w:val="24"/>
                <w:szCs w:val="24"/>
              </w:rPr>
            </w:pPr>
            <w:r>
              <w:rPr>
                <w:rFonts w:hint="eastAsia"/>
                <w:color w:val="auto"/>
                <w:sz w:val="24"/>
                <w:szCs w:val="24"/>
              </w:rPr>
              <w:t>0.292</w:t>
            </w:r>
          </w:p>
        </w:tc>
        <w:tc>
          <w:tcPr>
            <w:tcW w:w="2604" w:type="dxa"/>
            <w:shd w:val="clear" w:color="auto" w:fill="auto"/>
            <w:noWrap/>
            <w:vAlign w:val="center"/>
          </w:tcPr>
          <w:p w14:paraId="60184918">
            <w:pPr>
              <w:widowControl/>
              <w:jc w:val="center"/>
              <w:textAlignment w:val="center"/>
              <w:rPr>
                <w:rFonts w:eastAsiaTheme="minorEastAsia"/>
                <w:color w:val="auto"/>
                <w:sz w:val="24"/>
                <w:szCs w:val="24"/>
              </w:rPr>
            </w:pPr>
            <w:r>
              <w:rPr>
                <w:rFonts w:hint="eastAsia"/>
                <w:color w:val="auto"/>
                <w:sz w:val="24"/>
                <w:szCs w:val="24"/>
              </w:rPr>
              <w:t>0.756</w:t>
            </w:r>
          </w:p>
        </w:tc>
        <w:tc>
          <w:tcPr>
            <w:tcW w:w="1089" w:type="dxa"/>
            <w:shd w:val="clear" w:color="auto" w:fill="auto"/>
            <w:noWrap/>
            <w:vAlign w:val="center"/>
          </w:tcPr>
          <w:p w14:paraId="1EB91528">
            <w:pPr>
              <w:widowControl/>
              <w:jc w:val="center"/>
              <w:textAlignment w:val="center"/>
              <w:rPr>
                <w:rFonts w:eastAsiaTheme="minorEastAsia"/>
                <w:color w:val="auto"/>
                <w:sz w:val="24"/>
                <w:szCs w:val="24"/>
              </w:rPr>
            </w:pPr>
          </w:p>
        </w:tc>
      </w:tr>
      <w:tr w14:paraId="73344DB4">
        <w:tblPrEx>
          <w:tblCellMar>
            <w:top w:w="0" w:type="dxa"/>
            <w:left w:w="108" w:type="dxa"/>
            <w:bottom w:w="0" w:type="dxa"/>
            <w:right w:w="108" w:type="dxa"/>
          </w:tblCellMar>
        </w:tblPrEx>
        <w:trPr>
          <w:trHeight w:val="307" w:hRule="atLeast"/>
        </w:trPr>
        <w:tc>
          <w:tcPr>
            <w:tcW w:w="5275" w:type="dxa"/>
            <w:shd w:val="clear" w:color="auto" w:fill="auto"/>
            <w:noWrap/>
            <w:vAlign w:val="center"/>
          </w:tcPr>
          <w:p w14:paraId="2929E1F7">
            <w:pPr>
              <w:rPr>
                <w:rFonts w:eastAsiaTheme="minorEastAsia"/>
                <w:color w:val="auto"/>
                <w:sz w:val="24"/>
                <w:szCs w:val="24"/>
              </w:rPr>
            </w:pPr>
            <w:r>
              <w:rPr>
                <w:rFonts w:hint="eastAsia"/>
                <w:color w:val="auto"/>
                <w:sz w:val="24"/>
                <w:szCs w:val="24"/>
              </w:rPr>
              <w:t>Static r</w:t>
            </w:r>
            <w:r>
              <w:rPr>
                <w:color w:val="auto"/>
                <w:sz w:val="24"/>
                <w:szCs w:val="24"/>
              </w:rPr>
              <w:t>espiratory system compliance – mL/cmH</w:t>
            </w:r>
            <w:r>
              <w:rPr>
                <w:color w:val="auto"/>
                <w:sz w:val="24"/>
                <w:szCs w:val="24"/>
                <w:vertAlign w:val="subscript"/>
              </w:rPr>
              <w:t>2</w:t>
            </w:r>
            <w:r>
              <w:rPr>
                <w:color w:val="auto"/>
                <w:sz w:val="24"/>
                <w:szCs w:val="24"/>
              </w:rPr>
              <w:t>O</w:t>
            </w:r>
          </w:p>
        </w:tc>
        <w:tc>
          <w:tcPr>
            <w:tcW w:w="2603" w:type="dxa"/>
            <w:shd w:val="clear" w:color="auto" w:fill="auto"/>
            <w:vAlign w:val="center"/>
          </w:tcPr>
          <w:p w14:paraId="46CE897C">
            <w:pPr>
              <w:widowControl/>
              <w:jc w:val="center"/>
              <w:textAlignment w:val="center"/>
              <w:rPr>
                <w:rFonts w:eastAsiaTheme="minorEastAsia"/>
                <w:color w:val="auto"/>
                <w:sz w:val="24"/>
                <w:szCs w:val="24"/>
                <w:lang w:bidi="ar"/>
              </w:rPr>
            </w:pPr>
          </w:p>
        </w:tc>
        <w:tc>
          <w:tcPr>
            <w:tcW w:w="2603" w:type="dxa"/>
            <w:shd w:val="clear" w:color="auto" w:fill="auto"/>
            <w:noWrap/>
            <w:vAlign w:val="center"/>
          </w:tcPr>
          <w:p w14:paraId="7C7D4232">
            <w:pPr>
              <w:widowControl/>
              <w:jc w:val="center"/>
              <w:textAlignment w:val="center"/>
              <w:rPr>
                <w:rFonts w:eastAsiaTheme="minorEastAsia"/>
                <w:color w:val="auto"/>
                <w:sz w:val="24"/>
                <w:szCs w:val="24"/>
              </w:rPr>
            </w:pPr>
          </w:p>
        </w:tc>
        <w:tc>
          <w:tcPr>
            <w:tcW w:w="2604" w:type="dxa"/>
            <w:shd w:val="clear" w:color="auto" w:fill="auto"/>
            <w:noWrap/>
            <w:vAlign w:val="center"/>
          </w:tcPr>
          <w:p w14:paraId="6C61646F">
            <w:pPr>
              <w:widowControl/>
              <w:jc w:val="center"/>
              <w:textAlignment w:val="center"/>
              <w:rPr>
                <w:rFonts w:eastAsiaTheme="minorEastAsia"/>
                <w:color w:val="auto"/>
                <w:sz w:val="24"/>
                <w:szCs w:val="24"/>
              </w:rPr>
            </w:pPr>
          </w:p>
        </w:tc>
        <w:tc>
          <w:tcPr>
            <w:tcW w:w="1089" w:type="dxa"/>
            <w:shd w:val="clear" w:color="auto" w:fill="auto"/>
            <w:noWrap/>
            <w:vAlign w:val="center"/>
          </w:tcPr>
          <w:p w14:paraId="6F56E24B">
            <w:pPr>
              <w:widowControl/>
              <w:jc w:val="center"/>
              <w:rPr>
                <w:color w:val="auto"/>
                <w:kern w:val="0"/>
                <w:sz w:val="24"/>
                <w:szCs w:val="24"/>
                <w:lang w:bidi="ar"/>
              </w:rPr>
            </w:pPr>
          </w:p>
        </w:tc>
      </w:tr>
      <w:tr w14:paraId="543988AC">
        <w:tblPrEx>
          <w:tblCellMar>
            <w:top w:w="0" w:type="dxa"/>
            <w:left w:w="108" w:type="dxa"/>
            <w:bottom w:w="0" w:type="dxa"/>
            <w:right w:w="108" w:type="dxa"/>
          </w:tblCellMar>
        </w:tblPrEx>
        <w:trPr>
          <w:trHeight w:val="300" w:hRule="atLeast"/>
        </w:trPr>
        <w:tc>
          <w:tcPr>
            <w:tcW w:w="5275" w:type="dxa"/>
            <w:shd w:val="clear" w:color="auto" w:fill="auto"/>
            <w:noWrap/>
            <w:vAlign w:val="center"/>
          </w:tcPr>
          <w:p w14:paraId="3895F956">
            <w:pPr>
              <w:ind w:firstLine="240" w:firstLineChars="100"/>
              <w:rPr>
                <w:rFonts w:eastAsiaTheme="minorEastAsia"/>
                <w:color w:val="auto"/>
                <w:sz w:val="24"/>
                <w:szCs w:val="24"/>
              </w:rPr>
            </w:pPr>
            <w:r>
              <w:rPr>
                <w:color w:val="auto"/>
                <w:sz w:val="24"/>
                <w:szCs w:val="24"/>
              </w:rPr>
              <w:t>0h</w:t>
            </w:r>
          </w:p>
        </w:tc>
        <w:tc>
          <w:tcPr>
            <w:tcW w:w="2603" w:type="dxa"/>
            <w:shd w:val="clear" w:color="auto" w:fill="auto"/>
            <w:vAlign w:val="center"/>
          </w:tcPr>
          <w:p w14:paraId="6C8B3753">
            <w:pPr>
              <w:widowControl/>
              <w:jc w:val="center"/>
              <w:textAlignment w:val="center"/>
              <w:rPr>
                <w:rFonts w:eastAsiaTheme="minorEastAsia"/>
                <w:color w:val="auto"/>
                <w:sz w:val="24"/>
                <w:szCs w:val="24"/>
                <w:lang w:bidi="ar"/>
              </w:rPr>
            </w:pPr>
            <w:r>
              <w:rPr>
                <w:color w:val="auto"/>
                <w:kern w:val="0"/>
                <w:sz w:val="24"/>
                <w:szCs w:val="24"/>
                <w:lang w:bidi="ar"/>
              </w:rPr>
              <w:t>31.86 ± 11.14</w:t>
            </w:r>
          </w:p>
        </w:tc>
        <w:tc>
          <w:tcPr>
            <w:tcW w:w="2603" w:type="dxa"/>
            <w:shd w:val="clear" w:color="auto" w:fill="auto"/>
            <w:noWrap/>
            <w:vAlign w:val="center"/>
          </w:tcPr>
          <w:p w14:paraId="33D65840">
            <w:pPr>
              <w:widowControl/>
              <w:jc w:val="center"/>
              <w:textAlignment w:val="center"/>
              <w:rPr>
                <w:rFonts w:eastAsiaTheme="minorEastAsia"/>
                <w:color w:val="auto"/>
                <w:sz w:val="24"/>
                <w:szCs w:val="24"/>
              </w:rPr>
            </w:pPr>
            <w:r>
              <w:rPr>
                <w:color w:val="auto"/>
                <w:kern w:val="0"/>
                <w:sz w:val="24"/>
                <w:szCs w:val="24"/>
                <w:lang w:bidi="ar"/>
              </w:rPr>
              <w:t>32.56 ± 7.01</w:t>
            </w:r>
          </w:p>
        </w:tc>
        <w:tc>
          <w:tcPr>
            <w:tcW w:w="2604" w:type="dxa"/>
            <w:shd w:val="clear" w:color="auto" w:fill="auto"/>
            <w:noWrap/>
            <w:vAlign w:val="center"/>
          </w:tcPr>
          <w:p w14:paraId="410454B5">
            <w:pPr>
              <w:widowControl/>
              <w:jc w:val="center"/>
              <w:textAlignment w:val="center"/>
              <w:rPr>
                <w:rFonts w:eastAsiaTheme="minorEastAsia"/>
                <w:color w:val="auto"/>
                <w:sz w:val="24"/>
                <w:szCs w:val="24"/>
              </w:rPr>
            </w:pPr>
            <w:r>
              <w:rPr>
                <w:color w:val="auto"/>
                <w:kern w:val="0"/>
                <w:sz w:val="24"/>
                <w:szCs w:val="24"/>
                <w:lang w:bidi="ar"/>
              </w:rPr>
              <w:t>31.46 ± 13.11</w:t>
            </w:r>
          </w:p>
        </w:tc>
        <w:tc>
          <w:tcPr>
            <w:tcW w:w="1089" w:type="dxa"/>
            <w:shd w:val="clear" w:color="auto" w:fill="auto"/>
            <w:noWrap/>
            <w:vAlign w:val="center"/>
          </w:tcPr>
          <w:p w14:paraId="5E328C34">
            <w:pPr>
              <w:widowControl/>
              <w:jc w:val="center"/>
              <w:textAlignment w:val="center"/>
              <w:rPr>
                <w:color w:val="auto"/>
                <w:kern w:val="0"/>
                <w:sz w:val="24"/>
                <w:szCs w:val="24"/>
                <w:lang w:bidi="ar"/>
              </w:rPr>
            </w:pPr>
            <w:r>
              <w:rPr>
                <w:color w:val="auto"/>
                <w:kern w:val="0"/>
                <w:sz w:val="24"/>
                <w:szCs w:val="24"/>
                <w:lang w:bidi="ar"/>
              </w:rPr>
              <w:t>0.798</w:t>
            </w:r>
          </w:p>
        </w:tc>
      </w:tr>
      <w:tr w14:paraId="79C71AE0">
        <w:tblPrEx>
          <w:tblCellMar>
            <w:top w:w="0" w:type="dxa"/>
            <w:left w:w="108" w:type="dxa"/>
            <w:bottom w:w="0" w:type="dxa"/>
            <w:right w:w="108" w:type="dxa"/>
          </w:tblCellMar>
        </w:tblPrEx>
        <w:trPr>
          <w:trHeight w:val="307" w:hRule="atLeast"/>
        </w:trPr>
        <w:tc>
          <w:tcPr>
            <w:tcW w:w="5275" w:type="dxa"/>
            <w:shd w:val="clear" w:color="auto" w:fill="auto"/>
            <w:noWrap/>
            <w:vAlign w:val="center"/>
          </w:tcPr>
          <w:p w14:paraId="3E3D09E6">
            <w:pPr>
              <w:ind w:firstLine="240" w:firstLineChars="100"/>
              <w:rPr>
                <w:rFonts w:eastAsiaTheme="minorEastAsia"/>
                <w:color w:val="auto"/>
                <w:sz w:val="24"/>
                <w:szCs w:val="24"/>
              </w:rPr>
            </w:pPr>
            <w:r>
              <w:rPr>
                <w:color w:val="auto"/>
                <w:sz w:val="24"/>
                <w:szCs w:val="24"/>
              </w:rPr>
              <w:t>30min</w:t>
            </w:r>
          </w:p>
        </w:tc>
        <w:tc>
          <w:tcPr>
            <w:tcW w:w="2603" w:type="dxa"/>
            <w:shd w:val="clear" w:color="auto" w:fill="auto"/>
            <w:vAlign w:val="center"/>
          </w:tcPr>
          <w:p w14:paraId="46B1871C">
            <w:pPr>
              <w:widowControl/>
              <w:jc w:val="center"/>
              <w:textAlignment w:val="center"/>
              <w:rPr>
                <w:rFonts w:eastAsiaTheme="minorEastAsia"/>
                <w:color w:val="auto"/>
                <w:sz w:val="24"/>
                <w:szCs w:val="24"/>
                <w:lang w:bidi="ar"/>
              </w:rPr>
            </w:pPr>
            <w:r>
              <w:rPr>
                <w:color w:val="auto"/>
                <w:kern w:val="0"/>
                <w:sz w:val="24"/>
                <w:szCs w:val="24"/>
                <w:lang w:bidi="ar"/>
              </w:rPr>
              <w:t>34.17 ± 10.58</w:t>
            </w:r>
          </w:p>
        </w:tc>
        <w:tc>
          <w:tcPr>
            <w:tcW w:w="2603" w:type="dxa"/>
            <w:shd w:val="clear" w:color="auto" w:fill="auto"/>
            <w:noWrap/>
            <w:vAlign w:val="center"/>
          </w:tcPr>
          <w:p w14:paraId="23990CBF">
            <w:pPr>
              <w:widowControl/>
              <w:jc w:val="center"/>
              <w:textAlignment w:val="center"/>
              <w:rPr>
                <w:rFonts w:eastAsiaTheme="minorEastAsia"/>
                <w:color w:val="auto"/>
                <w:sz w:val="24"/>
                <w:szCs w:val="24"/>
              </w:rPr>
            </w:pPr>
            <w:r>
              <w:rPr>
                <w:color w:val="auto"/>
                <w:kern w:val="0"/>
                <w:sz w:val="24"/>
                <w:szCs w:val="24"/>
                <w:lang w:bidi="ar"/>
              </w:rPr>
              <w:t>32.90 ± 7.00</w:t>
            </w:r>
          </w:p>
        </w:tc>
        <w:tc>
          <w:tcPr>
            <w:tcW w:w="2604" w:type="dxa"/>
            <w:shd w:val="clear" w:color="auto" w:fill="auto"/>
            <w:noWrap/>
            <w:vAlign w:val="center"/>
          </w:tcPr>
          <w:p w14:paraId="418AD17B">
            <w:pPr>
              <w:widowControl/>
              <w:jc w:val="center"/>
              <w:textAlignment w:val="center"/>
              <w:rPr>
                <w:rFonts w:eastAsiaTheme="minorEastAsia"/>
                <w:color w:val="auto"/>
                <w:sz w:val="24"/>
                <w:szCs w:val="24"/>
              </w:rPr>
            </w:pPr>
            <w:r>
              <w:rPr>
                <w:color w:val="auto"/>
                <w:kern w:val="0"/>
                <w:sz w:val="24"/>
                <w:szCs w:val="24"/>
                <w:lang w:bidi="ar"/>
              </w:rPr>
              <w:t>34.91 ± 12.32</w:t>
            </w:r>
          </w:p>
        </w:tc>
        <w:tc>
          <w:tcPr>
            <w:tcW w:w="1089" w:type="dxa"/>
            <w:shd w:val="clear" w:color="auto" w:fill="auto"/>
            <w:noWrap/>
            <w:vAlign w:val="center"/>
          </w:tcPr>
          <w:p w14:paraId="05932A36">
            <w:pPr>
              <w:widowControl/>
              <w:jc w:val="center"/>
              <w:textAlignment w:val="center"/>
              <w:rPr>
                <w:color w:val="auto"/>
                <w:kern w:val="0"/>
                <w:sz w:val="24"/>
                <w:szCs w:val="24"/>
                <w:lang w:bidi="ar"/>
              </w:rPr>
            </w:pPr>
            <w:r>
              <w:rPr>
                <w:color w:val="auto"/>
                <w:kern w:val="0"/>
                <w:sz w:val="24"/>
                <w:szCs w:val="24"/>
                <w:lang w:bidi="ar"/>
              </w:rPr>
              <w:t>0.625</w:t>
            </w:r>
          </w:p>
        </w:tc>
      </w:tr>
      <w:tr w14:paraId="3C8AB1C0">
        <w:tblPrEx>
          <w:tblCellMar>
            <w:top w:w="0" w:type="dxa"/>
            <w:left w:w="108" w:type="dxa"/>
            <w:bottom w:w="0" w:type="dxa"/>
            <w:right w:w="108" w:type="dxa"/>
          </w:tblCellMar>
        </w:tblPrEx>
        <w:trPr>
          <w:trHeight w:val="307" w:hRule="atLeast"/>
        </w:trPr>
        <w:tc>
          <w:tcPr>
            <w:tcW w:w="5275" w:type="dxa"/>
            <w:shd w:val="clear" w:color="auto" w:fill="auto"/>
            <w:noWrap/>
            <w:vAlign w:val="center"/>
          </w:tcPr>
          <w:p w14:paraId="665F0B98">
            <w:pPr>
              <w:ind w:firstLine="240" w:firstLineChars="100"/>
              <w:rPr>
                <w:color w:val="auto"/>
                <w:sz w:val="24"/>
                <w:szCs w:val="24"/>
              </w:rPr>
            </w:pPr>
            <w:r>
              <w:rPr>
                <w:rFonts w:hint="eastAsia"/>
                <w:color w:val="auto"/>
                <w:sz w:val="24"/>
                <w:szCs w:val="24"/>
              </w:rPr>
              <w:t>3h</w:t>
            </w:r>
          </w:p>
        </w:tc>
        <w:tc>
          <w:tcPr>
            <w:tcW w:w="2603" w:type="dxa"/>
            <w:shd w:val="clear" w:color="auto" w:fill="auto"/>
            <w:vAlign w:val="center"/>
          </w:tcPr>
          <w:p w14:paraId="674CA8BF">
            <w:pPr>
              <w:widowControl/>
              <w:jc w:val="center"/>
              <w:textAlignment w:val="center"/>
              <w:rPr>
                <w:color w:val="auto"/>
                <w:kern w:val="0"/>
                <w:sz w:val="24"/>
                <w:szCs w:val="24"/>
                <w:lang w:bidi="ar"/>
              </w:rPr>
            </w:pPr>
            <w:r>
              <w:rPr>
                <w:color w:val="auto"/>
                <w:kern w:val="0"/>
                <w:sz w:val="24"/>
                <w:szCs w:val="24"/>
                <w:lang w:bidi="ar"/>
              </w:rPr>
              <w:t>3</w:t>
            </w:r>
            <w:r>
              <w:rPr>
                <w:rFonts w:hint="eastAsia"/>
                <w:color w:val="auto"/>
                <w:kern w:val="0"/>
                <w:sz w:val="24"/>
                <w:szCs w:val="24"/>
                <w:lang w:bidi="ar"/>
              </w:rPr>
              <w:t>3.88</w:t>
            </w:r>
            <w:r>
              <w:rPr>
                <w:color w:val="auto"/>
                <w:kern w:val="0"/>
                <w:sz w:val="24"/>
                <w:szCs w:val="24"/>
                <w:lang w:bidi="ar"/>
              </w:rPr>
              <w:t xml:space="preserve"> ± 1</w:t>
            </w:r>
            <w:r>
              <w:rPr>
                <w:rFonts w:hint="eastAsia"/>
                <w:color w:val="auto"/>
                <w:kern w:val="0"/>
                <w:sz w:val="24"/>
                <w:szCs w:val="24"/>
                <w:lang w:bidi="ar"/>
              </w:rPr>
              <w:t>0.10</w:t>
            </w:r>
          </w:p>
        </w:tc>
        <w:tc>
          <w:tcPr>
            <w:tcW w:w="2603" w:type="dxa"/>
            <w:shd w:val="clear" w:color="auto" w:fill="auto"/>
            <w:noWrap/>
            <w:vAlign w:val="center"/>
          </w:tcPr>
          <w:p w14:paraId="02F2A220">
            <w:pPr>
              <w:widowControl/>
              <w:jc w:val="center"/>
              <w:textAlignment w:val="center"/>
              <w:rPr>
                <w:color w:val="auto"/>
                <w:kern w:val="0"/>
                <w:sz w:val="24"/>
                <w:szCs w:val="24"/>
                <w:lang w:bidi="ar"/>
              </w:rPr>
            </w:pPr>
            <w:r>
              <w:rPr>
                <w:color w:val="auto"/>
                <w:kern w:val="0"/>
                <w:sz w:val="24"/>
                <w:szCs w:val="24"/>
                <w:lang w:bidi="ar"/>
              </w:rPr>
              <w:t>32.</w:t>
            </w:r>
            <w:r>
              <w:rPr>
                <w:rFonts w:hint="eastAsia"/>
                <w:color w:val="auto"/>
                <w:kern w:val="0"/>
                <w:sz w:val="24"/>
                <w:szCs w:val="24"/>
                <w:lang w:bidi="ar"/>
              </w:rPr>
              <w:t>23</w:t>
            </w:r>
            <w:r>
              <w:rPr>
                <w:color w:val="auto"/>
                <w:kern w:val="0"/>
                <w:sz w:val="24"/>
                <w:szCs w:val="24"/>
                <w:lang w:bidi="ar"/>
              </w:rPr>
              <w:t xml:space="preserve"> ± </w:t>
            </w:r>
            <w:r>
              <w:rPr>
                <w:rFonts w:hint="eastAsia"/>
                <w:color w:val="auto"/>
                <w:kern w:val="0"/>
                <w:sz w:val="24"/>
                <w:szCs w:val="24"/>
                <w:lang w:bidi="ar"/>
              </w:rPr>
              <w:t>6.06</w:t>
            </w:r>
          </w:p>
        </w:tc>
        <w:tc>
          <w:tcPr>
            <w:tcW w:w="2604" w:type="dxa"/>
            <w:shd w:val="clear" w:color="auto" w:fill="auto"/>
            <w:noWrap/>
            <w:vAlign w:val="center"/>
          </w:tcPr>
          <w:p w14:paraId="314246F8">
            <w:pPr>
              <w:widowControl/>
              <w:jc w:val="center"/>
              <w:textAlignment w:val="center"/>
              <w:rPr>
                <w:color w:val="auto"/>
                <w:kern w:val="0"/>
                <w:sz w:val="24"/>
                <w:szCs w:val="24"/>
                <w:lang w:bidi="ar"/>
              </w:rPr>
            </w:pPr>
            <w:r>
              <w:rPr>
                <w:color w:val="auto"/>
                <w:kern w:val="0"/>
                <w:sz w:val="24"/>
                <w:szCs w:val="24"/>
                <w:lang w:bidi="ar"/>
              </w:rPr>
              <w:t>3</w:t>
            </w:r>
            <w:r>
              <w:rPr>
                <w:rFonts w:hint="eastAsia"/>
                <w:color w:val="auto"/>
                <w:kern w:val="0"/>
                <w:sz w:val="24"/>
                <w:szCs w:val="24"/>
                <w:lang w:bidi="ar"/>
              </w:rPr>
              <w:t>4.84</w:t>
            </w:r>
            <w:r>
              <w:rPr>
                <w:color w:val="auto"/>
                <w:kern w:val="0"/>
                <w:sz w:val="24"/>
                <w:szCs w:val="24"/>
                <w:lang w:bidi="ar"/>
              </w:rPr>
              <w:t xml:space="preserve"> ± 11.</w:t>
            </w:r>
            <w:r>
              <w:rPr>
                <w:rFonts w:hint="eastAsia"/>
                <w:color w:val="auto"/>
                <w:kern w:val="0"/>
                <w:sz w:val="24"/>
                <w:szCs w:val="24"/>
                <w:lang w:bidi="ar"/>
              </w:rPr>
              <w:t>88</w:t>
            </w:r>
          </w:p>
        </w:tc>
        <w:tc>
          <w:tcPr>
            <w:tcW w:w="1089" w:type="dxa"/>
            <w:shd w:val="clear" w:color="auto" w:fill="auto"/>
            <w:noWrap/>
            <w:vAlign w:val="center"/>
          </w:tcPr>
          <w:p w14:paraId="56A96B6A">
            <w:pPr>
              <w:widowControl/>
              <w:jc w:val="center"/>
              <w:textAlignment w:val="center"/>
              <w:rPr>
                <w:color w:val="auto"/>
                <w:kern w:val="0"/>
                <w:sz w:val="24"/>
                <w:szCs w:val="24"/>
                <w:lang w:bidi="ar"/>
              </w:rPr>
            </w:pPr>
            <w:r>
              <w:rPr>
                <w:rFonts w:hint="eastAsia"/>
                <w:color w:val="auto"/>
                <w:kern w:val="0"/>
                <w:sz w:val="24"/>
                <w:szCs w:val="24"/>
                <w:lang w:bidi="ar"/>
              </w:rPr>
              <w:t>0.505</w:t>
            </w:r>
          </w:p>
        </w:tc>
      </w:tr>
      <w:tr w14:paraId="160DF233">
        <w:tblPrEx>
          <w:tblCellMar>
            <w:top w:w="0" w:type="dxa"/>
            <w:left w:w="108" w:type="dxa"/>
            <w:bottom w:w="0" w:type="dxa"/>
            <w:right w:w="108" w:type="dxa"/>
          </w:tblCellMar>
        </w:tblPrEx>
        <w:trPr>
          <w:trHeight w:val="308" w:hRule="atLeast"/>
        </w:trPr>
        <w:tc>
          <w:tcPr>
            <w:tcW w:w="5275" w:type="dxa"/>
            <w:shd w:val="clear" w:color="auto" w:fill="auto"/>
            <w:noWrap/>
            <w:vAlign w:val="center"/>
          </w:tcPr>
          <w:p w14:paraId="2FD1F056">
            <w:pPr>
              <w:rPr>
                <w:rFonts w:eastAsiaTheme="minorEastAsia"/>
                <w:color w:val="auto"/>
                <w:sz w:val="24"/>
                <w:szCs w:val="24"/>
              </w:rPr>
            </w:pPr>
            <w:r>
              <w:rPr>
                <w:color w:val="auto"/>
                <w:sz w:val="24"/>
                <w:szCs w:val="24"/>
              </w:rPr>
              <w:t xml:space="preserve">  </w:t>
            </w:r>
            <w:r>
              <w:rPr>
                <w:i/>
                <w:iCs/>
                <w:color w:val="auto"/>
                <w:sz w:val="24"/>
                <w:szCs w:val="24"/>
              </w:rPr>
              <w:t>P</w:t>
            </w:r>
            <w:r>
              <w:rPr>
                <w:color w:val="auto"/>
                <w:sz w:val="24"/>
                <w:szCs w:val="24"/>
              </w:rPr>
              <w:t xml:space="preserve"> value</w:t>
            </w:r>
          </w:p>
        </w:tc>
        <w:tc>
          <w:tcPr>
            <w:tcW w:w="2603" w:type="dxa"/>
            <w:shd w:val="clear" w:color="auto" w:fill="auto"/>
            <w:vAlign w:val="center"/>
          </w:tcPr>
          <w:p w14:paraId="23FDE810">
            <w:pPr>
              <w:widowControl/>
              <w:jc w:val="center"/>
              <w:textAlignment w:val="center"/>
              <w:rPr>
                <w:rFonts w:eastAsiaTheme="minorEastAsia"/>
                <w:color w:val="auto"/>
                <w:sz w:val="24"/>
                <w:szCs w:val="24"/>
                <w:lang w:bidi="ar"/>
              </w:rPr>
            </w:pPr>
            <w:r>
              <w:rPr>
                <w:rFonts w:hint="eastAsia"/>
                <w:color w:val="auto"/>
                <w:sz w:val="24"/>
                <w:szCs w:val="24"/>
                <w:lang w:bidi="ar"/>
              </w:rPr>
              <w:t>0.289</w:t>
            </w:r>
          </w:p>
        </w:tc>
        <w:tc>
          <w:tcPr>
            <w:tcW w:w="2603" w:type="dxa"/>
            <w:shd w:val="clear" w:color="auto" w:fill="auto"/>
            <w:noWrap/>
            <w:vAlign w:val="center"/>
          </w:tcPr>
          <w:p w14:paraId="5EBC78F7">
            <w:pPr>
              <w:widowControl/>
              <w:jc w:val="center"/>
              <w:textAlignment w:val="center"/>
              <w:rPr>
                <w:rFonts w:eastAsiaTheme="minorEastAsia"/>
                <w:color w:val="auto"/>
                <w:sz w:val="24"/>
                <w:szCs w:val="24"/>
              </w:rPr>
            </w:pPr>
            <w:r>
              <w:rPr>
                <w:rFonts w:hint="eastAsia"/>
                <w:color w:val="auto"/>
                <w:sz w:val="24"/>
                <w:szCs w:val="24"/>
              </w:rPr>
              <w:t>0.466</w:t>
            </w:r>
          </w:p>
        </w:tc>
        <w:tc>
          <w:tcPr>
            <w:tcW w:w="2604" w:type="dxa"/>
            <w:shd w:val="clear" w:color="auto" w:fill="auto"/>
            <w:noWrap/>
            <w:vAlign w:val="center"/>
          </w:tcPr>
          <w:p w14:paraId="7F797CAF">
            <w:pPr>
              <w:widowControl/>
              <w:jc w:val="center"/>
              <w:textAlignment w:val="center"/>
              <w:rPr>
                <w:rFonts w:eastAsiaTheme="minorEastAsia"/>
                <w:color w:val="auto"/>
                <w:sz w:val="24"/>
                <w:szCs w:val="24"/>
              </w:rPr>
            </w:pPr>
            <w:r>
              <w:rPr>
                <w:rFonts w:hint="eastAsia"/>
                <w:color w:val="auto"/>
                <w:sz w:val="24"/>
                <w:szCs w:val="24"/>
              </w:rPr>
              <w:t>0.292</w:t>
            </w:r>
          </w:p>
        </w:tc>
        <w:tc>
          <w:tcPr>
            <w:tcW w:w="1089" w:type="dxa"/>
            <w:shd w:val="clear" w:color="auto" w:fill="auto"/>
            <w:noWrap/>
            <w:vAlign w:val="center"/>
          </w:tcPr>
          <w:p w14:paraId="72B1476C">
            <w:pPr>
              <w:widowControl/>
              <w:jc w:val="center"/>
              <w:rPr>
                <w:color w:val="auto"/>
                <w:kern w:val="0"/>
                <w:sz w:val="24"/>
                <w:szCs w:val="24"/>
                <w:lang w:bidi="ar"/>
              </w:rPr>
            </w:pPr>
          </w:p>
        </w:tc>
      </w:tr>
      <w:tr w14:paraId="70572F2C">
        <w:tblPrEx>
          <w:tblCellMar>
            <w:top w:w="0" w:type="dxa"/>
            <w:left w:w="108" w:type="dxa"/>
            <w:bottom w:w="0" w:type="dxa"/>
            <w:right w:w="108" w:type="dxa"/>
          </w:tblCellMar>
        </w:tblPrEx>
        <w:trPr>
          <w:trHeight w:val="308" w:hRule="atLeast"/>
        </w:trPr>
        <w:tc>
          <w:tcPr>
            <w:tcW w:w="5275" w:type="dxa"/>
            <w:shd w:val="clear" w:color="auto" w:fill="auto"/>
            <w:noWrap/>
            <w:vAlign w:val="center"/>
          </w:tcPr>
          <w:p w14:paraId="30113AA9">
            <w:pPr>
              <w:widowControl/>
              <w:jc w:val="left"/>
              <w:textAlignment w:val="center"/>
              <w:rPr>
                <w:color w:val="auto"/>
                <w:sz w:val="22"/>
                <w:szCs w:val="22"/>
              </w:rPr>
            </w:pPr>
            <w:r>
              <w:rPr>
                <w:color w:val="auto"/>
                <w:kern w:val="0"/>
                <w:sz w:val="24"/>
                <w:szCs w:val="24"/>
                <w:lang w:bidi="ar"/>
              </w:rPr>
              <w:t>Ventilatory Ratio</w:t>
            </w:r>
          </w:p>
        </w:tc>
        <w:tc>
          <w:tcPr>
            <w:tcW w:w="2603" w:type="dxa"/>
            <w:shd w:val="clear" w:color="auto" w:fill="auto"/>
            <w:vAlign w:val="center"/>
          </w:tcPr>
          <w:p w14:paraId="20043EB6">
            <w:pPr>
              <w:widowControl/>
              <w:jc w:val="center"/>
              <w:textAlignment w:val="center"/>
              <w:rPr>
                <w:color w:val="auto"/>
                <w:sz w:val="24"/>
                <w:szCs w:val="24"/>
                <w:lang w:bidi="ar"/>
              </w:rPr>
            </w:pPr>
          </w:p>
        </w:tc>
        <w:tc>
          <w:tcPr>
            <w:tcW w:w="2603" w:type="dxa"/>
            <w:shd w:val="clear" w:color="auto" w:fill="auto"/>
            <w:noWrap/>
            <w:vAlign w:val="center"/>
          </w:tcPr>
          <w:p w14:paraId="5DE6935F">
            <w:pPr>
              <w:widowControl/>
              <w:jc w:val="center"/>
              <w:textAlignment w:val="center"/>
              <w:rPr>
                <w:color w:val="auto"/>
                <w:sz w:val="24"/>
                <w:szCs w:val="24"/>
              </w:rPr>
            </w:pPr>
          </w:p>
        </w:tc>
        <w:tc>
          <w:tcPr>
            <w:tcW w:w="2604" w:type="dxa"/>
            <w:shd w:val="clear" w:color="auto" w:fill="auto"/>
            <w:noWrap/>
            <w:vAlign w:val="center"/>
          </w:tcPr>
          <w:p w14:paraId="71B099BF">
            <w:pPr>
              <w:widowControl/>
              <w:jc w:val="center"/>
              <w:textAlignment w:val="center"/>
              <w:rPr>
                <w:color w:val="auto"/>
                <w:sz w:val="24"/>
                <w:szCs w:val="24"/>
              </w:rPr>
            </w:pPr>
          </w:p>
        </w:tc>
        <w:tc>
          <w:tcPr>
            <w:tcW w:w="1089" w:type="dxa"/>
            <w:shd w:val="clear" w:color="auto" w:fill="auto"/>
            <w:noWrap/>
            <w:vAlign w:val="center"/>
          </w:tcPr>
          <w:p w14:paraId="1F07265B">
            <w:pPr>
              <w:widowControl/>
              <w:jc w:val="center"/>
              <w:textAlignment w:val="center"/>
              <w:rPr>
                <w:color w:val="auto"/>
                <w:kern w:val="0"/>
                <w:sz w:val="24"/>
                <w:szCs w:val="24"/>
                <w:lang w:bidi="ar"/>
              </w:rPr>
            </w:pPr>
          </w:p>
        </w:tc>
      </w:tr>
      <w:tr w14:paraId="3B443336">
        <w:tblPrEx>
          <w:tblCellMar>
            <w:top w:w="0" w:type="dxa"/>
            <w:left w:w="108" w:type="dxa"/>
            <w:bottom w:w="0" w:type="dxa"/>
            <w:right w:w="108" w:type="dxa"/>
          </w:tblCellMar>
        </w:tblPrEx>
        <w:trPr>
          <w:trHeight w:val="308" w:hRule="atLeast"/>
        </w:trPr>
        <w:tc>
          <w:tcPr>
            <w:tcW w:w="5275" w:type="dxa"/>
            <w:shd w:val="clear" w:color="auto" w:fill="auto"/>
            <w:noWrap/>
            <w:vAlign w:val="center"/>
          </w:tcPr>
          <w:p w14:paraId="5BB99B13">
            <w:pPr>
              <w:ind w:firstLine="240" w:firstLineChars="100"/>
              <w:rPr>
                <w:rFonts w:eastAsiaTheme="minorEastAsia"/>
                <w:color w:val="auto"/>
                <w:sz w:val="24"/>
                <w:szCs w:val="24"/>
              </w:rPr>
            </w:pPr>
            <w:bookmarkStart w:id="15" w:name="OLE_LINK4" w:colFirst="1" w:colLast="4"/>
            <w:r>
              <w:rPr>
                <w:color w:val="auto"/>
                <w:sz w:val="24"/>
                <w:szCs w:val="24"/>
              </w:rPr>
              <w:t>0h</w:t>
            </w:r>
          </w:p>
        </w:tc>
        <w:tc>
          <w:tcPr>
            <w:tcW w:w="2603" w:type="dxa"/>
            <w:shd w:val="clear" w:color="auto" w:fill="auto"/>
            <w:vAlign w:val="center"/>
          </w:tcPr>
          <w:p w14:paraId="7A7F1DE9">
            <w:pPr>
              <w:widowControl/>
              <w:jc w:val="center"/>
              <w:textAlignment w:val="center"/>
              <w:rPr>
                <w:rFonts w:eastAsiaTheme="minorEastAsia"/>
                <w:color w:val="auto"/>
                <w:sz w:val="24"/>
                <w:szCs w:val="24"/>
                <w:lang w:bidi="ar"/>
              </w:rPr>
            </w:pPr>
            <w:r>
              <w:rPr>
                <w:color w:val="auto"/>
                <w:kern w:val="0"/>
                <w:sz w:val="24"/>
                <w:szCs w:val="24"/>
                <w:lang w:bidi="ar"/>
              </w:rPr>
              <w:t>1.70±0.68</w:t>
            </w:r>
          </w:p>
        </w:tc>
        <w:tc>
          <w:tcPr>
            <w:tcW w:w="2603" w:type="dxa"/>
            <w:shd w:val="clear" w:color="auto" w:fill="auto"/>
            <w:noWrap/>
            <w:vAlign w:val="center"/>
          </w:tcPr>
          <w:p w14:paraId="79AB7711">
            <w:pPr>
              <w:widowControl/>
              <w:jc w:val="center"/>
              <w:textAlignment w:val="center"/>
              <w:rPr>
                <w:rFonts w:eastAsiaTheme="minorEastAsia"/>
                <w:color w:val="auto"/>
                <w:sz w:val="24"/>
                <w:szCs w:val="24"/>
              </w:rPr>
            </w:pPr>
            <w:r>
              <w:rPr>
                <w:color w:val="auto"/>
                <w:kern w:val="0"/>
                <w:sz w:val="24"/>
                <w:szCs w:val="24"/>
                <w:lang w:bidi="ar"/>
              </w:rPr>
              <w:t>1.46±0.51</w:t>
            </w:r>
          </w:p>
        </w:tc>
        <w:tc>
          <w:tcPr>
            <w:tcW w:w="2604" w:type="dxa"/>
            <w:shd w:val="clear" w:color="auto" w:fill="auto"/>
            <w:noWrap/>
            <w:vAlign w:val="center"/>
          </w:tcPr>
          <w:p w14:paraId="4203B818">
            <w:pPr>
              <w:widowControl/>
              <w:jc w:val="center"/>
              <w:textAlignment w:val="center"/>
              <w:rPr>
                <w:rFonts w:eastAsiaTheme="minorEastAsia"/>
                <w:color w:val="auto"/>
                <w:sz w:val="24"/>
                <w:szCs w:val="24"/>
              </w:rPr>
            </w:pPr>
            <w:r>
              <w:rPr>
                <w:color w:val="auto"/>
                <w:kern w:val="0"/>
                <w:sz w:val="24"/>
                <w:szCs w:val="24"/>
                <w:lang w:bidi="ar"/>
              </w:rPr>
              <w:t>1.84±0.73</w:t>
            </w:r>
          </w:p>
        </w:tc>
        <w:tc>
          <w:tcPr>
            <w:tcW w:w="1089" w:type="dxa"/>
            <w:shd w:val="clear" w:color="auto" w:fill="auto"/>
            <w:noWrap/>
            <w:vAlign w:val="center"/>
          </w:tcPr>
          <w:p w14:paraId="23BA405F">
            <w:pPr>
              <w:widowControl/>
              <w:jc w:val="center"/>
              <w:textAlignment w:val="center"/>
              <w:rPr>
                <w:color w:val="auto"/>
                <w:kern w:val="0"/>
                <w:sz w:val="24"/>
                <w:szCs w:val="24"/>
                <w:lang w:bidi="ar"/>
              </w:rPr>
            </w:pPr>
            <w:r>
              <w:rPr>
                <w:color w:val="auto"/>
                <w:kern w:val="0"/>
                <w:sz w:val="24"/>
                <w:szCs w:val="24"/>
                <w:lang w:bidi="ar"/>
              </w:rPr>
              <w:t>0.15</w:t>
            </w:r>
            <w:r>
              <w:rPr>
                <w:rFonts w:hint="eastAsia"/>
                <w:color w:val="auto"/>
                <w:kern w:val="0"/>
                <w:sz w:val="24"/>
                <w:szCs w:val="24"/>
                <w:lang w:bidi="ar"/>
              </w:rPr>
              <w:t>0</w:t>
            </w:r>
          </w:p>
        </w:tc>
      </w:tr>
      <w:bookmarkEnd w:id="15"/>
      <w:tr w14:paraId="01ACF87D">
        <w:tblPrEx>
          <w:tblCellMar>
            <w:top w:w="0" w:type="dxa"/>
            <w:left w:w="108" w:type="dxa"/>
            <w:bottom w:w="0" w:type="dxa"/>
            <w:right w:w="108" w:type="dxa"/>
          </w:tblCellMar>
        </w:tblPrEx>
        <w:trPr>
          <w:trHeight w:val="308" w:hRule="atLeast"/>
        </w:trPr>
        <w:tc>
          <w:tcPr>
            <w:tcW w:w="5275" w:type="dxa"/>
            <w:shd w:val="clear" w:color="auto" w:fill="auto"/>
            <w:noWrap/>
            <w:vAlign w:val="center"/>
          </w:tcPr>
          <w:p w14:paraId="426D6905">
            <w:pPr>
              <w:ind w:firstLine="240" w:firstLineChars="100"/>
              <w:rPr>
                <w:rFonts w:eastAsiaTheme="minorEastAsia"/>
                <w:color w:val="auto"/>
                <w:sz w:val="24"/>
                <w:szCs w:val="24"/>
              </w:rPr>
            </w:pPr>
            <w:bookmarkStart w:id="16" w:name="OLE_LINK10" w:colFirst="1" w:colLast="4"/>
            <w:r>
              <w:rPr>
                <w:color w:val="auto"/>
                <w:sz w:val="24"/>
                <w:szCs w:val="24"/>
              </w:rPr>
              <w:t>30min</w:t>
            </w:r>
          </w:p>
        </w:tc>
        <w:tc>
          <w:tcPr>
            <w:tcW w:w="2603" w:type="dxa"/>
            <w:shd w:val="clear" w:color="auto" w:fill="auto"/>
            <w:vAlign w:val="center"/>
          </w:tcPr>
          <w:p w14:paraId="7A62CCD0">
            <w:pPr>
              <w:widowControl/>
              <w:jc w:val="center"/>
              <w:textAlignment w:val="center"/>
              <w:rPr>
                <w:rFonts w:eastAsiaTheme="minorEastAsia"/>
                <w:color w:val="auto"/>
                <w:sz w:val="24"/>
                <w:szCs w:val="24"/>
                <w:lang w:bidi="ar"/>
              </w:rPr>
            </w:pPr>
            <w:r>
              <w:rPr>
                <w:color w:val="auto"/>
                <w:kern w:val="0"/>
                <w:sz w:val="24"/>
                <w:szCs w:val="24"/>
                <w:lang w:bidi="ar"/>
              </w:rPr>
              <w:t>1.</w:t>
            </w:r>
            <w:r>
              <w:rPr>
                <w:rFonts w:hint="eastAsia"/>
                <w:color w:val="auto"/>
                <w:kern w:val="0"/>
                <w:sz w:val="24"/>
                <w:szCs w:val="24"/>
                <w:lang w:bidi="ar"/>
              </w:rPr>
              <w:t>68</w:t>
            </w:r>
            <w:r>
              <w:rPr>
                <w:color w:val="auto"/>
                <w:kern w:val="0"/>
                <w:sz w:val="24"/>
                <w:szCs w:val="24"/>
                <w:lang w:bidi="ar"/>
              </w:rPr>
              <w:t>±0.6</w:t>
            </w:r>
            <w:r>
              <w:rPr>
                <w:rFonts w:hint="eastAsia"/>
                <w:color w:val="auto"/>
                <w:kern w:val="0"/>
                <w:sz w:val="24"/>
                <w:szCs w:val="24"/>
                <w:lang w:bidi="ar"/>
              </w:rPr>
              <w:t>9</w:t>
            </w:r>
          </w:p>
        </w:tc>
        <w:tc>
          <w:tcPr>
            <w:tcW w:w="2603" w:type="dxa"/>
            <w:shd w:val="clear" w:color="auto" w:fill="auto"/>
            <w:noWrap/>
            <w:vAlign w:val="center"/>
          </w:tcPr>
          <w:p w14:paraId="3B584C43">
            <w:pPr>
              <w:widowControl/>
              <w:jc w:val="center"/>
              <w:textAlignment w:val="center"/>
              <w:rPr>
                <w:rFonts w:eastAsiaTheme="minorEastAsia"/>
                <w:color w:val="auto"/>
                <w:sz w:val="24"/>
                <w:szCs w:val="24"/>
              </w:rPr>
            </w:pPr>
            <w:r>
              <w:rPr>
                <w:color w:val="auto"/>
                <w:kern w:val="0"/>
                <w:sz w:val="24"/>
                <w:szCs w:val="24"/>
                <w:lang w:bidi="ar"/>
              </w:rPr>
              <w:t>1.4</w:t>
            </w:r>
            <w:r>
              <w:rPr>
                <w:rFonts w:hint="eastAsia"/>
                <w:color w:val="auto"/>
                <w:kern w:val="0"/>
                <w:sz w:val="24"/>
                <w:szCs w:val="24"/>
                <w:lang w:bidi="ar"/>
              </w:rPr>
              <w:t>5</w:t>
            </w:r>
            <w:r>
              <w:rPr>
                <w:color w:val="auto"/>
                <w:kern w:val="0"/>
                <w:sz w:val="24"/>
                <w:szCs w:val="24"/>
                <w:lang w:bidi="ar"/>
              </w:rPr>
              <w:t>±0.5</w:t>
            </w:r>
            <w:r>
              <w:rPr>
                <w:rFonts w:hint="eastAsia"/>
                <w:color w:val="auto"/>
                <w:kern w:val="0"/>
                <w:sz w:val="24"/>
                <w:szCs w:val="24"/>
                <w:lang w:bidi="ar"/>
              </w:rPr>
              <w:t>8</w:t>
            </w:r>
          </w:p>
        </w:tc>
        <w:tc>
          <w:tcPr>
            <w:tcW w:w="2604" w:type="dxa"/>
            <w:shd w:val="clear" w:color="auto" w:fill="auto"/>
            <w:noWrap/>
            <w:vAlign w:val="center"/>
          </w:tcPr>
          <w:p w14:paraId="45727431">
            <w:pPr>
              <w:widowControl/>
              <w:jc w:val="center"/>
              <w:textAlignment w:val="center"/>
              <w:rPr>
                <w:rFonts w:eastAsiaTheme="minorEastAsia"/>
                <w:color w:val="auto"/>
                <w:sz w:val="24"/>
                <w:szCs w:val="24"/>
              </w:rPr>
            </w:pPr>
            <w:r>
              <w:rPr>
                <w:color w:val="auto"/>
                <w:kern w:val="0"/>
                <w:sz w:val="24"/>
                <w:szCs w:val="24"/>
                <w:lang w:bidi="ar"/>
              </w:rPr>
              <w:t>1.8</w:t>
            </w:r>
            <w:r>
              <w:rPr>
                <w:rFonts w:hint="eastAsia"/>
                <w:color w:val="auto"/>
                <w:kern w:val="0"/>
                <w:sz w:val="24"/>
                <w:szCs w:val="24"/>
                <w:lang w:bidi="ar"/>
              </w:rPr>
              <w:t>1</w:t>
            </w:r>
            <w:r>
              <w:rPr>
                <w:color w:val="auto"/>
                <w:kern w:val="0"/>
                <w:sz w:val="24"/>
                <w:szCs w:val="24"/>
                <w:lang w:bidi="ar"/>
              </w:rPr>
              <w:t>±0.73</w:t>
            </w:r>
          </w:p>
        </w:tc>
        <w:tc>
          <w:tcPr>
            <w:tcW w:w="1089" w:type="dxa"/>
            <w:shd w:val="clear" w:color="auto" w:fill="auto"/>
            <w:noWrap/>
            <w:vAlign w:val="center"/>
          </w:tcPr>
          <w:p w14:paraId="52E04B13">
            <w:pPr>
              <w:widowControl/>
              <w:jc w:val="center"/>
              <w:textAlignment w:val="center"/>
              <w:rPr>
                <w:color w:val="auto"/>
                <w:kern w:val="0"/>
                <w:sz w:val="24"/>
                <w:szCs w:val="24"/>
                <w:lang w:bidi="ar"/>
              </w:rPr>
            </w:pPr>
            <w:r>
              <w:rPr>
                <w:color w:val="auto"/>
                <w:kern w:val="0"/>
                <w:sz w:val="24"/>
                <w:szCs w:val="24"/>
                <w:lang w:bidi="ar"/>
              </w:rPr>
              <w:t>0.1</w:t>
            </w:r>
            <w:r>
              <w:rPr>
                <w:rFonts w:hint="eastAsia"/>
                <w:color w:val="auto"/>
                <w:kern w:val="0"/>
                <w:sz w:val="24"/>
                <w:szCs w:val="24"/>
                <w:lang w:bidi="ar"/>
              </w:rPr>
              <w:t>67</w:t>
            </w:r>
          </w:p>
        </w:tc>
      </w:tr>
      <w:bookmarkEnd w:id="16"/>
      <w:tr w14:paraId="13A6BFF4">
        <w:tblPrEx>
          <w:tblCellMar>
            <w:top w:w="0" w:type="dxa"/>
            <w:left w:w="108" w:type="dxa"/>
            <w:bottom w:w="0" w:type="dxa"/>
            <w:right w:w="108" w:type="dxa"/>
          </w:tblCellMar>
        </w:tblPrEx>
        <w:trPr>
          <w:trHeight w:val="308" w:hRule="atLeast"/>
        </w:trPr>
        <w:tc>
          <w:tcPr>
            <w:tcW w:w="5275" w:type="dxa"/>
            <w:shd w:val="clear" w:color="auto" w:fill="auto"/>
            <w:noWrap/>
            <w:vAlign w:val="center"/>
          </w:tcPr>
          <w:p w14:paraId="63C58C0E">
            <w:pPr>
              <w:ind w:firstLine="240" w:firstLineChars="100"/>
              <w:rPr>
                <w:rFonts w:eastAsiaTheme="minorEastAsia"/>
                <w:color w:val="auto"/>
                <w:sz w:val="24"/>
                <w:szCs w:val="24"/>
              </w:rPr>
            </w:pPr>
            <w:r>
              <w:rPr>
                <w:rFonts w:hint="eastAsia"/>
                <w:color w:val="auto"/>
                <w:sz w:val="24"/>
                <w:szCs w:val="24"/>
              </w:rPr>
              <w:t>3h</w:t>
            </w:r>
          </w:p>
        </w:tc>
        <w:tc>
          <w:tcPr>
            <w:tcW w:w="2603" w:type="dxa"/>
            <w:shd w:val="clear" w:color="auto" w:fill="auto"/>
            <w:vAlign w:val="center"/>
          </w:tcPr>
          <w:p w14:paraId="2C9ADB38">
            <w:pPr>
              <w:widowControl/>
              <w:jc w:val="center"/>
              <w:textAlignment w:val="center"/>
              <w:rPr>
                <w:rFonts w:eastAsiaTheme="minorEastAsia"/>
                <w:color w:val="auto"/>
                <w:sz w:val="24"/>
                <w:szCs w:val="24"/>
                <w:lang w:bidi="ar"/>
              </w:rPr>
            </w:pPr>
            <w:r>
              <w:rPr>
                <w:color w:val="auto"/>
                <w:kern w:val="0"/>
                <w:sz w:val="24"/>
                <w:szCs w:val="24"/>
                <w:lang w:bidi="ar"/>
              </w:rPr>
              <w:t>1.</w:t>
            </w:r>
            <w:r>
              <w:rPr>
                <w:rFonts w:hint="eastAsia"/>
                <w:color w:val="auto"/>
                <w:kern w:val="0"/>
                <w:sz w:val="24"/>
                <w:szCs w:val="24"/>
                <w:lang w:bidi="ar"/>
              </w:rPr>
              <w:t>69</w:t>
            </w:r>
            <w:r>
              <w:rPr>
                <w:color w:val="auto"/>
                <w:kern w:val="0"/>
                <w:sz w:val="24"/>
                <w:szCs w:val="24"/>
                <w:lang w:bidi="ar"/>
              </w:rPr>
              <w:t>±0.</w:t>
            </w:r>
            <w:r>
              <w:rPr>
                <w:rFonts w:hint="eastAsia"/>
                <w:color w:val="auto"/>
                <w:kern w:val="0"/>
                <w:sz w:val="24"/>
                <w:szCs w:val="24"/>
                <w:lang w:bidi="ar"/>
              </w:rPr>
              <w:t>72</w:t>
            </w:r>
          </w:p>
        </w:tc>
        <w:tc>
          <w:tcPr>
            <w:tcW w:w="2603" w:type="dxa"/>
            <w:shd w:val="clear" w:color="auto" w:fill="auto"/>
            <w:noWrap/>
            <w:vAlign w:val="center"/>
          </w:tcPr>
          <w:p w14:paraId="4BD8AD90">
            <w:pPr>
              <w:widowControl/>
              <w:jc w:val="center"/>
              <w:textAlignment w:val="center"/>
              <w:rPr>
                <w:rFonts w:eastAsiaTheme="minorEastAsia"/>
                <w:color w:val="auto"/>
                <w:sz w:val="24"/>
                <w:szCs w:val="24"/>
              </w:rPr>
            </w:pPr>
            <w:r>
              <w:rPr>
                <w:color w:val="auto"/>
                <w:kern w:val="0"/>
                <w:sz w:val="24"/>
                <w:szCs w:val="24"/>
                <w:lang w:bidi="ar"/>
              </w:rPr>
              <w:t>1.4</w:t>
            </w:r>
            <w:r>
              <w:rPr>
                <w:rFonts w:hint="eastAsia"/>
                <w:color w:val="auto"/>
                <w:kern w:val="0"/>
                <w:sz w:val="24"/>
                <w:szCs w:val="24"/>
                <w:lang w:bidi="ar"/>
              </w:rPr>
              <w:t>5</w:t>
            </w:r>
            <w:r>
              <w:rPr>
                <w:color w:val="auto"/>
                <w:kern w:val="0"/>
                <w:sz w:val="24"/>
                <w:szCs w:val="24"/>
                <w:lang w:bidi="ar"/>
              </w:rPr>
              <w:t>±0.</w:t>
            </w:r>
            <w:r>
              <w:rPr>
                <w:rFonts w:hint="eastAsia"/>
                <w:color w:val="auto"/>
                <w:kern w:val="0"/>
                <w:sz w:val="24"/>
                <w:szCs w:val="24"/>
                <w:lang w:bidi="ar"/>
              </w:rPr>
              <w:t>60</w:t>
            </w:r>
          </w:p>
        </w:tc>
        <w:tc>
          <w:tcPr>
            <w:tcW w:w="2604" w:type="dxa"/>
            <w:shd w:val="clear" w:color="auto" w:fill="auto"/>
            <w:noWrap/>
            <w:vAlign w:val="center"/>
          </w:tcPr>
          <w:p w14:paraId="52874C52">
            <w:pPr>
              <w:widowControl/>
              <w:jc w:val="center"/>
              <w:textAlignment w:val="center"/>
              <w:rPr>
                <w:rFonts w:eastAsiaTheme="minorEastAsia"/>
                <w:color w:val="auto"/>
                <w:sz w:val="24"/>
                <w:szCs w:val="24"/>
              </w:rPr>
            </w:pPr>
            <w:r>
              <w:rPr>
                <w:color w:val="auto"/>
                <w:kern w:val="0"/>
                <w:sz w:val="24"/>
                <w:szCs w:val="24"/>
                <w:lang w:bidi="ar"/>
              </w:rPr>
              <w:t>1.8</w:t>
            </w:r>
            <w:r>
              <w:rPr>
                <w:rFonts w:hint="eastAsia"/>
                <w:color w:val="auto"/>
                <w:kern w:val="0"/>
                <w:sz w:val="24"/>
                <w:szCs w:val="24"/>
                <w:lang w:bidi="ar"/>
              </w:rPr>
              <w:t>3</w:t>
            </w:r>
            <w:r>
              <w:rPr>
                <w:color w:val="auto"/>
                <w:kern w:val="0"/>
                <w:sz w:val="24"/>
                <w:szCs w:val="24"/>
                <w:lang w:bidi="ar"/>
              </w:rPr>
              <w:t>±0.7</w:t>
            </w:r>
            <w:r>
              <w:rPr>
                <w:rFonts w:hint="eastAsia"/>
                <w:color w:val="auto"/>
                <w:kern w:val="0"/>
                <w:sz w:val="24"/>
                <w:szCs w:val="24"/>
                <w:lang w:bidi="ar"/>
              </w:rPr>
              <w:t>5</w:t>
            </w:r>
          </w:p>
        </w:tc>
        <w:tc>
          <w:tcPr>
            <w:tcW w:w="1089" w:type="dxa"/>
            <w:shd w:val="clear" w:color="auto" w:fill="auto"/>
            <w:noWrap/>
            <w:vAlign w:val="center"/>
          </w:tcPr>
          <w:p w14:paraId="2B87CBEB">
            <w:pPr>
              <w:widowControl/>
              <w:jc w:val="center"/>
              <w:textAlignment w:val="center"/>
              <w:rPr>
                <w:color w:val="auto"/>
                <w:kern w:val="0"/>
                <w:sz w:val="24"/>
                <w:szCs w:val="24"/>
                <w:lang w:bidi="ar"/>
              </w:rPr>
            </w:pPr>
            <w:r>
              <w:rPr>
                <w:color w:val="auto"/>
                <w:kern w:val="0"/>
                <w:sz w:val="24"/>
                <w:szCs w:val="24"/>
                <w:lang w:bidi="ar"/>
              </w:rPr>
              <w:t>0.1</w:t>
            </w:r>
            <w:r>
              <w:rPr>
                <w:rFonts w:hint="eastAsia"/>
                <w:color w:val="auto"/>
                <w:kern w:val="0"/>
                <w:sz w:val="24"/>
                <w:szCs w:val="24"/>
                <w:lang w:bidi="ar"/>
              </w:rPr>
              <w:t>61</w:t>
            </w:r>
          </w:p>
        </w:tc>
      </w:tr>
      <w:tr w14:paraId="7FC05C00">
        <w:tblPrEx>
          <w:tblCellMar>
            <w:top w:w="0" w:type="dxa"/>
            <w:left w:w="108" w:type="dxa"/>
            <w:bottom w:w="0" w:type="dxa"/>
            <w:right w:w="108" w:type="dxa"/>
          </w:tblCellMar>
        </w:tblPrEx>
        <w:trPr>
          <w:trHeight w:val="308" w:hRule="atLeast"/>
        </w:trPr>
        <w:tc>
          <w:tcPr>
            <w:tcW w:w="5275" w:type="dxa"/>
            <w:shd w:val="clear" w:color="auto" w:fill="auto"/>
            <w:noWrap/>
            <w:vAlign w:val="center"/>
          </w:tcPr>
          <w:p w14:paraId="7F1EB559">
            <w:pPr>
              <w:rPr>
                <w:rFonts w:eastAsiaTheme="minorEastAsia"/>
                <w:color w:val="auto"/>
                <w:sz w:val="24"/>
                <w:szCs w:val="24"/>
              </w:rPr>
            </w:pPr>
            <w:r>
              <w:rPr>
                <w:color w:val="auto"/>
                <w:sz w:val="24"/>
                <w:szCs w:val="24"/>
              </w:rPr>
              <w:t xml:space="preserve">  </w:t>
            </w:r>
            <w:r>
              <w:rPr>
                <w:i/>
                <w:iCs/>
                <w:color w:val="auto"/>
                <w:sz w:val="24"/>
                <w:szCs w:val="24"/>
              </w:rPr>
              <w:t>P</w:t>
            </w:r>
            <w:r>
              <w:rPr>
                <w:color w:val="auto"/>
                <w:sz w:val="24"/>
                <w:szCs w:val="24"/>
              </w:rPr>
              <w:t xml:space="preserve"> value</w:t>
            </w:r>
          </w:p>
        </w:tc>
        <w:tc>
          <w:tcPr>
            <w:tcW w:w="2603" w:type="dxa"/>
            <w:shd w:val="clear" w:color="auto" w:fill="auto"/>
            <w:vAlign w:val="center"/>
          </w:tcPr>
          <w:p w14:paraId="582022FF">
            <w:pPr>
              <w:widowControl/>
              <w:jc w:val="center"/>
              <w:textAlignment w:val="center"/>
              <w:rPr>
                <w:color w:val="auto"/>
                <w:sz w:val="24"/>
                <w:szCs w:val="24"/>
                <w:lang w:bidi="ar"/>
              </w:rPr>
            </w:pPr>
            <w:r>
              <w:rPr>
                <w:rFonts w:hint="eastAsia"/>
                <w:color w:val="auto"/>
                <w:sz w:val="24"/>
                <w:szCs w:val="24"/>
                <w:lang w:bidi="ar"/>
              </w:rPr>
              <w:t>0.784</w:t>
            </w:r>
          </w:p>
        </w:tc>
        <w:tc>
          <w:tcPr>
            <w:tcW w:w="2603" w:type="dxa"/>
            <w:shd w:val="clear" w:color="auto" w:fill="auto"/>
            <w:noWrap/>
            <w:vAlign w:val="center"/>
          </w:tcPr>
          <w:p w14:paraId="63EB80A7">
            <w:pPr>
              <w:widowControl/>
              <w:jc w:val="center"/>
              <w:textAlignment w:val="center"/>
              <w:rPr>
                <w:color w:val="auto"/>
                <w:sz w:val="24"/>
                <w:szCs w:val="24"/>
              </w:rPr>
            </w:pPr>
            <w:r>
              <w:rPr>
                <w:rFonts w:hint="eastAsia"/>
                <w:color w:val="auto"/>
                <w:sz w:val="24"/>
                <w:szCs w:val="24"/>
              </w:rPr>
              <w:t>0.829</w:t>
            </w:r>
          </w:p>
        </w:tc>
        <w:tc>
          <w:tcPr>
            <w:tcW w:w="2604" w:type="dxa"/>
            <w:shd w:val="clear" w:color="auto" w:fill="auto"/>
            <w:noWrap/>
            <w:vAlign w:val="center"/>
          </w:tcPr>
          <w:p w14:paraId="5CB375B6">
            <w:pPr>
              <w:widowControl/>
              <w:jc w:val="center"/>
              <w:textAlignment w:val="center"/>
              <w:rPr>
                <w:color w:val="auto"/>
                <w:sz w:val="24"/>
                <w:szCs w:val="24"/>
              </w:rPr>
            </w:pPr>
            <w:r>
              <w:rPr>
                <w:rFonts w:hint="eastAsia"/>
                <w:color w:val="auto"/>
                <w:sz w:val="24"/>
                <w:szCs w:val="24"/>
              </w:rPr>
              <w:t>0.807</w:t>
            </w:r>
          </w:p>
        </w:tc>
        <w:tc>
          <w:tcPr>
            <w:tcW w:w="1089" w:type="dxa"/>
            <w:shd w:val="clear" w:color="auto" w:fill="auto"/>
            <w:noWrap/>
            <w:vAlign w:val="center"/>
          </w:tcPr>
          <w:p w14:paraId="6BB7A84C">
            <w:pPr>
              <w:widowControl/>
              <w:jc w:val="center"/>
              <w:rPr>
                <w:color w:val="auto"/>
                <w:kern w:val="0"/>
                <w:sz w:val="24"/>
                <w:szCs w:val="24"/>
                <w:lang w:bidi="ar"/>
              </w:rPr>
            </w:pPr>
          </w:p>
        </w:tc>
      </w:tr>
      <w:tr w14:paraId="54CD0656">
        <w:tblPrEx>
          <w:tblCellMar>
            <w:top w:w="0" w:type="dxa"/>
            <w:left w:w="108" w:type="dxa"/>
            <w:bottom w:w="0" w:type="dxa"/>
            <w:right w:w="108" w:type="dxa"/>
          </w:tblCellMar>
        </w:tblPrEx>
        <w:trPr>
          <w:trHeight w:val="307" w:hRule="atLeast"/>
        </w:trPr>
        <w:tc>
          <w:tcPr>
            <w:tcW w:w="5275" w:type="dxa"/>
            <w:shd w:val="clear" w:color="auto" w:fill="DDD9C4"/>
            <w:noWrap/>
            <w:vAlign w:val="center"/>
          </w:tcPr>
          <w:p w14:paraId="11965786">
            <w:pPr>
              <w:jc w:val="left"/>
              <w:rPr>
                <w:rFonts w:eastAsiaTheme="minorEastAsia"/>
                <w:color w:val="auto"/>
                <w:sz w:val="24"/>
                <w:szCs w:val="24"/>
              </w:rPr>
            </w:pPr>
            <w:r>
              <w:rPr>
                <w:color w:val="auto"/>
                <w:sz w:val="24"/>
                <w:szCs w:val="24"/>
              </w:rPr>
              <w:t>Hemodynamic parameters</w:t>
            </w:r>
          </w:p>
        </w:tc>
        <w:tc>
          <w:tcPr>
            <w:tcW w:w="2603" w:type="dxa"/>
            <w:shd w:val="clear" w:color="auto" w:fill="DDD9C4"/>
            <w:vAlign w:val="center"/>
          </w:tcPr>
          <w:p w14:paraId="4FA87C55">
            <w:pPr>
              <w:jc w:val="center"/>
              <w:rPr>
                <w:rFonts w:eastAsiaTheme="minorEastAsia"/>
                <w:color w:val="auto"/>
                <w:sz w:val="24"/>
                <w:szCs w:val="24"/>
              </w:rPr>
            </w:pPr>
          </w:p>
        </w:tc>
        <w:tc>
          <w:tcPr>
            <w:tcW w:w="2603" w:type="dxa"/>
            <w:shd w:val="clear" w:color="auto" w:fill="DDD9C4"/>
            <w:noWrap/>
            <w:vAlign w:val="center"/>
          </w:tcPr>
          <w:p w14:paraId="0DB69BC1">
            <w:pPr>
              <w:jc w:val="center"/>
              <w:rPr>
                <w:rFonts w:eastAsiaTheme="minorEastAsia"/>
                <w:color w:val="auto"/>
                <w:sz w:val="24"/>
                <w:szCs w:val="24"/>
              </w:rPr>
            </w:pPr>
          </w:p>
        </w:tc>
        <w:tc>
          <w:tcPr>
            <w:tcW w:w="2604" w:type="dxa"/>
            <w:shd w:val="clear" w:color="auto" w:fill="DDD9C4"/>
            <w:noWrap/>
            <w:vAlign w:val="center"/>
          </w:tcPr>
          <w:p w14:paraId="3181EA8B">
            <w:pPr>
              <w:jc w:val="center"/>
              <w:rPr>
                <w:rFonts w:eastAsiaTheme="minorEastAsia"/>
                <w:color w:val="auto"/>
                <w:sz w:val="24"/>
                <w:szCs w:val="24"/>
              </w:rPr>
            </w:pPr>
          </w:p>
        </w:tc>
        <w:tc>
          <w:tcPr>
            <w:tcW w:w="1089" w:type="dxa"/>
            <w:shd w:val="clear" w:color="auto" w:fill="DDD9C4"/>
            <w:noWrap/>
            <w:vAlign w:val="center"/>
          </w:tcPr>
          <w:p w14:paraId="600FAF82">
            <w:pPr>
              <w:jc w:val="center"/>
              <w:rPr>
                <w:rFonts w:eastAsiaTheme="minorEastAsia"/>
                <w:color w:val="auto"/>
                <w:sz w:val="24"/>
                <w:szCs w:val="24"/>
              </w:rPr>
            </w:pPr>
          </w:p>
        </w:tc>
      </w:tr>
      <w:tr w14:paraId="49F7C04E">
        <w:tblPrEx>
          <w:tblCellMar>
            <w:top w:w="0" w:type="dxa"/>
            <w:left w:w="108" w:type="dxa"/>
            <w:bottom w:w="0" w:type="dxa"/>
            <w:right w:w="108" w:type="dxa"/>
          </w:tblCellMar>
        </w:tblPrEx>
        <w:trPr>
          <w:trHeight w:val="307" w:hRule="atLeast"/>
        </w:trPr>
        <w:tc>
          <w:tcPr>
            <w:tcW w:w="5275" w:type="dxa"/>
            <w:shd w:val="clear" w:color="auto" w:fill="auto"/>
            <w:noWrap/>
            <w:vAlign w:val="center"/>
          </w:tcPr>
          <w:p w14:paraId="5878F199">
            <w:pPr>
              <w:rPr>
                <w:rFonts w:eastAsiaTheme="minorEastAsia"/>
                <w:color w:val="auto"/>
                <w:sz w:val="24"/>
                <w:szCs w:val="24"/>
              </w:rPr>
            </w:pPr>
            <w:r>
              <w:rPr>
                <w:color w:val="auto"/>
                <w:sz w:val="24"/>
                <w:szCs w:val="24"/>
              </w:rPr>
              <w:t>Heart rate – cycles/min</w:t>
            </w:r>
          </w:p>
        </w:tc>
        <w:tc>
          <w:tcPr>
            <w:tcW w:w="2603" w:type="dxa"/>
            <w:shd w:val="clear" w:color="auto" w:fill="auto"/>
            <w:vAlign w:val="center"/>
          </w:tcPr>
          <w:p w14:paraId="32D96B0D">
            <w:pPr>
              <w:widowControl/>
              <w:jc w:val="center"/>
              <w:textAlignment w:val="center"/>
              <w:rPr>
                <w:rFonts w:eastAsiaTheme="minorEastAsia"/>
                <w:color w:val="auto"/>
                <w:sz w:val="24"/>
                <w:szCs w:val="24"/>
                <w:lang w:bidi="ar"/>
              </w:rPr>
            </w:pPr>
          </w:p>
        </w:tc>
        <w:tc>
          <w:tcPr>
            <w:tcW w:w="2603" w:type="dxa"/>
            <w:shd w:val="clear" w:color="auto" w:fill="auto"/>
            <w:noWrap/>
            <w:vAlign w:val="center"/>
          </w:tcPr>
          <w:p w14:paraId="59EC9DD9">
            <w:pPr>
              <w:widowControl/>
              <w:jc w:val="center"/>
              <w:textAlignment w:val="center"/>
              <w:rPr>
                <w:rFonts w:eastAsiaTheme="minorEastAsia"/>
                <w:color w:val="auto"/>
                <w:sz w:val="24"/>
                <w:szCs w:val="24"/>
              </w:rPr>
            </w:pPr>
          </w:p>
        </w:tc>
        <w:tc>
          <w:tcPr>
            <w:tcW w:w="2604" w:type="dxa"/>
            <w:shd w:val="clear" w:color="auto" w:fill="auto"/>
            <w:noWrap/>
            <w:vAlign w:val="center"/>
          </w:tcPr>
          <w:p w14:paraId="65707CA6">
            <w:pPr>
              <w:widowControl/>
              <w:jc w:val="center"/>
              <w:textAlignment w:val="center"/>
              <w:rPr>
                <w:rFonts w:eastAsiaTheme="minorEastAsia"/>
                <w:color w:val="auto"/>
                <w:sz w:val="24"/>
                <w:szCs w:val="24"/>
              </w:rPr>
            </w:pPr>
          </w:p>
        </w:tc>
        <w:tc>
          <w:tcPr>
            <w:tcW w:w="1089" w:type="dxa"/>
            <w:shd w:val="clear" w:color="auto" w:fill="auto"/>
            <w:noWrap/>
            <w:vAlign w:val="center"/>
          </w:tcPr>
          <w:p w14:paraId="276ADEF2">
            <w:pPr>
              <w:widowControl/>
              <w:jc w:val="center"/>
              <w:textAlignment w:val="center"/>
              <w:rPr>
                <w:rFonts w:eastAsiaTheme="minorEastAsia"/>
                <w:color w:val="auto"/>
                <w:sz w:val="24"/>
                <w:szCs w:val="24"/>
              </w:rPr>
            </w:pPr>
          </w:p>
        </w:tc>
      </w:tr>
      <w:tr w14:paraId="159C6EFE">
        <w:tblPrEx>
          <w:tblCellMar>
            <w:top w:w="0" w:type="dxa"/>
            <w:left w:w="108" w:type="dxa"/>
            <w:bottom w:w="0" w:type="dxa"/>
            <w:right w:w="108" w:type="dxa"/>
          </w:tblCellMar>
        </w:tblPrEx>
        <w:trPr>
          <w:trHeight w:val="307" w:hRule="atLeast"/>
        </w:trPr>
        <w:tc>
          <w:tcPr>
            <w:tcW w:w="5275" w:type="dxa"/>
            <w:shd w:val="clear" w:color="auto" w:fill="auto"/>
            <w:noWrap/>
            <w:vAlign w:val="center"/>
          </w:tcPr>
          <w:p w14:paraId="40995ABC">
            <w:pPr>
              <w:ind w:firstLine="240" w:firstLineChars="100"/>
              <w:rPr>
                <w:rFonts w:eastAsiaTheme="minorEastAsia"/>
                <w:color w:val="auto"/>
                <w:sz w:val="24"/>
                <w:szCs w:val="24"/>
              </w:rPr>
            </w:pPr>
            <w:r>
              <w:rPr>
                <w:color w:val="auto"/>
                <w:sz w:val="24"/>
                <w:szCs w:val="24"/>
              </w:rPr>
              <w:t>0h</w:t>
            </w:r>
          </w:p>
        </w:tc>
        <w:tc>
          <w:tcPr>
            <w:tcW w:w="2603" w:type="dxa"/>
            <w:shd w:val="clear" w:color="auto" w:fill="auto"/>
            <w:vAlign w:val="center"/>
          </w:tcPr>
          <w:p w14:paraId="563AB570">
            <w:pPr>
              <w:widowControl/>
              <w:jc w:val="center"/>
              <w:textAlignment w:val="center"/>
              <w:rPr>
                <w:rFonts w:eastAsiaTheme="minorEastAsia"/>
                <w:color w:val="auto"/>
                <w:sz w:val="24"/>
                <w:szCs w:val="24"/>
                <w:lang w:bidi="ar"/>
              </w:rPr>
            </w:pPr>
            <w:r>
              <w:rPr>
                <w:rFonts w:hint="eastAsia"/>
                <w:color w:val="auto"/>
                <w:kern w:val="0"/>
                <w:sz w:val="24"/>
                <w:szCs w:val="24"/>
                <w:lang w:bidi="ar"/>
              </w:rPr>
              <w:t>103.40</w:t>
            </w:r>
            <w:r>
              <w:rPr>
                <w:color w:val="auto"/>
                <w:kern w:val="0"/>
                <w:sz w:val="24"/>
                <w:szCs w:val="24"/>
                <w:lang w:bidi="ar"/>
              </w:rPr>
              <w:t xml:space="preserve"> ± </w:t>
            </w:r>
            <w:r>
              <w:rPr>
                <w:rFonts w:hint="eastAsia"/>
                <w:color w:val="auto"/>
                <w:kern w:val="0"/>
                <w:sz w:val="24"/>
                <w:szCs w:val="24"/>
                <w:lang w:bidi="ar"/>
              </w:rPr>
              <w:t>20.82</w:t>
            </w:r>
          </w:p>
        </w:tc>
        <w:tc>
          <w:tcPr>
            <w:tcW w:w="2603" w:type="dxa"/>
            <w:shd w:val="clear" w:color="auto" w:fill="auto"/>
            <w:noWrap/>
            <w:vAlign w:val="center"/>
          </w:tcPr>
          <w:p w14:paraId="254F6D0B">
            <w:pPr>
              <w:widowControl/>
              <w:jc w:val="center"/>
              <w:textAlignment w:val="center"/>
              <w:rPr>
                <w:rFonts w:eastAsiaTheme="minorEastAsia"/>
                <w:color w:val="auto"/>
                <w:sz w:val="24"/>
                <w:szCs w:val="24"/>
              </w:rPr>
            </w:pPr>
            <w:r>
              <w:rPr>
                <w:rFonts w:hint="eastAsia"/>
                <w:color w:val="auto"/>
                <w:kern w:val="0"/>
                <w:sz w:val="24"/>
                <w:szCs w:val="24"/>
                <w:lang w:bidi="ar"/>
              </w:rPr>
              <w:t>106.30</w:t>
            </w:r>
            <w:r>
              <w:rPr>
                <w:color w:val="auto"/>
                <w:kern w:val="0"/>
                <w:sz w:val="24"/>
                <w:szCs w:val="24"/>
                <w:lang w:bidi="ar"/>
              </w:rPr>
              <w:t xml:space="preserve"> ± </w:t>
            </w:r>
            <w:r>
              <w:rPr>
                <w:rFonts w:hint="eastAsia"/>
                <w:color w:val="auto"/>
                <w:kern w:val="0"/>
                <w:sz w:val="24"/>
                <w:szCs w:val="24"/>
                <w:lang w:bidi="ar"/>
              </w:rPr>
              <w:t>17.28</w:t>
            </w:r>
          </w:p>
        </w:tc>
        <w:tc>
          <w:tcPr>
            <w:tcW w:w="2604" w:type="dxa"/>
            <w:shd w:val="clear" w:color="auto" w:fill="auto"/>
            <w:noWrap/>
            <w:vAlign w:val="center"/>
          </w:tcPr>
          <w:p w14:paraId="7317134A">
            <w:pPr>
              <w:widowControl/>
              <w:jc w:val="center"/>
              <w:textAlignment w:val="center"/>
              <w:rPr>
                <w:rFonts w:eastAsiaTheme="minorEastAsia"/>
                <w:color w:val="auto"/>
                <w:sz w:val="24"/>
                <w:szCs w:val="24"/>
              </w:rPr>
            </w:pPr>
            <w:r>
              <w:rPr>
                <w:rFonts w:hint="eastAsia"/>
                <w:color w:val="auto"/>
                <w:kern w:val="0"/>
                <w:sz w:val="24"/>
                <w:szCs w:val="24"/>
                <w:lang w:bidi="ar"/>
              </w:rPr>
              <w:t>101.70</w:t>
            </w:r>
            <w:r>
              <w:rPr>
                <w:color w:val="auto"/>
                <w:kern w:val="0"/>
                <w:sz w:val="24"/>
                <w:szCs w:val="24"/>
                <w:lang w:bidi="ar"/>
              </w:rPr>
              <w:t xml:space="preserve"> ± </w:t>
            </w:r>
            <w:r>
              <w:rPr>
                <w:rFonts w:hint="eastAsia"/>
                <w:color w:val="auto"/>
                <w:kern w:val="0"/>
                <w:sz w:val="24"/>
                <w:szCs w:val="24"/>
                <w:lang w:bidi="ar"/>
              </w:rPr>
              <w:t>22.89</w:t>
            </w:r>
          </w:p>
        </w:tc>
        <w:tc>
          <w:tcPr>
            <w:tcW w:w="1089" w:type="dxa"/>
            <w:shd w:val="clear" w:color="auto" w:fill="auto"/>
            <w:noWrap/>
            <w:vAlign w:val="center"/>
          </w:tcPr>
          <w:p w14:paraId="574BE4FC">
            <w:pPr>
              <w:widowControl/>
              <w:jc w:val="center"/>
              <w:textAlignment w:val="center"/>
              <w:rPr>
                <w:rFonts w:eastAsia="等线"/>
                <w:color w:val="auto"/>
                <w:sz w:val="24"/>
                <w:szCs w:val="24"/>
              </w:rPr>
            </w:pPr>
            <w:r>
              <w:rPr>
                <w:color w:val="auto"/>
                <w:kern w:val="0"/>
                <w:sz w:val="24"/>
                <w:szCs w:val="24"/>
                <w:lang w:bidi="ar"/>
              </w:rPr>
              <w:t>0.</w:t>
            </w:r>
            <w:r>
              <w:rPr>
                <w:rFonts w:hint="eastAsia"/>
                <w:color w:val="auto"/>
                <w:kern w:val="0"/>
                <w:sz w:val="24"/>
                <w:szCs w:val="24"/>
                <w:lang w:bidi="ar"/>
              </w:rPr>
              <w:t>570</w:t>
            </w:r>
          </w:p>
        </w:tc>
      </w:tr>
      <w:tr w14:paraId="4E1185F8">
        <w:tblPrEx>
          <w:tblCellMar>
            <w:top w:w="0" w:type="dxa"/>
            <w:left w:w="108" w:type="dxa"/>
            <w:bottom w:w="0" w:type="dxa"/>
            <w:right w:w="108" w:type="dxa"/>
          </w:tblCellMar>
        </w:tblPrEx>
        <w:trPr>
          <w:trHeight w:val="307" w:hRule="atLeast"/>
        </w:trPr>
        <w:tc>
          <w:tcPr>
            <w:tcW w:w="5275" w:type="dxa"/>
            <w:shd w:val="clear" w:color="auto" w:fill="auto"/>
            <w:noWrap/>
            <w:vAlign w:val="center"/>
          </w:tcPr>
          <w:p w14:paraId="2D5AB8C7">
            <w:pPr>
              <w:ind w:firstLine="240" w:firstLineChars="100"/>
              <w:rPr>
                <w:rFonts w:eastAsiaTheme="minorEastAsia"/>
                <w:color w:val="auto"/>
                <w:sz w:val="24"/>
                <w:szCs w:val="24"/>
              </w:rPr>
            </w:pPr>
            <w:r>
              <w:rPr>
                <w:color w:val="auto"/>
                <w:sz w:val="24"/>
                <w:szCs w:val="24"/>
              </w:rPr>
              <w:t>30min</w:t>
            </w:r>
          </w:p>
        </w:tc>
        <w:tc>
          <w:tcPr>
            <w:tcW w:w="2603" w:type="dxa"/>
            <w:shd w:val="clear" w:color="auto" w:fill="auto"/>
            <w:vAlign w:val="center"/>
          </w:tcPr>
          <w:p w14:paraId="0C6F6E1B">
            <w:pPr>
              <w:widowControl/>
              <w:jc w:val="center"/>
              <w:textAlignment w:val="center"/>
              <w:rPr>
                <w:rFonts w:eastAsiaTheme="minorEastAsia"/>
                <w:color w:val="auto"/>
                <w:sz w:val="24"/>
                <w:szCs w:val="24"/>
                <w:lang w:bidi="ar"/>
              </w:rPr>
            </w:pPr>
            <w:r>
              <w:rPr>
                <w:rFonts w:hint="eastAsia"/>
                <w:color w:val="auto"/>
                <w:kern w:val="0"/>
                <w:sz w:val="24"/>
                <w:szCs w:val="24"/>
                <w:lang w:bidi="ar"/>
              </w:rPr>
              <w:t>102.60</w:t>
            </w:r>
            <w:r>
              <w:rPr>
                <w:color w:val="auto"/>
                <w:kern w:val="0"/>
                <w:sz w:val="24"/>
                <w:szCs w:val="24"/>
                <w:lang w:bidi="ar"/>
              </w:rPr>
              <w:t xml:space="preserve"> ± </w:t>
            </w:r>
            <w:r>
              <w:rPr>
                <w:rFonts w:hint="eastAsia"/>
                <w:color w:val="auto"/>
                <w:kern w:val="0"/>
                <w:sz w:val="24"/>
                <w:szCs w:val="24"/>
                <w:lang w:bidi="ar"/>
              </w:rPr>
              <w:t>20.03</w:t>
            </w:r>
          </w:p>
        </w:tc>
        <w:tc>
          <w:tcPr>
            <w:tcW w:w="2603" w:type="dxa"/>
            <w:shd w:val="clear" w:color="auto" w:fill="auto"/>
            <w:noWrap/>
            <w:vAlign w:val="center"/>
          </w:tcPr>
          <w:p w14:paraId="29DFC40C">
            <w:pPr>
              <w:widowControl/>
              <w:jc w:val="center"/>
              <w:textAlignment w:val="center"/>
              <w:rPr>
                <w:rFonts w:eastAsiaTheme="minorEastAsia"/>
                <w:color w:val="auto"/>
                <w:sz w:val="24"/>
                <w:szCs w:val="24"/>
                <w:lang w:bidi="ar"/>
              </w:rPr>
            </w:pPr>
            <w:r>
              <w:rPr>
                <w:rFonts w:hint="eastAsia"/>
                <w:color w:val="auto"/>
                <w:kern w:val="0"/>
                <w:sz w:val="24"/>
                <w:szCs w:val="24"/>
                <w:lang w:bidi="ar"/>
              </w:rPr>
              <w:t>104.90</w:t>
            </w:r>
            <w:r>
              <w:rPr>
                <w:color w:val="auto"/>
                <w:kern w:val="0"/>
                <w:sz w:val="24"/>
                <w:szCs w:val="24"/>
                <w:lang w:bidi="ar"/>
              </w:rPr>
              <w:t xml:space="preserve"> ± </w:t>
            </w:r>
            <w:r>
              <w:rPr>
                <w:rFonts w:hint="eastAsia"/>
                <w:color w:val="auto"/>
                <w:kern w:val="0"/>
                <w:sz w:val="24"/>
                <w:szCs w:val="24"/>
                <w:lang w:bidi="ar"/>
              </w:rPr>
              <w:t>17.64</w:t>
            </w:r>
          </w:p>
        </w:tc>
        <w:tc>
          <w:tcPr>
            <w:tcW w:w="2604" w:type="dxa"/>
            <w:shd w:val="clear" w:color="auto" w:fill="auto"/>
            <w:noWrap/>
            <w:vAlign w:val="center"/>
          </w:tcPr>
          <w:p w14:paraId="0870C9B8">
            <w:pPr>
              <w:widowControl/>
              <w:jc w:val="center"/>
              <w:textAlignment w:val="center"/>
              <w:rPr>
                <w:rFonts w:eastAsiaTheme="minorEastAsia"/>
                <w:color w:val="auto"/>
                <w:sz w:val="24"/>
                <w:szCs w:val="24"/>
                <w:lang w:bidi="ar"/>
              </w:rPr>
            </w:pPr>
            <w:r>
              <w:rPr>
                <w:rFonts w:hint="eastAsia"/>
                <w:color w:val="auto"/>
                <w:kern w:val="0"/>
                <w:sz w:val="24"/>
                <w:szCs w:val="24"/>
                <w:lang w:bidi="ar"/>
              </w:rPr>
              <w:t>101.20</w:t>
            </w:r>
            <w:r>
              <w:rPr>
                <w:color w:val="auto"/>
                <w:kern w:val="0"/>
                <w:sz w:val="24"/>
                <w:szCs w:val="24"/>
                <w:lang w:bidi="ar"/>
              </w:rPr>
              <w:t xml:space="preserve"> ± </w:t>
            </w:r>
            <w:r>
              <w:rPr>
                <w:rFonts w:hint="eastAsia"/>
                <w:color w:val="auto"/>
                <w:kern w:val="0"/>
                <w:sz w:val="24"/>
                <w:szCs w:val="24"/>
                <w:lang w:bidi="ar"/>
              </w:rPr>
              <w:t>21.64</w:t>
            </w:r>
          </w:p>
        </w:tc>
        <w:tc>
          <w:tcPr>
            <w:tcW w:w="1089" w:type="dxa"/>
            <w:shd w:val="clear" w:color="auto" w:fill="auto"/>
            <w:noWrap/>
            <w:vAlign w:val="center"/>
          </w:tcPr>
          <w:p w14:paraId="69F744A6">
            <w:pPr>
              <w:widowControl/>
              <w:jc w:val="center"/>
              <w:textAlignment w:val="center"/>
              <w:rPr>
                <w:rFonts w:eastAsiaTheme="minorEastAsia"/>
                <w:color w:val="auto"/>
                <w:sz w:val="24"/>
                <w:szCs w:val="24"/>
              </w:rPr>
            </w:pPr>
            <w:r>
              <w:rPr>
                <w:color w:val="auto"/>
                <w:kern w:val="0"/>
                <w:sz w:val="24"/>
                <w:szCs w:val="24"/>
                <w:lang w:bidi="ar"/>
              </w:rPr>
              <w:t>0.</w:t>
            </w:r>
            <w:r>
              <w:rPr>
                <w:rFonts w:hint="eastAsia"/>
                <w:color w:val="auto"/>
                <w:kern w:val="0"/>
                <w:sz w:val="24"/>
                <w:szCs w:val="24"/>
                <w:lang w:bidi="ar"/>
              </w:rPr>
              <w:t>634</w:t>
            </w:r>
          </w:p>
        </w:tc>
      </w:tr>
      <w:tr w14:paraId="0E048AFB">
        <w:tblPrEx>
          <w:tblCellMar>
            <w:top w:w="0" w:type="dxa"/>
            <w:left w:w="108" w:type="dxa"/>
            <w:bottom w:w="0" w:type="dxa"/>
            <w:right w:w="108" w:type="dxa"/>
          </w:tblCellMar>
        </w:tblPrEx>
        <w:trPr>
          <w:trHeight w:val="307" w:hRule="atLeast"/>
        </w:trPr>
        <w:tc>
          <w:tcPr>
            <w:tcW w:w="5275" w:type="dxa"/>
            <w:shd w:val="clear" w:color="auto" w:fill="auto"/>
            <w:noWrap/>
            <w:vAlign w:val="center"/>
          </w:tcPr>
          <w:p w14:paraId="114D69FE">
            <w:pPr>
              <w:ind w:firstLine="240" w:firstLineChars="100"/>
              <w:rPr>
                <w:color w:val="auto"/>
                <w:sz w:val="24"/>
                <w:szCs w:val="24"/>
              </w:rPr>
            </w:pPr>
            <w:r>
              <w:rPr>
                <w:rFonts w:hint="eastAsia"/>
                <w:color w:val="auto"/>
                <w:sz w:val="24"/>
                <w:szCs w:val="24"/>
              </w:rPr>
              <w:t>3h</w:t>
            </w:r>
          </w:p>
        </w:tc>
        <w:tc>
          <w:tcPr>
            <w:tcW w:w="2603" w:type="dxa"/>
            <w:shd w:val="clear" w:color="auto" w:fill="auto"/>
            <w:vAlign w:val="center"/>
          </w:tcPr>
          <w:p w14:paraId="61E7E227">
            <w:pPr>
              <w:widowControl/>
              <w:jc w:val="center"/>
              <w:textAlignment w:val="center"/>
              <w:rPr>
                <w:color w:val="auto"/>
                <w:kern w:val="0"/>
                <w:sz w:val="24"/>
                <w:szCs w:val="24"/>
                <w:lang w:bidi="ar"/>
              </w:rPr>
            </w:pPr>
            <w:r>
              <w:rPr>
                <w:rFonts w:hint="eastAsia"/>
                <w:color w:val="auto"/>
                <w:kern w:val="0"/>
                <w:sz w:val="24"/>
                <w:szCs w:val="24"/>
                <w:lang w:bidi="ar"/>
              </w:rPr>
              <w:t>101.30</w:t>
            </w:r>
            <w:r>
              <w:rPr>
                <w:color w:val="auto"/>
                <w:kern w:val="0"/>
                <w:sz w:val="24"/>
                <w:szCs w:val="24"/>
                <w:lang w:bidi="ar"/>
              </w:rPr>
              <w:t xml:space="preserve"> ± </w:t>
            </w:r>
            <w:r>
              <w:rPr>
                <w:rFonts w:hint="eastAsia"/>
                <w:color w:val="auto"/>
                <w:kern w:val="0"/>
                <w:sz w:val="24"/>
                <w:szCs w:val="24"/>
                <w:lang w:bidi="ar"/>
              </w:rPr>
              <w:t>20.21</w:t>
            </w:r>
          </w:p>
        </w:tc>
        <w:tc>
          <w:tcPr>
            <w:tcW w:w="2603" w:type="dxa"/>
            <w:shd w:val="clear" w:color="auto" w:fill="auto"/>
            <w:noWrap/>
            <w:vAlign w:val="center"/>
          </w:tcPr>
          <w:p w14:paraId="17DBEACE">
            <w:pPr>
              <w:widowControl/>
              <w:jc w:val="center"/>
              <w:textAlignment w:val="center"/>
              <w:rPr>
                <w:color w:val="auto"/>
                <w:kern w:val="0"/>
                <w:sz w:val="24"/>
                <w:szCs w:val="24"/>
                <w:lang w:bidi="ar"/>
              </w:rPr>
            </w:pPr>
            <w:r>
              <w:rPr>
                <w:rFonts w:hint="eastAsia"/>
                <w:color w:val="auto"/>
                <w:kern w:val="0"/>
                <w:sz w:val="24"/>
                <w:szCs w:val="24"/>
                <w:lang w:bidi="ar"/>
              </w:rPr>
              <w:t>104.40</w:t>
            </w:r>
            <w:r>
              <w:rPr>
                <w:color w:val="auto"/>
                <w:kern w:val="0"/>
                <w:sz w:val="24"/>
                <w:szCs w:val="24"/>
                <w:lang w:bidi="ar"/>
              </w:rPr>
              <w:t xml:space="preserve"> ± </w:t>
            </w:r>
            <w:r>
              <w:rPr>
                <w:rFonts w:hint="eastAsia"/>
                <w:color w:val="auto"/>
                <w:kern w:val="0"/>
                <w:sz w:val="24"/>
                <w:szCs w:val="24"/>
                <w:lang w:bidi="ar"/>
              </w:rPr>
              <w:t>19.31</w:t>
            </w:r>
          </w:p>
        </w:tc>
        <w:tc>
          <w:tcPr>
            <w:tcW w:w="2604" w:type="dxa"/>
            <w:shd w:val="clear" w:color="auto" w:fill="auto"/>
            <w:noWrap/>
            <w:vAlign w:val="center"/>
          </w:tcPr>
          <w:p w14:paraId="6ACBA53E">
            <w:pPr>
              <w:widowControl/>
              <w:jc w:val="center"/>
              <w:textAlignment w:val="center"/>
              <w:rPr>
                <w:color w:val="auto"/>
                <w:kern w:val="0"/>
                <w:sz w:val="24"/>
                <w:szCs w:val="24"/>
                <w:lang w:bidi="ar"/>
              </w:rPr>
            </w:pPr>
            <w:r>
              <w:rPr>
                <w:rFonts w:hint="eastAsia"/>
                <w:color w:val="auto"/>
                <w:kern w:val="0"/>
                <w:sz w:val="24"/>
                <w:szCs w:val="24"/>
                <w:lang w:bidi="ar"/>
              </w:rPr>
              <w:t>99.47</w:t>
            </w:r>
            <w:r>
              <w:rPr>
                <w:color w:val="auto"/>
                <w:kern w:val="0"/>
                <w:sz w:val="24"/>
                <w:szCs w:val="24"/>
                <w:lang w:bidi="ar"/>
              </w:rPr>
              <w:t xml:space="preserve"> ± </w:t>
            </w:r>
            <w:r>
              <w:rPr>
                <w:rFonts w:hint="eastAsia"/>
                <w:color w:val="auto"/>
                <w:kern w:val="0"/>
                <w:sz w:val="24"/>
                <w:szCs w:val="24"/>
                <w:lang w:bidi="ar"/>
              </w:rPr>
              <w:t>21.02</w:t>
            </w:r>
          </w:p>
        </w:tc>
        <w:tc>
          <w:tcPr>
            <w:tcW w:w="1089" w:type="dxa"/>
            <w:shd w:val="clear" w:color="auto" w:fill="auto"/>
            <w:noWrap/>
            <w:vAlign w:val="center"/>
          </w:tcPr>
          <w:p w14:paraId="218F3582">
            <w:pPr>
              <w:widowControl/>
              <w:jc w:val="center"/>
              <w:textAlignment w:val="center"/>
              <w:rPr>
                <w:color w:val="auto"/>
                <w:kern w:val="0"/>
                <w:sz w:val="24"/>
                <w:szCs w:val="24"/>
                <w:lang w:bidi="ar"/>
              </w:rPr>
            </w:pPr>
            <w:r>
              <w:rPr>
                <w:color w:val="auto"/>
                <w:kern w:val="0"/>
                <w:sz w:val="24"/>
                <w:szCs w:val="24"/>
                <w:lang w:bidi="ar"/>
              </w:rPr>
              <w:t>0.532</w:t>
            </w:r>
          </w:p>
        </w:tc>
      </w:tr>
      <w:tr w14:paraId="1F096933">
        <w:tblPrEx>
          <w:tblCellMar>
            <w:top w:w="0" w:type="dxa"/>
            <w:left w:w="108" w:type="dxa"/>
            <w:bottom w:w="0" w:type="dxa"/>
            <w:right w:w="108" w:type="dxa"/>
          </w:tblCellMar>
        </w:tblPrEx>
        <w:trPr>
          <w:trHeight w:val="307" w:hRule="atLeast"/>
        </w:trPr>
        <w:tc>
          <w:tcPr>
            <w:tcW w:w="5275" w:type="dxa"/>
            <w:shd w:val="clear" w:color="auto" w:fill="auto"/>
            <w:noWrap/>
            <w:vAlign w:val="center"/>
          </w:tcPr>
          <w:p w14:paraId="5F546EFC">
            <w:pPr>
              <w:rPr>
                <w:rFonts w:eastAsiaTheme="minorEastAsia"/>
                <w:color w:val="auto"/>
                <w:sz w:val="24"/>
                <w:szCs w:val="24"/>
              </w:rPr>
            </w:pPr>
            <w:r>
              <w:rPr>
                <w:color w:val="auto"/>
                <w:sz w:val="24"/>
                <w:szCs w:val="24"/>
              </w:rPr>
              <w:t xml:space="preserve">  </w:t>
            </w:r>
            <w:r>
              <w:rPr>
                <w:i/>
                <w:iCs/>
                <w:color w:val="auto"/>
                <w:sz w:val="24"/>
                <w:szCs w:val="24"/>
              </w:rPr>
              <w:t>P</w:t>
            </w:r>
            <w:r>
              <w:rPr>
                <w:color w:val="auto"/>
                <w:sz w:val="24"/>
                <w:szCs w:val="24"/>
              </w:rPr>
              <w:t xml:space="preserve"> value 0h vs. 30min</w:t>
            </w:r>
          </w:p>
        </w:tc>
        <w:tc>
          <w:tcPr>
            <w:tcW w:w="2603" w:type="dxa"/>
            <w:shd w:val="clear" w:color="auto" w:fill="auto"/>
            <w:vAlign w:val="center"/>
          </w:tcPr>
          <w:p w14:paraId="4532B567">
            <w:pPr>
              <w:widowControl/>
              <w:jc w:val="center"/>
              <w:textAlignment w:val="center"/>
              <w:rPr>
                <w:rFonts w:eastAsiaTheme="minorEastAsia"/>
                <w:color w:val="auto"/>
                <w:sz w:val="24"/>
                <w:szCs w:val="24"/>
                <w:lang w:bidi="ar"/>
              </w:rPr>
            </w:pPr>
            <w:r>
              <w:rPr>
                <w:rFonts w:hint="eastAsia"/>
                <w:color w:val="auto"/>
                <w:sz w:val="24"/>
                <w:szCs w:val="24"/>
                <w:lang w:bidi="ar"/>
              </w:rPr>
              <w:t>0.278</w:t>
            </w:r>
          </w:p>
        </w:tc>
        <w:tc>
          <w:tcPr>
            <w:tcW w:w="2603" w:type="dxa"/>
            <w:shd w:val="clear" w:color="auto" w:fill="auto"/>
            <w:noWrap/>
            <w:vAlign w:val="center"/>
          </w:tcPr>
          <w:p w14:paraId="456613EC">
            <w:pPr>
              <w:widowControl/>
              <w:jc w:val="center"/>
              <w:textAlignment w:val="center"/>
              <w:rPr>
                <w:rFonts w:eastAsiaTheme="minorEastAsia"/>
                <w:color w:val="auto"/>
                <w:sz w:val="24"/>
                <w:szCs w:val="24"/>
                <w:lang w:bidi="ar"/>
              </w:rPr>
            </w:pPr>
            <w:r>
              <w:rPr>
                <w:rFonts w:hint="eastAsia"/>
                <w:color w:val="auto"/>
                <w:sz w:val="24"/>
                <w:szCs w:val="24"/>
                <w:lang w:bidi="ar"/>
              </w:rPr>
              <w:t>0.402</w:t>
            </w:r>
          </w:p>
        </w:tc>
        <w:tc>
          <w:tcPr>
            <w:tcW w:w="2604" w:type="dxa"/>
            <w:shd w:val="clear" w:color="auto" w:fill="auto"/>
            <w:noWrap/>
            <w:vAlign w:val="center"/>
          </w:tcPr>
          <w:p w14:paraId="781726F6">
            <w:pPr>
              <w:widowControl/>
              <w:jc w:val="center"/>
              <w:textAlignment w:val="center"/>
              <w:rPr>
                <w:rFonts w:eastAsiaTheme="minorEastAsia"/>
                <w:color w:val="auto"/>
                <w:sz w:val="24"/>
                <w:szCs w:val="24"/>
                <w:lang w:bidi="ar"/>
              </w:rPr>
            </w:pPr>
            <w:r>
              <w:rPr>
                <w:rFonts w:hint="eastAsia"/>
                <w:color w:val="auto"/>
                <w:sz w:val="24"/>
                <w:szCs w:val="24"/>
                <w:lang w:bidi="ar"/>
              </w:rPr>
              <w:t>0.436</w:t>
            </w:r>
          </w:p>
        </w:tc>
        <w:tc>
          <w:tcPr>
            <w:tcW w:w="1089" w:type="dxa"/>
            <w:shd w:val="clear" w:color="auto" w:fill="auto"/>
            <w:noWrap/>
            <w:vAlign w:val="center"/>
          </w:tcPr>
          <w:p w14:paraId="2B3EB097">
            <w:pPr>
              <w:widowControl/>
              <w:jc w:val="center"/>
              <w:textAlignment w:val="center"/>
              <w:rPr>
                <w:rFonts w:eastAsia="等线"/>
                <w:color w:val="auto"/>
                <w:sz w:val="24"/>
                <w:szCs w:val="24"/>
              </w:rPr>
            </w:pPr>
          </w:p>
        </w:tc>
      </w:tr>
      <w:tr w14:paraId="034A108B">
        <w:tblPrEx>
          <w:tblCellMar>
            <w:top w:w="0" w:type="dxa"/>
            <w:left w:w="108" w:type="dxa"/>
            <w:bottom w:w="0" w:type="dxa"/>
            <w:right w:w="108" w:type="dxa"/>
          </w:tblCellMar>
        </w:tblPrEx>
        <w:trPr>
          <w:trHeight w:val="398" w:hRule="atLeast"/>
        </w:trPr>
        <w:tc>
          <w:tcPr>
            <w:tcW w:w="5275" w:type="dxa"/>
            <w:tcBorders>
              <w:top w:val="nil"/>
              <w:left w:val="nil"/>
              <w:bottom w:val="nil"/>
              <w:right w:val="nil"/>
            </w:tcBorders>
            <w:shd w:val="clear" w:color="auto" w:fill="auto"/>
            <w:noWrap/>
            <w:vAlign w:val="center"/>
          </w:tcPr>
          <w:p w14:paraId="471582EC">
            <w:pPr>
              <w:rPr>
                <w:color w:val="auto"/>
                <w:kern w:val="0"/>
                <w:sz w:val="24"/>
                <w:szCs w:val="24"/>
                <w:lang w:bidi="ar"/>
              </w:rPr>
            </w:pPr>
            <w:r>
              <w:rPr>
                <w:color w:val="auto"/>
                <w:sz w:val="24"/>
                <w:szCs w:val="24"/>
              </w:rPr>
              <w:t>Mean arterial pressure – mmHg</w:t>
            </w:r>
          </w:p>
        </w:tc>
        <w:tc>
          <w:tcPr>
            <w:tcW w:w="2603" w:type="dxa"/>
            <w:tcBorders>
              <w:top w:val="nil"/>
              <w:left w:val="nil"/>
              <w:bottom w:val="nil"/>
              <w:right w:val="nil"/>
            </w:tcBorders>
            <w:shd w:val="clear" w:color="auto" w:fill="auto"/>
            <w:vAlign w:val="center"/>
          </w:tcPr>
          <w:p w14:paraId="1F4C76D2">
            <w:pPr>
              <w:widowControl/>
              <w:jc w:val="center"/>
              <w:textAlignment w:val="center"/>
              <w:rPr>
                <w:rFonts w:eastAsiaTheme="minorEastAsia"/>
                <w:color w:val="auto"/>
                <w:sz w:val="24"/>
                <w:szCs w:val="24"/>
              </w:rPr>
            </w:pPr>
          </w:p>
        </w:tc>
        <w:tc>
          <w:tcPr>
            <w:tcW w:w="2603" w:type="dxa"/>
            <w:tcBorders>
              <w:top w:val="nil"/>
              <w:left w:val="nil"/>
              <w:bottom w:val="nil"/>
              <w:right w:val="nil"/>
            </w:tcBorders>
            <w:shd w:val="clear" w:color="auto" w:fill="auto"/>
            <w:noWrap/>
            <w:vAlign w:val="center"/>
          </w:tcPr>
          <w:p w14:paraId="53771D05">
            <w:pPr>
              <w:widowControl/>
              <w:jc w:val="center"/>
              <w:textAlignment w:val="center"/>
              <w:rPr>
                <w:rFonts w:eastAsiaTheme="minorEastAsia"/>
                <w:color w:val="auto"/>
                <w:sz w:val="24"/>
                <w:szCs w:val="24"/>
              </w:rPr>
            </w:pPr>
          </w:p>
        </w:tc>
        <w:tc>
          <w:tcPr>
            <w:tcW w:w="2604" w:type="dxa"/>
            <w:tcBorders>
              <w:top w:val="nil"/>
              <w:left w:val="nil"/>
              <w:bottom w:val="nil"/>
              <w:right w:val="nil"/>
            </w:tcBorders>
            <w:shd w:val="clear" w:color="auto" w:fill="auto"/>
            <w:noWrap/>
            <w:vAlign w:val="center"/>
          </w:tcPr>
          <w:p w14:paraId="1BA134A4">
            <w:pPr>
              <w:widowControl/>
              <w:jc w:val="center"/>
              <w:textAlignment w:val="center"/>
              <w:rPr>
                <w:rFonts w:eastAsiaTheme="minorEastAsia"/>
                <w:color w:val="auto"/>
                <w:sz w:val="24"/>
                <w:szCs w:val="24"/>
              </w:rPr>
            </w:pPr>
          </w:p>
        </w:tc>
        <w:tc>
          <w:tcPr>
            <w:tcW w:w="1089" w:type="dxa"/>
            <w:tcBorders>
              <w:top w:val="nil"/>
              <w:left w:val="nil"/>
              <w:bottom w:val="nil"/>
              <w:right w:val="nil"/>
            </w:tcBorders>
            <w:shd w:val="clear" w:color="auto" w:fill="auto"/>
            <w:noWrap/>
            <w:vAlign w:val="center"/>
          </w:tcPr>
          <w:p w14:paraId="126D39AB">
            <w:pPr>
              <w:widowControl/>
              <w:jc w:val="center"/>
              <w:textAlignment w:val="center"/>
              <w:rPr>
                <w:rFonts w:eastAsiaTheme="minorEastAsia"/>
                <w:color w:val="auto"/>
                <w:sz w:val="24"/>
                <w:szCs w:val="24"/>
              </w:rPr>
            </w:pPr>
          </w:p>
        </w:tc>
      </w:tr>
      <w:tr w14:paraId="73A2EDCE">
        <w:tblPrEx>
          <w:tblCellMar>
            <w:top w:w="0" w:type="dxa"/>
            <w:left w:w="108" w:type="dxa"/>
            <w:bottom w:w="0" w:type="dxa"/>
            <w:right w:w="108" w:type="dxa"/>
          </w:tblCellMar>
        </w:tblPrEx>
        <w:trPr>
          <w:trHeight w:val="398" w:hRule="atLeast"/>
        </w:trPr>
        <w:tc>
          <w:tcPr>
            <w:tcW w:w="5275" w:type="dxa"/>
            <w:tcBorders>
              <w:top w:val="nil"/>
              <w:left w:val="nil"/>
              <w:bottom w:val="nil"/>
              <w:right w:val="nil"/>
            </w:tcBorders>
            <w:shd w:val="clear" w:color="auto" w:fill="auto"/>
            <w:noWrap/>
            <w:vAlign w:val="center"/>
          </w:tcPr>
          <w:p w14:paraId="4B69598C">
            <w:pPr>
              <w:ind w:firstLine="240" w:firstLineChars="100"/>
              <w:rPr>
                <w:rFonts w:eastAsiaTheme="minorEastAsia"/>
                <w:color w:val="auto"/>
                <w:sz w:val="24"/>
                <w:szCs w:val="24"/>
              </w:rPr>
            </w:pPr>
            <w:r>
              <w:rPr>
                <w:color w:val="auto"/>
                <w:sz w:val="24"/>
                <w:szCs w:val="24"/>
              </w:rPr>
              <w:t>0h</w:t>
            </w:r>
          </w:p>
        </w:tc>
        <w:tc>
          <w:tcPr>
            <w:tcW w:w="2603" w:type="dxa"/>
            <w:tcBorders>
              <w:top w:val="nil"/>
              <w:left w:val="nil"/>
              <w:bottom w:val="nil"/>
              <w:right w:val="nil"/>
            </w:tcBorders>
            <w:shd w:val="clear" w:color="auto" w:fill="auto"/>
            <w:vAlign w:val="center"/>
          </w:tcPr>
          <w:p w14:paraId="239D1A6B">
            <w:pPr>
              <w:widowControl/>
              <w:jc w:val="center"/>
              <w:textAlignment w:val="center"/>
              <w:rPr>
                <w:color w:val="auto"/>
                <w:kern w:val="0"/>
                <w:sz w:val="24"/>
                <w:szCs w:val="24"/>
                <w:lang w:bidi="ar"/>
              </w:rPr>
            </w:pPr>
            <w:r>
              <w:rPr>
                <w:rFonts w:hint="eastAsia"/>
                <w:color w:val="auto"/>
                <w:kern w:val="0"/>
                <w:sz w:val="24"/>
                <w:szCs w:val="24"/>
                <w:lang w:bidi="ar"/>
              </w:rPr>
              <w:t>86.53</w:t>
            </w:r>
            <w:r>
              <w:rPr>
                <w:color w:val="auto"/>
                <w:kern w:val="0"/>
                <w:sz w:val="24"/>
                <w:szCs w:val="24"/>
                <w:lang w:bidi="ar"/>
              </w:rPr>
              <w:t xml:space="preserve"> ± </w:t>
            </w:r>
            <w:r>
              <w:rPr>
                <w:rFonts w:hint="eastAsia"/>
                <w:color w:val="auto"/>
                <w:kern w:val="0"/>
                <w:sz w:val="24"/>
                <w:szCs w:val="24"/>
                <w:lang w:bidi="ar"/>
              </w:rPr>
              <w:t>13.25</w:t>
            </w:r>
          </w:p>
        </w:tc>
        <w:tc>
          <w:tcPr>
            <w:tcW w:w="2603" w:type="dxa"/>
            <w:tcBorders>
              <w:top w:val="nil"/>
              <w:left w:val="nil"/>
              <w:bottom w:val="nil"/>
              <w:right w:val="nil"/>
            </w:tcBorders>
            <w:shd w:val="clear" w:color="auto" w:fill="auto"/>
            <w:noWrap/>
            <w:vAlign w:val="center"/>
          </w:tcPr>
          <w:p w14:paraId="5D0B3B15">
            <w:pPr>
              <w:widowControl/>
              <w:jc w:val="center"/>
              <w:textAlignment w:val="center"/>
              <w:rPr>
                <w:color w:val="auto"/>
                <w:kern w:val="0"/>
                <w:sz w:val="24"/>
                <w:szCs w:val="24"/>
                <w:lang w:bidi="ar"/>
              </w:rPr>
            </w:pPr>
            <w:r>
              <w:rPr>
                <w:rFonts w:hint="eastAsia"/>
                <w:color w:val="auto"/>
                <w:kern w:val="0"/>
                <w:sz w:val="24"/>
                <w:szCs w:val="24"/>
                <w:lang w:bidi="ar"/>
              </w:rPr>
              <w:t>85.05</w:t>
            </w:r>
            <w:r>
              <w:rPr>
                <w:color w:val="auto"/>
                <w:kern w:val="0"/>
                <w:sz w:val="24"/>
                <w:szCs w:val="24"/>
                <w:lang w:bidi="ar"/>
              </w:rPr>
              <w:t xml:space="preserve"> ± </w:t>
            </w:r>
            <w:r>
              <w:rPr>
                <w:rFonts w:hint="eastAsia"/>
                <w:color w:val="auto"/>
                <w:kern w:val="0"/>
                <w:sz w:val="24"/>
                <w:szCs w:val="24"/>
                <w:lang w:bidi="ar"/>
              </w:rPr>
              <w:t>12.58</w:t>
            </w:r>
          </w:p>
        </w:tc>
        <w:tc>
          <w:tcPr>
            <w:tcW w:w="2604" w:type="dxa"/>
            <w:tcBorders>
              <w:top w:val="nil"/>
              <w:left w:val="nil"/>
              <w:bottom w:val="nil"/>
              <w:right w:val="nil"/>
            </w:tcBorders>
            <w:shd w:val="clear" w:color="auto" w:fill="auto"/>
            <w:noWrap/>
            <w:vAlign w:val="center"/>
          </w:tcPr>
          <w:p w14:paraId="12E68806">
            <w:pPr>
              <w:widowControl/>
              <w:jc w:val="center"/>
              <w:textAlignment w:val="center"/>
              <w:rPr>
                <w:color w:val="auto"/>
                <w:kern w:val="0"/>
                <w:sz w:val="24"/>
                <w:szCs w:val="24"/>
                <w:lang w:bidi="ar"/>
              </w:rPr>
            </w:pPr>
            <w:r>
              <w:rPr>
                <w:rFonts w:hint="eastAsia"/>
                <w:color w:val="auto"/>
                <w:kern w:val="0"/>
                <w:sz w:val="24"/>
                <w:szCs w:val="24"/>
                <w:lang w:bidi="ar"/>
              </w:rPr>
              <w:t>87.38</w:t>
            </w:r>
            <w:r>
              <w:rPr>
                <w:color w:val="auto"/>
                <w:kern w:val="0"/>
                <w:sz w:val="24"/>
                <w:szCs w:val="24"/>
                <w:lang w:bidi="ar"/>
              </w:rPr>
              <w:t xml:space="preserve"> ± </w:t>
            </w:r>
            <w:r>
              <w:rPr>
                <w:rFonts w:hint="eastAsia"/>
                <w:color w:val="auto"/>
                <w:kern w:val="0"/>
                <w:sz w:val="24"/>
                <w:szCs w:val="24"/>
                <w:lang w:bidi="ar"/>
              </w:rPr>
              <w:t>13.89</w:t>
            </w:r>
          </w:p>
        </w:tc>
        <w:tc>
          <w:tcPr>
            <w:tcW w:w="1089" w:type="dxa"/>
            <w:tcBorders>
              <w:top w:val="nil"/>
              <w:left w:val="nil"/>
              <w:bottom w:val="nil"/>
              <w:right w:val="nil"/>
            </w:tcBorders>
            <w:shd w:val="clear" w:color="auto" w:fill="auto"/>
            <w:noWrap/>
            <w:vAlign w:val="center"/>
          </w:tcPr>
          <w:p w14:paraId="30FCF72B">
            <w:pPr>
              <w:widowControl/>
              <w:jc w:val="center"/>
              <w:textAlignment w:val="center"/>
              <w:rPr>
                <w:color w:val="auto"/>
                <w:kern w:val="0"/>
                <w:sz w:val="24"/>
                <w:szCs w:val="24"/>
                <w:lang w:bidi="ar"/>
              </w:rPr>
            </w:pPr>
            <w:r>
              <w:rPr>
                <w:color w:val="auto"/>
                <w:kern w:val="0"/>
                <w:sz w:val="24"/>
                <w:szCs w:val="24"/>
                <w:lang w:bidi="ar"/>
              </w:rPr>
              <w:t>0.</w:t>
            </w:r>
            <w:r>
              <w:rPr>
                <w:rFonts w:hint="eastAsia"/>
                <w:color w:val="auto"/>
                <w:kern w:val="0"/>
                <w:sz w:val="24"/>
                <w:szCs w:val="24"/>
                <w:lang w:bidi="ar"/>
              </w:rPr>
              <w:t>651</w:t>
            </w:r>
          </w:p>
        </w:tc>
      </w:tr>
      <w:tr w14:paraId="28426E53">
        <w:tblPrEx>
          <w:tblCellMar>
            <w:top w:w="0" w:type="dxa"/>
            <w:left w:w="108" w:type="dxa"/>
            <w:bottom w:w="0" w:type="dxa"/>
            <w:right w:w="108" w:type="dxa"/>
          </w:tblCellMar>
        </w:tblPrEx>
        <w:trPr>
          <w:trHeight w:val="387" w:hRule="atLeast"/>
        </w:trPr>
        <w:tc>
          <w:tcPr>
            <w:tcW w:w="5275" w:type="dxa"/>
            <w:tcBorders>
              <w:top w:val="nil"/>
              <w:left w:val="nil"/>
              <w:bottom w:val="nil"/>
              <w:right w:val="nil"/>
            </w:tcBorders>
            <w:shd w:val="clear" w:color="auto" w:fill="auto"/>
            <w:noWrap/>
            <w:vAlign w:val="center"/>
          </w:tcPr>
          <w:p w14:paraId="4C89F916">
            <w:pPr>
              <w:ind w:firstLine="240" w:firstLineChars="100"/>
              <w:rPr>
                <w:rFonts w:eastAsiaTheme="minorEastAsia"/>
                <w:color w:val="auto"/>
                <w:sz w:val="24"/>
                <w:szCs w:val="24"/>
              </w:rPr>
            </w:pPr>
            <w:r>
              <w:rPr>
                <w:color w:val="auto"/>
                <w:sz w:val="24"/>
                <w:szCs w:val="24"/>
              </w:rPr>
              <w:t>30min</w:t>
            </w:r>
          </w:p>
        </w:tc>
        <w:tc>
          <w:tcPr>
            <w:tcW w:w="2603" w:type="dxa"/>
            <w:tcBorders>
              <w:top w:val="nil"/>
              <w:left w:val="nil"/>
              <w:bottom w:val="nil"/>
              <w:right w:val="nil"/>
            </w:tcBorders>
            <w:shd w:val="clear" w:color="auto" w:fill="auto"/>
            <w:vAlign w:val="center"/>
          </w:tcPr>
          <w:p w14:paraId="6425A791">
            <w:pPr>
              <w:widowControl/>
              <w:jc w:val="center"/>
              <w:textAlignment w:val="center"/>
              <w:rPr>
                <w:color w:val="auto"/>
                <w:kern w:val="0"/>
                <w:sz w:val="24"/>
                <w:szCs w:val="24"/>
                <w:lang w:bidi="ar"/>
              </w:rPr>
            </w:pPr>
            <w:r>
              <w:rPr>
                <w:rFonts w:hint="eastAsia"/>
                <w:color w:val="auto"/>
                <w:kern w:val="0"/>
                <w:sz w:val="24"/>
                <w:szCs w:val="24"/>
                <w:lang w:bidi="ar"/>
              </w:rPr>
              <w:t>85.28</w:t>
            </w:r>
            <w:r>
              <w:rPr>
                <w:color w:val="auto"/>
                <w:kern w:val="0"/>
                <w:sz w:val="24"/>
                <w:szCs w:val="24"/>
                <w:lang w:bidi="ar"/>
              </w:rPr>
              <w:t xml:space="preserve"> ± </w:t>
            </w:r>
            <w:r>
              <w:rPr>
                <w:rFonts w:hint="eastAsia"/>
                <w:color w:val="auto"/>
                <w:kern w:val="0"/>
                <w:sz w:val="24"/>
                <w:szCs w:val="24"/>
                <w:lang w:bidi="ar"/>
              </w:rPr>
              <w:t>12.74</w:t>
            </w:r>
          </w:p>
        </w:tc>
        <w:tc>
          <w:tcPr>
            <w:tcW w:w="2603" w:type="dxa"/>
            <w:tcBorders>
              <w:top w:val="nil"/>
              <w:left w:val="nil"/>
              <w:bottom w:val="nil"/>
              <w:right w:val="nil"/>
            </w:tcBorders>
            <w:shd w:val="clear" w:color="auto" w:fill="auto"/>
            <w:noWrap/>
            <w:vAlign w:val="center"/>
          </w:tcPr>
          <w:p w14:paraId="139A5912">
            <w:pPr>
              <w:widowControl/>
              <w:jc w:val="center"/>
              <w:textAlignment w:val="center"/>
              <w:rPr>
                <w:color w:val="auto"/>
                <w:kern w:val="0"/>
                <w:sz w:val="24"/>
                <w:szCs w:val="24"/>
                <w:lang w:bidi="ar"/>
              </w:rPr>
            </w:pPr>
            <w:r>
              <w:rPr>
                <w:rFonts w:hint="eastAsia"/>
                <w:color w:val="auto"/>
                <w:kern w:val="0"/>
                <w:sz w:val="24"/>
                <w:szCs w:val="24"/>
                <w:lang w:bidi="ar"/>
              </w:rPr>
              <w:t>83.79</w:t>
            </w:r>
            <w:r>
              <w:rPr>
                <w:color w:val="auto"/>
                <w:kern w:val="0"/>
                <w:sz w:val="24"/>
                <w:szCs w:val="24"/>
                <w:lang w:bidi="ar"/>
              </w:rPr>
              <w:t xml:space="preserve"> ± </w:t>
            </w:r>
            <w:r>
              <w:rPr>
                <w:rFonts w:hint="eastAsia"/>
                <w:color w:val="auto"/>
                <w:kern w:val="0"/>
                <w:sz w:val="24"/>
                <w:szCs w:val="24"/>
                <w:lang w:bidi="ar"/>
              </w:rPr>
              <w:t>11.33</w:t>
            </w:r>
          </w:p>
        </w:tc>
        <w:tc>
          <w:tcPr>
            <w:tcW w:w="2604" w:type="dxa"/>
            <w:tcBorders>
              <w:top w:val="nil"/>
              <w:left w:val="nil"/>
              <w:bottom w:val="nil"/>
              <w:right w:val="nil"/>
            </w:tcBorders>
            <w:shd w:val="clear" w:color="auto" w:fill="auto"/>
            <w:noWrap/>
            <w:vAlign w:val="center"/>
          </w:tcPr>
          <w:p w14:paraId="2357B087">
            <w:pPr>
              <w:widowControl/>
              <w:jc w:val="center"/>
              <w:textAlignment w:val="center"/>
              <w:rPr>
                <w:color w:val="auto"/>
                <w:kern w:val="0"/>
                <w:sz w:val="24"/>
                <w:szCs w:val="24"/>
                <w:lang w:bidi="ar"/>
              </w:rPr>
            </w:pPr>
            <w:r>
              <w:rPr>
                <w:rFonts w:hint="eastAsia"/>
                <w:color w:val="auto"/>
                <w:kern w:val="0"/>
                <w:sz w:val="24"/>
                <w:szCs w:val="24"/>
                <w:lang w:bidi="ar"/>
              </w:rPr>
              <w:t>86.15</w:t>
            </w:r>
            <w:r>
              <w:rPr>
                <w:color w:val="auto"/>
                <w:kern w:val="0"/>
                <w:sz w:val="24"/>
                <w:szCs w:val="24"/>
                <w:lang w:bidi="ar"/>
              </w:rPr>
              <w:t xml:space="preserve"> ± </w:t>
            </w:r>
            <w:r>
              <w:rPr>
                <w:rFonts w:hint="eastAsia"/>
                <w:color w:val="auto"/>
                <w:kern w:val="0"/>
                <w:sz w:val="24"/>
                <w:szCs w:val="24"/>
                <w:lang w:bidi="ar"/>
              </w:rPr>
              <w:t>13.71</w:t>
            </w:r>
          </w:p>
        </w:tc>
        <w:tc>
          <w:tcPr>
            <w:tcW w:w="1089" w:type="dxa"/>
            <w:tcBorders>
              <w:top w:val="nil"/>
              <w:left w:val="nil"/>
              <w:bottom w:val="nil"/>
              <w:right w:val="nil"/>
            </w:tcBorders>
            <w:shd w:val="clear" w:color="auto" w:fill="auto"/>
            <w:noWrap/>
            <w:vAlign w:val="center"/>
          </w:tcPr>
          <w:p w14:paraId="761BEC3A">
            <w:pPr>
              <w:widowControl/>
              <w:jc w:val="center"/>
              <w:textAlignment w:val="center"/>
              <w:rPr>
                <w:color w:val="auto"/>
                <w:kern w:val="0"/>
                <w:sz w:val="24"/>
                <w:szCs w:val="24"/>
                <w:lang w:bidi="ar"/>
              </w:rPr>
            </w:pPr>
            <w:r>
              <w:rPr>
                <w:color w:val="auto"/>
                <w:kern w:val="0"/>
                <w:sz w:val="24"/>
                <w:szCs w:val="24"/>
                <w:lang w:bidi="ar"/>
              </w:rPr>
              <w:t>0.</w:t>
            </w:r>
            <w:r>
              <w:rPr>
                <w:rFonts w:hint="eastAsia"/>
                <w:color w:val="auto"/>
                <w:kern w:val="0"/>
                <w:sz w:val="24"/>
                <w:szCs w:val="24"/>
                <w:lang w:bidi="ar"/>
              </w:rPr>
              <w:t>633</w:t>
            </w:r>
          </w:p>
        </w:tc>
      </w:tr>
      <w:tr w14:paraId="240518F8">
        <w:tblPrEx>
          <w:tblCellMar>
            <w:top w:w="0" w:type="dxa"/>
            <w:left w:w="108" w:type="dxa"/>
            <w:bottom w:w="0" w:type="dxa"/>
            <w:right w:w="108" w:type="dxa"/>
          </w:tblCellMar>
        </w:tblPrEx>
        <w:trPr>
          <w:trHeight w:val="387" w:hRule="atLeast"/>
        </w:trPr>
        <w:tc>
          <w:tcPr>
            <w:tcW w:w="5275" w:type="dxa"/>
            <w:tcBorders>
              <w:top w:val="nil"/>
              <w:left w:val="nil"/>
              <w:bottom w:val="nil"/>
              <w:right w:val="nil"/>
            </w:tcBorders>
            <w:shd w:val="clear" w:color="auto" w:fill="auto"/>
            <w:noWrap/>
            <w:vAlign w:val="center"/>
          </w:tcPr>
          <w:p w14:paraId="178F265E">
            <w:pPr>
              <w:ind w:firstLine="240" w:firstLineChars="100"/>
              <w:rPr>
                <w:color w:val="auto"/>
                <w:sz w:val="24"/>
                <w:szCs w:val="24"/>
              </w:rPr>
            </w:pPr>
            <w:r>
              <w:rPr>
                <w:rFonts w:hint="eastAsia"/>
                <w:color w:val="auto"/>
                <w:sz w:val="24"/>
                <w:szCs w:val="24"/>
              </w:rPr>
              <w:t>3h</w:t>
            </w:r>
          </w:p>
        </w:tc>
        <w:tc>
          <w:tcPr>
            <w:tcW w:w="2603" w:type="dxa"/>
            <w:tcBorders>
              <w:top w:val="nil"/>
              <w:left w:val="nil"/>
              <w:bottom w:val="nil"/>
              <w:right w:val="nil"/>
            </w:tcBorders>
            <w:shd w:val="clear" w:color="auto" w:fill="auto"/>
            <w:vAlign w:val="center"/>
          </w:tcPr>
          <w:p w14:paraId="69BFB12C">
            <w:pPr>
              <w:widowControl/>
              <w:jc w:val="center"/>
              <w:textAlignment w:val="center"/>
              <w:rPr>
                <w:color w:val="auto"/>
                <w:kern w:val="0"/>
                <w:sz w:val="24"/>
                <w:szCs w:val="24"/>
                <w:lang w:bidi="ar"/>
              </w:rPr>
            </w:pPr>
            <w:r>
              <w:rPr>
                <w:rFonts w:hint="eastAsia"/>
                <w:color w:val="auto"/>
                <w:kern w:val="0"/>
                <w:sz w:val="24"/>
                <w:szCs w:val="24"/>
                <w:lang w:bidi="ar"/>
              </w:rPr>
              <w:t>83.06</w:t>
            </w:r>
            <w:r>
              <w:rPr>
                <w:color w:val="auto"/>
                <w:kern w:val="0"/>
                <w:sz w:val="24"/>
                <w:szCs w:val="24"/>
                <w:lang w:bidi="ar"/>
              </w:rPr>
              <w:t xml:space="preserve"> ± </w:t>
            </w:r>
            <w:r>
              <w:rPr>
                <w:rFonts w:hint="eastAsia"/>
                <w:color w:val="auto"/>
                <w:kern w:val="0"/>
                <w:sz w:val="24"/>
                <w:szCs w:val="24"/>
                <w:lang w:bidi="ar"/>
              </w:rPr>
              <w:t>11.76</w:t>
            </w:r>
          </w:p>
        </w:tc>
        <w:tc>
          <w:tcPr>
            <w:tcW w:w="2603" w:type="dxa"/>
            <w:tcBorders>
              <w:top w:val="nil"/>
              <w:left w:val="nil"/>
              <w:bottom w:val="nil"/>
              <w:right w:val="nil"/>
            </w:tcBorders>
            <w:shd w:val="clear" w:color="auto" w:fill="auto"/>
            <w:noWrap/>
            <w:vAlign w:val="center"/>
          </w:tcPr>
          <w:p w14:paraId="79FCDAB2">
            <w:pPr>
              <w:widowControl/>
              <w:jc w:val="center"/>
              <w:textAlignment w:val="center"/>
              <w:rPr>
                <w:color w:val="auto"/>
                <w:kern w:val="0"/>
                <w:sz w:val="24"/>
                <w:szCs w:val="24"/>
                <w:lang w:bidi="ar"/>
              </w:rPr>
            </w:pPr>
            <w:r>
              <w:rPr>
                <w:rFonts w:hint="eastAsia"/>
                <w:color w:val="auto"/>
                <w:kern w:val="0"/>
                <w:sz w:val="24"/>
                <w:szCs w:val="24"/>
                <w:lang w:bidi="ar"/>
              </w:rPr>
              <w:t>86.69</w:t>
            </w:r>
            <w:r>
              <w:rPr>
                <w:color w:val="auto"/>
                <w:kern w:val="0"/>
                <w:sz w:val="24"/>
                <w:szCs w:val="24"/>
                <w:lang w:bidi="ar"/>
              </w:rPr>
              <w:t xml:space="preserve"> ± </w:t>
            </w:r>
            <w:r>
              <w:rPr>
                <w:rFonts w:hint="eastAsia"/>
                <w:color w:val="auto"/>
                <w:kern w:val="0"/>
                <w:sz w:val="24"/>
                <w:szCs w:val="24"/>
                <w:lang w:bidi="ar"/>
              </w:rPr>
              <w:t>11.64</w:t>
            </w:r>
          </w:p>
        </w:tc>
        <w:tc>
          <w:tcPr>
            <w:tcW w:w="2604" w:type="dxa"/>
            <w:tcBorders>
              <w:top w:val="nil"/>
              <w:left w:val="nil"/>
              <w:bottom w:val="nil"/>
              <w:right w:val="nil"/>
            </w:tcBorders>
            <w:shd w:val="clear" w:color="auto" w:fill="auto"/>
            <w:noWrap/>
            <w:vAlign w:val="center"/>
          </w:tcPr>
          <w:p w14:paraId="745EC636">
            <w:pPr>
              <w:widowControl/>
              <w:jc w:val="center"/>
              <w:textAlignment w:val="center"/>
              <w:rPr>
                <w:color w:val="auto"/>
                <w:kern w:val="0"/>
                <w:sz w:val="24"/>
                <w:szCs w:val="24"/>
                <w:lang w:bidi="ar"/>
              </w:rPr>
            </w:pPr>
            <w:r>
              <w:rPr>
                <w:rFonts w:hint="eastAsia"/>
                <w:color w:val="auto"/>
                <w:kern w:val="0"/>
                <w:sz w:val="24"/>
                <w:szCs w:val="24"/>
                <w:lang w:bidi="ar"/>
              </w:rPr>
              <w:t>80.96</w:t>
            </w:r>
            <w:r>
              <w:rPr>
                <w:color w:val="auto"/>
                <w:kern w:val="0"/>
                <w:sz w:val="24"/>
                <w:szCs w:val="24"/>
                <w:lang w:bidi="ar"/>
              </w:rPr>
              <w:t xml:space="preserve"> ± </w:t>
            </w:r>
            <w:r>
              <w:rPr>
                <w:rFonts w:hint="eastAsia"/>
                <w:color w:val="auto"/>
                <w:kern w:val="0"/>
                <w:sz w:val="24"/>
                <w:szCs w:val="24"/>
                <w:lang w:bidi="ar"/>
              </w:rPr>
              <w:t>11.61</w:t>
            </w:r>
          </w:p>
        </w:tc>
        <w:tc>
          <w:tcPr>
            <w:tcW w:w="1089" w:type="dxa"/>
            <w:tcBorders>
              <w:top w:val="nil"/>
              <w:left w:val="nil"/>
              <w:bottom w:val="nil"/>
              <w:right w:val="nil"/>
            </w:tcBorders>
            <w:shd w:val="clear" w:color="auto" w:fill="auto"/>
            <w:noWrap/>
            <w:vAlign w:val="center"/>
          </w:tcPr>
          <w:p w14:paraId="72E70704">
            <w:pPr>
              <w:widowControl/>
              <w:jc w:val="center"/>
              <w:textAlignment w:val="center"/>
              <w:rPr>
                <w:color w:val="auto"/>
                <w:kern w:val="0"/>
                <w:sz w:val="24"/>
                <w:szCs w:val="24"/>
                <w:lang w:bidi="ar"/>
              </w:rPr>
            </w:pPr>
            <w:r>
              <w:rPr>
                <w:color w:val="auto"/>
                <w:kern w:val="0"/>
                <w:sz w:val="24"/>
                <w:szCs w:val="24"/>
                <w:lang w:bidi="ar"/>
              </w:rPr>
              <w:t>0.2</w:t>
            </w:r>
            <w:r>
              <w:rPr>
                <w:rFonts w:hint="eastAsia"/>
                <w:color w:val="auto"/>
                <w:kern w:val="0"/>
                <w:sz w:val="24"/>
                <w:szCs w:val="24"/>
                <w:lang w:bidi="ar"/>
              </w:rPr>
              <w:t>03</w:t>
            </w:r>
          </w:p>
        </w:tc>
      </w:tr>
      <w:tr w14:paraId="17BDE7DF">
        <w:tblPrEx>
          <w:tblCellMar>
            <w:top w:w="0" w:type="dxa"/>
            <w:left w:w="108" w:type="dxa"/>
            <w:bottom w:w="0" w:type="dxa"/>
            <w:right w:w="108" w:type="dxa"/>
          </w:tblCellMar>
        </w:tblPrEx>
        <w:trPr>
          <w:trHeight w:val="387" w:hRule="atLeast"/>
        </w:trPr>
        <w:tc>
          <w:tcPr>
            <w:tcW w:w="5275" w:type="dxa"/>
            <w:tcBorders>
              <w:top w:val="nil"/>
              <w:left w:val="nil"/>
              <w:bottom w:val="nil"/>
              <w:right w:val="nil"/>
            </w:tcBorders>
            <w:shd w:val="clear" w:color="auto" w:fill="auto"/>
            <w:noWrap/>
            <w:vAlign w:val="center"/>
          </w:tcPr>
          <w:p w14:paraId="729BA6F3">
            <w:pPr>
              <w:rPr>
                <w:rFonts w:eastAsiaTheme="minorEastAsia"/>
                <w:color w:val="auto"/>
                <w:sz w:val="24"/>
                <w:szCs w:val="24"/>
              </w:rPr>
            </w:pPr>
            <w:r>
              <w:rPr>
                <w:color w:val="auto"/>
                <w:sz w:val="24"/>
                <w:szCs w:val="24"/>
              </w:rPr>
              <w:t xml:space="preserve">  </w:t>
            </w:r>
            <w:r>
              <w:rPr>
                <w:i/>
                <w:iCs/>
                <w:color w:val="auto"/>
                <w:sz w:val="24"/>
                <w:szCs w:val="24"/>
              </w:rPr>
              <w:t>P</w:t>
            </w:r>
            <w:r>
              <w:rPr>
                <w:color w:val="auto"/>
                <w:sz w:val="24"/>
                <w:szCs w:val="24"/>
              </w:rPr>
              <w:t xml:space="preserve"> value</w:t>
            </w:r>
          </w:p>
        </w:tc>
        <w:tc>
          <w:tcPr>
            <w:tcW w:w="2603" w:type="dxa"/>
            <w:tcBorders>
              <w:top w:val="nil"/>
              <w:left w:val="nil"/>
              <w:bottom w:val="nil"/>
              <w:right w:val="nil"/>
            </w:tcBorders>
            <w:shd w:val="clear" w:color="auto" w:fill="auto"/>
            <w:vAlign w:val="center"/>
          </w:tcPr>
          <w:p w14:paraId="5860B5B5">
            <w:pPr>
              <w:widowControl/>
              <w:jc w:val="center"/>
              <w:textAlignment w:val="center"/>
              <w:rPr>
                <w:color w:val="auto"/>
                <w:kern w:val="0"/>
                <w:sz w:val="24"/>
                <w:szCs w:val="24"/>
                <w:lang w:bidi="ar"/>
              </w:rPr>
            </w:pPr>
            <w:r>
              <w:rPr>
                <w:rFonts w:hint="eastAsia"/>
                <w:color w:val="auto"/>
                <w:kern w:val="0"/>
                <w:sz w:val="24"/>
                <w:szCs w:val="24"/>
                <w:lang w:bidi="ar"/>
              </w:rPr>
              <w:t>0.215</w:t>
            </w:r>
          </w:p>
        </w:tc>
        <w:tc>
          <w:tcPr>
            <w:tcW w:w="2603" w:type="dxa"/>
            <w:tcBorders>
              <w:top w:val="nil"/>
              <w:left w:val="nil"/>
              <w:bottom w:val="nil"/>
              <w:right w:val="nil"/>
            </w:tcBorders>
            <w:shd w:val="clear" w:color="auto" w:fill="auto"/>
            <w:noWrap/>
            <w:vAlign w:val="center"/>
          </w:tcPr>
          <w:p w14:paraId="1127BD4B">
            <w:pPr>
              <w:widowControl/>
              <w:jc w:val="center"/>
              <w:textAlignment w:val="center"/>
              <w:rPr>
                <w:color w:val="auto"/>
                <w:kern w:val="0"/>
                <w:sz w:val="24"/>
                <w:szCs w:val="24"/>
                <w:lang w:bidi="ar"/>
              </w:rPr>
            </w:pPr>
            <w:r>
              <w:rPr>
                <w:rFonts w:hint="eastAsia"/>
                <w:color w:val="auto"/>
                <w:kern w:val="0"/>
                <w:sz w:val="24"/>
                <w:szCs w:val="24"/>
                <w:lang w:bidi="ar"/>
              </w:rPr>
              <w:t>0.359</w:t>
            </w:r>
          </w:p>
        </w:tc>
        <w:tc>
          <w:tcPr>
            <w:tcW w:w="2604" w:type="dxa"/>
            <w:tcBorders>
              <w:top w:val="nil"/>
              <w:left w:val="nil"/>
              <w:bottom w:val="nil"/>
              <w:right w:val="nil"/>
            </w:tcBorders>
            <w:shd w:val="clear" w:color="auto" w:fill="auto"/>
            <w:noWrap/>
            <w:vAlign w:val="center"/>
          </w:tcPr>
          <w:p w14:paraId="3C95A63C">
            <w:pPr>
              <w:widowControl/>
              <w:jc w:val="center"/>
              <w:textAlignment w:val="center"/>
              <w:rPr>
                <w:color w:val="auto"/>
                <w:kern w:val="0"/>
                <w:sz w:val="24"/>
                <w:szCs w:val="24"/>
                <w:lang w:bidi="ar"/>
              </w:rPr>
            </w:pPr>
            <w:r>
              <w:rPr>
                <w:rFonts w:hint="eastAsia"/>
                <w:color w:val="auto"/>
                <w:kern w:val="0"/>
                <w:sz w:val="24"/>
                <w:szCs w:val="24"/>
                <w:lang w:bidi="ar"/>
              </w:rPr>
              <w:t>0.072</w:t>
            </w:r>
          </w:p>
        </w:tc>
        <w:tc>
          <w:tcPr>
            <w:tcW w:w="1089" w:type="dxa"/>
            <w:tcBorders>
              <w:top w:val="nil"/>
              <w:left w:val="nil"/>
              <w:bottom w:val="nil"/>
              <w:right w:val="nil"/>
            </w:tcBorders>
            <w:shd w:val="clear" w:color="auto" w:fill="auto"/>
            <w:noWrap/>
            <w:vAlign w:val="center"/>
          </w:tcPr>
          <w:p w14:paraId="54172A48">
            <w:pPr>
              <w:widowControl/>
              <w:jc w:val="center"/>
              <w:textAlignment w:val="center"/>
              <w:rPr>
                <w:color w:val="auto"/>
                <w:kern w:val="0"/>
                <w:sz w:val="24"/>
                <w:szCs w:val="24"/>
                <w:lang w:bidi="ar"/>
              </w:rPr>
            </w:pPr>
          </w:p>
        </w:tc>
      </w:tr>
      <w:tr w14:paraId="055820CE">
        <w:tblPrEx>
          <w:tblCellMar>
            <w:top w:w="0" w:type="dxa"/>
            <w:left w:w="108" w:type="dxa"/>
            <w:bottom w:w="0" w:type="dxa"/>
            <w:right w:w="108" w:type="dxa"/>
          </w:tblCellMar>
        </w:tblPrEx>
        <w:trPr>
          <w:trHeight w:val="387" w:hRule="atLeast"/>
        </w:trPr>
        <w:tc>
          <w:tcPr>
            <w:tcW w:w="5275" w:type="dxa"/>
            <w:tcBorders>
              <w:top w:val="nil"/>
              <w:left w:val="nil"/>
              <w:bottom w:val="nil"/>
              <w:right w:val="nil"/>
            </w:tcBorders>
            <w:shd w:val="clear" w:color="auto" w:fill="auto"/>
            <w:noWrap/>
            <w:vAlign w:val="center"/>
          </w:tcPr>
          <w:p w14:paraId="6B751613">
            <w:pPr>
              <w:rPr>
                <w:color w:val="auto"/>
                <w:kern w:val="0"/>
                <w:sz w:val="24"/>
                <w:szCs w:val="24"/>
                <w:lang w:bidi="ar"/>
              </w:rPr>
            </w:pPr>
            <w:r>
              <w:rPr>
                <w:color w:val="auto"/>
                <w:sz w:val="24"/>
                <w:szCs w:val="24"/>
              </w:rPr>
              <w:t>Norepinephrine dose – μg/kg/min</w:t>
            </w:r>
          </w:p>
        </w:tc>
        <w:tc>
          <w:tcPr>
            <w:tcW w:w="2603" w:type="dxa"/>
            <w:tcBorders>
              <w:top w:val="nil"/>
              <w:left w:val="nil"/>
              <w:bottom w:val="nil"/>
              <w:right w:val="nil"/>
            </w:tcBorders>
            <w:shd w:val="clear" w:color="auto" w:fill="auto"/>
            <w:vAlign w:val="center"/>
          </w:tcPr>
          <w:p w14:paraId="05DCBC5C">
            <w:pPr>
              <w:widowControl/>
              <w:jc w:val="center"/>
              <w:textAlignment w:val="center"/>
              <w:rPr>
                <w:color w:val="auto"/>
                <w:kern w:val="0"/>
                <w:sz w:val="24"/>
                <w:szCs w:val="24"/>
                <w:lang w:bidi="ar"/>
              </w:rPr>
            </w:pPr>
          </w:p>
        </w:tc>
        <w:tc>
          <w:tcPr>
            <w:tcW w:w="2603" w:type="dxa"/>
            <w:tcBorders>
              <w:top w:val="nil"/>
              <w:left w:val="nil"/>
              <w:bottom w:val="nil"/>
              <w:right w:val="nil"/>
            </w:tcBorders>
            <w:shd w:val="clear" w:color="auto" w:fill="auto"/>
            <w:noWrap/>
            <w:vAlign w:val="center"/>
          </w:tcPr>
          <w:p w14:paraId="0032C6CE">
            <w:pPr>
              <w:widowControl/>
              <w:jc w:val="center"/>
              <w:textAlignment w:val="center"/>
              <w:rPr>
                <w:color w:val="auto"/>
                <w:kern w:val="0"/>
                <w:sz w:val="24"/>
                <w:szCs w:val="24"/>
                <w:lang w:bidi="ar"/>
              </w:rPr>
            </w:pPr>
          </w:p>
        </w:tc>
        <w:tc>
          <w:tcPr>
            <w:tcW w:w="2604" w:type="dxa"/>
            <w:tcBorders>
              <w:top w:val="nil"/>
              <w:left w:val="nil"/>
              <w:bottom w:val="nil"/>
              <w:right w:val="nil"/>
            </w:tcBorders>
            <w:shd w:val="clear" w:color="auto" w:fill="auto"/>
            <w:noWrap/>
            <w:vAlign w:val="center"/>
          </w:tcPr>
          <w:p w14:paraId="370174D9">
            <w:pPr>
              <w:widowControl/>
              <w:jc w:val="center"/>
              <w:textAlignment w:val="center"/>
              <w:rPr>
                <w:color w:val="auto"/>
                <w:kern w:val="0"/>
                <w:sz w:val="24"/>
                <w:szCs w:val="24"/>
                <w:lang w:bidi="ar"/>
              </w:rPr>
            </w:pPr>
          </w:p>
        </w:tc>
        <w:tc>
          <w:tcPr>
            <w:tcW w:w="1089" w:type="dxa"/>
            <w:tcBorders>
              <w:top w:val="nil"/>
              <w:left w:val="nil"/>
              <w:bottom w:val="nil"/>
              <w:right w:val="nil"/>
            </w:tcBorders>
            <w:shd w:val="clear" w:color="auto" w:fill="auto"/>
            <w:noWrap/>
            <w:vAlign w:val="center"/>
          </w:tcPr>
          <w:p w14:paraId="4DEC8286">
            <w:pPr>
              <w:widowControl/>
              <w:jc w:val="center"/>
              <w:textAlignment w:val="center"/>
              <w:rPr>
                <w:color w:val="auto"/>
                <w:kern w:val="0"/>
                <w:sz w:val="24"/>
                <w:szCs w:val="24"/>
                <w:lang w:bidi="ar"/>
              </w:rPr>
            </w:pPr>
          </w:p>
        </w:tc>
      </w:tr>
      <w:tr w14:paraId="561ABD53">
        <w:tblPrEx>
          <w:tblCellMar>
            <w:top w:w="0" w:type="dxa"/>
            <w:left w:w="108" w:type="dxa"/>
            <w:bottom w:w="0" w:type="dxa"/>
            <w:right w:w="108" w:type="dxa"/>
          </w:tblCellMar>
        </w:tblPrEx>
        <w:trPr>
          <w:trHeight w:val="387" w:hRule="atLeast"/>
        </w:trPr>
        <w:tc>
          <w:tcPr>
            <w:tcW w:w="5275" w:type="dxa"/>
            <w:tcBorders>
              <w:top w:val="nil"/>
              <w:left w:val="nil"/>
              <w:bottom w:val="nil"/>
              <w:right w:val="nil"/>
            </w:tcBorders>
            <w:shd w:val="clear" w:color="auto" w:fill="auto"/>
            <w:noWrap/>
            <w:vAlign w:val="center"/>
          </w:tcPr>
          <w:p w14:paraId="20EF3550">
            <w:pPr>
              <w:ind w:firstLine="240" w:firstLineChars="100"/>
              <w:rPr>
                <w:rFonts w:eastAsiaTheme="minorEastAsia"/>
                <w:color w:val="auto"/>
                <w:sz w:val="24"/>
                <w:szCs w:val="24"/>
              </w:rPr>
            </w:pPr>
            <w:r>
              <w:rPr>
                <w:color w:val="auto"/>
                <w:sz w:val="24"/>
                <w:szCs w:val="24"/>
              </w:rPr>
              <w:t>0h</w:t>
            </w:r>
          </w:p>
        </w:tc>
        <w:tc>
          <w:tcPr>
            <w:tcW w:w="2603" w:type="dxa"/>
            <w:tcBorders>
              <w:top w:val="nil"/>
              <w:left w:val="nil"/>
              <w:bottom w:val="nil"/>
              <w:right w:val="nil"/>
            </w:tcBorders>
            <w:shd w:val="clear" w:color="auto" w:fill="auto"/>
            <w:vAlign w:val="center"/>
          </w:tcPr>
          <w:p w14:paraId="13DCF390">
            <w:pPr>
              <w:widowControl/>
              <w:jc w:val="center"/>
              <w:textAlignment w:val="center"/>
              <w:rPr>
                <w:color w:val="auto"/>
                <w:kern w:val="0"/>
                <w:sz w:val="24"/>
                <w:szCs w:val="24"/>
                <w:lang w:bidi="ar"/>
              </w:rPr>
            </w:pPr>
            <w:r>
              <w:rPr>
                <w:color w:val="auto"/>
                <w:kern w:val="0"/>
                <w:sz w:val="24"/>
                <w:szCs w:val="24"/>
                <w:lang w:bidi="ar"/>
              </w:rPr>
              <w:t>0.13 [0.00–0.3</w:t>
            </w:r>
            <w:r>
              <w:rPr>
                <w:rFonts w:hint="eastAsia"/>
                <w:color w:val="auto"/>
                <w:kern w:val="0"/>
                <w:sz w:val="24"/>
                <w:szCs w:val="24"/>
                <w:lang w:bidi="ar"/>
              </w:rPr>
              <w:t>5</w:t>
            </w:r>
            <w:r>
              <w:rPr>
                <w:color w:val="auto"/>
                <w:kern w:val="0"/>
                <w:sz w:val="24"/>
                <w:szCs w:val="24"/>
                <w:lang w:bidi="ar"/>
              </w:rPr>
              <w:t>]</w:t>
            </w:r>
          </w:p>
        </w:tc>
        <w:tc>
          <w:tcPr>
            <w:tcW w:w="2603" w:type="dxa"/>
            <w:tcBorders>
              <w:top w:val="nil"/>
              <w:left w:val="nil"/>
              <w:bottom w:val="nil"/>
              <w:right w:val="nil"/>
            </w:tcBorders>
            <w:shd w:val="clear" w:color="auto" w:fill="auto"/>
            <w:noWrap/>
            <w:vAlign w:val="center"/>
          </w:tcPr>
          <w:p w14:paraId="1E78A951">
            <w:pPr>
              <w:widowControl/>
              <w:jc w:val="center"/>
              <w:textAlignment w:val="center"/>
              <w:rPr>
                <w:color w:val="auto"/>
                <w:kern w:val="0"/>
                <w:sz w:val="24"/>
                <w:szCs w:val="24"/>
                <w:lang w:bidi="ar"/>
              </w:rPr>
            </w:pPr>
            <w:r>
              <w:rPr>
                <w:color w:val="auto"/>
                <w:kern w:val="0"/>
                <w:sz w:val="24"/>
                <w:szCs w:val="24"/>
                <w:lang w:bidi="ar"/>
              </w:rPr>
              <w:t>0.07 [0.00–0.15]</w:t>
            </w:r>
          </w:p>
        </w:tc>
        <w:tc>
          <w:tcPr>
            <w:tcW w:w="2604" w:type="dxa"/>
            <w:tcBorders>
              <w:top w:val="nil"/>
              <w:left w:val="nil"/>
              <w:bottom w:val="nil"/>
              <w:right w:val="nil"/>
            </w:tcBorders>
            <w:shd w:val="clear" w:color="auto" w:fill="auto"/>
            <w:noWrap/>
            <w:vAlign w:val="center"/>
          </w:tcPr>
          <w:p w14:paraId="16043F47">
            <w:pPr>
              <w:widowControl/>
              <w:jc w:val="center"/>
              <w:textAlignment w:val="center"/>
              <w:rPr>
                <w:color w:val="auto"/>
                <w:kern w:val="0"/>
                <w:sz w:val="24"/>
                <w:szCs w:val="24"/>
                <w:lang w:bidi="ar"/>
              </w:rPr>
            </w:pPr>
            <w:r>
              <w:rPr>
                <w:color w:val="auto"/>
                <w:kern w:val="0"/>
                <w:sz w:val="24"/>
                <w:szCs w:val="24"/>
                <w:lang w:bidi="ar"/>
              </w:rPr>
              <w:t>0.14 [0.00–0.4</w:t>
            </w:r>
            <w:r>
              <w:rPr>
                <w:rFonts w:hint="eastAsia"/>
                <w:color w:val="auto"/>
                <w:kern w:val="0"/>
                <w:sz w:val="24"/>
                <w:szCs w:val="24"/>
                <w:lang w:bidi="ar"/>
              </w:rPr>
              <w:t>3</w:t>
            </w:r>
            <w:r>
              <w:rPr>
                <w:color w:val="auto"/>
                <w:kern w:val="0"/>
                <w:sz w:val="24"/>
                <w:szCs w:val="24"/>
                <w:lang w:bidi="ar"/>
              </w:rPr>
              <w:t>]</w:t>
            </w:r>
          </w:p>
        </w:tc>
        <w:tc>
          <w:tcPr>
            <w:tcW w:w="1089" w:type="dxa"/>
            <w:tcBorders>
              <w:top w:val="nil"/>
              <w:left w:val="nil"/>
              <w:bottom w:val="nil"/>
              <w:right w:val="nil"/>
            </w:tcBorders>
            <w:shd w:val="clear" w:color="auto" w:fill="auto"/>
            <w:noWrap/>
            <w:vAlign w:val="center"/>
          </w:tcPr>
          <w:p w14:paraId="3BFC38C5">
            <w:pPr>
              <w:widowControl/>
              <w:jc w:val="center"/>
              <w:textAlignment w:val="center"/>
              <w:rPr>
                <w:color w:val="auto"/>
                <w:kern w:val="0"/>
                <w:sz w:val="24"/>
                <w:szCs w:val="24"/>
                <w:lang w:bidi="ar"/>
              </w:rPr>
            </w:pPr>
            <w:r>
              <w:rPr>
                <w:color w:val="auto"/>
                <w:kern w:val="0"/>
                <w:sz w:val="24"/>
                <w:szCs w:val="24"/>
                <w:lang w:bidi="ar"/>
              </w:rPr>
              <w:t>0.2</w:t>
            </w:r>
            <w:r>
              <w:rPr>
                <w:rFonts w:hint="eastAsia"/>
                <w:color w:val="auto"/>
                <w:kern w:val="0"/>
                <w:sz w:val="24"/>
                <w:szCs w:val="24"/>
                <w:lang w:bidi="ar"/>
              </w:rPr>
              <w:t>8</w:t>
            </w:r>
            <w:r>
              <w:rPr>
                <w:color w:val="auto"/>
                <w:kern w:val="0"/>
                <w:sz w:val="24"/>
                <w:szCs w:val="24"/>
                <w:lang w:bidi="ar"/>
              </w:rPr>
              <w:t>5</w:t>
            </w:r>
          </w:p>
        </w:tc>
      </w:tr>
      <w:tr w14:paraId="6DE87D58">
        <w:tblPrEx>
          <w:tblCellMar>
            <w:top w:w="0" w:type="dxa"/>
            <w:left w:w="108" w:type="dxa"/>
            <w:bottom w:w="0" w:type="dxa"/>
            <w:right w:w="108" w:type="dxa"/>
          </w:tblCellMar>
        </w:tblPrEx>
        <w:trPr>
          <w:trHeight w:val="387" w:hRule="atLeast"/>
        </w:trPr>
        <w:tc>
          <w:tcPr>
            <w:tcW w:w="5275" w:type="dxa"/>
            <w:tcBorders>
              <w:top w:val="nil"/>
              <w:left w:val="nil"/>
              <w:bottom w:val="nil"/>
              <w:right w:val="nil"/>
            </w:tcBorders>
            <w:shd w:val="clear" w:color="auto" w:fill="auto"/>
            <w:noWrap/>
            <w:vAlign w:val="center"/>
          </w:tcPr>
          <w:p w14:paraId="5ADDF83C">
            <w:pPr>
              <w:ind w:firstLine="240" w:firstLineChars="100"/>
              <w:rPr>
                <w:rFonts w:eastAsiaTheme="minorEastAsia"/>
                <w:color w:val="auto"/>
                <w:sz w:val="24"/>
                <w:szCs w:val="24"/>
              </w:rPr>
            </w:pPr>
            <w:r>
              <w:rPr>
                <w:color w:val="auto"/>
                <w:sz w:val="24"/>
                <w:szCs w:val="24"/>
              </w:rPr>
              <w:t>30min</w:t>
            </w:r>
          </w:p>
        </w:tc>
        <w:tc>
          <w:tcPr>
            <w:tcW w:w="2603" w:type="dxa"/>
            <w:tcBorders>
              <w:top w:val="nil"/>
              <w:left w:val="nil"/>
              <w:bottom w:val="nil"/>
              <w:right w:val="nil"/>
            </w:tcBorders>
            <w:shd w:val="clear" w:color="auto" w:fill="auto"/>
            <w:vAlign w:val="center"/>
          </w:tcPr>
          <w:p w14:paraId="108902E5">
            <w:pPr>
              <w:widowControl/>
              <w:jc w:val="center"/>
              <w:textAlignment w:val="center"/>
              <w:rPr>
                <w:color w:val="auto"/>
                <w:kern w:val="0"/>
                <w:sz w:val="24"/>
                <w:szCs w:val="24"/>
                <w:lang w:bidi="ar"/>
              </w:rPr>
            </w:pPr>
            <w:r>
              <w:rPr>
                <w:color w:val="auto"/>
                <w:kern w:val="0"/>
                <w:sz w:val="24"/>
                <w:szCs w:val="24"/>
                <w:lang w:bidi="ar"/>
              </w:rPr>
              <w:t>0.11 [0.00–0.</w:t>
            </w:r>
            <w:r>
              <w:rPr>
                <w:rFonts w:hint="eastAsia"/>
                <w:color w:val="auto"/>
                <w:kern w:val="0"/>
                <w:sz w:val="24"/>
                <w:szCs w:val="24"/>
                <w:lang w:bidi="ar"/>
              </w:rPr>
              <w:t>31</w:t>
            </w:r>
            <w:r>
              <w:rPr>
                <w:color w:val="auto"/>
                <w:kern w:val="0"/>
                <w:sz w:val="24"/>
                <w:szCs w:val="24"/>
                <w:lang w:bidi="ar"/>
              </w:rPr>
              <w:t>]</w:t>
            </w:r>
          </w:p>
        </w:tc>
        <w:tc>
          <w:tcPr>
            <w:tcW w:w="2603" w:type="dxa"/>
            <w:tcBorders>
              <w:top w:val="nil"/>
              <w:left w:val="nil"/>
              <w:bottom w:val="nil"/>
              <w:right w:val="nil"/>
            </w:tcBorders>
            <w:shd w:val="clear" w:color="auto" w:fill="auto"/>
            <w:noWrap/>
            <w:vAlign w:val="center"/>
          </w:tcPr>
          <w:p w14:paraId="7340D0A6">
            <w:pPr>
              <w:widowControl/>
              <w:jc w:val="center"/>
              <w:textAlignment w:val="center"/>
              <w:rPr>
                <w:color w:val="auto"/>
                <w:kern w:val="0"/>
                <w:sz w:val="24"/>
                <w:szCs w:val="24"/>
                <w:lang w:bidi="ar"/>
              </w:rPr>
            </w:pPr>
            <w:r>
              <w:rPr>
                <w:color w:val="auto"/>
                <w:kern w:val="0"/>
                <w:sz w:val="24"/>
                <w:szCs w:val="24"/>
                <w:lang w:bidi="ar"/>
              </w:rPr>
              <w:t>0.07 [0.00–0.1</w:t>
            </w:r>
            <w:r>
              <w:rPr>
                <w:rFonts w:hint="eastAsia"/>
                <w:color w:val="auto"/>
                <w:kern w:val="0"/>
                <w:sz w:val="24"/>
                <w:szCs w:val="24"/>
                <w:lang w:bidi="ar"/>
              </w:rPr>
              <w:t>6</w:t>
            </w:r>
            <w:r>
              <w:rPr>
                <w:color w:val="auto"/>
                <w:kern w:val="0"/>
                <w:sz w:val="24"/>
                <w:szCs w:val="24"/>
                <w:lang w:bidi="ar"/>
              </w:rPr>
              <w:t>]</w:t>
            </w:r>
          </w:p>
        </w:tc>
        <w:tc>
          <w:tcPr>
            <w:tcW w:w="2604" w:type="dxa"/>
            <w:tcBorders>
              <w:top w:val="nil"/>
              <w:left w:val="nil"/>
              <w:bottom w:val="nil"/>
              <w:right w:val="nil"/>
            </w:tcBorders>
            <w:shd w:val="clear" w:color="auto" w:fill="auto"/>
            <w:noWrap/>
            <w:vAlign w:val="center"/>
          </w:tcPr>
          <w:p w14:paraId="189158C2">
            <w:pPr>
              <w:widowControl/>
              <w:jc w:val="center"/>
              <w:textAlignment w:val="center"/>
              <w:rPr>
                <w:color w:val="auto"/>
                <w:kern w:val="0"/>
                <w:sz w:val="24"/>
                <w:szCs w:val="24"/>
                <w:lang w:bidi="ar"/>
              </w:rPr>
            </w:pPr>
            <w:r>
              <w:rPr>
                <w:color w:val="auto"/>
                <w:kern w:val="0"/>
                <w:sz w:val="24"/>
                <w:szCs w:val="24"/>
                <w:lang w:bidi="ar"/>
              </w:rPr>
              <w:t>0.14 [0.00–0.</w:t>
            </w:r>
            <w:r>
              <w:rPr>
                <w:rFonts w:hint="eastAsia"/>
                <w:color w:val="auto"/>
                <w:kern w:val="0"/>
                <w:sz w:val="24"/>
                <w:szCs w:val="24"/>
                <w:lang w:bidi="ar"/>
              </w:rPr>
              <w:t>43</w:t>
            </w:r>
            <w:r>
              <w:rPr>
                <w:color w:val="auto"/>
                <w:kern w:val="0"/>
                <w:sz w:val="24"/>
                <w:szCs w:val="24"/>
                <w:lang w:bidi="ar"/>
              </w:rPr>
              <w:t>]</w:t>
            </w:r>
          </w:p>
        </w:tc>
        <w:tc>
          <w:tcPr>
            <w:tcW w:w="1089" w:type="dxa"/>
            <w:tcBorders>
              <w:top w:val="nil"/>
              <w:left w:val="nil"/>
              <w:bottom w:val="nil"/>
              <w:right w:val="nil"/>
            </w:tcBorders>
            <w:shd w:val="clear" w:color="auto" w:fill="auto"/>
            <w:noWrap/>
            <w:vAlign w:val="center"/>
          </w:tcPr>
          <w:p w14:paraId="1B06C60C">
            <w:pPr>
              <w:widowControl/>
              <w:jc w:val="center"/>
              <w:textAlignment w:val="center"/>
              <w:rPr>
                <w:color w:val="auto"/>
                <w:kern w:val="0"/>
                <w:sz w:val="24"/>
                <w:szCs w:val="24"/>
                <w:lang w:bidi="ar"/>
              </w:rPr>
            </w:pPr>
            <w:r>
              <w:rPr>
                <w:color w:val="auto"/>
                <w:kern w:val="0"/>
                <w:sz w:val="24"/>
                <w:szCs w:val="24"/>
                <w:lang w:bidi="ar"/>
              </w:rPr>
              <w:t>0.3</w:t>
            </w:r>
            <w:r>
              <w:rPr>
                <w:rFonts w:hint="eastAsia"/>
                <w:color w:val="auto"/>
                <w:kern w:val="0"/>
                <w:sz w:val="24"/>
                <w:szCs w:val="24"/>
                <w:lang w:bidi="ar"/>
              </w:rPr>
              <w:t>27</w:t>
            </w:r>
          </w:p>
        </w:tc>
      </w:tr>
      <w:tr w14:paraId="6559D97C">
        <w:tblPrEx>
          <w:tblCellMar>
            <w:top w:w="0" w:type="dxa"/>
            <w:left w:w="108" w:type="dxa"/>
            <w:bottom w:w="0" w:type="dxa"/>
            <w:right w:w="108" w:type="dxa"/>
          </w:tblCellMar>
        </w:tblPrEx>
        <w:trPr>
          <w:trHeight w:val="387" w:hRule="atLeast"/>
        </w:trPr>
        <w:tc>
          <w:tcPr>
            <w:tcW w:w="5275" w:type="dxa"/>
            <w:tcBorders>
              <w:top w:val="nil"/>
              <w:left w:val="nil"/>
              <w:bottom w:val="nil"/>
              <w:right w:val="nil"/>
            </w:tcBorders>
            <w:shd w:val="clear" w:color="auto" w:fill="auto"/>
            <w:noWrap/>
            <w:vAlign w:val="center"/>
          </w:tcPr>
          <w:p w14:paraId="0B1D81A6">
            <w:pPr>
              <w:ind w:firstLine="240" w:firstLineChars="100"/>
              <w:rPr>
                <w:color w:val="auto"/>
                <w:sz w:val="24"/>
                <w:szCs w:val="24"/>
              </w:rPr>
            </w:pPr>
            <w:r>
              <w:rPr>
                <w:rFonts w:hint="eastAsia"/>
                <w:color w:val="auto"/>
                <w:sz w:val="24"/>
                <w:szCs w:val="24"/>
              </w:rPr>
              <w:t>3h</w:t>
            </w:r>
          </w:p>
        </w:tc>
        <w:tc>
          <w:tcPr>
            <w:tcW w:w="2603" w:type="dxa"/>
            <w:tcBorders>
              <w:top w:val="nil"/>
              <w:left w:val="nil"/>
              <w:bottom w:val="nil"/>
              <w:right w:val="nil"/>
            </w:tcBorders>
            <w:shd w:val="clear" w:color="auto" w:fill="auto"/>
            <w:vAlign w:val="center"/>
          </w:tcPr>
          <w:p w14:paraId="06036758">
            <w:pPr>
              <w:widowControl/>
              <w:jc w:val="center"/>
              <w:textAlignment w:val="center"/>
              <w:rPr>
                <w:color w:val="auto"/>
                <w:kern w:val="0"/>
                <w:sz w:val="24"/>
                <w:szCs w:val="24"/>
                <w:lang w:bidi="ar"/>
              </w:rPr>
            </w:pPr>
            <w:r>
              <w:rPr>
                <w:color w:val="auto"/>
                <w:kern w:val="0"/>
                <w:sz w:val="24"/>
                <w:szCs w:val="24"/>
                <w:lang w:bidi="ar"/>
              </w:rPr>
              <w:t>0.11 [0.00–0.2</w:t>
            </w:r>
            <w:r>
              <w:rPr>
                <w:rFonts w:hint="eastAsia"/>
                <w:color w:val="auto"/>
                <w:kern w:val="0"/>
                <w:sz w:val="24"/>
                <w:szCs w:val="24"/>
                <w:lang w:bidi="ar"/>
              </w:rPr>
              <w:t>9</w:t>
            </w:r>
            <w:r>
              <w:rPr>
                <w:color w:val="auto"/>
                <w:kern w:val="0"/>
                <w:sz w:val="24"/>
                <w:szCs w:val="24"/>
                <w:lang w:bidi="ar"/>
              </w:rPr>
              <w:t>]</w:t>
            </w:r>
          </w:p>
        </w:tc>
        <w:tc>
          <w:tcPr>
            <w:tcW w:w="2603" w:type="dxa"/>
            <w:tcBorders>
              <w:top w:val="nil"/>
              <w:left w:val="nil"/>
              <w:bottom w:val="nil"/>
              <w:right w:val="nil"/>
            </w:tcBorders>
            <w:shd w:val="clear" w:color="auto" w:fill="auto"/>
            <w:noWrap/>
            <w:vAlign w:val="center"/>
          </w:tcPr>
          <w:p w14:paraId="4BA04A9F">
            <w:pPr>
              <w:widowControl/>
              <w:jc w:val="center"/>
              <w:textAlignment w:val="center"/>
              <w:rPr>
                <w:color w:val="auto"/>
                <w:kern w:val="0"/>
                <w:sz w:val="24"/>
                <w:szCs w:val="24"/>
                <w:lang w:bidi="ar"/>
              </w:rPr>
            </w:pPr>
            <w:r>
              <w:rPr>
                <w:color w:val="auto"/>
                <w:kern w:val="0"/>
                <w:sz w:val="24"/>
                <w:szCs w:val="24"/>
                <w:lang w:bidi="ar"/>
              </w:rPr>
              <w:t>0.07 [0.00–0.2</w:t>
            </w:r>
            <w:r>
              <w:rPr>
                <w:rFonts w:hint="eastAsia"/>
                <w:color w:val="auto"/>
                <w:kern w:val="0"/>
                <w:sz w:val="24"/>
                <w:szCs w:val="24"/>
                <w:lang w:bidi="ar"/>
              </w:rPr>
              <w:t>5</w:t>
            </w:r>
            <w:r>
              <w:rPr>
                <w:color w:val="auto"/>
                <w:kern w:val="0"/>
                <w:sz w:val="24"/>
                <w:szCs w:val="24"/>
                <w:lang w:bidi="ar"/>
              </w:rPr>
              <w:t>]</w:t>
            </w:r>
          </w:p>
        </w:tc>
        <w:tc>
          <w:tcPr>
            <w:tcW w:w="2604" w:type="dxa"/>
            <w:tcBorders>
              <w:top w:val="nil"/>
              <w:left w:val="nil"/>
              <w:bottom w:val="nil"/>
              <w:right w:val="nil"/>
            </w:tcBorders>
            <w:shd w:val="clear" w:color="auto" w:fill="auto"/>
            <w:noWrap/>
            <w:vAlign w:val="center"/>
          </w:tcPr>
          <w:p w14:paraId="5F5BA3AE">
            <w:pPr>
              <w:widowControl/>
              <w:jc w:val="center"/>
              <w:textAlignment w:val="center"/>
              <w:rPr>
                <w:color w:val="auto"/>
                <w:kern w:val="0"/>
                <w:sz w:val="24"/>
                <w:szCs w:val="24"/>
                <w:lang w:bidi="ar"/>
              </w:rPr>
            </w:pPr>
            <w:r>
              <w:rPr>
                <w:color w:val="auto"/>
                <w:kern w:val="0"/>
                <w:sz w:val="24"/>
                <w:szCs w:val="24"/>
                <w:lang w:bidi="ar"/>
              </w:rPr>
              <w:t>0.14 [0.00–0.3</w:t>
            </w:r>
            <w:r>
              <w:rPr>
                <w:rFonts w:hint="eastAsia"/>
                <w:color w:val="auto"/>
                <w:kern w:val="0"/>
                <w:sz w:val="24"/>
                <w:szCs w:val="24"/>
                <w:lang w:bidi="ar"/>
              </w:rPr>
              <w:t>3</w:t>
            </w:r>
            <w:r>
              <w:rPr>
                <w:color w:val="auto"/>
                <w:kern w:val="0"/>
                <w:sz w:val="24"/>
                <w:szCs w:val="24"/>
                <w:lang w:bidi="ar"/>
              </w:rPr>
              <w:t>]</w:t>
            </w:r>
          </w:p>
        </w:tc>
        <w:tc>
          <w:tcPr>
            <w:tcW w:w="1089" w:type="dxa"/>
            <w:tcBorders>
              <w:top w:val="nil"/>
              <w:left w:val="nil"/>
              <w:bottom w:val="nil"/>
              <w:right w:val="nil"/>
            </w:tcBorders>
            <w:shd w:val="clear" w:color="auto" w:fill="auto"/>
            <w:noWrap/>
            <w:vAlign w:val="center"/>
          </w:tcPr>
          <w:p w14:paraId="59A335F5">
            <w:pPr>
              <w:widowControl/>
              <w:jc w:val="center"/>
              <w:textAlignment w:val="center"/>
              <w:rPr>
                <w:color w:val="auto"/>
                <w:kern w:val="0"/>
                <w:sz w:val="24"/>
                <w:szCs w:val="24"/>
                <w:lang w:bidi="ar"/>
              </w:rPr>
            </w:pPr>
            <w:r>
              <w:rPr>
                <w:color w:val="auto"/>
                <w:kern w:val="0"/>
                <w:sz w:val="24"/>
                <w:szCs w:val="24"/>
                <w:lang w:bidi="ar"/>
              </w:rPr>
              <w:t>0.4</w:t>
            </w:r>
            <w:r>
              <w:rPr>
                <w:rFonts w:hint="eastAsia"/>
                <w:color w:val="auto"/>
                <w:kern w:val="0"/>
                <w:sz w:val="24"/>
                <w:szCs w:val="24"/>
                <w:lang w:bidi="ar"/>
              </w:rPr>
              <w:t>44</w:t>
            </w:r>
          </w:p>
        </w:tc>
      </w:tr>
      <w:tr w14:paraId="182169E1">
        <w:tblPrEx>
          <w:tblCellMar>
            <w:top w:w="0" w:type="dxa"/>
            <w:left w:w="108" w:type="dxa"/>
            <w:bottom w:w="0" w:type="dxa"/>
            <w:right w:w="108" w:type="dxa"/>
          </w:tblCellMar>
        </w:tblPrEx>
        <w:trPr>
          <w:trHeight w:val="387" w:hRule="atLeast"/>
        </w:trPr>
        <w:tc>
          <w:tcPr>
            <w:tcW w:w="5275" w:type="dxa"/>
            <w:tcBorders>
              <w:top w:val="nil"/>
              <w:left w:val="nil"/>
              <w:bottom w:val="single" w:color="auto" w:sz="8" w:space="0"/>
              <w:right w:val="nil"/>
            </w:tcBorders>
            <w:shd w:val="clear" w:color="auto" w:fill="auto"/>
            <w:noWrap/>
            <w:vAlign w:val="center"/>
          </w:tcPr>
          <w:p w14:paraId="42F94FF3">
            <w:pPr>
              <w:rPr>
                <w:rFonts w:eastAsiaTheme="minorEastAsia"/>
                <w:color w:val="auto"/>
                <w:sz w:val="24"/>
                <w:szCs w:val="24"/>
              </w:rPr>
            </w:pPr>
            <w:r>
              <w:rPr>
                <w:color w:val="auto"/>
                <w:sz w:val="24"/>
                <w:szCs w:val="24"/>
              </w:rPr>
              <w:t xml:space="preserve">  </w:t>
            </w:r>
            <w:r>
              <w:rPr>
                <w:i/>
                <w:iCs/>
                <w:color w:val="auto"/>
                <w:sz w:val="24"/>
                <w:szCs w:val="24"/>
              </w:rPr>
              <w:t>P</w:t>
            </w:r>
            <w:r>
              <w:rPr>
                <w:color w:val="auto"/>
                <w:sz w:val="24"/>
                <w:szCs w:val="24"/>
              </w:rPr>
              <w:t xml:space="preserve"> value</w:t>
            </w:r>
          </w:p>
        </w:tc>
        <w:tc>
          <w:tcPr>
            <w:tcW w:w="2603" w:type="dxa"/>
            <w:tcBorders>
              <w:top w:val="nil"/>
              <w:left w:val="nil"/>
              <w:bottom w:val="single" w:color="auto" w:sz="8" w:space="0"/>
              <w:right w:val="nil"/>
            </w:tcBorders>
            <w:shd w:val="clear" w:color="auto" w:fill="auto"/>
            <w:vAlign w:val="center"/>
          </w:tcPr>
          <w:p w14:paraId="717CF850">
            <w:pPr>
              <w:widowControl/>
              <w:jc w:val="center"/>
              <w:textAlignment w:val="center"/>
              <w:rPr>
                <w:color w:val="auto"/>
                <w:kern w:val="0"/>
                <w:sz w:val="24"/>
                <w:szCs w:val="24"/>
                <w:lang w:bidi="ar"/>
              </w:rPr>
            </w:pPr>
            <w:r>
              <w:rPr>
                <w:rFonts w:hint="eastAsia"/>
                <w:color w:val="auto"/>
                <w:kern w:val="0"/>
                <w:sz w:val="24"/>
                <w:szCs w:val="24"/>
                <w:lang w:bidi="ar"/>
              </w:rPr>
              <w:t>0.417</w:t>
            </w:r>
          </w:p>
        </w:tc>
        <w:tc>
          <w:tcPr>
            <w:tcW w:w="2603" w:type="dxa"/>
            <w:tcBorders>
              <w:top w:val="nil"/>
              <w:left w:val="nil"/>
              <w:bottom w:val="single" w:color="auto" w:sz="8" w:space="0"/>
              <w:right w:val="nil"/>
            </w:tcBorders>
            <w:shd w:val="clear" w:color="auto" w:fill="auto"/>
            <w:noWrap/>
            <w:vAlign w:val="center"/>
          </w:tcPr>
          <w:p w14:paraId="624F0980">
            <w:pPr>
              <w:widowControl/>
              <w:jc w:val="center"/>
              <w:textAlignment w:val="center"/>
              <w:rPr>
                <w:color w:val="auto"/>
                <w:kern w:val="0"/>
                <w:sz w:val="24"/>
                <w:szCs w:val="24"/>
                <w:lang w:bidi="ar"/>
              </w:rPr>
            </w:pPr>
            <w:r>
              <w:rPr>
                <w:rFonts w:hint="eastAsia"/>
                <w:color w:val="auto"/>
                <w:kern w:val="0"/>
                <w:sz w:val="24"/>
                <w:szCs w:val="24"/>
                <w:lang w:bidi="ar"/>
              </w:rPr>
              <w:t>0.333</w:t>
            </w:r>
          </w:p>
        </w:tc>
        <w:tc>
          <w:tcPr>
            <w:tcW w:w="2604" w:type="dxa"/>
            <w:tcBorders>
              <w:top w:val="nil"/>
              <w:left w:val="nil"/>
              <w:bottom w:val="single" w:color="auto" w:sz="8" w:space="0"/>
              <w:right w:val="nil"/>
            </w:tcBorders>
            <w:shd w:val="clear" w:color="auto" w:fill="auto"/>
            <w:noWrap/>
            <w:vAlign w:val="center"/>
          </w:tcPr>
          <w:p w14:paraId="0D2C57D5">
            <w:pPr>
              <w:widowControl/>
              <w:jc w:val="center"/>
              <w:textAlignment w:val="center"/>
              <w:rPr>
                <w:color w:val="auto"/>
                <w:kern w:val="0"/>
                <w:sz w:val="24"/>
                <w:szCs w:val="24"/>
                <w:lang w:bidi="ar"/>
              </w:rPr>
            </w:pPr>
            <w:r>
              <w:rPr>
                <w:rFonts w:hint="eastAsia"/>
                <w:color w:val="auto"/>
                <w:kern w:val="0"/>
                <w:sz w:val="24"/>
                <w:szCs w:val="24"/>
                <w:lang w:bidi="ar"/>
              </w:rPr>
              <w:t>0.115</w:t>
            </w:r>
          </w:p>
        </w:tc>
        <w:tc>
          <w:tcPr>
            <w:tcW w:w="1089" w:type="dxa"/>
            <w:tcBorders>
              <w:top w:val="nil"/>
              <w:left w:val="nil"/>
              <w:bottom w:val="single" w:color="auto" w:sz="8" w:space="0"/>
              <w:right w:val="nil"/>
            </w:tcBorders>
            <w:shd w:val="clear" w:color="auto" w:fill="auto"/>
            <w:noWrap/>
            <w:vAlign w:val="center"/>
          </w:tcPr>
          <w:p w14:paraId="7932422B">
            <w:pPr>
              <w:widowControl/>
              <w:jc w:val="center"/>
              <w:textAlignment w:val="center"/>
              <w:rPr>
                <w:color w:val="auto"/>
                <w:kern w:val="0"/>
                <w:sz w:val="24"/>
                <w:szCs w:val="24"/>
                <w:lang w:bidi="ar"/>
              </w:rPr>
            </w:pPr>
          </w:p>
        </w:tc>
      </w:tr>
    </w:tbl>
    <w:p w14:paraId="54E792C3">
      <w:pPr>
        <w:spacing w:line="480" w:lineRule="auto"/>
        <w:rPr>
          <w:color w:val="auto"/>
          <w:kern w:val="0"/>
          <w:sz w:val="24"/>
          <w:szCs w:val="24"/>
          <w:lang w:bidi="ar"/>
        </w:rPr>
      </w:pPr>
      <w:r>
        <w:rPr>
          <w:color w:val="auto"/>
          <w:kern w:val="0"/>
          <w:sz w:val="24"/>
          <w:szCs w:val="24"/>
          <w:lang w:bidi="ar"/>
        </w:rPr>
        <w:t>PaO</w:t>
      </w:r>
      <w:r>
        <w:rPr>
          <w:color w:val="auto"/>
          <w:kern w:val="0"/>
          <w:sz w:val="24"/>
          <w:szCs w:val="24"/>
          <w:vertAlign w:val="subscript"/>
          <w:lang w:bidi="ar"/>
        </w:rPr>
        <w:t>2</w:t>
      </w:r>
      <w:r>
        <w:rPr>
          <w:color w:val="auto"/>
          <w:kern w:val="0"/>
          <w:sz w:val="24"/>
          <w:szCs w:val="24"/>
          <w:lang w:bidi="ar"/>
        </w:rPr>
        <w:t>/FiO</w:t>
      </w:r>
      <w:r>
        <w:rPr>
          <w:color w:val="auto"/>
          <w:kern w:val="0"/>
          <w:sz w:val="24"/>
          <w:szCs w:val="24"/>
          <w:vertAlign w:val="subscript"/>
          <w:lang w:bidi="ar"/>
        </w:rPr>
        <w:t>2</w:t>
      </w:r>
      <w:r>
        <w:rPr>
          <w:color w:val="auto"/>
          <w:kern w:val="0"/>
          <w:sz w:val="24"/>
          <w:szCs w:val="24"/>
          <w:lang w:bidi="ar"/>
        </w:rPr>
        <w:t>, ratio of partial pressure arterial oxygen and fraction of inspired oxygen</w:t>
      </w:r>
    </w:p>
    <w:p w14:paraId="52F61B41">
      <w:pPr>
        <w:spacing w:line="480" w:lineRule="auto"/>
        <w:rPr>
          <w:color w:val="auto"/>
          <w:kern w:val="0"/>
          <w:sz w:val="24"/>
          <w:szCs w:val="24"/>
          <w:lang w:bidi="ar"/>
        </w:rPr>
      </w:pPr>
      <w:r>
        <w:rPr>
          <w:color w:val="auto"/>
          <w:kern w:val="0"/>
          <w:sz w:val="24"/>
          <w:szCs w:val="24"/>
          <w:lang w:bidi="ar"/>
        </w:rPr>
        <w:t>Variables measured at different time points were analyzed by one-way repeated measures ANOVA or the Friedman test, with post-hoc multiple comparisons performed using the Bonferroni or Dunn tests.</w:t>
      </w:r>
      <w:r>
        <w:rPr>
          <w:rFonts w:hint="eastAsia"/>
          <w:color w:val="auto"/>
          <w:kern w:val="0"/>
          <w:sz w:val="24"/>
          <w:szCs w:val="24"/>
          <w:lang w:bidi="ar"/>
        </w:rPr>
        <w:t xml:space="preserve"> </w:t>
      </w:r>
      <w:r>
        <w:rPr>
          <w:color w:val="auto"/>
          <w:kern w:val="0"/>
          <w:sz w:val="24"/>
          <w:szCs w:val="24"/>
          <w:lang w:bidi="ar"/>
        </w:rPr>
        <w:t xml:space="preserve">Variables measured at the </w:t>
      </w:r>
      <w:r>
        <w:rPr>
          <w:rFonts w:hint="eastAsia"/>
          <w:color w:val="auto"/>
          <w:kern w:val="0"/>
          <w:sz w:val="24"/>
          <w:szCs w:val="24"/>
          <w:lang w:bidi="ar"/>
        </w:rPr>
        <w:t>same</w:t>
      </w:r>
      <w:r>
        <w:rPr>
          <w:color w:val="auto"/>
          <w:kern w:val="0"/>
          <w:sz w:val="24"/>
          <w:szCs w:val="24"/>
          <w:lang w:bidi="ar"/>
        </w:rPr>
        <w:t xml:space="preserve"> time point</w:t>
      </w:r>
      <w:r>
        <w:rPr>
          <w:rFonts w:hint="eastAsia"/>
          <w:color w:val="auto"/>
          <w:kern w:val="0"/>
          <w:sz w:val="24"/>
          <w:szCs w:val="24"/>
          <w:lang w:bidi="ar"/>
        </w:rPr>
        <w:t xml:space="preserve"> between groups </w:t>
      </w:r>
      <w:r>
        <w:rPr>
          <w:color w:val="auto"/>
          <w:kern w:val="0"/>
          <w:sz w:val="24"/>
          <w:szCs w:val="24"/>
          <w:lang w:bidi="ar"/>
        </w:rPr>
        <w:t>were analyzed using the Student's t-test or the Mann-Whitney U test</w:t>
      </w:r>
    </w:p>
    <w:p w14:paraId="46807357">
      <w:pPr>
        <w:spacing w:line="480" w:lineRule="auto"/>
        <w:rPr>
          <w:color w:val="auto"/>
          <w:sz w:val="24"/>
          <w:szCs w:val="24"/>
        </w:rPr>
      </w:pPr>
      <w:r>
        <w:rPr>
          <w:rFonts w:hint="eastAsia"/>
          <w:color w:val="auto"/>
          <w:kern w:val="0"/>
          <w:sz w:val="24"/>
          <w:szCs w:val="24"/>
          <w:vertAlign w:val="superscript"/>
          <w:lang w:bidi="ar"/>
        </w:rPr>
        <w:t>*</w:t>
      </w:r>
      <w:r>
        <w:rPr>
          <w:color w:val="auto"/>
          <w:sz w:val="24"/>
          <w:szCs w:val="24"/>
        </w:rPr>
        <w:t xml:space="preserve"> Post-hoc Bonferroni’s multiple comparisons within groups, </w:t>
      </w:r>
      <w:r>
        <w:rPr>
          <w:i/>
          <w:iCs/>
          <w:color w:val="auto"/>
          <w:sz w:val="24"/>
          <w:szCs w:val="24"/>
        </w:rPr>
        <w:t>P</w:t>
      </w:r>
      <w:r>
        <w:rPr>
          <w:color w:val="auto"/>
          <w:sz w:val="24"/>
          <w:szCs w:val="24"/>
        </w:rPr>
        <w:t xml:space="preserve"> &lt;</w:t>
      </w:r>
      <w:r>
        <w:rPr>
          <w:rFonts w:hint="eastAsia"/>
          <w:color w:val="auto"/>
          <w:sz w:val="24"/>
          <w:szCs w:val="24"/>
        </w:rPr>
        <w:t xml:space="preserve"> </w:t>
      </w:r>
      <w:r>
        <w:rPr>
          <w:color w:val="auto"/>
          <w:sz w:val="24"/>
          <w:szCs w:val="24"/>
        </w:rPr>
        <w:t>0.05 vs. 0 h</w:t>
      </w:r>
      <w:r>
        <w:rPr>
          <w:color w:val="auto"/>
          <w:sz w:val="24"/>
          <w:szCs w:val="24"/>
        </w:rPr>
        <w:br w:type="page"/>
      </w:r>
    </w:p>
    <w:p w14:paraId="48D5AB91">
      <w:pPr>
        <w:rPr>
          <w:color w:val="auto"/>
          <w:sz w:val="24"/>
          <w:szCs w:val="24"/>
        </w:rPr>
        <w:sectPr>
          <w:pgSz w:w="16838" w:h="11906" w:orient="landscape"/>
          <w:pgMar w:top="1803" w:right="1440" w:bottom="1803" w:left="1440" w:header="851" w:footer="992" w:gutter="0"/>
          <w:lnNumType w:countBy="1" w:restart="continuous"/>
          <w:cols w:space="0" w:num="1"/>
          <w:docGrid w:type="lines" w:linePitch="319" w:charSpace="0"/>
        </w:sectPr>
      </w:pPr>
    </w:p>
    <w:p w14:paraId="185F442E">
      <w:pPr>
        <w:spacing w:line="480" w:lineRule="auto"/>
        <w:rPr>
          <w:color w:val="auto"/>
          <w:sz w:val="24"/>
          <w:szCs w:val="24"/>
        </w:rPr>
      </w:pPr>
      <w:r>
        <w:rPr>
          <w:color w:val="auto"/>
          <w:sz w:val="24"/>
          <w:szCs w:val="24"/>
        </w:rPr>
        <w:drawing>
          <wp:inline distT="0" distB="0" distL="114300" distR="114300">
            <wp:extent cx="9036050" cy="2592705"/>
            <wp:effectExtent l="0" t="0" r="3175" b="7620"/>
            <wp:docPr id="8" name="图片 8" descr="1731765804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731765804295"/>
                    <pic:cNvPicPr>
                      <a:picLocks noChangeAspect="1"/>
                    </pic:cNvPicPr>
                  </pic:nvPicPr>
                  <pic:blipFill>
                    <a:blip r:embed="rId5"/>
                    <a:stretch>
                      <a:fillRect/>
                    </a:stretch>
                  </pic:blipFill>
                  <pic:spPr>
                    <a:xfrm>
                      <a:off x="0" y="0"/>
                      <a:ext cx="9036050" cy="2592705"/>
                    </a:xfrm>
                    <a:prstGeom prst="rect">
                      <a:avLst/>
                    </a:prstGeom>
                  </pic:spPr>
                </pic:pic>
              </a:graphicData>
            </a:graphic>
          </wp:inline>
        </w:drawing>
      </w:r>
      <w:r>
        <w:rPr>
          <w:color w:val="auto"/>
          <w:sz w:val="24"/>
          <w:szCs w:val="24"/>
        </w:rPr>
        <w:t xml:space="preserve">Figure </w:t>
      </w:r>
      <w:r>
        <w:rPr>
          <w:rFonts w:hint="eastAsia"/>
          <w:color w:val="auto"/>
          <w:sz w:val="24"/>
          <w:szCs w:val="24"/>
        </w:rPr>
        <w:t>S</w:t>
      </w:r>
      <w:r>
        <w:rPr>
          <w:color w:val="auto"/>
          <w:sz w:val="24"/>
          <w:szCs w:val="24"/>
        </w:rPr>
        <w:t xml:space="preserve">1. Trail protocol. </w:t>
      </w:r>
      <w:r>
        <w:rPr>
          <w:rFonts w:hint="eastAsia"/>
          <w:color w:val="auto"/>
          <w:sz w:val="24"/>
          <w:szCs w:val="24"/>
        </w:rPr>
        <w:t>ARDS, acute respiratory distress syndrome; iNO, inhaled nitric oxide</w:t>
      </w:r>
      <w:r>
        <w:rPr>
          <w:color w:val="auto"/>
          <w:sz w:val="24"/>
          <w:szCs w:val="24"/>
        </w:rPr>
        <w:br w:type="page"/>
      </w:r>
    </w:p>
    <w:p w14:paraId="3C1EEF6E">
      <w:pPr>
        <w:jc w:val="center"/>
        <w:rPr>
          <w:rFonts w:hint="eastAsia" w:eastAsia="宋体"/>
          <w:color w:val="auto"/>
          <w:sz w:val="24"/>
          <w:szCs w:val="24"/>
          <w:lang w:eastAsia="zh-CN"/>
        </w:rPr>
      </w:pPr>
      <w:r>
        <w:rPr>
          <w:rFonts w:hint="eastAsia" w:eastAsia="宋体"/>
          <w:color w:val="auto"/>
          <w:sz w:val="24"/>
          <w:szCs w:val="24"/>
          <w:lang w:eastAsia="zh-CN"/>
        </w:rPr>
        <w:drawing>
          <wp:inline distT="0" distB="0" distL="114300" distR="114300">
            <wp:extent cx="7089775" cy="2810510"/>
            <wp:effectExtent l="0" t="0" r="2540" b="6985"/>
            <wp:docPr id="2" name="图片 2" descr="Figure 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 S2"/>
                    <pic:cNvPicPr>
                      <a:picLocks noChangeAspect="1"/>
                    </pic:cNvPicPr>
                  </pic:nvPicPr>
                  <pic:blipFill>
                    <a:blip r:embed="rId6"/>
                    <a:stretch>
                      <a:fillRect/>
                    </a:stretch>
                  </pic:blipFill>
                  <pic:spPr>
                    <a:xfrm>
                      <a:off x="0" y="0"/>
                      <a:ext cx="7089775" cy="2810510"/>
                    </a:xfrm>
                    <a:prstGeom prst="rect">
                      <a:avLst/>
                    </a:prstGeom>
                  </pic:spPr>
                </pic:pic>
              </a:graphicData>
            </a:graphic>
          </wp:inline>
        </w:drawing>
      </w:r>
    </w:p>
    <w:p w14:paraId="6E9E275C">
      <w:pPr>
        <w:spacing w:line="480" w:lineRule="auto"/>
        <w:rPr>
          <w:color w:val="auto"/>
          <w:sz w:val="24"/>
          <w:szCs w:val="24"/>
        </w:rPr>
      </w:pPr>
      <w:r>
        <w:rPr>
          <w:color w:val="auto"/>
          <w:sz w:val="24"/>
          <w:szCs w:val="24"/>
        </w:rPr>
        <w:t>Figure S2. Individual changes in dorsal-to-ventral ratios of (A) ventilation</w:t>
      </w:r>
      <w:r>
        <w:rPr>
          <w:rFonts w:hint="eastAsia"/>
          <w:color w:val="auto"/>
          <w:sz w:val="24"/>
          <w:szCs w:val="24"/>
          <w:lang w:val="en-US" w:eastAsia="zh-CN"/>
        </w:rPr>
        <w:t xml:space="preserve"> (%) and</w:t>
      </w:r>
      <w:r>
        <w:rPr>
          <w:color w:val="auto"/>
          <w:sz w:val="24"/>
          <w:szCs w:val="24"/>
        </w:rPr>
        <w:t xml:space="preserve"> (B) perfusion</w:t>
      </w:r>
      <w:r>
        <w:rPr>
          <w:rFonts w:hint="eastAsia"/>
          <w:color w:val="auto"/>
          <w:sz w:val="24"/>
          <w:szCs w:val="24"/>
          <w:lang w:val="en-US" w:eastAsia="zh-CN"/>
        </w:rPr>
        <w:t xml:space="preserve"> (%) </w:t>
      </w:r>
      <w:r>
        <w:rPr>
          <w:color w:val="auto"/>
          <w:sz w:val="24"/>
          <w:szCs w:val="24"/>
        </w:rPr>
        <w:t xml:space="preserve">in 11 responders during inhaled nitric oxide administration. </w:t>
      </w:r>
      <w:r>
        <w:rPr>
          <w:rFonts w:hint="eastAsia"/>
          <w:color w:val="auto"/>
          <w:sz w:val="24"/>
          <w:szCs w:val="24"/>
        </w:rPr>
        <w:t>V/Q, ventilation/perfusion</w:t>
      </w:r>
      <w:r>
        <w:rPr>
          <w:color w:val="auto"/>
          <w:sz w:val="24"/>
          <w:szCs w:val="24"/>
        </w:rPr>
        <w:t xml:space="preserve"> </w:t>
      </w:r>
      <w:r>
        <w:rPr>
          <w:color w:val="auto"/>
          <w:sz w:val="24"/>
          <w:szCs w:val="24"/>
        </w:rPr>
        <w:br w:type="page"/>
      </w:r>
    </w:p>
    <w:p w14:paraId="225DA2D3">
      <w:pPr>
        <w:jc w:val="center"/>
        <w:rPr>
          <w:rFonts w:hint="eastAsia" w:eastAsia="宋体"/>
          <w:color w:val="auto"/>
          <w:sz w:val="24"/>
          <w:szCs w:val="24"/>
          <w:lang w:eastAsia="zh-CN"/>
        </w:rPr>
      </w:pPr>
      <w:r>
        <w:rPr>
          <w:rFonts w:hint="eastAsia" w:eastAsia="宋体"/>
          <w:color w:val="auto"/>
          <w:sz w:val="24"/>
          <w:szCs w:val="24"/>
          <w:lang w:eastAsia="zh-CN"/>
        </w:rPr>
        <w:drawing>
          <wp:inline distT="0" distB="0" distL="114300" distR="114300">
            <wp:extent cx="7220585" cy="2761615"/>
            <wp:effectExtent l="0" t="0" r="1270" b="1905"/>
            <wp:docPr id="3" name="图片 3" descr="Figure 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ure S3"/>
                    <pic:cNvPicPr>
                      <a:picLocks noChangeAspect="1"/>
                    </pic:cNvPicPr>
                  </pic:nvPicPr>
                  <pic:blipFill>
                    <a:blip r:embed="rId7"/>
                    <a:stretch>
                      <a:fillRect/>
                    </a:stretch>
                  </pic:blipFill>
                  <pic:spPr>
                    <a:xfrm>
                      <a:off x="0" y="0"/>
                      <a:ext cx="7220585" cy="2761615"/>
                    </a:xfrm>
                    <a:prstGeom prst="rect">
                      <a:avLst/>
                    </a:prstGeom>
                  </pic:spPr>
                </pic:pic>
              </a:graphicData>
            </a:graphic>
          </wp:inline>
        </w:drawing>
      </w:r>
    </w:p>
    <w:p w14:paraId="1F9BBEBE">
      <w:pPr>
        <w:spacing w:line="480" w:lineRule="auto"/>
        <w:rPr>
          <w:color w:val="auto"/>
          <w:sz w:val="24"/>
          <w:szCs w:val="24"/>
        </w:rPr>
      </w:pPr>
      <w:r>
        <w:rPr>
          <w:color w:val="auto"/>
          <w:sz w:val="24"/>
          <w:szCs w:val="24"/>
        </w:rPr>
        <w:t>Figure S</w:t>
      </w:r>
      <w:r>
        <w:rPr>
          <w:rFonts w:hint="eastAsia"/>
          <w:color w:val="auto"/>
          <w:sz w:val="24"/>
          <w:szCs w:val="24"/>
        </w:rPr>
        <w:t>3</w:t>
      </w:r>
      <w:r>
        <w:rPr>
          <w:color w:val="auto"/>
          <w:sz w:val="24"/>
          <w:szCs w:val="24"/>
        </w:rPr>
        <w:t>. Individual changes in dorsal-to-ventral ratios of (A) ventilation</w:t>
      </w:r>
      <w:r>
        <w:rPr>
          <w:rFonts w:hint="eastAsia"/>
          <w:color w:val="auto"/>
          <w:sz w:val="24"/>
          <w:szCs w:val="24"/>
          <w:lang w:val="en-US" w:eastAsia="zh-CN"/>
        </w:rPr>
        <w:t xml:space="preserve"> (%) and</w:t>
      </w:r>
      <w:r>
        <w:rPr>
          <w:color w:val="auto"/>
          <w:sz w:val="24"/>
          <w:szCs w:val="24"/>
        </w:rPr>
        <w:t xml:space="preserve"> (B) perfusion</w:t>
      </w:r>
      <w:r>
        <w:rPr>
          <w:rFonts w:hint="eastAsia"/>
          <w:color w:val="auto"/>
          <w:sz w:val="24"/>
          <w:szCs w:val="24"/>
          <w:lang w:val="en-US" w:eastAsia="zh-CN"/>
        </w:rPr>
        <w:t xml:space="preserve"> (%)</w:t>
      </w:r>
      <w:r>
        <w:rPr>
          <w:color w:val="auto"/>
          <w:sz w:val="24"/>
          <w:szCs w:val="24"/>
        </w:rPr>
        <w:t xml:space="preserve"> in 1</w:t>
      </w:r>
      <w:r>
        <w:rPr>
          <w:rFonts w:hint="eastAsia"/>
          <w:color w:val="auto"/>
          <w:sz w:val="24"/>
          <w:szCs w:val="24"/>
        </w:rPr>
        <w:t>9 non-</w:t>
      </w:r>
      <w:r>
        <w:rPr>
          <w:color w:val="auto"/>
          <w:sz w:val="24"/>
          <w:szCs w:val="24"/>
        </w:rPr>
        <w:t xml:space="preserve">responders during inhaled nitric oxide administration. </w:t>
      </w:r>
      <w:r>
        <w:rPr>
          <w:rFonts w:hint="eastAsia"/>
          <w:color w:val="auto"/>
          <w:sz w:val="24"/>
          <w:szCs w:val="24"/>
        </w:rPr>
        <w:t>V/Q, ventilation/perfusion</w:t>
      </w:r>
      <w:r>
        <w:rPr>
          <w:color w:val="auto"/>
          <w:sz w:val="24"/>
          <w:szCs w:val="24"/>
        </w:rPr>
        <w:br w:type="page"/>
      </w:r>
    </w:p>
    <w:p w14:paraId="34F152DF">
      <w:pPr>
        <w:spacing w:line="480" w:lineRule="auto"/>
        <w:jc w:val="center"/>
        <w:rPr>
          <w:color w:val="auto"/>
          <w:sz w:val="24"/>
          <w:szCs w:val="24"/>
        </w:rPr>
        <w:sectPr>
          <w:pgSz w:w="16838" w:h="11906" w:orient="landscape"/>
          <w:pgMar w:top="1803" w:right="1440" w:bottom="1803" w:left="1440" w:header="851" w:footer="992" w:gutter="0"/>
          <w:lnNumType w:countBy="1" w:restart="continuous"/>
          <w:cols w:space="0" w:num="1"/>
          <w:docGrid w:type="lines" w:linePitch="319" w:charSpace="0"/>
        </w:sectPr>
      </w:pPr>
    </w:p>
    <w:p w14:paraId="2D7C76B3">
      <w:pPr>
        <w:jc w:val="center"/>
        <w:rPr>
          <w:color w:val="auto"/>
        </w:rPr>
      </w:pPr>
      <w:r>
        <w:rPr>
          <w:color w:val="auto"/>
        </w:rPr>
        <w:drawing>
          <wp:inline distT="0" distB="0" distL="0" distR="0">
            <wp:extent cx="4421505" cy="4627880"/>
            <wp:effectExtent l="0" t="0" r="4445" b="3175"/>
            <wp:docPr id="41698212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982123" name="图片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4421505" cy="4627880"/>
                    </a:xfrm>
                    <a:prstGeom prst="rect">
                      <a:avLst/>
                    </a:prstGeom>
                    <a:noFill/>
                    <a:ln>
                      <a:noFill/>
                    </a:ln>
                  </pic:spPr>
                </pic:pic>
              </a:graphicData>
            </a:graphic>
          </wp:inline>
        </w:drawing>
      </w:r>
    </w:p>
    <w:p w14:paraId="05F60BA3">
      <w:pPr>
        <w:spacing w:line="480" w:lineRule="auto"/>
        <w:rPr>
          <w:color w:val="auto"/>
          <w:sz w:val="24"/>
          <w:szCs w:val="24"/>
        </w:rPr>
      </w:pPr>
      <w:r>
        <w:rPr>
          <w:color w:val="auto"/>
          <w:sz w:val="24"/>
          <w:szCs w:val="24"/>
        </w:rPr>
        <w:t xml:space="preserve">Figure </w:t>
      </w:r>
      <w:r>
        <w:rPr>
          <w:rFonts w:hint="eastAsia"/>
          <w:color w:val="auto"/>
          <w:sz w:val="24"/>
          <w:szCs w:val="24"/>
        </w:rPr>
        <w:t>S</w:t>
      </w:r>
      <w:r>
        <w:rPr>
          <w:rFonts w:hint="eastAsia"/>
          <w:color w:val="auto"/>
          <w:sz w:val="24"/>
          <w:szCs w:val="24"/>
          <w:lang w:val="en-US" w:eastAsia="zh-CN"/>
        </w:rPr>
        <w:t>4</w:t>
      </w:r>
      <w:r>
        <w:rPr>
          <w:color w:val="auto"/>
          <w:sz w:val="24"/>
          <w:szCs w:val="24"/>
        </w:rPr>
        <w:t>. Representative EIT images from a responder</w:t>
      </w:r>
      <w:r>
        <w:rPr>
          <w:rFonts w:hint="eastAsia"/>
          <w:color w:val="auto"/>
          <w:sz w:val="24"/>
          <w:szCs w:val="24"/>
        </w:rPr>
        <w:t xml:space="preserve"> (top)</w:t>
      </w:r>
      <w:r>
        <w:rPr>
          <w:color w:val="auto"/>
          <w:sz w:val="24"/>
          <w:szCs w:val="24"/>
        </w:rPr>
        <w:t xml:space="preserve"> and a non-responder</w:t>
      </w:r>
      <w:r>
        <w:rPr>
          <w:rFonts w:hint="eastAsia"/>
          <w:color w:val="auto"/>
          <w:sz w:val="24"/>
          <w:szCs w:val="24"/>
        </w:rPr>
        <w:t xml:space="preserve"> (bottom)</w:t>
      </w:r>
      <w:r>
        <w:rPr>
          <w:color w:val="auto"/>
          <w:sz w:val="24"/>
          <w:szCs w:val="24"/>
        </w:rPr>
        <w:t xml:space="preserve"> during inhaled nitric oxide</w:t>
      </w:r>
      <w:r>
        <w:rPr>
          <w:rFonts w:hint="eastAsia"/>
          <w:color w:val="auto"/>
          <w:sz w:val="24"/>
          <w:szCs w:val="24"/>
        </w:rPr>
        <w:t xml:space="preserve"> (iNO)</w:t>
      </w:r>
      <w:r>
        <w:rPr>
          <w:color w:val="auto"/>
          <w:sz w:val="24"/>
          <w:szCs w:val="24"/>
        </w:rPr>
        <w:t xml:space="preserve"> administration.</w:t>
      </w:r>
      <w:r>
        <w:rPr>
          <w:rFonts w:hint="eastAsia"/>
          <w:color w:val="auto"/>
          <w:sz w:val="24"/>
          <w:szCs w:val="24"/>
        </w:rPr>
        <w:t xml:space="preserve"> </w:t>
      </w:r>
      <w:r>
        <w:rPr>
          <w:color w:val="auto"/>
          <w:sz w:val="24"/>
          <w:szCs w:val="24"/>
        </w:rPr>
        <w:t xml:space="preserve">The left panel shows </w:t>
      </w:r>
      <w:r>
        <w:rPr>
          <w:rFonts w:hint="eastAsia"/>
          <w:color w:val="auto"/>
          <w:sz w:val="24"/>
          <w:szCs w:val="24"/>
          <w:lang w:val="en-US" w:eastAsia="zh-CN"/>
        </w:rPr>
        <w:t xml:space="preserve">the proportion of </w:t>
      </w:r>
      <w:r>
        <w:rPr>
          <w:color w:val="auto"/>
          <w:sz w:val="24"/>
          <w:szCs w:val="24"/>
        </w:rPr>
        <w:t xml:space="preserve">ventilation distribution, the middle panel </w:t>
      </w:r>
      <w:r>
        <w:rPr>
          <w:rFonts w:hint="eastAsia"/>
          <w:color w:val="auto"/>
          <w:sz w:val="24"/>
          <w:szCs w:val="24"/>
          <w:lang w:val="en-US" w:eastAsia="zh-CN"/>
        </w:rPr>
        <w:t xml:space="preserve">the proportion of </w:t>
      </w:r>
      <w:r>
        <w:rPr>
          <w:color w:val="auto"/>
          <w:sz w:val="24"/>
          <w:szCs w:val="24"/>
        </w:rPr>
        <w:t>perfusion distribution, and the right panel the integrated ventilation-perfusion map: the yellow area represents matched units that are both ventilated and perfused, the light green area represents only ventilated units, and the blue area represents only perfused</w:t>
      </w:r>
      <w:r>
        <w:rPr>
          <w:rFonts w:hint="eastAsia"/>
          <w:color w:val="auto"/>
          <w:sz w:val="24"/>
          <w:szCs w:val="24"/>
        </w:rPr>
        <w:t xml:space="preserve"> </w:t>
      </w:r>
      <w:r>
        <w:rPr>
          <w:color w:val="auto"/>
          <w:sz w:val="24"/>
          <w:szCs w:val="24"/>
        </w:rPr>
        <w:t xml:space="preserve">units. In the responder, after 30 minutes of iNO administration, </w:t>
      </w:r>
      <w:r>
        <w:rPr>
          <w:rFonts w:hint="eastAsia"/>
          <w:color w:val="auto"/>
          <w:sz w:val="24"/>
          <w:szCs w:val="24"/>
          <w:lang w:val="en-US" w:eastAsia="zh-CN"/>
        </w:rPr>
        <w:t xml:space="preserve">the proportion of </w:t>
      </w:r>
      <w:r>
        <w:rPr>
          <w:color w:val="auto"/>
          <w:sz w:val="24"/>
          <w:szCs w:val="24"/>
        </w:rPr>
        <w:t>dorsal perfusion decrea</w:t>
      </w:r>
      <w:r>
        <w:rPr>
          <w:rFonts w:hint="eastAsia"/>
          <w:color w:val="auto"/>
          <w:sz w:val="24"/>
          <w:szCs w:val="24"/>
        </w:rPr>
        <w:t>sed</w:t>
      </w:r>
      <w:r>
        <w:rPr>
          <w:color w:val="auto"/>
          <w:sz w:val="24"/>
          <w:szCs w:val="24"/>
        </w:rPr>
        <w:t xml:space="preserve"> from 37% to 20% and </w:t>
      </w:r>
      <w:r>
        <w:rPr>
          <w:rFonts w:hint="eastAsia"/>
          <w:color w:val="auto"/>
          <w:sz w:val="24"/>
          <w:szCs w:val="24"/>
          <w:lang w:val="en-US" w:eastAsia="zh-CN"/>
        </w:rPr>
        <w:t xml:space="preserve">the proportion of </w:t>
      </w:r>
      <w:r>
        <w:rPr>
          <w:color w:val="auto"/>
          <w:sz w:val="24"/>
          <w:szCs w:val="24"/>
        </w:rPr>
        <w:t xml:space="preserve">dorsal </w:t>
      </w:r>
      <w:r>
        <w:rPr>
          <w:rFonts w:hint="eastAsia"/>
          <w:color w:val="auto"/>
          <w:sz w:val="24"/>
          <w:szCs w:val="24"/>
        </w:rPr>
        <w:t>only perfused units</w:t>
      </w:r>
      <w:r>
        <w:rPr>
          <w:color w:val="auto"/>
          <w:sz w:val="24"/>
          <w:szCs w:val="24"/>
        </w:rPr>
        <w:t xml:space="preserve"> dropping from 12.9% to 1.37%. This phenomenon was absent in the non-responder</w:t>
      </w:r>
      <w:r>
        <w:rPr>
          <w:rFonts w:hint="eastAsia"/>
          <w:color w:val="auto"/>
          <w:sz w:val="24"/>
          <w:szCs w:val="24"/>
        </w:rPr>
        <w:t xml:space="preserve">. </w:t>
      </w:r>
      <w:r>
        <w:rPr>
          <w:color w:val="auto"/>
          <w:sz w:val="24"/>
          <w:szCs w:val="24"/>
        </w:rPr>
        <w:t>V/Q, ventilation/perfusion</w:t>
      </w:r>
      <w:r>
        <w:rPr>
          <w:color w:val="auto"/>
        </w:rPr>
        <w:br w:type="page"/>
      </w:r>
    </w:p>
    <w:p w14:paraId="5DD3EBCF">
      <w:pPr>
        <w:spacing w:line="480" w:lineRule="auto"/>
        <w:rPr>
          <w:b/>
          <w:bCs/>
          <w:color w:val="auto"/>
        </w:rPr>
      </w:pPr>
      <w:r>
        <w:rPr>
          <w:b/>
          <w:bCs/>
          <w:color w:val="auto"/>
        </w:rPr>
        <w:t>References</w:t>
      </w:r>
    </w:p>
    <w:p w14:paraId="756591EA">
      <w:pPr>
        <w:pStyle w:val="22"/>
        <w:snapToGrid w:val="0"/>
        <w:spacing w:line="480" w:lineRule="auto"/>
        <w:contextualSpacing/>
        <w:rPr>
          <w:color w:val="auto"/>
          <w:sz w:val="24"/>
        </w:rPr>
      </w:pPr>
      <w:r>
        <w:rPr>
          <w:color w:val="auto"/>
          <w:sz w:val="24"/>
        </w:rPr>
        <w:t>1. Liu Y, Zhu Y, Jiang C, Su Z, Yan Y, Feng B, et al. An electrochemical nitric oxide generator for in-home inhalation therapy in pulmonary artery hypertension. BMC Med. 2022;20:481.</w:t>
      </w:r>
    </w:p>
    <w:p w14:paraId="66947B54">
      <w:pPr>
        <w:pStyle w:val="22"/>
        <w:snapToGrid w:val="0"/>
        <w:spacing w:line="480" w:lineRule="auto"/>
        <w:contextualSpacing/>
        <w:rPr>
          <w:color w:val="auto"/>
          <w:sz w:val="24"/>
        </w:rPr>
      </w:pPr>
      <w:r>
        <w:rPr>
          <w:color w:val="auto"/>
          <w:sz w:val="24"/>
        </w:rPr>
        <w:t>2. He H, Long Y, Frerichs I, Zhao Z. Detection of Acute Pulmonary Embolism by Electrical Impedance Tomography and Saline Bolus Injection. Am J Respir Crit Care Med. 2020;202:881–2.</w:t>
      </w:r>
    </w:p>
    <w:p w14:paraId="632D6DF3">
      <w:pPr>
        <w:pStyle w:val="22"/>
        <w:snapToGrid w:val="0"/>
        <w:spacing w:line="480" w:lineRule="auto"/>
        <w:contextualSpacing/>
        <w:rPr>
          <w:color w:val="auto"/>
          <w:sz w:val="24"/>
        </w:rPr>
      </w:pPr>
      <w:r>
        <w:rPr>
          <w:color w:val="auto"/>
          <w:sz w:val="24"/>
        </w:rPr>
        <w:t>3. Wang Y, Zhong M, Dong M, Song J, Zheng Y, Wu W, et al. Prone positioning improves ventilation–perfusion matching assessed by electrical impedance tomography in patients with ARDS: a prospective physiological study. Crit Care. 2022;26:154.</w:t>
      </w:r>
    </w:p>
    <w:p w14:paraId="26236009">
      <w:pPr>
        <w:pStyle w:val="22"/>
        <w:snapToGrid w:val="0"/>
        <w:spacing w:line="480" w:lineRule="auto"/>
        <w:contextualSpacing/>
      </w:pPr>
      <w:r>
        <w:rPr>
          <w:rFonts w:hint="eastAsia"/>
          <w:color w:val="auto"/>
          <w:sz w:val="24"/>
        </w:rPr>
        <w:t xml:space="preserve">4. </w:t>
      </w:r>
      <w:r>
        <w:rPr>
          <w:color w:val="auto"/>
          <w:sz w:val="24"/>
        </w:rPr>
        <w:t>Pavlovsky B, Pesenti A, Spinelli E, Scaramuzzo, G, Marongiu, I, Tagliabue, P,</w:t>
      </w:r>
      <w:r>
        <w:rPr>
          <w:rFonts w:hint="eastAsia"/>
          <w:color w:val="auto"/>
          <w:sz w:val="24"/>
        </w:rPr>
        <w:t xml:space="preserve"> </w:t>
      </w:r>
      <w:r>
        <w:rPr>
          <w:color w:val="auto"/>
          <w:sz w:val="24"/>
        </w:rPr>
        <w:t>et al. Effects of PEEP on regional ventilation-perfusion mismatch in the acute respiratory distress syndrome. Crit Care. 2022;26(1):211.</w:t>
      </w:r>
    </w:p>
    <w:p w14:paraId="65FBBADD">
      <w:pPr>
        <w:pStyle w:val="22"/>
        <w:snapToGrid w:val="0"/>
        <w:spacing w:line="480" w:lineRule="auto"/>
        <w:contextualSpacing/>
        <w:rPr>
          <w:rFonts w:hint="default" w:eastAsia="宋体"/>
          <w:color w:val="auto"/>
          <w:sz w:val="24"/>
          <w:lang w:val="en-US" w:eastAsia="zh-CN"/>
        </w:rPr>
      </w:pPr>
      <w:r>
        <w:rPr>
          <w:rFonts w:hint="eastAsia"/>
          <w:color w:val="auto"/>
          <w:sz w:val="24"/>
          <w:lang w:val="en-US" w:eastAsia="zh-CN"/>
        </w:rPr>
        <w:t>5. Fossali T, Pavlovsky B, Ottolina D, et al. Effects of Prone Position on Lung Recruitment and Ventilation-Perfusion Matching in Patients With COVID-19 Acute Respiratory Distress Syndrome: A Combined CT Scan/Electrical Impedance Tomography Study. Crit Care Med. 2022;50(5):723-732.</w:t>
      </w:r>
    </w:p>
    <w:p w14:paraId="292AAE6C">
      <w:pPr>
        <w:pStyle w:val="22"/>
        <w:snapToGrid w:val="0"/>
        <w:spacing w:line="480" w:lineRule="auto"/>
        <w:contextualSpacing/>
        <w:rPr>
          <w:color w:val="auto"/>
          <w:sz w:val="24"/>
        </w:rPr>
      </w:pPr>
      <w:r>
        <w:rPr>
          <w:rFonts w:hint="eastAsia"/>
          <w:color w:val="auto"/>
          <w:sz w:val="24"/>
          <w:lang w:val="en-US" w:eastAsia="zh-CN"/>
        </w:rPr>
        <w:t>6</w:t>
      </w:r>
      <w:r>
        <w:rPr>
          <w:color w:val="auto"/>
          <w:sz w:val="24"/>
        </w:rPr>
        <w:t>. He H, Chi Y, Long Y, Yuan S, Zhang R, Frerichs I, et al. Bedside Evaluation of Pulmonary Embolism by Saline Contrast Electrical Impedance Tomography Method: A Prospective Observational Study. Am J Respir Crit Care Med. 2020;202:1464–8.</w:t>
      </w:r>
    </w:p>
    <w:p w14:paraId="65722273">
      <w:pPr>
        <w:pStyle w:val="22"/>
        <w:snapToGrid w:val="0"/>
        <w:spacing w:line="480" w:lineRule="auto"/>
        <w:contextualSpacing/>
        <w:rPr>
          <w:color w:val="auto"/>
          <w:sz w:val="24"/>
        </w:rPr>
      </w:pPr>
      <w:r>
        <w:rPr>
          <w:rFonts w:hint="eastAsia"/>
          <w:color w:val="auto"/>
          <w:sz w:val="24"/>
          <w:lang w:val="en-US" w:eastAsia="zh-CN"/>
        </w:rPr>
        <w:t>7</w:t>
      </w:r>
      <w:r>
        <w:rPr>
          <w:color w:val="auto"/>
          <w:sz w:val="24"/>
        </w:rPr>
        <w:t>. Spinelli E, Kircher M, Stender B, Ottaviani I, Basile MC, Marongiu I, et al. Unmatched ventilation and perfusion measured by electrical impedance tomography predicts the outcome of ARDS. Crit Care. 2021;25:192.</w:t>
      </w:r>
    </w:p>
    <w:p w14:paraId="2C0AF8CE">
      <w:pPr>
        <w:pStyle w:val="22"/>
        <w:snapToGrid w:val="0"/>
        <w:spacing w:line="480" w:lineRule="auto"/>
        <w:contextualSpacing/>
        <w:rPr>
          <w:color w:val="auto"/>
          <w:sz w:val="24"/>
          <w:szCs w:val="24"/>
        </w:rPr>
      </w:pPr>
      <w:r>
        <w:rPr>
          <w:rFonts w:hint="eastAsia"/>
          <w:color w:val="auto"/>
          <w:sz w:val="24"/>
          <w:lang w:val="en-US" w:eastAsia="zh-CN"/>
        </w:rPr>
        <w:t>8</w:t>
      </w:r>
      <w:r>
        <w:rPr>
          <w:color w:val="auto"/>
          <w:sz w:val="24"/>
        </w:rPr>
        <w:t>. Spinelli E, Giani M, Slobod D, Pavlovsky B, di Pierro M, Crotti S, et al. Physiologic Effects of Extracorporeal Membrane Oxygenation in Patients with Severe Acute Respiratory Distress Syndrome. Am J Respir Crit Care Med. 2024;210:629–38.</w:t>
      </w:r>
    </w:p>
    <w:sectPr>
      <w:pgSz w:w="11906" w:h="16838"/>
      <w:pgMar w:top="1440" w:right="1803" w:bottom="1440" w:left="1803" w:header="851" w:footer="992" w:gutter="0"/>
      <w:lnNumType w:countBy="1" w:restart="continuous"/>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2E447">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27A0A3">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F27A0A3">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25DA17"/>
    <w:multiLevelType w:val="singleLevel"/>
    <w:tmpl w:val="2425DA17"/>
    <w:lvl w:ilvl="0" w:tentative="0">
      <w:start w:val="1"/>
      <w:numFmt w:val="bullet"/>
      <w:lvlText w:val=""/>
      <w:lvlJc w:val="left"/>
      <w:pPr>
        <w:ind w:left="420" w:hanging="420"/>
      </w:pPr>
      <w:rPr>
        <w:rFonts w:hint="default" w:ascii="Wingdings" w:hAnsi="Wingdings"/>
        <w:sz w:val="13"/>
        <w:szCs w:val="13"/>
      </w:rPr>
    </w:lvl>
  </w:abstractNum>
  <w:abstractNum w:abstractNumId="1">
    <w:nsid w:val="32D26B4E"/>
    <w:multiLevelType w:val="multilevel"/>
    <w:tmpl w:val="32D26B4E"/>
    <w:lvl w:ilvl="0" w:tentative="0">
      <w:start w:val="1"/>
      <w:numFmt w:val="bullet"/>
      <w:pStyle w:val="17"/>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2">
    <w:nsid w:val="7AC5388D"/>
    <w:multiLevelType w:val="multilevel"/>
    <w:tmpl w:val="7AC5388D"/>
    <w:lvl w:ilvl="0" w:tentative="0">
      <w:start w:val="1"/>
      <w:numFmt w:val="decimal"/>
      <w:lvlText w:val="%1."/>
      <w:lvlJc w:val="left"/>
      <w:pPr>
        <w:ind w:left="440" w:hanging="440"/>
      </w:pPr>
      <w:rPr>
        <w:rFonts w:hint="default"/>
        <w:i w:val="0"/>
        <w:iCs w:val="0"/>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bordersDoNotSurroundHeader w:val="1"/>
  <w:bordersDoNotSurroundFooter w:val="1"/>
  <w:documentProtection w:enforcement="0"/>
  <w:defaultTabStop w:val="420"/>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IwNmZjMDQxMWZkZTUyNDI4NzJjZWY5YjQyZGIwMTUifQ=="/>
  </w:docVars>
  <w:rsids>
    <w:rsidRoot w:val="0055119C"/>
    <w:rsid w:val="00023C2C"/>
    <w:rsid w:val="0005277F"/>
    <w:rsid w:val="00074784"/>
    <w:rsid w:val="000811BA"/>
    <w:rsid w:val="00085EAA"/>
    <w:rsid w:val="000A0C38"/>
    <w:rsid w:val="000D7BBB"/>
    <w:rsid w:val="000E3671"/>
    <w:rsid w:val="001202F3"/>
    <w:rsid w:val="0014128C"/>
    <w:rsid w:val="0015683A"/>
    <w:rsid w:val="001A3063"/>
    <w:rsid w:val="001B10AB"/>
    <w:rsid w:val="001D446F"/>
    <w:rsid w:val="001D7501"/>
    <w:rsid w:val="0020408D"/>
    <w:rsid w:val="00222602"/>
    <w:rsid w:val="002331AC"/>
    <w:rsid w:val="00236075"/>
    <w:rsid w:val="002438EF"/>
    <w:rsid w:val="002470B5"/>
    <w:rsid w:val="0027460F"/>
    <w:rsid w:val="00285085"/>
    <w:rsid w:val="002872DB"/>
    <w:rsid w:val="002C375A"/>
    <w:rsid w:val="002E44AD"/>
    <w:rsid w:val="00320E68"/>
    <w:rsid w:val="00351C9B"/>
    <w:rsid w:val="00353D2C"/>
    <w:rsid w:val="003658D0"/>
    <w:rsid w:val="00367209"/>
    <w:rsid w:val="00381AE5"/>
    <w:rsid w:val="003822A5"/>
    <w:rsid w:val="003A4D51"/>
    <w:rsid w:val="0040409F"/>
    <w:rsid w:val="004572E4"/>
    <w:rsid w:val="00463935"/>
    <w:rsid w:val="0046550B"/>
    <w:rsid w:val="00493347"/>
    <w:rsid w:val="004A1EE9"/>
    <w:rsid w:val="004E0136"/>
    <w:rsid w:val="004F7455"/>
    <w:rsid w:val="0051584A"/>
    <w:rsid w:val="005270A7"/>
    <w:rsid w:val="00542C93"/>
    <w:rsid w:val="0054625A"/>
    <w:rsid w:val="0055119C"/>
    <w:rsid w:val="0056523B"/>
    <w:rsid w:val="00570878"/>
    <w:rsid w:val="00571794"/>
    <w:rsid w:val="00591D5A"/>
    <w:rsid w:val="00596966"/>
    <w:rsid w:val="005A351B"/>
    <w:rsid w:val="005B1123"/>
    <w:rsid w:val="00601144"/>
    <w:rsid w:val="006201F6"/>
    <w:rsid w:val="00677A74"/>
    <w:rsid w:val="00696958"/>
    <w:rsid w:val="006A6BF6"/>
    <w:rsid w:val="006B22DA"/>
    <w:rsid w:val="006D2469"/>
    <w:rsid w:val="006F4586"/>
    <w:rsid w:val="00700AA4"/>
    <w:rsid w:val="007404D0"/>
    <w:rsid w:val="00775687"/>
    <w:rsid w:val="007B5613"/>
    <w:rsid w:val="007B5AD8"/>
    <w:rsid w:val="0085182C"/>
    <w:rsid w:val="00886009"/>
    <w:rsid w:val="008A3B5A"/>
    <w:rsid w:val="008B6D56"/>
    <w:rsid w:val="008D7738"/>
    <w:rsid w:val="008E5738"/>
    <w:rsid w:val="008F6C58"/>
    <w:rsid w:val="00936DA2"/>
    <w:rsid w:val="00962BFE"/>
    <w:rsid w:val="00972806"/>
    <w:rsid w:val="0097465F"/>
    <w:rsid w:val="00990317"/>
    <w:rsid w:val="009A2F07"/>
    <w:rsid w:val="009A65C3"/>
    <w:rsid w:val="009B5B5D"/>
    <w:rsid w:val="00A170C1"/>
    <w:rsid w:val="00A26EFD"/>
    <w:rsid w:val="00A94408"/>
    <w:rsid w:val="00AC7F7E"/>
    <w:rsid w:val="00AD095D"/>
    <w:rsid w:val="00AD2274"/>
    <w:rsid w:val="00AD5E16"/>
    <w:rsid w:val="00AE53A5"/>
    <w:rsid w:val="00AE6985"/>
    <w:rsid w:val="00AE7179"/>
    <w:rsid w:val="00B07791"/>
    <w:rsid w:val="00B344E5"/>
    <w:rsid w:val="00B41668"/>
    <w:rsid w:val="00B62C9A"/>
    <w:rsid w:val="00B77EE0"/>
    <w:rsid w:val="00B96484"/>
    <w:rsid w:val="00BA18BF"/>
    <w:rsid w:val="00BA4617"/>
    <w:rsid w:val="00BD2B77"/>
    <w:rsid w:val="00BE73F1"/>
    <w:rsid w:val="00C11FAB"/>
    <w:rsid w:val="00C13BD7"/>
    <w:rsid w:val="00C36E0F"/>
    <w:rsid w:val="00CB4DFB"/>
    <w:rsid w:val="00CC24F7"/>
    <w:rsid w:val="00CC6BCE"/>
    <w:rsid w:val="00D150FF"/>
    <w:rsid w:val="00D151B1"/>
    <w:rsid w:val="00D15C1F"/>
    <w:rsid w:val="00D45AD0"/>
    <w:rsid w:val="00D51F46"/>
    <w:rsid w:val="00D55AF1"/>
    <w:rsid w:val="00D60737"/>
    <w:rsid w:val="00DA5BC5"/>
    <w:rsid w:val="00DB1E65"/>
    <w:rsid w:val="00DB58A2"/>
    <w:rsid w:val="00DC3E2B"/>
    <w:rsid w:val="00DF6D8E"/>
    <w:rsid w:val="00E07923"/>
    <w:rsid w:val="00E258F4"/>
    <w:rsid w:val="00E605A1"/>
    <w:rsid w:val="00E876AC"/>
    <w:rsid w:val="00E96799"/>
    <w:rsid w:val="00ED2F75"/>
    <w:rsid w:val="00F04289"/>
    <w:rsid w:val="00F04C0A"/>
    <w:rsid w:val="00F0553C"/>
    <w:rsid w:val="00F05CD8"/>
    <w:rsid w:val="00F20A71"/>
    <w:rsid w:val="00F43A11"/>
    <w:rsid w:val="00F62749"/>
    <w:rsid w:val="00F666F3"/>
    <w:rsid w:val="00F9397E"/>
    <w:rsid w:val="00FA721C"/>
    <w:rsid w:val="00FB7C81"/>
    <w:rsid w:val="00FF6AFF"/>
    <w:rsid w:val="01195B62"/>
    <w:rsid w:val="06725010"/>
    <w:rsid w:val="07D93108"/>
    <w:rsid w:val="07DB5038"/>
    <w:rsid w:val="08DD0238"/>
    <w:rsid w:val="0B0306DC"/>
    <w:rsid w:val="0B837613"/>
    <w:rsid w:val="0C325653"/>
    <w:rsid w:val="0C3A5E22"/>
    <w:rsid w:val="0C825A97"/>
    <w:rsid w:val="0CD21ED4"/>
    <w:rsid w:val="0E307607"/>
    <w:rsid w:val="0E76345F"/>
    <w:rsid w:val="0E8A6943"/>
    <w:rsid w:val="0EB75826"/>
    <w:rsid w:val="101735D9"/>
    <w:rsid w:val="1102547E"/>
    <w:rsid w:val="11F26D7E"/>
    <w:rsid w:val="12137217"/>
    <w:rsid w:val="1288550F"/>
    <w:rsid w:val="146A5814"/>
    <w:rsid w:val="14753AB3"/>
    <w:rsid w:val="14866EAE"/>
    <w:rsid w:val="15DA2525"/>
    <w:rsid w:val="15FC1BB0"/>
    <w:rsid w:val="16027280"/>
    <w:rsid w:val="17E26120"/>
    <w:rsid w:val="18DE43E9"/>
    <w:rsid w:val="1A400DC5"/>
    <w:rsid w:val="1B4F4CB6"/>
    <w:rsid w:val="1CC53F5F"/>
    <w:rsid w:val="1E592455"/>
    <w:rsid w:val="1F642DCD"/>
    <w:rsid w:val="20A774A8"/>
    <w:rsid w:val="239006C7"/>
    <w:rsid w:val="250D7AF6"/>
    <w:rsid w:val="252F5CBE"/>
    <w:rsid w:val="26FD752B"/>
    <w:rsid w:val="27693709"/>
    <w:rsid w:val="277879DC"/>
    <w:rsid w:val="2790399D"/>
    <w:rsid w:val="28616AD6"/>
    <w:rsid w:val="28ED14A4"/>
    <w:rsid w:val="293857B8"/>
    <w:rsid w:val="2AA2110F"/>
    <w:rsid w:val="2AE2229E"/>
    <w:rsid w:val="2B611A58"/>
    <w:rsid w:val="2B794137"/>
    <w:rsid w:val="2DC86CB0"/>
    <w:rsid w:val="2EF66F59"/>
    <w:rsid w:val="2F0D2DE8"/>
    <w:rsid w:val="2F3A598B"/>
    <w:rsid w:val="2FBE036A"/>
    <w:rsid w:val="30506A6B"/>
    <w:rsid w:val="31AB2F10"/>
    <w:rsid w:val="325154C6"/>
    <w:rsid w:val="33C341A1"/>
    <w:rsid w:val="346A6D13"/>
    <w:rsid w:val="359277EB"/>
    <w:rsid w:val="361645D3"/>
    <w:rsid w:val="3652180C"/>
    <w:rsid w:val="365E6403"/>
    <w:rsid w:val="37340943"/>
    <w:rsid w:val="3ACD3B57"/>
    <w:rsid w:val="3ADD1FEC"/>
    <w:rsid w:val="3C0D4C3B"/>
    <w:rsid w:val="3CDA6C3E"/>
    <w:rsid w:val="3D2D6B2F"/>
    <w:rsid w:val="3D8D17E2"/>
    <w:rsid w:val="3E6C1329"/>
    <w:rsid w:val="3E864749"/>
    <w:rsid w:val="3EF27713"/>
    <w:rsid w:val="3FAA4467"/>
    <w:rsid w:val="3FB452E6"/>
    <w:rsid w:val="42537038"/>
    <w:rsid w:val="427C658F"/>
    <w:rsid w:val="435419DC"/>
    <w:rsid w:val="43DC40C8"/>
    <w:rsid w:val="45194E6F"/>
    <w:rsid w:val="465B6B83"/>
    <w:rsid w:val="48E1714C"/>
    <w:rsid w:val="490C7F41"/>
    <w:rsid w:val="49D65EBB"/>
    <w:rsid w:val="4A0A4C86"/>
    <w:rsid w:val="4A934476"/>
    <w:rsid w:val="4ABE526B"/>
    <w:rsid w:val="4AF8077D"/>
    <w:rsid w:val="4BB9453A"/>
    <w:rsid w:val="4CCC0113"/>
    <w:rsid w:val="4DFE60AA"/>
    <w:rsid w:val="4EC7460D"/>
    <w:rsid w:val="4EFE7C51"/>
    <w:rsid w:val="4F2204BE"/>
    <w:rsid w:val="4FE01930"/>
    <w:rsid w:val="509B0528"/>
    <w:rsid w:val="5248023B"/>
    <w:rsid w:val="55BD4A9D"/>
    <w:rsid w:val="57092A45"/>
    <w:rsid w:val="583A6878"/>
    <w:rsid w:val="587873A1"/>
    <w:rsid w:val="5C621EFA"/>
    <w:rsid w:val="5C8005D2"/>
    <w:rsid w:val="5CD37613"/>
    <w:rsid w:val="5D9F7E86"/>
    <w:rsid w:val="5DFD1824"/>
    <w:rsid w:val="5ED65C66"/>
    <w:rsid w:val="604F4E8B"/>
    <w:rsid w:val="61AD28BE"/>
    <w:rsid w:val="62372928"/>
    <w:rsid w:val="627209BD"/>
    <w:rsid w:val="64EA6078"/>
    <w:rsid w:val="6603474E"/>
    <w:rsid w:val="67C64BAF"/>
    <w:rsid w:val="680977CC"/>
    <w:rsid w:val="695B664F"/>
    <w:rsid w:val="69817394"/>
    <w:rsid w:val="69F36887"/>
    <w:rsid w:val="6A764478"/>
    <w:rsid w:val="6A890F99"/>
    <w:rsid w:val="6B4B3FD8"/>
    <w:rsid w:val="6D041F7A"/>
    <w:rsid w:val="6D2A25C0"/>
    <w:rsid w:val="6DB45538"/>
    <w:rsid w:val="6EE678F4"/>
    <w:rsid w:val="71C50B09"/>
    <w:rsid w:val="74F11C15"/>
    <w:rsid w:val="751D0C5C"/>
    <w:rsid w:val="766B3E08"/>
    <w:rsid w:val="7688018F"/>
    <w:rsid w:val="769431A0"/>
    <w:rsid w:val="769F2134"/>
    <w:rsid w:val="771D4F43"/>
    <w:rsid w:val="772E53A2"/>
    <w:rsid w:val="776F06FB"/>
    <w:rsid w:val="778E5E41"/>
    <w:rsid w:val="77A15529"/>
    <w:rsid w:val="792B4A96"/>
    <w:rsid w:val="79322EB3"/>
    <w:rsid w:val="79AC0800"/>
    <w:rsid w:val="79F96A1F"/>
    <w:rsid w:val="7ABE6A3D"/>
    <w:rsid w:val="7B686E39"/>
    <w:rsid w:val="7B8161CB"/>
    <w:rsid w:val="7B9B0B2D"/>
    <w:rsid w:val="7C6C52E0"/>
    <w:rsid w:val="7E346A45"/>
    <w:rsid w:val="7F555FED"/>
    <w:rsid w:val="7FE600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autoRedefine/>
    <w:unhideWhenUsed/>
    <w:qFormat/>
    <w:uiPriority w:val="99"/>
    <w:pPr>
      <w:tabs>
        <w:tab w:val="center" w:pos="4153"/>
        <w:tab w:val="right" w:pos="8306"/>
      </w:tabs>
      <w:snapToGrid w:val="0"/>
      <w:jc w:val="left"/>
    </w:pPr>
    <w:rPr>
      <w:sz w:val="18"/>
      <w:szCs w:val="18"/>
    </w:rPr>
  </w:style>
  <w:style w:type="paragraph" w:styleId="3">
    <w:name w:val="header"/>
    <w:basedOn w:val="1"/>
    <w:link w:val="9"/>
    <w:autoRedefine/>
    <w:unhideWhenUsed/>
    <w:qFormat/>
    <w:uiPriority w:val="99"/>
    <w:pPr>
      <w:tabs>
        <w:tab w:val="center" w:pos="4153"/>
        <w:tab w:val="right" w:pos="8306"/>
      </w:tabs>
      <w:snapToGrid w:val="0"/>
      <w:jc w:val="center"/>
    </w:pPr>
    <w:rPr>
      <w:sz w:val="18"/>
      <w:szCs w:val="18"/>
    </w:rPr>
  </w:style>
  <w:style w:type="paragraph" w:styleId="4">
    <w:name w:val="Normal (Web)"/>
    <w:basedOn w:val="1"/>
    <w:autoRedefine/>
    <w:unhideWhenUsed/>
    <w:qFormat/>
    <w:uiPriority w:val="99"/>
    <w:pPr>
      <w:widowControl/>
      <w:spacing w:before="100" w:beforeAutospacing="1" w:after="100" w:afterAutospacing="1"/>
      <w:jc w:val="left"/>
    </w:pPr>
    <w:rPr>
      <w:rFonts w:ascii="宋体" w:hAnsi="宋体"/>
      <w:kern w:val="0"/>
      <w:sz w:val="24"/>
      <w:szCs w:val="24"/>
    </w:rPr>
  </w:style>
  <w:style w:type="table" w:styleId="6">
    <w:name w:val="Table Grid"/>
    <w:basedOn w:val="5"/>
    <w:autoRedefine/>
    <w:qFormat/>
    <w:uiPriority w:val="9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line number"/>
    <w:basedOn w:val="7"/>
    <w:semiHidden/>
    <w:unhideWhenUsed/>
    <w:qFormat/>
    <w:uiPriority w:val="99"/>
  </w:style>
  <w:style w:type="character" w:customStyle="1" w:styleId="9">
    <w:name w:val="页眉 字符"/>
    <w:basedOn w:val="7"/>
    <w:link w:val="3"/>
    <w:autoRedefine/>
    <w:qFormat/>
    <w:uiPriority w:val="99"/>
    <w:rPr>
      <w:sz w:val="18"/>
      <w:szCs w:val="18"/>
    </w:rPr>
  </w:style>
  <w:style w:type="character" w:customStyle="1" w:styleId="10">
    <w:name w:val="页脚 字符"/>
    <w:basedOn w:val="7"/>
    <w:link w:val="2"/>
    <w:autoRedefine/>
    <w:qFormat/>
    <w:uiPriority w:val="99"/>
    <w:rPr>
      <w:sz w:val="18"/>
      <w:szCs w:val="18"/>
    </w:rPr>
  </w:style>
  <w:style w:type="paragraph" w:customStyle="1" w:styleId="11">
    <w:name w:val="书目1"/>
    <w:basedOn w:val="1"/>
    <w:next w:val="1"/>
    <w:autoRedefine/>
    <w:unhideWhenUsed/>
    <w:qFormat/>
    <w:uiPriority w:val="37"/>
    <w:pPr>
      <w:tabs>
        <w:tab w:val="left" w:pos="264"/>
      </w:tabs>
      <w:spacing w:line="480" w:lineRule="auto"/>
      <w:ind w:left="264" w:hanging="264"/>
    </w:pPr>
  </w:style>
  <w:style w:type="character" w:customStyle="1" w:styleId="12">
    <w:name w:val="font31"/>
    <w:basedOn w:val="7"/>
    <w:autoRedefine/>
    <w:qFormat/>
    <w:uiPriority w:val="0"/>
    <w:rPr>
      <w:rFonts w:hint="default" w:ascii="Times New Roman" w:hAnsi="Times New Roman" w:cs="Times New Roman"/>
      <w:i/>
      <w:iCs/>
      <w:color w:val="000000"/>
      <w:sz w:val="24"/>
      <w:szCs w:val="24"/>
      <w:u w:val="none"/>
    </w:rPr>
  </w:style>
  <w:style w:type="character" w:customStyle="1" w:styleId="13">
    <w:name w:val="font21"/>
    <w:basedOn w:val="7"/>
    <w:autoRedefine/>
    <w:qFormat/>
    <w:uiPriority w:val="0"/>
    <w:rPr>
      <w:rFonts w:hint="default" w:ascii="Times New Roman" w:hAnsi="Times New Roman" w:cs="Times New Roman"/>
      <w:color w:val="000000"/>
      <w:sz w:val="24"/>
      <w:szCs w:val="24"/>
      <w:u w:val="none"/>
    </w:rPr>
  </w:style>
  <w:style w:type="character" w:customStyle="1" w:styleId="14">
    <w:name w:val="font41"/>
    <w:basedOn w:val="7"/>
    <w:autoRedefine/>
    <w:qFormat/>
    <w:uiPriority w:val="0"/>
    <w:rPr>
      <w:rFonts w:hint="default" w:ascii="Times New Roman" w:hAnsi="Times New Roman" w:cs="Times New Roman"/>
      <w:color w:val="000000"/>
      <w:sz w:val="24"/>
      <w:szCs w:val="24"/>
      <w:u w:val="none"/>
    </w:rPr>
  </w:style>
  <w:style w:type="character" w:customStyle="1" w:styleId="15">
    <w:name w:val="font11"/>
    <w:basedOn w:val="7"/>
    <w:autoRedefine/>
    <w:qFormat/>
    <w:uiPriority w:val="0"/>
    <w:rPr>
      <w:rFonts w:hint="default" w:ascii="Times New Roman" w:hAnsi="Times New Roman" w:cs="Times New Roman"/>
      <w:color w:val="000000"/>
      <w:sz w:val="24"/>
      <w:szCs w:val="24"/>
      <w:u w:val="none"/>
    </w:rPr>
  </w:style>
  <w:style w:type="paragraph" w:customStyle="1" w:styleId="16">
    <w:name w:val="书目2"/>
    <w:basedOn w:val="1"/>
    <w:next w:val="1"/>
    <w:autoRedefine/>
    <w:unhideWhenUsed/>
    <w:qFormat/>
    <w:uiPriority w:val="37"/>
  </w:style>
  <w:style w:type="paragraph" w:styleId="17">
    <w:name w:val="List Paragraph"/>
    <w:basedOn w:val="1"/>
    <w:autoRedefine/>
    <w:unhideWhenUsed/>
    <w:qFormat/>
    <w:uiPriority w:val="99"/>
    <w:pPr>
      <w:numPr>
        <w:ilvl w:val="0"/>
        <w:numId w:val="1"/>
      </w:numPr>
      <w:spacing w:line="480" w:lineRule="auto"/>
      <w:ind w:left="482" w:hanging="482"/>
    </w:pPr>
  </w:style>
  <w:style w:type="paragraph" w:customStyle="1" w:styleId="18">
    <w:name w:val="书目3"/>
    <w:basedOn w:val="1"/>
    <w:next w:val="1"/>
    <w:autoRedefine/>
    <w:unhideWhenUsed/>
    <w:qFormat/>
    <w:uiPriority w:val="37"/>
  </w:style>
  <w:style w:type="paragraph" w:customStyle="1" w:styleId="19">
    <w:name w:val="书目4"/>
    <w:basedOn w:val="1"/>
    <w:next w:val="1"/>
    <w:autoRedefine/>
    <w:unhideWhenUsed/>
    <w:qFormat/>
    <w:uiPriority w:val="37"/>
  </w:style>
  <w:style w:type="paragraph" w:customStyle="1" w:styleId="20">
    <w:name w:val="书目5"/>
    <w:basedOn w:val="1"/>
    <w:next w:val="1"/>
    <w:autoRedefine/>
    <w:unhideWhenUsed/>
    <w:qFormat/>
    <w:uiPriority w:val="37"/>
  </w:style>
  <w:style w:type="paragraph" w:customStyle="1" w:styleId="21">
    <w:name w:val="msolistparagraph"/>
    <w:basedOn w:val="1"/>
    <w:qFormat/>
    <w:uiPriority w:val="0"/>
    <w:pPr>
      <w:spacing w:line="480" w:lineRule="auto"/>
      <w:ind w:firstLine="420" w:firstLineChars="200"/>
    </w:pPr>
    <w:rPr>
      <w:kern w:val="0"/>
      <w:sz w:val="24"/>
      <w:szCs w:val="24"/>
    </w:rPr>
  </w:style>
  <w:style w:type="paragraph" w:customStyle="1" w:styleId="22">
    <w:name w:val="Bibliography"/>
    <w:basedOn w:val="1"/>
    <w:next w:val="1"/>
    <w:unhideWhenUsed/>
    <w:qFormat/>
    <w:uiPriority w:val="37"/>
    <w:pPr>
      <w:spacing w:after="24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pn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5F12A0A-F64C-45F6-BB8E-FF34013A20AF}">
  <ds:schemaRefs/>
</ds:datastoreItem>
</file>

<file path=docProps/app.xml><?xml version="1.0" encoding="utf-8"?>
<Properties xmlns="http://schemas.openxmlformats.org/officeDocument/2006/extended-properties" xmlns:vt="http://schemas.openxmlformats.org/officeDocument/2006/docPropsVTypes">
  <Template>Normal.dotm</Template>
  <Pages>14</Pages>
  <Words>1348</Words>
  <Characters>7601</Characters>
  <Lines>81</Lines>
  <Paragraphs>22</Paragraphs>
  <TotalTime>11</TotalTime>
  <ScaleCrop>false</ScaleCrop>
  <LinksUpToDate>false</LinksUpToDate>
  <CharactersWithSpaces>8733</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2023-09-06T00:21:00Z</dcterms:created>
  <dc:creator>HL 张</dc:creator>
  <cp:lastModifiedBy>waterfish</cp:lastModifiedBy>
  <dcterms:modified xsi:type="dcterms:W3CDTF">2025-06-23T13:38:28Z</dcterms:modified>
  <cp:revision>114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id="bsTIGFe3"/&gt;&lt;style id="http://www.zotero.org/styles/critical-care" hasBibliography="1" bibliographyStyleHasBeenSet="1"/&gt;&lt;prefs&gt;&lt;pref name="fieldType" value="Field"/&gt;&lt;/prefs&gt;&lt;/data&gt;</vt:lpwstr>
  </property>
  <property fmtid="{D5CDD505-2E9C-101B-9397-08002B2CF9AE}" pid="3" name="KSOProductBuildVer">
    <vt:lpwstr>2052-12.1.0.21541</vt:lpwstr>
  </property>
  <property fmtid="{D5CDD505-2E9C-101B-9397-08002B2CF9AE}" pid="4" name="ICV">
    <vt:lpwstr>75461F11F4AC4514BF7FF97AC8701B69_12</vt:lpwstr>
  </property>
  <property fmtid="{D5CDD505-2E9C-101B-9397-08002B2CF9AE}" pid="5" name="KSOTemplateDocerSaveRecord">
    <vt:lpwstr>eyJoZGlkIjoiYjk5ODM0YmMxOWJiYWQyNDU4MGIzYWRmYTA0ZmI5NDciLCJ1c2VySWQiOiIyNDAwNTA3MjMifQ==</vt:lpwstr>
  </property>
</Properties>
</file>