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FCB59" w14:textId="12C3F7C2" w:rsidR="00150E34" w:rsidRDefault="00150E34" w:rsidP="00150E34">
      <w:pPr>
        <w:rPr>
          <w:rFonts w:asciiTheme="majorBidi" w:hAnsiTheme="majorBidi" w:cstheme="majorBidi"/>
          <w:b/>
          <w:bCs/>
          <w:sz w:val="24"/>
          <w:szCs w:val="24"/>
        </w:rPr>
      </w:pPr>
      <w:bookmarkStart w:id="0" w:name="_GoBack"/>
      <w:bookmarkEnd w:id="0"/>
      <w:r>
        <w:rPr>
          <w:rFonts w:asciiTheme="majorBidi" w:hAnsiTheme="majorBidi" w:cstheme="majorBidi"/>
          <w:b/>
          <w:bCs/>
          <w:sz w:val="24"/>
          <w:szCs w:val="24"/>
        </w:rPr>
        <w:t>Additional file 2</w:t>
      </w:r>
      <w:r w:rsidR="00EA565D">
        <w:rPr>
          <w:rFonts w:asciiTheme="majorBidi" w:hAnsiTheme="majorBidi" w:cstheme="majorBidi"/>
          <w:b/>
          <w:bCs/>
          <w:sz w:val="24"/>
          <w:szCs w:val="24"/>
        </w:rPr>
        <w:t>b</w:t>
      </w:r>
      <w:r>
        <w:rPr>
          <w:rFonts w:asciiTheme="majorBidi" w:hAnsiTheme="majorBidi" w:cstheme="majorBidi"/>
          <w:b/>
          <w:bCs/>
          <w:sz w:val="24"/>
          <w:szCs w:val="24"/>
        </w:rPr>
        <w:t xml:space="preserve">: </w:t>
      </w:r>
      <w:r w:rsidRPr="006B456A">
        <w:rPr>
          <w:rFonts w:asciiTheme="majorBidi" w:hAnsiTheme="majorBidi" w:cstheme="majorBidi"/>
          <w:b/>
          <w:bCs/>
          <w:sz w:val="24"/>
          <w:szCs w:val="24"/>
        </w:rPr>
        <w:t>Exclu</w:t>
      </w:r>
      <w:r>
        <w:rPr>
          <w:rFonts w:asciiTheme="majorBidi" w:hAnsiTheme="majorBidi" w:cstheme="majorBidi"/>
          <w:b/>
          <w:bCs/>
          <w:sz w:val="24"/>
          <w:szCs w:val="24"/>
        </w:rPr>
        <w:t xml:space="preserve">sion reasons and </w:t>
      </w:r>
      <w:r w:rsidRPr="005D163B">
        <w:rPr>
          <w:rFonts w:asciiTheme="majorBidi" w:hAnsiTheme="majorBidi" w:cstheme="majorBidi"/>
          <w:b/>
          <w:bCs/>
          <w:sz w:val="24"/>
          <w:szCs w:val="24"/>
        </w:rPr>
        <w:t>references</w:t>
      </w:r>
      <w:r>
        <w:rPr>
          <w:rFonts w:asciiTheme="majorBidi" w:hAnsiTheme="majorBidi" w:cstheme="majorBidi"/>
          <w:b/>
          <w:bCs/>
          <w:sz w:val="24"/>
          <w:szCs w:val="24"/>
        </w:rPr>
        <w:t xml:space="preserve"> </w:t>
      </w:r>
    </w:p>
    <w:tbl>
      <w:tblPr>
        <w:tblStyle w:val="TableGrid"/>
        <w:tblW w:w="0" w:type="auto"/>
        <w:tblLook w:val="04A0" w:firstRow="1" w:lastRow="0" w:firstColumn="1" w:lastColumn="0" w:noHBand="0" w:noVBand="1"/>
      </w:tblPr>
      <w:tblGrid>
        <w:gridCol w:w="6374"/>
        <w:gridCol w:w="2642"/>
      </w:tblGrid>
      <w:tr w:rsidR="00150E34" w:rsidRPr="00150E34" w14:paraId="7AFC94D2" w14:textId="77777777" w:rsidTr="00BE37B7">
        <w:tc>
          <w:tcPr>
            <w:tcW w:w="6374" w:type="dxa"/>
          </w:tcPr>
          <w:p w14:paraId="7618EEF1" w14:textId="77777777" w:rsidR="00150E34" w:rsidRPr="00150E34" w:rsidRDefault="00150E34" w:rsidP="00BE37B7">
            <w:pPr>
              <w:rPr>
                <w:rFonts w:ascii="Calibri" w:hAnsi="Calibri" w:cs="Calibri"/>
                <w:b/>
                <w:bCs/>
                <w:sz w:val="20"/>
                <w:szCs w:val="20"/>
              </w:rPr>
            </w:pPr>
            <w:r w:rsidRPr="00150E34">
              <w:rPr>
                <w:rFonts w:ascii="Calibri" w:hAnsi="Calibri" w:cs="Calibri"/>
                <w:b/>
                <w:bCs/>
                <w:sz w:val="20"/>
                <w:szCs w:val="20"/>
              </w:rPr>
              <w:t xml:space="preserve">Exclusion reasons </w:t>
            </w:r>
          </w:p>
        </w:tc>
        <w:tc>
          <w:tcPr>
            <w:tcW w:w="2642" w:type="dxa"/>
          </w:tcPr>
          <w:p w14:paraId="35939D0C" w14:textId="7651A75A" w:rsidR="00150E34" w:rsidRPr="00150E34" w:rsidRDefault="00150E34" w:rsidP="00BE37B7">
            <w:pPr>
              <w:rPr>
                <w:rFonts w:ascii="Calibri" w:hAnsi="Calibri" w:cs="Calibri"/>
                <w:b/>
                <w:bCs/>
                <w:sz w:val="20"/>
                <w:szCs w:val="20"/>
              </w:rPr>
            </w:pPr>
            <w:r w:rsidRPr="00150E34">
              <w:rPr>
                <w:rFonts w:ascii="Calibri" w:hAnsi="Calibri" w:cs="Calibri"/>
                <w:b/>
                <w:bCs/>
                <w:sz w:val="20"/>
                <w:szCs w:val="20"/>
              </w:rPr>
              <w:t>Reviews (n = 4</w:t>
            </w:r>
            <w:r w:rsidR="00CF4998">
              <w:rPr>
                <w:rFonts w:ascii="Calibri" w:hAnsi="Calibri" w:cs="Calibri"/>
                <w:b/>
                <w:bCs/>
                <w:sz w:val="20"/>
                <w:szCs w:val="20"/>
              </w:rPr>
              <w:t>1</w:t>
            </w:r>
            <w:r w:rsidRPr="00150E34">
              <w:rPr>
                <w:rFonts w:ascii="Calibri" w:hAnsi="Calibri" w:cs="Calibri"/>
                <w:b/>
                <w:bCs/>
                <w:sz w:val="20"/>
                <w:szCs w:val="20"/>
              </w:rPr>
              <w:t>)</w:t>
            </w:r>
          </w:p>
        </w:tc>
      </w:tr>
      <w:tr w:rsidR="00150E34" w:rsidRPr="00150E34" w14:paraId="681CF7F6" w14:textId="77777777" w:rsidTr="00BE37B7">
        <w:tc>
          <w:tcPr>
            <w:tcW w:w="6374" w:type="dxa"/>
          </w:tcPr>
          <w:p w14:paraId="46E636B9" w14:textId="77777777" w:rsidR="00150E34" w:rsidRPr="00150E34" w:rsidRDefault="00150E34" w:rsidP="00BE37B7">
            <w:pPr>
              <w:rPr>
                <w:rFonts w:ascii="Calibri" w:hAnsi="Calibri" w:cs="Calibri"/>
                <w:b/>
                <w:bCs/>
                <w:sz w:val="20"/>
                <w:szCs w:val="20"/>
              </w:rPr>
            </w:pPr>
            <w:bookmarkStart w:id="1" w:name="_Hlk176036456"/>
            <w:r w:rsidRPr="00150E34">
              <w:rPr>
                <w:rFonts w:ascii="Calibri" w:hAnsi="Calibri" w:cs="Calibri"/>
                <w:sz w:val="20"/>
                <w:szCs w:val="20"/>
              </w:rPr>
              <w:t>Not ICU or &lt;80% of included studies in ICU</w:t>
            </w:r>
            <w:bookmarkEnd w:id="1"/>
            <w:r w:rsidRPr="00150E34">
              <w:rPr>
                <w:rFonts w:ascii="Calibri" w:hAnsi="Calibri" w:cs="Calibri"/>
                <w:sz w:val="20"/>
                <w:szCs w:val="20"/>
              </w:rPr>
              <w:t xml:space="preserve"> (n=15)</w:t>
            </w:r>
          </w:p>
        </w:tc>
        <w:tc>
          <w:tcPr>
            <w:tcW w:w="2642" w:type="dxa"/>
          </w:tcPr>
          <w:p w14:paraId="08CE298F" w14:textId="77777777" w:rsidR="00150E34" w:rsidRPr="00150E34" w:rsidRDefault="00150E34" w:rsidP="00BE37B7">
            <w:pPr>
              <w:rPr>
                <w:rFonts w:ascii="Calibri" w:hAnsi="Calibri" w:cs="Calibri"/>
                <w:b/>
                <w:bCs/>
                <w:sz w:val="20"/>
                <w:szCs w:val="20"/>
              </w:rPr>
            </w:pPr>
            <w:r w:rsidRPr="00150E34">
              <w:rPr>
                <w:rFonts w:ascii="Calibri" w:hAnsi="Calibri" w:cs="Calibri"/>
                <w:sz w:val="20"/>
                <w:szCs w:val="20"/>
              </w:rPr>
              <w:t>Chen 2016; Chen 2020; Dang 2023; Friedman 2014; Haque 2019; Khaing 2021; Kim 2020; Lin 2021; Liu 2022; Mu 2015; Pieri 2020; Shen 2018; Singh 2022; Zhang 2013; Zhu 2020</w:t>
            </w:r>
          </w:p>
        </w:tc>
      </w:tr>
      <w:tr w:rsidR="00150E34" w:rsidRPr="00150E34" w14:paraId="77120C98" w14:textId="77777777" w:rsidTr="00BE37B7">
        <w:tc>
          <w:tcPr>
            <w:tcW w:w="6374" w:type="dxa"/>
          </w:tcPr>
          <w:p w14:paraId="3A618E3B" w14:textId="77777777" w:rsidR="00150E34" w:rsidRPr="00150E34" w:rsidRDefault="00150E34" w:rsidP="00BE37B7">
            <w:pPr>
              <w:rPr>
                <w:rFonts w:ascii="Calibri" w:hAnsi="Calibri" w:cs="Calibri"/>
                <w:b/>
                <w:bCs/>
                <w:sz w:val="20"/>
                <w:szCs w:val="20"/>
              </w:rPr>
            </w:pPr>
            <w:bookmarkStart w:id="2" w:name="_Hlk176036433"/>
            <w:r w:rsidRPr="00150E34">
              <w:rPr>
                <w:rFonts w:ascii="Calibri" w:hAnsi="Calibri" w:cs="Calibri"/>
                <w:sz w:val="20"/>
                <w:szCs w:val="20"/>
              </w:rPr>
              <w:t>No separate analysis for RCTs</w:t>
            </w:r>
            <w:bookmarkEnd w:id="2"/>
            <w:r w:rsidRPr="00150E34">
              <w:rPr>
                <w:rFonts w:ascii="Calibri" w:hAnsi="Calibri" w:cs="Calibri"/>
                <w:sz w:val="20"/>
                <w:szCs w:val="20"/>
              </w:rPr>
              <w:t xml:space="preserve"> (n=9)</w:t>
            </w:r>
          </w:p>
        </w:tc>
        <w:tc>
          <w:tcPr>
            <w:tcW w:w="2642" w:type="dxa"/>
          </w:tcPr>
          <w:p w14:paraId="4B9A3C8F" w14:textId="43232834" w:rsidR="00150E34" w:rsidRPr="00150E34" w:rsidRDefault="00150E34" w:rsidP="00BE37B7">
            <w:pPr>
              <w:rPr>
                <w:rFonts w:ascii="Calibri" w:hAnsi="Calibri" w:cs="Calibri"/>
                <w:b/>
                <w:bCs/>
                <w:sz w:val="20"/>
                <w:szCs w:val="20"/>
              </w:rPr>
            </w:pPr>
            <w:r w:rsidRPr="00150E34">
              <w:rPr>
                <w:rFonts w:ascii="Calibri" w:hAnsi="Calibri" w:cs="Calibri"/>
                <w:sz w:val="20"/>
                <w:szCs w:val="20"/>
              </w:rPr>
              <w:t>Bledowski 2012; Campbell 2019; Elefritz 2016; Huang 2021; Lin 2012; Smithburger 2019; Wang 2012; Zaal 2012; Zhou 202</w:t>
            </w:r>
            <w:r w:rsidR="00B00B6A">
              <w:rPr>
                <w:rFonts w:ascii="Calibri" w:hAnsi="Calibri" w:cs="Calibri"/>
                <w:sz w:val="20"/>
                <w:szCs w:val="20"/>
              </w:rPr>
              <w:t>1</w:t>
            </w:r>
          </w:p>
        </w:tc>
      </w:tr>
      <w:tr w:rsidR="00150E34" w:rsidRPr="00150E34" w14:paraId="53E31AD2" w14:textId="77777777" w:rsidTr="00BE37B7">
        <w:tc>
          <w:tcPr>
            <w:tcW w:w="6374" w:type="dxa"/>
          </w:tcPr>
          <w:p w14:paraId="0A7A0A79" w14:textId="77777777" w:rsidR="00150E34" w:rsidRPr="00150E34" w:rsidRDefault="00150E34" w:rsidP="00BE37B7">
            <w:pPr>
              <w:rPr>
                <w:rFonts w:ascii="Calibri" w:hAnsi="Calibri" w:cs="Calibri"/>
                <w:b/>
                <w:bCs/>
                <w:sz w:val="20"/>
                <w:szCs w:val="20"/>
              </w:rPr>
            </w:pPr>
            <w:bookmarkStart w:id="3" w:name="_Hlk176036482"/>
            <w:r w:rsidRPr="00150E34">
              <w:rPr>
                <w:rFonts w:ascii="Calibri" w:hAnsi="Calibri" w:cs="Calibri"/>
                <w:sz w:val="20"/>
                <w:szCs w:val="20"/>
              </w:rPr>
              <w:t>POD population not reported</w:t>
            </w:r>
            <w:bookmarkEnd w:id="3"/>
            <w:r w:rsidRPr="00150E34">
              <w:rPr>
                <w:rFonts w:ascii="Calibri" w:hAnsi="Calibri" w:cs="Calibri"/>
                <w:sz w:val="20"/>
                <w:szCs w:val="20"/>
              </w:rPr>
              <w:t xml:space="preserve"> as ICU (n=4)</w:t>
            </w:r>
          </w:p>
        </w:tc>
        <w:tc>
          <w:tcPr>
            <w:tcW w:w="2642" w:type="dxa"/>
          </w:tcPr>
          <w:p w14:paraId="06F08320" w14:textId="77777777" w:rsidR="00150E34" w:rsidRPr="00150E34" w:rsidRDefault="00150E34" w:rsidP="00BE37B7">
            <w:pPr>
              <w:rPr>
                <w:rFonts w:ascii="Calibri" w:hAnsi="Calibri" w:cs="Calibri"/>
                <w:b/>
                <w:bCs/>
                <w:sz w:val="20"/>
                <w:szCs w:val="20"/>
              </w:rPr>
            </w:pPr>
            <w:r w:rsidRPr="00150E34">
              <w:rPr>
                <w:rFonts w:ascii="Calibri" w:hAnsi="Calibri" w:cs="Calibri"/>
                <w:sz w:val="20"/>
                <w:szCs w:val="20"/>
              </w:rPr>
              <w:t>Duan 2018; Poon 2023; Tao 2018; Xiong 2021</w:t>
            </w:r>
          </w:p>
        </w:tc>
      </w:tr>
      <w:tr w:rsidR="00150E34" w:rsidRPr="00150E34" w14:paraId="2216B6E2" w14:textId="77777777" w:rsidTr="00BE37B7">
        <w:tc>
          <w:tcPr>
            <w:tcW w:w="6374" w:type="dxa"/>
          </w:tcPr>
          <w:p w14:paraId="4A88CCF8" w14:textId="77777777" w:rsidR="00150E34" w:rsidRPr="00150E34" w:rsidRDefault="00150E34" w:rsidP="00BE37B7">
            <w:pPr>
              <w:rPr>
                <w:rFonts w:ascii="Calibri" w:hAnsi="Calibri" w:cs="Calibri"/>
                <w:b/>
                <w:bCs/>
                <w:sz w:val="20"/>
                <w:szCs w:val="20"/>
              </w:rPr>
            </w:pPr>
            <w:r w:rsidRPr="00150E34">
              <w:rPr>
                <w:rFonts w:ascii="Calibri" w:hAnsi="Calibri" w:cs="Calibri"/>
                <w:sz w:val="20"/>
                <w:szCs w:val="20"/>
              </w:rPr>
              <w:t>Not a SR of RCTs (n=2)</w:t>
            </w:r>
          </w:p>
        </w:tc>
        <w:tc>
          <w:tcPr>
            <w:tcW w:w="2642" w:type="dxa"/>
          </w:tcPr>
          <w:p w14:paraId="7D2C2865" w14:textId="77777777" w:rsidR="00150E34" w:rsidRPr="00150E34" w:rsidRDefault="00150E34" w:rsidP="00BE37B7">
            <w:pPr>
              <w:rPr>
                <w:rFonts w:ascii="Calibri" w:hAnsi="Calibri" w:cs="Calibri"/>
                <w:b/>
                <w:bCs/>
                <w:sz w:val="20"/>
                <w:szCs w:val="20"/>
              </w:rPr>
            </w:pPr>
            <w:r w:rsidRPr="00150E34">
              <w:rPr>
                <w:rFonts w:ascii="Calibri" w:hAnsi="Calibri" w:cs="Calibri"/>
                <w:sz w:val="20"/>
                <w:szCs w:val="20"/>
              </w:rPr>
              <w:t>Barr 2013; Reardon 2013</w:t>
            </w:r>
          </w:p>
        </w:tc>
      </w:tr>
      <w:tr w:rsidR="00150E34" w:rsidRPr="00150E34" w14:paraId="4AD90468" w14:textId="77777777" w:rsidTr="00BE37B7">
        <w:tc>
          <w:tcPr>
            <w:tcW w:w="6374" w:type="dxa"/>
          </w:tcPr>
          <w:p w14:paraId="5C72D03F" w14:textId="77777777" w:rsidR="00150E34" w:rsidRPr="00150E34" w:rsidRDefault="00150E34" w:rsidP="00BE37B7">
            <w:pPr>
              <w:rPr>
                <w:rFonts w:ascii="Calibri" w:hAnsi="Calibri" w:cs="Calibri"/>
                <w:b/>
                <w:bCs/>
                <w:sz w:val="20"/>
                <w:szCs w:val="20"/>
              </w:rPr>
            </w:pPr>
            <w:r w:rsidRPr="00150E34">
              <w:rPr>
                <w:rFonts w:ascii="Calibri" w:hAnsi="Calibri" w:cs="Calibri"/>
                <w:sz w:val="20"/>
                <w:szCs w:val="20"/>
              </w:rPr>
              <w:t>Mixed adult/child population (≥12 years) with no separate analysis (n=1)</w:t>
            </w:r>
          </w:p>
        </w:tc>
        <w:tc>
          <w:tcPr>
            <w:tcW w:w="2642" w:type="dxa"/>
          </w:tcPr>
          <w:p w14:paraId="3BABDA0D" w14:textId="77777777" w:rsidR="00150E34" w:rsidRPr="00150E34" w:rsidRDefault="00150E34" w:rsidP="00BE37B7">
            <w:pPr>
              <w:rPr>
                <w:rFonts w:ascii="Calibri" w:hAnsi="Calibri" w:cs="Calibri"/>
                <w:b/>
                <w:bCs/>
                <w:sz w:val="20"/>
                <w:szCs w:val="20"/>
              </w:rPr>
            </w:pPr>
            <w:r w:rsidRPr="00150E34">
              <w:rPr>
                <w:rFonts w:ascii="Calibri" w:hAnsi="Calibri" w:cs="Calibri"/>
                <w:sz w:val="20"/>
                <w:szCs w:val="20"/>
              </w:rPr>
              <w:t>Zhang 2017</w:t>
            </w:r>
          </w:p>
        </w:tc>
      </w:tr>
      <w:tr w:rsidR="00150E34" w:rsidRPr="00150E34" w14:paraId="653B243B" w14:textId="77777777" w:rsidTr="00BE37B7">
        <w:tc>
          <w:tcPr>
            <w:tcW w:w="6374" w:type="dxa"/>
          </w:tcPr>
          <w:p w14:paraId="028AE1E7" w14:textId="77777777" w:rsidR="00150E34" w:rsidRPr="00150E34" w:rsidRDefault="00150E34" w:rsidP="00BE37B7">
            <w:pPr>
              <w:rPr>
                <w:rFonts w:ascii="Calibri" w:hAnsi="Calibri" w:cs="Calibri"/>
                <w:b/>
                <w:bCs/>
                <w:sz w:val="20"/>
                <w:szCs w:val="20"/>
              </w:rPr>
            </w:pPr>
            <w:r w:rsidRPr="00150E34">
              <w:rPr>
                <w:rFonts w:ascii="Calibri" w:hAnsi="Calibri" w:cs="Calibri"/>
                <w:sz w:val="20"/>
                <w:szCs w:val="20"/>
              </w:rPr>
              <w:t>Insufficient information in abstract or full text not retrieved (n=3)</w:t>
            </w:r>
          </w:p>
        </w:tc>
        <w:tc>
          <w:tcPr>
            <w:tcW w:w="2642" w:type="dxa"/>
          </w:tcPr>
          <w:p w14:paraId="2508FF69" w14:textId="77777777" w:rsidR="00150E34" w:rsidRPr="00150E34" w:rsidRDefault="00150E34" w:rsidP="00BE37B7">
            <w:pPr>
              <w:rPr>
                <w:rFonts w:ascii="Calibri" w:hAnsi="Calibri" w:cs="Calibri"/>
                <w:b/>
                <w:bCs/>
                <w:sz w:val="20"/>
                <w:szCs w:val="20"/>
              </w:rPr>
            </w:pPr>
            <w:r w:rsidRPr="00150E34">
              <w:rPr>
                <w:rFonts w:ascii="Calibri" w:hAnsi="Calibri" w:cs="Calibri"/>
                <w:sz w:val="20"/>
                <w:szCs w:val="20"/>
              </w:rPr>
              <w:t>Lin 2020; Mengjing 2023; Santos 2017</w:t>
            </w:r>
          </w:p>
        </w:tc>
      </w:tr>
      <w:tr w:rsidR="00150E34" w:rsidRPr="00150E34" w14:paraId="096C6CCB" w14:textId="77777777" w:rsidTr="00BE37B7">
        <w:tc>
          <w:tcPr>
            <w:tcW w:w="6374" w:type="dxa"/>
          </w:tcPr>
          <w:p w14:paraId="28E9C80C" w14:textId="77777777" w:rsidR="00150E34" w:rsidRPr="00150E34" w:rsidRDefault="00150E34" w:rsidP="00BE37B7">
            <w:pPr>
              <w:rPr>
                <w:rFonts w:ascii="Calibri" w:hAnsi="Calibri" w:cs="Calibri"/>
                <w:b/>
                <w:bCs/>
                <w:sz w:val="20"/>
                <w:szCs w:val="20"/>
              </w:rPr>
            </w:pPr>
            <w:r w:rsidRPr="00150E34">
              <w:rPr>
                <w:rFonts w:ascii="Calibri" w:hAnsi="Calibri" w:cs="Calibri"/>
                <w:sz w:val="20"/>
                <w:szCs w:val="20"/>
              </w:rPr>
              <w:t>Without meta-analysis, planned meta-analysis or reason for not doing meta-analysis (n=5)</w:t>
            </w:r>
          </w:p>
        </w:tc>
        <w:tc>
          <w:tcPr>
            <w:tcW w:w="2642" w:type="dxa"/>
          </w:tcPr>
          <w:p w14:paraId="2BAC3B51" w14:textId="77777777" w:rsidR="00150E34" w:rsidRPr="00150E34" w:rsidRDefault="00150E34" w:rsidP="00BE37B7">
            <w:pPr>
              <w:rPr>
                <w:rFonts w:ascii="Calibri" w:hAnsi="Calibri" w:cs="Calibri"/>
                <w:b/>
                <w:bCs/>
                <w:sz w:val="20"/>
                <w:szCs w:val="20"/>
              </w:rPr>
            </w:pPr>
            <w:r w:rsidRPr="00150E34">
              <w:rPr>
                <w:rFonts w:ascii="Calibri" w:hAnsi="Calibri" w:cs="Calibri"/>
                <w:sz w:val="20"/>
                <w:szCs w:val="20"/>
              </w:rPr>
              <w:t>Gerlach 2009; Lange 2021; Mo 2013; Roberts 2012; Rosenzweig 2015</w:t>
            </w:r>
          </w:p>
        </w:tc>
      </w:tr>
      <w:tr w:rsidR="00BB61E7" w:rsidRPr="00150E34" w14:paraId="3A4C6DAA" w14:textId="77777777" w:rsidTr="00BE37B7">
        <w:tc>
          <w:tcPr>
            <w:tcW w:w="6374" w:type="dxa"/>
          </w:tcPr>
          <w:p w14:paraId="53599A97" w14:textId="39A47373" w:rsidR="00BB61E7" w:rsidRPr="00150E34" w:rsidRDefault="00BB61E7" w:rsidP="00BE37B7">
            <w:pPr>
              <w:rPr>
                <w:rFonts w:ascii="Calibri" w:hAnsi="Calibri" w:cs="Calibri"/>
                <w:sz w:val="20"/>
                <w:szCs w:val="20"/>
              </w:rPr>
            </w:pPr>
            <w:r>
              <w:rPr>
                <w:rFonts w:ascii="Calibri" w:hAnsi="Calibri" w:cs="Calibri"/>
                <w:sz w:val="20"/>
                <w:szCs w:val="20"/>
              </w:rPr>
              <w:t xml:space="preserve">Overview with no </w:t>
            </w:r>
            <w:r w:rsidR="006C3358">
              <w:rPr>
                <w:rFonts w:ascii="Calibri" w:hAnsi="Calibri" w:cs="Calibri"/>
                <w:sz w:val="20"/>
                <w:szCs w:val="20"/>
              </w:rPr>
              <w:t>additional</w:t>
            </w:r>
            <w:r>
              <w:rPr>
                <w:rFonts w:ascii="Calibri" w:hAnsi="Calibri" w:cs="Calibri"/>
                <w:sz w:val="20"/>
                <w:szCs w:val="20"/>
              </w:rPr>
              <w:t xml:space="preserve"> eligible reviews identified (n=1)</w:t>
            </w:r>
          </w:p>
        </w:tc>
        <w:tc>
          <w:tcPr>
            <w:tcW w:w="2642" w:type="dxa"/>
          </w:tcPr>
          <w:p w14:paraId="2F8C740A" w14:textId="7C1BD5F9" w:rsidR="00BB61E7" w:rsidRPr="00150E34" w:rsidRDefault="00BB61E7" w:rsidP="00BE37B7">
            <w:pPr>
              <w:rPr>
                <w:rFonts w:ascii="Calibri" w:hAnsi="Calibri" w:cs="Calibri"/>
                <w:sz w:val="20"/>
                <w:szCs w:val="20"/>
              </w:rPr>
            </w:pPr>
            <w:r>
              <w:rPr>
                <w:rFonts w:ascii="Calibri" w:hAnsi="Calibri" w:cs="Calibri"/>
                <w:sz w:val="20"/>
                <w:szCs w:val="20"/>
              </w:rPr>
              <w:t xml:space="preserve">Barbateskovic </w:t>
            </w:r>
            <w:r w:rsidR="00321EC4">
              <w:rPr>
                <w:rFonts w:ascii="Calibri" w:hAnsi="Calibri" w:cs="Calibri"/>
                <w:sz w:val="20"/>
                <w:szCs w:val="20"/>
              </w:rPr>
              <w:t>2019</w:t>
            </w:r>
          </w:p>
        </w:tc>
      </w:tr>
      <w:tr w:rsidR="00150E34" w:rsidRPr="00150E34" w14:paraId="3D02AA59" w14:textId="77777777" w:rsidTr="00BE37B7">
        <w:tc>
          <w:tcPr>
            <w:tcW w:w="6374" w:type="dxa"/>
          </w:tcPr>
          <w:p w14:paraId="1F965D79" w14:textId="77777777" w:rsidR="00150E34" w:rsidRPr="00150E34" w:rsidRDefault="00150E34" w:rsidP="00BE37B7">
            <w:pPr>
              <w:rPr>
                <w:rFonts w:ascii="Calibri" w:hAnsi="Calibri" w:cs="Calibri"/>
                <w:sz w:val="20"/>
                <w:szCs w:val="20"/>
              </w:rPr>
            </w:pPr>
            <w:r w:rsidRPr="00150E34">
              <w:rPr>
                <w:rFonts w:ascii="Calibri" w:hAnsi="Calibri" w:cs="Calibri"/>
                <w:sz w:val="20"/>
                <w:szCs w:val="20"/>
              </w:rPr>
              <w:t>Non-pharmacological review (n=1)</w:t>
            </w:r>
          </w:p>
        </w:tc>
        <w:tc>
          <w:tcPr>
            <w:tcW w:w="2642" w:type="dxa"/>
          </w:tcPr>
          <w:p w14:paraId="668CA77F" w14:textId="77777777" w:rsidR="00150E34" w:rsidRPr="00150E34" w:rsidRDefault="00150E34" w:rsidP="00BE37B7">
            <w:pPr>
              <w:rPr>
                <w:rFonts w:ascii="Calibri" w:hAnsi="Calibri" w:cs="Calibri"/>
                <w:sz w:val="20"/>
                <w:szCs w:val="20"/>
              </w:rPr>
            </w:pPr>
            <w:r w:rsidRPr="00150E34">
              <w:rPr>
                <w:rFonts w:ascii="Calibri" w:hAnsi="Calibri" w:cs="Calibri"/>
                <w:sz w:val="20"/>
                <w:szCs w:val="20"/>
              </w:rPr>
              <w:t>Bannon 2018</w:t>
            </w:r>
          </w:p>
        </w:tc>
      </w:tr>
    </w:tbl>
    <w:p w14:paraId="0B41F44E" w14:textId="7AC9879D" w:rsidR="00150E34" w:rsidRPr="00150E34" w:rsidRDefault="00150E34" w:rsidP="00150E34">
      <w:pPr>
        <w:rPr>
          <w:rFonts w:ascii="Calibri" w:hAnsi="Calibri" w:cs="Calibri"/>
          <w:sz w:val="18"/>
          <w:szCs w:val="18"/>
        </w:rPr>
      </w:pPr>
      <w:r w:rsidRPr="00150E34">
        <w:rPr>
          <w:rFonts w:ascii="Calibri" w:hAnsi="Calibri" w:cs="Calibri"/>
          <w:sz w:val="18"/>
          <w:szCs w:val="18"/>
        </w:rPr>
        <w:t>Abbreviations. SR: systematic review; RCT: randomised controlled trial; ICU: intensive care unit; POD: post-operative delirium; MA: meta-analysis</w:t>
      </w:r>
    </w:p>
    <w:p w14:paraId="6D066253" w14:textId="77777777" w:rsidR="0044429B" w:rsidRDefault="0044429B" w:rsidP="00150E34">
      <w:pPr>
        <w:spacing w:line="480" w:lineRule="auto"/>
        <w:rPr>
          <w:rFonts w:ascii="Calibri" w:eastAsia="Calibri" w:hAnsi="Calibri" w:cs="Calibri"/>
          <w:kern w:val="2"/>
          <w:sz w:val="24"/>
          <w:szCs w:val="24"/>
          <w:lang w:eastAsia="en-US"/>
          <w14:ligatures w14:val="standardContextual"/>
        </w:rPr>
      </w:pPr>
    </w:p>
    <w:p w14:paraId="5671BAC1" w14:textId="77777777" w:rsidR="00321EC4" w:rsidRDefault="00321EC4" w:rsidP="00150E34">
      <w:pPr>
        <w:spacing w:line="480" w:lineRule="auto"/>
        <w:rPr>
          <w:rFonts w:ascii="Calibri" w:eastAsia="Calibri" w:hAnsi="Calibri" w:cs="Calibri"/>
          <w:kern w:val="2"/>
          <w:sz w:val="24"/>
          <w:szCs w:val="24"/>
          <w:lang w:eastAsia="en-US"/>
          <w14:ligatures w14:val="standardContextual"/>
        </w:rPr>
      </w:pPr>
    </w:p>
    <w:p w14:paraId="4AB440BB" w14:textId="77777777" w:rsidR="00321EC4" w:rsidRDefault="00321EC4" w:rsidP="00150E34">
      <w:pPr>
        <w:spacing w:line="480" w:lineRule="auto"/>
        <w:rPr>
          <w:rFonts w:ascii="Calibri" w:eastAsia="Calibri" w:hAnsi="Calibri" w:cs="Calibri"/>
          <w:kern w:val="2"/>
          <w:sz w:val="24"/>
          <w:szCs w:val="24"/>
          <w:lang w:eastAsia="en-US"/>
          <w14:ligatures w14:val="standardContextual"/>
        </w:rPr>
      </w:pPr>
    </w:p>
    <w:p w14:paraId="0650D02E" w14:textId="77777777" w:rsidR="00321EC4" w:rsidRDefault="00321EC4" w:rsidP="00150E34">
      <w:pPr>
        <w:spacing w:line="480" w:lineRule="auto"/>
        <w:rPr>
          <w:rFonts w:ascii="Calibri" w:eastAsia="Calibri" w:hAnsi="Calibri" w:cs="Calibri"/>
          <w:kern w:val="2"/>
          <w:sz w:val="24"/>
          <w:szCs w:val="24"/>
          <w:lang w:eastAsia="en-US"/>
          <w14:ligatures w14:val="standardContextual"/>
        </w:rPr>
      </w:pPr>
    </w:p>
    <w:p w14:paraId="2AC26298" w14:textId="77777777" w:rsidR="00321EC4" w:rsidRDefault="00321EC4" w:rsidP="00150E34">
      <w:pPr>
        <w:spacing w:line="480" w:lineRule="auto"/>
        <w:rPr>
          <w:rFonts w:ascii="Calibri" w:eastAsia="Calibri" w:hAnsi="Calibri" w:cs="Calibri"/>
          <w:kern w:val="2"/>
          <w:sz w:val="24"/>
          <w:szCs w:val="24"/>
          <w:lang w:eastAsia="en-US"/>
          <w14:ligatures w14:val="standardContextual"/>
        </w:rPr>
      </w:pPr>
    </w:p>
    <w:p w14:paraId="6F957185" w14:textId="77777777" w:rsidR="00321EC4" w:rsidRDefault="00321EC4" w:rsidP="00150E34">
      <w:pPr>
        <w:spacing w:line="480" w:lineRule="auto"/>
        <w:rPr>
          <w:rFonts w:ascii="Calibri" w:eastAsia="Calibri" w:hAnsi="Calibri" w:cs="Calibri"/>
          <w:kern w:val="2"/>
          <w:sz w:val="24"/>
          <w:szCs w:val="24"/>
          <w:lang w:eastAsia="en-US"/>
          <w14:ligatures w14:val="standardContextual"/>
        </w:rPr>
      </w:pPr>
    </w:p>
    <w:p w14:paraId="19506D84" w14:textId="77777777" w:rsidR="00321EC4" w:rsidRDefault="00321EC4" w:rsidP="00150E34">
      <w:pPr>
        <w:spacing w:line="480" w:lineRule="auto"/>
        <w:rPr>
          <w:rFonts w:ascii="Calibri" w:eastAsia="Calibri" w:hAnsi="Calibri" w:cs="Calibri"/>
          <w:kern w:val="2"/>
          <w:sz w:val="24"/>
          <w:szCs w:val="24"/>
          <w:lang w:eastAsia="en-US"/>
          <w14:ligatures w14:val="standardContextual"/>
        </w:rPr>
      </w:pPr>
    </w:p>
    <w:p w14:paraId="5B1B3985" w14:textId="77777777" w:rsidR="00321EC4" w:rsidRDefault="00321EC4" w:rsidP="00150E34">
      <w:pPr>
        <w:spacing w:line="480" w:lineRule="auto"/>
        <w:rPr>
          <w:rFonts w:ascii="Calibri" w:eastAsia="Calibri" w:hAnsi="Calibri" w:cs="Calibri"/>
          <w:kern w:val="2"/>
          <w:sz w:val="24"/>
          <w:szCs w:val="24"/>
          <w:lang w:eastAsia="en-US"/>
          <w14:ligatures w14:val="standardContextual"/>
        </w:rPr>
      </w:pPr>
    </w:p>
    <w:p w14:paraId="7F3C7560" w14:textId="77777777" w:rsidR="00321EC4" w:rsidRDefault="00321EC4" w:rsidP="00150E34">
      <w:pPr>
        <w:spacing w:line="480" w:lineRule="auto"/>
        <w:rPr>
          <w:rFonts w:ascii="Calibri" w:eastAsia="Calibri" w:hAnsi="Calibri" w:cs="Calibri"/>
          <w:kern w:val="2"/>
          <w:sz w:val="24"/>
          <w:szCs w:val="24"/>
          <w:lang w:eastAsia="en-US"/>
          <w14:ligatures w14:val="standardContextual"/>
        </w:rPr>
      </w:pPr>
    </w:p>
    <w:p w14:paraId="7C461BF7" w14:textId="7FEE1E1E" w:rsidR="00150E34" w:rsidRPr="00CD7F5F" w:rsidRDefault="00150E34" w:rsidP="00150E34">
      <w:pPr>
        <w:spacing w:line="480" w:lineRule="auto"/>
        <w:rPr>
          <w:rFonts w:ascii="Calibri" w:eastAsia="Calibri" w:hAnsi="Calibri" w:cs="Calibri"/>
          <w:b/>
          <w:bCs/>
          <w:kern w:val="2"/>
          <w:sz w:val="24"/>
          <w:szCs w:val="24"/>
          <w:lang w:eastAsia="en-US"/>
          <w14:ligatures w14:val="standardContextual"/>
        </w:rPr>
      </w:pPr>
      <w:r w:rsidRPr="00CD7F5F">
        <w:rPr>
          <w:rFonts w:ascii="Calibri" w:eastAsia="Calibri" w:hAnsi="Calibri" w:cs="Calibri"/>
          <w:b/>
          <w:bCs/>
          <w:kern w:val="2"/>
          <w:sz w:val="24"/>
          <w:szCs w:val="24"/>
          <w:lang w:eastAsia="en-US"/>
          <w14:ligatures w14:val="standardContextual"/>
        </w:rPr>
        <w:lastRenderedPageBreak/>
        <w:t>Bannon 2018:</w:t>
      </w:r>
    </w:p>
    <w:p w14:paraId="28ABC573" w14:textId="059EBB7D" w:rsidR="00150E34" w:rsidRPr="00150E34" w:rsidRDefault="00150E34" w:rsidP="00150E34">
      <w:pPr>
        <w:spacing w:line="480" w:lineRule="auto"/>
        <w:rPr>
          <w:rFonts w:ascii="Calibri" w:eastAsia="Calibri" w:hAnsi="Calibri" w:cs="Calibri"/>
          <w:kern w:val="2"/>
          <w:sz w:val="24"/>
          <w:szCs w:val="24"/>
          <w:lang w:eastAsia="en-US"/>
          <w14:ligatures w14:val="standardContextual"/>
        </w:rPr>
      </w:pPr>
      <w:r w:rsidRPr="00150E34">
        <w:rPr>
          <w:rFonts w:ascii="Calibri" w:eastAsia="Calibri" w:hAnsi="Calibri" w:cs="Calibri"/>
          <w:kern w:val="2"/>
          <w:sz w:val="24"/>
          <w:szCs w:val="24"/>
          <w:lang w:eastAsia="en-US"/>
          <w14:ligatures w14:val="standardContextual"/>
        </w:rPr>
        <w:t xml:space="preserve">Bannon L, McGaughey J, Verghis R, Clarke M, McAuley DF, Blackwood B. The effectiveness of non-pharmacological interventions in reducing the incidence and duration of delirium in critically ill patients: a systematic review and meta-analysis. Intensive Care Med. 2019;45(1):1-12. </w:t>
      </w:r>
    </w:p>
    <w:p w14:paraId="457A9577" w14:textId="77777777" w:rsidR="00321EC4" w:rsidRDefault="00321EC4" w:rsidP="00150E34">
      <w:pPr>
        <w:spacing w:line="480" w:lineRule="auto"/>
        <w:rPr>
          <w:rFonts w:ascii="Calibri" w:hAnsi="Calibri" w:cs="Calibri"/>
          <w:b/>
          <w:bCs/>
          <w:sz w:val="24"/>
          <w:szCs w:val="24"/>
        </w:rPr>
      </w:pPr>
      <w:r>
        <w:rPr>
          <w:rFonts w:ascii="Calibri" w:hAnsi="Calibri" w:cs="Calibri"/>
          <w:b/>
          <w:bCs/>
          <w:sz w:val="24"/>
          <w:szCs w:val="24"/>
        </w:rPr>
        <w:t>Barbateskovic 2019:</w:t>
      </w:r>
    </w:p>
    <w:p w14:paraId="15F52873" w14:textId="3A91EE01" w:rsidR="00321EC4" w:rsidRPr="00321EC4" w:rsidRDefault="00321EC4" w:rsidP="00E76095">
      <w:pPr>
        <w:spacing w:line="480" w:lineRule="auto"/>
        <w:rPr>
          <w:rFonts w:ascii="Calibri" w:hAnsi="Calibri" w:cs="Calibri"/>
          <w:sz w:val="24"/>
          <w:szCs w:val="24"/>
        </w:rPr>
      </w:pPr>
      <w:r w:rsidRPr="00321EC4">
        <w:rPr>
          <w:rFonts w:ascii="Calibri" w:hAnsi="Calibri" w:cs="Calibri"/>
          <w:sz w:val="24"/>
          <w:szCs w:val="24"/>
        </w:rPr>
        <w:t xml:space="preserve">Barbateskovic M, Krauss SR, Collet MO, et al. Pharmacological interventions for prevention and management of delirium in intensive care patients: a systematic overview of reviews and meta-analyses. </w:t>
      </w:r>
      <w:r w:rsidRPr="00321EC4">
        <w:rPr>
          <w:rFonts w:ascii="Calibri" w:hAnsi="Calibri" w:cs="Calibri"/>
          <w:iCs/>
          <w:sz w:val="24"/>
          <w:szCs w:val="24"/>
          <w:lang w:val="nl-NL"/>
        </w:rPr>
        <w:t>BMJ Open</w:t>
      </w:r>
      <w:r w:rsidRPr="00321EC4">
        <w:rPr>
          <w:rFonts w:ascii="Calibri" w:hAnsi="Calibri" w:cs="Calibri"/>
          <w:sz w:val="24"/>
          <w:szCs w:val="24"/>
          <w:lang w:val="nl-NL"/>
        </w:rPr>
        <w:t xml:space="preserve"> 2019;9(2):e024562. </w:t>
      </w:r>
    </w:p>
    <w:p w14:paraId="60C283D9" w14:textId="0AC4E2F4" w:rsidR="00150E34" w:rsidRPr="00CD7F5F"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Barr 2013:</w:t>
      </w:r>
    </w:p>
    <w:p w14:paraId="418139B8" w14:textId="0B646E43" w:rsidR="00CD7F5F" w:rsidRPr="00CD7F5F" w:rsidRDefault="00CD7F5F" w:rsidP="00E76095">
      <w:pPr>
        <w:spacing w:after="0" w:line="480" w:lineRule="auto"/>
        <w:rPr>
          <w:rFonts w:ascii="Calibri" w:eastAsia="Calibri" w:hAnsi="Calibri" w:cs="Calibri"/>
          <w:sz w:val="24"/>
          <w:szCs w:val="24"/>
          <w:lang w:eastAsia="en-US"/>
        </w:rPr>
      </w:pPr>
      <w:r w:rsidRPr="00CD7F5F">
        <w:rPr>
          <w:rFonts w:ascii="Calibri" w:eastAsia="Calibri" w:hAnsi="Calibri" w:cs="Calibri"/>
          <w:sz w:val="24"/>
          <w:szCs w:val="24"/>
          <w:lang w:eastAsia="en-US"/>
        </w:rPr>
        <w:t xml:space="preserve">Barr J, Fraser GL, Puntillo K, Ely EW, Gélinas C, Dasta JF, Davidson JE, Devlin JW, Kress JP, Joffe AM, Coursin DB, Herr DL, Tung A, Robinson BR, Fontaine DK, Ramsay MA, Riker RR, Sessler CN, Pun B, Skrobik Y, Jaeschke R; American College of Critical Care Medicine. Clinical practice guidelines for the management of pain, agitation, and delirium in adult patients in the intensive care unit. Crit Care Med. 2013;41(1):263-306. </w:t>
      </w:r>
    </w:p>
    <w:p w14:paraId="21490914"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Bledowski 2012:</w:t>
      </w:r>
    </w:p>
    <w:p w14:paraId="3E33103A" w14:textId="7E9DE74A" w:rsidR="000E3488" w:rsidRPr="00E76095" w:rsidRDefault="00EF30EB" w:rsidP="00E76095">
      <w:pPr>
        <w:spacing w:line="480" w:lineRule="auto"/>
        <w:rPr>
          <w:rFonts w:ascii="Calibri" w:hAnsi="Calibri" w:cs="Calibri"/>
          <w:sz w:val="24"/>
          <w:szCs w:val="24"/>
        </w:rPr>
      </w:pPr>
      <w:r w:rsidRPr="00EF30EB">
        <w:rPr>
          <w:rFonts w:ascii="Calibri" w:hAnsi="Calibri" w:cs="Calibri"/>
          <w:sz w:val="24"/>
          <w:szCs w:val="24"/>
        </w:rPr>
        <w:t xml:space="preserve">Bledowski J, Trutia A. A review of pharmacologic management and prevention strategies for delirium in the intensive care unit. Psychosomatics. 2012;53(3):203-11 </w:t>
      </w:r>
    </w:p>
    <w:p w14:paraId="09EE17AA" w14:textId="011C8550"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Campbell 2019:</w:t>
      </w:r>
    </w:p>
    <w:p w14:paraId="0164D16C" w14:textId="0B7EA784" w:rsidR="00EF30EB" w:rsidRPr="00B645EA" w:rsidRDefault="00B645EA" w:rsidP="00B645EA">
      <w:pPr>
        <w:spacing w:line="480" w:lineRule="auto"/>
        <w:rPr>
          <w:rFonts w:ascii="Calibri" w:hAnsi="Calibri" w:cs="Calibri"/>
          <w:sz w:val="24"/>
          <w:szCs w:val="24"/>
        </w:rPr>
      </w:pPr>
      <w:r w:rsidRPr="00B645EA">
        <w:rPr>
          <w:rFonts w:ascii="Calibri" w:hAnsi="Calibri" w:cs="Calibri"/>
          <w:sz w:val="24"/>
          <w:szCs w:val="24"/>
        </w:rPr>
        <w:t>Campbell AM, Axon DR, Martin JR, Slack MK, Mollon L, Lee JK. Melatonin for the prevention of postoperative delirium in older adults: a systematic review and meta-analysis. BMC geriatrics. 2019;19:1-0.</w:t>
      </w:r>
    </w:p>
    <w:p w14:paraId="0E0E8E9B"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lastRenderedPageBreak/>
        <w:t>Chen 2016:</w:t>
      </w:r>
    </w:p>
    <w:p w14:paraId="00AC350C" w14:textId="0ABEF520" w:rsidR="00C54045" w:rsidRPr="00C5763C" w:rsidRDefault="00C5763C" w:rsidP="00C5763C">
      <w:pPr>
        <w:spacing w:line="480" w:lineRule="auto"/>
        <w:rPr>
          <w:rFonts w:ascii="Calibri" w:hAnsi="Calibri" w:cs="Calibri"/>
          <w:sz w:val="24"/>
          <w:szCs w:val="24"/>
        </w:rPr>
      </w:pPr>
      <w:r w:rsidRPr="00C5763C">
        <w:rPr>
          <w:rFonts w:ascii="Calibri" w:hAnsi="Calibri" w:cs="Calibri"/>
          <w:sz w:val="24"/>
          <w:szCs w:val="24"/>
        </w:rPr>
        <w:t xml:space="preserve">Chen S, Shi L, Liang F, Xu L, Desislava D, Wu Q, Zhang J. Exogenous Melatonin for Delirium Prevention: a Meta-analysis of Randomized Controlled Trials. Mol Neurobiol. 2016;53(6):4046-4053. </w:t>
      </w:r>
    </w:p>
    <w:p w14:paraId="5F818C79" w14:textId="77777777" w:rsidR="00150E34" w:rsidRDefault="00150E34" w:rsidP="00150E34">
      <w:pPr>
        <w:spacing w:line="480" w:lineRule="auto"/>
        <w:rPr>
          <w:rFonts w:ascii="Calibri" w:hAnsi="Calibri" w:cs="Calibri"/>
          <w:b/>
          <w:bCs/>
          <w:sz w:val="24"/>
          <w:szCs w:val="24"/>
        </w:rPr>
      </w:pPr>
      <w:r w:rsidRPr="002E7792">
        <w:rPr>
          <w:rFonts w:ascii="Calibri" w:hAnsi="Calibri" w:cs="Calibri"/>
          <w:b/>
          <w:bCs/>
          <w:sz w:val="24"/>
          <w:szCs w:val="24"/>
        </w:rPr>
        <w:t>Chen 2020:</w:t>
      </w:r>
    </w:p>
    <w:p w14:paraId="551A3891" w14:textId="5ACE8E30" w:rsidR="0044429B" w:rsidRPr="000E3488" w:rsidRDefault="002E7792" w:rsidP="002E7792">
      <w:pPr>
        <w:spacing w:line="480" w:lineRule="auto"/>
        <w:rPr>
          <w:rFonts w:ascii="Calibri" w:hAnsi="Calibri" w:cs="Calibri"/>
          <w:sz w:val="24"/>
          <w:szCs w:val="24"/>
        </w:rPr>
      </w:pPr>
      <w:r w:rsidRPr="002E7792">
        <w:rPr>
          <w:rFonts w:ascii="Calibri" w:hAnsi="Calibri" w:cs="Calibri"/>
          <w:sz w:val="24"/>
          <w:szCs w:val="24"/>
        </w:rPr>
        <w:t xml:space="preserve">Chen Z, Chen R, Zheng D, Su Y, Wen S, Guo H, Ye Z, Deng Y, Liu G, Zuo L, Wei X, Hou Y.  </w:t>
      </w:r>
      <w:r w:rsidR="009A4B5C" w:rsidRPr="009A4B5C">
        <w:rPr>
          <w:rFonts w:ascii="Calibri" w:hAnsi="Calibri" w:cs="Calibri"/>
          <w:sz w:val="24"/>
          <w:szCs w:val="24"/>
        </w:rPr>
        <w:t>Efficacy and safety of haloperidol for delirium prevention in adult patients: An updated meta-analysis with trial sequential analysis of randomized controlled  trials. J Clin Anesth</w:t>
      </w:r>
      <w:r w:rsidR="00CD0699">
        <w:rPr>
          <w:rFonts w:ascii="Calibri" w:hAnsi="Calibri" w:cs="Calibri"/>
          <w:sz w:val="24"/>
          <w:szCs w:val="24"/>
        </w:rPr>
        <w:t>. 2020;</w:t>
      </w:r>
      <w:r w:rsidR="009A4B5C" w:rsidRPr="009A4B5C">
        <w:rPr>
          <w:rFonts w:ascii="Calibri" w:hAnsi="Calibri" w:cs="Calibri"/>
          <w:sz w:val="24"/>
          <w:szCs w:val="24"/>
        </w:rPr>
        <w:t xml:space="preserve">61:109623. </w:t>
      </w:r>
    </w:p>
    <w:p w14:paraId="07F6F8B1" w14:textId="653FA141"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Dang 2023:</w:t>
      </w:r>
    </w:p>
    <w:p w14:paraId="6B356898" w14:textId="41319ECE" w:rsidR="009A4B5C" w:rsidRPr="00216814" w:rsidRDefault="00216814" w:rsidP="00216814">
      <w:pPr>
        <w:spacing w:line="480" w:lineRule="auto"/>
        <w:rPr>
          <w:rFonts w:ascii="Calibri" w:hAnsi="Calibri" w:cs="Calibri"/>
          <w:sz w:val="24"/>
          <w:szCs w:val="24"/>
        </w:rPr>
      </w:pPr>
      <w:r w:rsidRPr="00216814">
        <w:rPr>
          <w:rFonts w:ascii="Calibri" w:hAnsi="Calibri" w:cs="Calibri"/>
          <w:sz w:val="24"/>
          <w:szCs w:val="24"/>
          <w:lang w:val="de-DE"/>
        </w:rPr>
        <w:t xml:space="preserve">Dang V, Mansukhani MP, Wang Z, Kinzelman Vesely E, Kolla BP. </w:t>
      </w:r>
      <w:r w:rsidRPr="00216814">
        <w:rPr>
          <w:rFonts w:ascii="Calibri" w:hAnsi="Calibri" w:cs="Calibri"/>
          <w:sz w:val="24"/>
          <w:szCs w:val="24"/>
        </w:rPr>
        <w:t xml:space="preserve">Prophylactic Use of Ramelteon for Delirium in Hospitalized Patients: A Systematic Review and Meta-Analyses. J Acad Consult Liaison Psychiatry. 2023;64(1):65-72. </w:t>
      </w:r>
    </w:p>
    <w:p w14:paraId="28AF6602"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Duan 2018:</w:t>
      </w:r>
    </w:p>
    <w:p w14:paraId="5F5424E2" w14:textId="27A616BC" w:rsidR="00E73E69" w:rsidRPr="00E73E69" w:rsidRDefault="00E73E69" w:rsidP="00E73E69">
      <w:pPr>
        <w:spacing w:line="480" w:lineRule="auto"/>
        <w:rPr>
          <w:rFonts w:ascii="Calibri" w:hAnsi="Calibri" w:cs="Calibri"/>
          <w:sz w:val="24"/>
          <w:szCs w:val="24"/>
        </w:rPr>
      </w:pPr>
      <w:r w:rsidRPr="00E73E69">
        <w:rPr>
          <w:rFonts w:ascii="Calibri" w:hAnsi="Calibri" w:cs="Calibri"/>
          <w:sz w:val="24"/>
          <w:szCs w:val="24"/>
        </w:rPr>
        <w:t xml:space="preserve">Duan X, Coburn M, Rossaint R, Sanders RD, Waesberghe JV, Kowark A. Efficacy of perioperative dexmedetomidine on postoperative delirium: systematic review and meta-analysis with trial sequential analysis of randomised controlled trials. Br J Anaesth. 2018;121(2):384-397. </w:t>
      </w:r>
    </w:p>
    <w:p w14:paraId="6BE92E0B"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Elefritz 2016:</w:t>
      </w:r>
    </w:p>
    <w:p w14:paraId="178F3002" w14:textId="29C2F23B" w:rsidR="00053929" w:rsidRPr="00053929" w:rsidRDefault="00053929" w:rsidP="00053929">
      <w:pPr>
        <w:spacing w:line="480" w:lineRule="auto"/>
        <w:rPr>
          <w:rFonts w:ascii="Calibri" w:hAnsi="Calibri" w:cs="Calibri"/>
          <w:sz w:val="24"/>
          <w:szCs w:val="24"/>
        </w:rPr>
      </w:pPr>
      <w:r w:rsidRPr="00053929">
        <w:rPr>
          <w:rFonts w:ascii="Calibri" w:hAnsi="Calibri" w:cs="Calibri"/>
          <w:sz w:val="24"/>
          <w:szCs w:val="24"/>
        </w:rPr>
        <w:t xml:space="preserve">Elefritz JL, Murphy CV, Papadimos TJ, Lyaker MR. Methadone analgesia in the critically ill. J Crit Care. 2016;34:84-8. </w:t>
      </w:r>
    </w:p>
    <w:p w14:paraId="6B985B99"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lastRenderedPageBreak/>
        <w:t>Friedman 2014:</w:t>
      </w:r>
    </w:p>
    <w:p w14:paraId="5C4AC0C9" w14:textId="36D3834C" w:rsidR="00082F35" w:rsidRPr="00082F35" w:rsidRDefault="00082F35" w:rsidP="00082F35">
      <w:pPr>
        <w:spacing w:line="480" w:lineRule="auto"/>
        <w:rPr>
          <w:rFonts w:ascii="Calibri" w:hAnsi="Calibri" w:cs="Calibri"/>
          <w:sz w:val="24"/>
          <w:szCs w:val="24"/>
        </w:rPr>
      </w:pPr>
      <w:r w:rsidRPr="00082F35">
        <w:rPr>
          <w:rFonts w:ascii="Calibri" w:hAnsi="Calibri" w:cs="Calibri"/>
          <w:sz w:val="24"/>
          <w:szCs w:val="24"/>
          <w:lang w:val="de-DE"/>
        </w:rPr>
        <w:t xml:space="preserve">Friedman JI, Soleimani L, McGonigle DP, Egol C, Silverstein JH. </w:t>
      </w:r>
      <w:r w:rsidRPr="00082F35">
        <w:rPr>
          <w:rFonts w:ascii="Calibri" w:hAnsi="Calibri" w:cs="Calibri"/>
          <w:sz w:val="24"/>
          <w:szCs w:val="24"/>
        </w:rPr>
        <w:t xml:space="preserve">Pharmacological treatments of non-substance-withdrawal delirium: a systematic review of prospective trials. Am J Psychiatry. 2014;171(2):151-9. </w:t>
      </w:r>
    </w:p>
    <w:p w14:paraId="4EFEE34F"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Gerlach 2009:</w:t>
      </w:r>
    </w:p>
    <w:p w14:paraId="4D5CAB24" w14:textId="6B60C77C" w:rsidR="005D4EFB" w:rsidRPr="005D4EFB" w:rsidRDefault="005D4EFB" w:rsidP="005D4EFB">
      <w:pPr>
        <w:spacing w:line="480" w:lineRule="auto"/>
        <w:rPr>
          <w:rFonts w:ascii="Calibri" w:hAnsi="Calibri" w:cs="Calibri"/>
          <w:sz w:val="24"/>
          <w:szCs w:val="24"/>
        </w:rPr>
      </w:pPr>
      <w:r w:rsidRPr="005D4EFB">
        <w:rPr>
          <w:rFonts w:ascii="Calibri" w:hAnsi="Calibri" w:cs="Calibri"/>
          <w:sz w:val="24"/>
          <w:szCs w:val="24"/>
        </w:rPr>
        <w:t xml:space="preserve">Gerlach AT, Murphy CV, Dasta JF. An updated focused review of dexmedetomidine in adults. Ann Pharmacother. 2009;43(12):2064-74. </w:t>
      </w:r>
    </w:p>
    <w:p w14:paraId="236328BD"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Haque 2019:</w:t>
      </w:r>
    </w:p>
    <w:p w14:paraId="7ABC9EF1" w14:textId="7AD1C7D2" w:rsidR="00BB4F12" w:rsidRPr="00BB4F12" w:rsidRDefault="00BB4F12" w:rsidP="00E76095">
      <w:pPr>
        <w:spacing w:line="480" w:lineRule="auto"/>
        <w:rPr>
          <w:rFonts w:ascii="Calibri" w:hAnsi="Calibri" w:cs="Calibri"/>
          <w:sz w:val="24"/>
          <w:szCs w:val="24"/>
        </w:rPr>
      </w:pPr>
      <w:r w:rsidRPr="00BB4F12">
        <w:rPr>
          <w:rFonts w:ascii="Calibri" w:hAnsi="Calibri" w:cs="Calibri"/>
          <w:sz w:val="24"/>
          <w:szCs w:val="24"/>
        </w:rPr>
        <w:t>Haque N, Naqvi RM, Dasgupta M. Efficacy of Ondansetron in the Prevention or Treatment of Post-operative Delirium</w:t>
      </w:r>
      <w:r w:rsidR="002E7792">
        <w:rPr>
          <w:rFonts w:ascii="Calibri" w:hAnsi="Calibri" w:cs="Calibri"/>
          <w:sz w:val="24"/>
          <w:szCs w:val="24"/>
        </w:rPr>
        <w:t xml:space="preserve"> </w:t>
      </w:r>
      <w:r w:rsidRPr="00BB4F12">
        <w:rPr>
          <w:rFonts w:ascii="Calibri" w:hAnsi="Calibri" w:cs="Calibri"/>
          <w:sz w:val="24"/>
          <w:szCs w:val="24"/>
        </w:rPr>
        <w:t>-</w:t>
      </w:r>
      <w:r w:rsidR="002E7792">
        <w:rPr>
          <w:rFonts w:ascii="Calibri" w:hAnsi="Calibri" w:cs="Calibri"/>
          <w:sz w:val="24"/>
          <w:szCs w:val="24"/>
        </w:rPr>
        <w:t xml:space="preserve"> </w:t>
      </w:r>
      <w:r w:rsidRPr="00BB4F12">
        <w:rPr>
          <w:rFonts w:ascii="Calibri" w:hAnsi="Calibri" w:cs="Calibri"/>
          <w:sz w:val="24"/>
          <w:szCs w:val="24"/>
        </w:rPr>
        <w:t xml:space="preserve">a Systematic Review. Can Geriatr J. 2019;22(1):1-6. </w:t>
      </w:r>
    </w:p>
    <w:p w14:paraId="2E1EA8BD"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Huang 2021:</w:t>
      </w:r>
    </w:p>
    <w:p w14:paraId="534ADB27" w14:textId="5944E6B6" w:rsidR="002E7792" w:rsidRPr="00E76095" w:rsidRDefault="0044429B" w:rsidP="00E76095">
      <w:pPr>
        <w:spacing w:line="480" w:lineRule="auto"/>
        <w:rPr>
          <w:rFonts w:ascii="Calibri" w:hAnsi="Calibri" w:cs="Calibri"/>
          <w:sz w:val="24"/>
          <w:szCs w:val="24"/>
        </w:rPr>
      </w:pPr>
      <w:r w:rsidRPr="0044429B">
        <w:rPr>
          <w:rFonts w:ascii="Calibri" w:hAnsi="Calibri" w:cs="Calibri"/>
          <w:sz w:val="24"/>
          <w:szCs w:val="24"/>
        </w:rPr>
        <w:t xml:space="preserve">Huang X, Lin D, Sun Y, Wu A, Wei C. Effect of Dexmedetomidine on Postoperative Sleep Quality: A Systematic Review. Drug Des Devel Ther. 2021;15:2161-2170. </w:t>
      </w:r>
    </w:p>
    <w:p w14:paraId="693C1879" w14:textId="4A8BCDDD"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Khaing 2021:</w:t>
      </w:r>
    </w:p>
    <w:p w14:paraId="068A8D13" w14:textId="4353C482" w:rsidR="009E528D" w:rsidRPr="008F4721" w:rsidRDefault="008F4721" w:rsidP="00E76095">
      <w:pPr>
        <w:spacing w:line="480" w:lineRule="auto"/>
        <w:rPr>
          <w:rFonts w:ascii="Calibri" w:hAnsi="Calibri" w:cs="Calibri"/>
          <w:sz w:val="24"/>
          <w:szCs w:val="24"/>
        </w:rPr>
      </w:pPr>
      <w:r w:rsidRPr="008F4721">
        <w:rPr>
          <w:rFonts w:ascii="Calibri" w:hAnsi="Calibri" w:cs="Calibri"/>
          <w:sz w:val="24"/>
          <w:szCs w:val="24"/>
        </w:rPr>
        <w:t>Khaing K, Nair BR</w:t>
      </w:r>
      <w:r w:rsidR="002E7792">
        <w:rPr>
          <w:rFonts w:ascii="Calibri" w:hAnsi="Calibri" w:cs="Calibri"/>
          <w:sz w:val="24"/>
          <w:szCs w:val="24"/>
        </w:rPr>
        <w:t xml:space="preserve">. </w:t>
      </w:r>
      <w:r w:rsidRPr="008F4721">
        <w:rPr>
          <w:rFonts w:ascii="Calibri" w:hAnsi="Calibri" w:cs="Calibri"/>
          <w:sz w:val="24"/>
          <w:szCs w:val="24"/>
        </w:rPr>
        <w:t>Melatonin for delirium prevention in hospitalized patients: A systematic review and meta-analysis. J Psychiatr Res</w:t>
      </w:r>
      <w:r w:rsidR="002E7792">
        <w:rPr>
          <w:rFonts w:ascii="Calibri" w:hAnsi="Calibri" w:cs="Calibri"/>
          <w:sz w:val="24"/>
          <w:szCs w:val="24"/>
        </w:rPr>
        <w:t>. 2021;</w:t>
      </w:r>
      <w:r w:rsidRPr="008F4721">
        <w:rPr>
          <w:rFonts w:ascii="Calibri" w:hAnsi="Calibri" w:cs="Calibri"/>
          <w:sz w:val="24"/>
          <w:szCs w:val="24"/>
        </w:rPr>
        <w:t>133:181–190.</w:t>
      </w:r>
      <w:r w:rsidR="002E7792">
        <w:rPr>
          <w:rFonts w:ascii="Calibri" w:hAnsi="Calibri" w:cs="Calibri"/>
          <w:sz w:val="24"/>
          <w:szCs w:val="24"/>
        </w:rPr>
        <w:t xml:space="preserve"> </w:t>
      </w:r>
    </w:p>
    <w:p w14:paraId="4183D48A"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Kim 2020:</w:t>
      </w:r>
    </w:p>
    <w:p w14:paraId="758A0E08" w14:textId="7FA69ABF" w:rsidR="008F4721" w:rsidRPr="008F4721" w:rsidRDefault="008F4721" w:rsidP="008F4721">
      <w:pPr>
        <w:spacing w:line="480" w:lineRule="auto"/>
        <w:rPr>
          <w:rFonts w:ascii="Calibri" w:hAnsi="Calibri" w:cs="Calibri"/>
          <w:sz w:val="24"/>
          <w:szCs w:val="24"/>
          <w:lang w:val="de-DE"/>
        </w:rPr>
      </w:pPr>
      <w:r w:rsidRPr="008F4721">
        <w:rPr>
          <w:rFonts w:ascii="Calibri" w:hAnsi="Calibri" w:cs="Calibri"/>
          <w:sz w:val="24"/>
          <w:szCs w:val="24"/>
        </w:rPr>
        <w:t xml:space="preserve">Kim MS, Rhim HC, Park A, Kim H, Han KM, Patkar AA, Pae CU, Han C. Comparative efficacy and acceptability of pharmacological interventions for the treatment and prevention of delirium: A systematic review and network meta-analysis. </w:t>
      </w:r>
      <w:r w:rsidRPr="008F4721">
        <w:rPr>
          <w:rFonts w:ascii="Calibri" w:hAnsi="Calibri" w:cs="Calibri"/>
          <w:sz w:val="24"/>
          <w:szCs w:val="24"/>
          <w:lang w:val="de-DE"/>
        </w:rPr>
        <w:t xml:space="preserve">J Psychiatr Res. 2020;125:164-176. </w:t>
      </w:r>
    </w:p>
    <w:p w14:paraId="797D9243"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 xml:space="preserve">Lange 2021: </w:t>
      </w:r>
    </w:p>
    <w:p w14:paraId="470837BF" w14:textId="358B8454" w:rsidR="001E7F36" w:rsidRPr="001E7F36" w:rsidRDefault="001E7F36" w:rsidP="001E7F36">
      <w:pPr>
        <w:spacing w:line="480" w:lineRule="auto"/>
        <w:rPr>
          <w:rFonts w:ascii="Calibri" w:hAnsi="Calibri" w:cs="Calibri"/>
          <w:sz w:val="24"/>
          <w:szCs w:val="24"/>
        </w:rPr>
      </w:pPr>
      <w:r w:rsidRPr="001E7F36">
        <w:rPr>
          <w:rFonts w:ascii="Calibri" w:hAnsi="Calibri" w:cs="Calibri"/>
          <w:sz w:val="24"/>
          <w:szCs w:val="24"/>
        </w:rPr>
        <w:lastRenderedPageBreak/>
        <w:t xml:space="preserve">Lange S, Mędrzycka-Dąbrowska W, Friganovic A, Oomen B, Krupa S. Delirium in Critical Illness Patients and the Potential Role of Thiamine Therapy in Prevention and Treatment: Findings from a Scoping Review with Implications for Evidence-Based Practice. Int J Environ Res Public Health. 2021;18(16):8809. </w:t>
      </w:r>
    </w:p>
    <w:p w14:paraId="61611644"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Lin 2021:</w:t>
      </w:r>
    </w:p>
    <w:p w14:paraId="59290E96" w14:textId="3EE5E087" w:rsidR="002E7792" w:rsidRPr="002E7792" w:rsidRDefault="006771FA" w:rsidP="00E76095">
      <w:pPr>
        <w:spacing w:line="480" w:lineRule="auto"/>
        <w:rPr>
          <w:rFonts w:ascii="Calibri" w:hAnsi="Calibri" w:cs="Calibri"/>
          <w:sz w:val="24"/>
          <w:szCs w:val="24"/>
        </w:rPr>
      </w:pPr>
      <w:r w:rsidRPr="006771FA">
        <w:rPr>
          <w:rFonts w:ascii="Calibri" w:hAnsi="Calibri" w:cs="Calibri"/>
          <w:sz w:val="24"/>
          <w:szCs w:val="24"/>
        </w:rPr>
        <w:t xml:space="preserve">Lin C, Tu H, Jie Z, Zhou X, Li C. Effect of Dexmedetomidine on Delirium in Elderly Surgical Patients: A Meta-analysis of Randomized Controlled Trials. Ann Pharmacother. 2021;55(5):624-636. </w:t>
      </w:r>
    </w:p>
    <w:p w14:paraId="64A00757" w14:textId="4F1143F5"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Lin 2020:</w:t>
      </w:r>
    </w:p>
    <w:p w14:paraId="40A7D2B2" w14:textId="13E36B72" w:rsidR="006771FA" w:rsidRPr="006771FA" w:rsidRDefault="006771FA" w:rsidP="006771FA">
      <w:pPr>
        <w:spacing w:line="480" w:lineRule="auto"/>
        <w:rPr>
          <w:rFonts w:ascii="Calibri" w:hAnsi="Calibri" w:cs="Calibri"/>
          <w:sz w:val="24"/>
          <w:szCs w:val="24"/>
        </w:rPr>
      </w:pPr>
      <w:r w:rsidRPr="006771FA">
        <w:rPr>
          <w:rFonts w:ascii="Calibri" w:hAnsi="Calibri" w:cs="Calibri"/>
          <w:sz w:val="24"/>
          <w:szCs w:val="24"/>
        </w:rPr>
        <w:t>Lin P, Zhang J, Shi F, Liang Z-A</w:t>
      </w:r>
      <w:r w:rsidR="002E7792">
        <w:rPr>
          <w:rFonts w:ascii="Calibri" w:hAnsi="Calibri" w:cs="Calibri"/>
          <w:sz w:val="24"/>
          <w:szCs w:val="24"/>
        </w:rPr>
        <w:t>.</w:t>
      </w:r>
      <w:r w:rsidRPr="006771FA">
        <w:rPr>
          <w:rFonts w:ascii="Calibri" w:hAnsi="Calibri" w:cs="Calibri"/>
          <w:sz w:val="24"/>
          <w:szCs w:val="24"/>
        </w:rPr>
        <w:t xml:space="preserve"> Can haloperidol prophylaxis reduce the incidence of delirium in critically ill patients in intensive care units? A systematic review and meta-analysis. Heart Lung</w:t>
      </w:r>
      <w:r w:rsidR="002E7792">
        <w:rPr>
          <w:rFonts w:ascii="Calibri" w:hAnsi="Calibri" w:cs="Calibri"/>
          <w:sz w:val="24"/>
          <w:szCs w:val="24"/>
        </w:rPr>
        <w:t>. 2020;</w:t>
      </w:r>
      <w:r w:rsidRPr="006771FA">
        <w:rPr>
          <w:rFonts w:ascii="Calibri" w:hAnsi="Calibri" w:cs="Calibri"/>
          <w:sz w:val="24"/>
          <w:szCs w:val="24"/>
        </w:rPr>
        <w:t xml:space="preserve">49:265–272. </w:t>
      </w:r>
    </w:p>
    <w:p w14:paraId="6A46903C"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Lin 2012:</w:t>
      </w:r>
    </w:p>
    <w:p w14:paraId="495948E8" w14:textId="2D9692BE" w:rsidR="006B0C94" w:rsidRPr="006B0C94" w:rsidRDefault="006B0C94" w:rsidP="006B0C94">
      <w:pPr>
        <w:spacing w:line="480" w:lineRule="auto"/>
        <w:rPr>
          <w:rFonts w:ascii="Calibri" w:hAnsi="Calibri" w:cs="Calibri"/>
          <w:sz w:val="24"/>
          <w:szCs w:val="24"/>
        </w:rPr>
      </w:pPr>
      <w:r w:rsidRPr="006B0C94">
        <w:rPr>
          <w:rFonts w:ascii="Calibri" w:hAnsi="Calibri" w:cs="Calibri"/>
          <w:sz w:val="24"/>
          <w:szCs w:val="24"/>
        </w:rPr>
        <w:t>Lin YY, He B, Chen J, et al. Can dexmedetomidine be a safe and efficacious sedative agent in post-cardiac surgery patients? a metaanalysis. Crit Care 2012;16:R169.</w:t>
      </w:r>
    </w:p>
    <w:p w14:paraId="301842C3"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Liu 2022:</w:t>
      </w:r>
    </w:p>
    <w:p w14:paraId="2A8E9FDE" w14:textId="169DA412" w:rsidR="006B0C94" w:rsidRDefault="006B0C94" w:rsidP="006B0C94">
      <w:pPr>
        <w:spacing w:line="480" w:lineRule="auto"/>
        <w:rPr>
          <w:rFonts w:ascii="Calibri" w:hAnsi="Calibri" w:cs="Calibri"/>
          <w:sz w:val="24"/>
          <w:szCs w:val="24"/>
        </w:rPr>
      </w:pPr>
      <w:r w:rsidRPr="006B0C94">
        <w:rPr>
          <w:rFonts w:ascii="Calibri" w:hAnsi="Calibri" w:cs="Calibri"/>
          <w:sz w:val="24"/>
          <w:szCs w:val="24"/>
        </w:rPr>
        <w:t xml:space="preserve">Liu X, Hu Q, Chen Q, Jia J, Liao YH, Feng J. Effect of dexmedetomidine for prevention of acute kidney injury after cardiac surgery: an updated systematic review and meta-analysis. Ren Fail. 2022;44(1):1150-1159. </w:t>
      </w:r>
    </w:p>
    <w:p w14:paraId="3BA59A77" w14:textId="77777777" w:rsidR="00E76095" w:rsidRPr="006B0C94" w:rsidRDefault="00E76095" w:rsidP="006B0C94">
      <w:pPr>
        <w:spacing w:line="480" w:lineRule="auto"/>
        <w:rPr>
          <w:rFonts w:ascii="Calibri" w:hAnsi="Calibri" w:cs="Calibri"/>
          <w:sz w:val="24"/>
          <w:szCs w:val="24"/>
        </w:rPr>
      </w:pPr>
    </w:p>
    <w:p w14:paraId="2DC5FB12"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Mengjing 2023:</w:t>
      </w:r>
    </w:p>
    <w:p w14:paraId="3154006B" w14:textId="7077291E" w:rsidR="004B6C1B" w:rsidRPr="004B6C1B" w:rsidRDefault="004B6C1B" w:rsidP="004B6C1B">
      <w:pPr>
        <w:spacing w:line="480" w:lineRule="auto"/>
        <w:rPr>
          <w:rFonts w:ascii="Calibri" w:hAnsi="Calibri" w:cs="Calibri"/>
          <w:sz w:val="24"/>
          <w:szCs w:val="24"/>
        </w:rPr>
      </w:pPr>
      <w:r w:rsidRPr="004B6C1B">
        <w:rPr>
          <w:rFonts w:ascii="Calibri" w:hAnsi="Calibri" w:cs="Calibri"/>
          <w:sz w:val="24"/>
          <w:szCs w:val="24"/>
        </w:rPr>
        <w:lastRenderedPageBreak/>
        <w:t>Mengjing HAN, Wenjia T, Hongqian W, Xuewen F, Pin S, Yingping FU. Effect of early comfort using analgesia, minimal sedatives and maximal humane care strategy on delirium in ICU patients with mechanical ventilation: a meta-analysis. Chinese Evidence-based Nursing. 2023 9(5):761-768</w:t>
      </w:r>
      <w:r w:rsidR="002E7792">
        <w:rPr>
          <w:rFonts w:ascii="Calibri" w:hAnsi="Calibri" w:cs="Calibri"/>
          <w:sz w:val="24"/>
          <w:szCs w:val="24"/>
        </w:rPr>
        <w:t>.</w:t>
      </w:r>
    </w:p>
    <w:p w14:paraId="1F3DBF47"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Mo 2013:</w:t>
      </w:r>
    </w:p>
    <w:p w14:paraId="09BA235B" w14:textId="020C3406" w:rsidR="002E7792" w:rsidRPr="00E76095" w:rsidRDefault="004B6C1B" w:rsidP="00E76095">
      <w:pPr>
        <w:spacing w:line="480" w:lineRule="auto"/>
        <w:rPr>
          <w:rFonts w:ascii="Calibri" w:hAnsi="Calibri" w:cs="Calibri"/>
          <w:sz w:val="24"/>
          <w:szCs w:val="24"/>
        </w:rPr>
      </w:pPr>
      <w:r w:rsidRPr="004B6C1B">
        <w:rPr>
          <w:rFonts w:ascii="Calibri" w:hAnsi="Calibri" w:cs="Calibri"/>
          <w:sz w:val="24"/>
          <w:szCs w:val="24"/>
        </w:rPr>
        <w:t xml:space="preserve">Mo Y, Zimmermann AE. Role of Dexmedetomidine for the Prevention and Treatment of Delirium in Intensive Care Unit Patients. Annals of Pharmacotherapy [Internet]. 2013;47(6):869–76. </w:t>
      </w:r>
    </w:p>
    <w:p w14:paraId="1EDFC330" w14:textId="181571C4"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Mu 2015:</w:t>
      </w:r>
    </w:p>
    <w:p w14:paraId="3EC8408F" w14:textId="29347EDB" w:rsidR="004B6C1B" w:rsidRPr="004B6C1B" w:rsidRDefault="004B6C1B" w:rsidP="004B6C1B">
      <w:pPr>
        <w:spacing w:line="480" w:lineRule="auto"/>
        <w:rPr>
          <w:rFonts w:ascii="Calibri" w:hAnsi="Calibri" w:cs="Calibri"/>
          <w:sz w:val="24"/>
          <w:szCs w:val="24"/>
        </w:rPr>
      </w:pPr>
      <w:r w:rsidRPr="004B6C1B">
        <w:rPr>
          <w:rFonts w:ascii="Calibri" w:hAnsi="Calibri" w:cs="Calibri"/>
          <w:sz w:val="24"/>
          <w:szCs w:val="24"/>
        </w:rPr>
        <w:t xml:space="preserve">Mu JL, Lee A, Joynt GM. Pharmacologic agents for the prevention and treatment of delirium in patients undergoing cardiac surgery: systematic review and metaanalysis. Crit Care Med. 2015;43(1):194-204. </w:t>
      </w:r>
    </w:p>
    <w:p w14:paraId="094FCB5A"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Pieri 2020:</w:t>
      </w:r>
    </w:p>
    <w:p w14:paraId="728DD4F3" w14:textId="5DF365A2" w:rsidR="009E0D96" w:rsidRDefault="009E0D96" w:rsidP="009E0D96">
      <w:pPr>
        <w:spacing w:line="480" w:lineRule="auto"/>
        <w:rPr>
          <w:rFonts w:ascii="Calibri" w:hAnsi="Calibri" w:cs="Calibri"/>
          <w:sz w:val="24"/>
          <w:szCs w:val="24"/>
        </w:rPr>
      </w:pPr>
      <w:r w:rsidRPr="009E0D96">
        <w:rPr>
          <w:rFonts w:ascii="Calibri" w:hAnsi="Calibri" w:cs="Calibri"/>
          <w:sz w:val="24"/>
          <w:szCs w:val="24"/>
        </w:rPr>
        <w:t xml:space="preserve">Pieri M, De Simone A, Rose S, De Domenico P, Lembo R, Denaro G, et al. Trials Focusing on Prevention and Treatment of Delirium After Cardiac Surgery: A systematic Review of Randomized Evidence. Journal of Cardiothoracic and Vascular Anesthesia [Internet]. 2020;34(6):1641–54. </w:t>
      </w:r>
    </w:p>
    <w:p w14:paraId="500E6B6C" w14:textId="77777777" w:rsidR="00E76095" w:rsidRDefault="00E76095" w:rsidP="009E0D96">
      <w:pPr>
        <w:spacing w:line="480" w:lineRule="auto"/>
        <w:rPr>
          <w:rFonts w:ascii="Calibri" w:hAnsi="Calibri" w:cs="Calibri"/>
          <w:sz w:val="24"/>
          <w:szCs w:val="24"/>
        </w:rPr>
      </w:pPr>
    </w:p>
    <w:p w14:paraId="1A54064A" w14:textId="77777777" w:rsidR="00E76095" w:rsidRDefault="00E76095" w:rsidP="009E0D96">
      <w:pPr>
        <w:spacing w:line="480" w:lineRule="auto"/>
        <w:rPr>
          <w:rFonts w:ascii="Calibri" w:hAnsi="Calibri" w:cs="Calibri"/>
          <w:sz w:val="24"/>
          <w:szCs w:val="24"/>
        </w:rPr>
      </w:pPr>
    </w:p>
    <w:p w14:paraId="2DA25F3C" w14:textId="77777777" w:rsidR="00E76095" w:rsidRPr="009E0D96" w:rsidRDefault="00E76095" w:rsidP="009E0D96">
      <w:pPr>
        <w:spacing w:line="480" w:lineRule="auto"/>
        <w:rPr>
          <w:rFonts w:ascii="Calibri" w:hAnsi="Calibri" w:cs="Calibri"/>
          <w:sz w:val="24"/>
          <w:szCs w:val="24"/>
        </w:rPr>
      </w:pPr>
    </w:p>
    <w:p w14:paraId="5538F70A"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Poon 2023:</w:t>
      </w:r>
    </w:p>
    <w:p w14:paraId="596735BB" w14:textId="492C5744" w:rsidR="00AA2AF1" w:rsidRPr="000E3488" w:rsidRDefault="00AA2AF1" w:rsidP="000E3488">
      <w:pPr>
        <w:spacing w:line="480" w:lineRule="auto"/>
        <w:rPr>
          <w:rFonts w:ascii="Calibri" w:hAnsi="Calibri" w:cs="Calibri"/>
          <w:sz w:val="24"/>
          <w:szCs w:val="24"/>
        </w:rPr>
      </w:pPr>
      <w:r w:rsidRPr="00AA2AF1">
        <w:rPr>
          <w:rFonts w:ascii="Calibri" w:hAnsi="Calibri" w:cs="Calibri"/>
          <w:sz w:val="24"/>
          <w:szCs w:val="24"/>
        </w:rPr>
        <w:lastRenderedPageBreak/>
        <w:t xml:space="preserve">Poon WH, Ling RR, Yang IX, Luo H, Kofidis T, MacLaren G, Tham C, Teoh KLK, Ramanathan K. Dexmedetomidine for adult cardiac surgery: a systematic review, meta-analysis and trial sequential analysis. Anaesthesia. 2023;78(3):371-380. </w:t>
      </w:r>
    </w:p>
    <w:p w14:paraId="056A0F15"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Reardon 2013:</w:t>
      </w:r>
    </w:p>
    <w:p w14:paraId="5DAE37BC" w14:textId="451C96B5" w:rsidR="000E3488" w:rsidRPr="002E7792" w:rsidRDefault="00FC2469" w:rsidP="002E7792">
      <w:pPr>
        <w:spacing w:line="480" w:lineRule="auto"/>
        <w:rPr>
          <w:rFonts w:ascii="Calibri" w:hAnsi="Calibri" w:cs="Calibri"/>
          <w:sz w:val="24"/>
          <w:szCs w:val="24"/>
        </w:rPr>
      </w:pPr>
      <w:r w:rsidRPr="00FC2469">
        <w:rPr>
          <w:rFonts w:ascii="Calibri" w:hAnsi="Calibri" w:cs="Calibri"/>
          <w:sz w:val="24"/>
          <w:szCs w:val="24"/>
        </w:rPr>
        <w:t xml:space="preserve">Reardon DP, Anger KE, Adams CD, Szumita PM. Role of dexmedetomidine in adults in the intensive care unit: An update. American Journal of Health-System Pharmacy [Internet]. 2013;70(9):767–77. </w:t>
      </w:r>
    </w:p>
    <w:p w14:paraId="50D140F1" w14:textId="2BD32138"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Roberts 2012:</w:t>
      </w:r>
    </w:p>
    <w:p w14:paraId="0CE07118" w14:textId="2EC93FA9" w:rsidR="002E7792" w:rsidRPr="00FC2469" w:rsidRDefault="00FC2469" w:rsidP="00E76095">
      <w:pPr>
        <w:spacing w:line="480" w:lineRule="auto"/>
        <w:rPr>
          <w:rFonts w:ascii="Calibri" w:hAnsi="Calibri" w:cs="Calibri"/>
          <w:sz w:val="24"/>
          <w:szCs w:val="24"/>
        </w:rPr>
      </w:pPr>
      <w:r w:rsidRPr="00FC2469">
        <w:rPr>
          <w:rFonts w:ascii="Calibri" w:hAnsi="Calibri" w:cs="Calibri"/>
          <w:sz w:val="24"/>
          <w:szCs w:val="24"/>
        </w:rPr>
        <w:t xml:space="preserve">Roberts DJ, Haroon B, Hall RI. Sedation for Critically Ill or Injured Adults in the Intensive Care Unit. Drugs [Internet]. 2012;72(14):1881–916. </w:t>
      </w:r>
    </w:p>
    <w:p w14:paraId="06B52CC1"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Rosenzweig 2015:</w:t>
      </w:r>
    </w:p>
    <w:p w14:paraId="7D878C41" w14:textId="799C073D" w:rsidR="004841ED" w:rsidRPr="004841ED" w:rsidRDefault="004841ED" w:rsidP="002E7792">
      <w:pPr>
        <w:spacing w:line="480" w:lineRule="auto"/>
        <w:rPr>
          <w:rFonts w:ascii="Calibri" w:hAnsi="Calibri" w:cs="Calibri"/>
          <w:sz w:val="24"/>
          <w:szCs w:val="24"/>
        </w:rPr>
      </w:pPr>
      <w:r w:rsidRPr="004841ED">
        <w:rPr>
          <w:rFonts w:ascii="Calibri" w:hAnsi="Calibri" w:cs="Calibri"/>
          <w:sz w:val="24"/>
          <w:szCs w:val="24"/>
        </w:rPr>
        <w:t xml:space="preserve">Rosenzweig AB, Sittambalam CD. A new approach to the prevention and treatment of delirium in elderly patients in the intensive care unit. J Community Hosp Intern Med Perspect. 2015;5(4):27950. </w:t>
      </w:r>
    </w:p>
    <w:p w14:paraId="6F829B5D" w14:textId="77777777" w:rsidR="00150E34" w:rsidRDefault="00150E34" w:rsidP="00150E34">
      <w:pPr>
        <w:spacing w:line="480" w:lineRule="auto"/>
        <w:rPr>
          <w:rFonts w:ascii="Calibri" w:hAnsi="Calibri" w:cs="Calibri"/>
          <w:b/>
          <w:bCs/>
          <w:sz w:val="24"/>
          <w:szCs w:val="24"/>
        </w:rPr>
      </w:pPr>
      <w:r w:rsidRPr="00BD4909">
        <w:rPr>
          <w:rFonts w:ascii="Calibri" w:hAnsi="Calibri" w:cs="Calibri"/>
          <w:b/>
          <w:bCs/>
          <w:sz w:val="24"/>
          <w:szCs w:val="24"/>
        </w:rPr>
        <w:t>Santos 2017:</w:t>
      </w:r>
    </w:p>
    <w:p w14:paraId="0BC0CA3A" w14:textId="71CEAEFC" w:rsidR="00BD4909" w:rsidRDefault="00BD4909" w:rsidP="000E3488">
      <w:pPr>
        <w:spacing w:line="480" w:lineRule="auto"/>
        <w:rPr>
          <w:rFonts w:ascii="Calibri" w:hAnsi="Calibri" w:cs="Calibri"/>
          <w:sz w:val="24"/>
          <w:szCs w:val="24"/>
        </w:rPr>
      </w:pPr>
      <w:r w:rsidRPr="00BD4909">
        <w:rPr>
          <w:rFonts w:ascii="Calibri" w:hAnsi="Calibri" w:cs="Calibri"/>
          <w:sz w:val="24"/>
          <w:szCs w:val="24"/>
        </w:rPr>
        <w:t xml:space="preserve">Santos E, Cardoso D, Neves H, Cunha M, Rodrigues M, Apóstolo J. Effectiveness of haloperidol prophylaxis in critically ill patients with a high risk of delirium: a systematic review. JBI Database System Rev Implement Rep. 2017;15(5):1440-1472. </w:t>
      </w:r>
    </w:p>
    <w:p w14:paraId="489C9442" w14:textId="77777777" w:rsidR="00E76095" w:rsidRDefault="00E76095" w:rsidP="000E3488">
      <w:pPr>
        <w:spacing w:line="480" w:lineRule="auto"/>
        <w:rPr>
          <w:rFonts w:ascii="Calibri" w:hAnsi="Calibri" w:cs="Calibri"/>
          <w:sz w:val="24"/>
          <w:szCs w:val="24"/>
        </w:rPr>
      </w:pPr>
    </w:p>
    <w:p w14:paraId="587ABA13" w14:textId="77777777" w:rsidR="00E76095" w:rsidRPr="000E3488" w:rsidRDefault="00E76095" w:rsidP="000E3488">
      <w:pPr>
        <w:spacing w:line="480" w:lineRule="auto"/>
        <w:rPr>
          <w:rFonts w:ascii="Calibri" w:hAnsi="Calibri" w:cs="Calibri"/>
          <w:sz w:val="24"/>
          <w:szCs w:val="24"/>
        </w:rPr>
      </w:pPr>
    </w:p>
    <w:p w14:paraId="008F21EB" w14:textId="68CC96C4"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Shen 2018:</w:t>
      </w:r>
    </w:p>
    <w:p w14:paraId="2A22293A" w14:textId="77414A82" w:rsidR="004841ED" w:rsidRPr="004841ED" w:rsidRDefault="004841ED" w:rsidP="00E76095">
      <w:pPr>
        <w:spacing w:line="480" w:lineRule="auto"/>
        <w:rPr>
          <w:rFonts w:ascii="Calibri" w:hAnsi="Calibri" w:cs="Calibri"/>
          <w:sz w:val="24"/>
          <w:szCs w:val="24"/>
        </w:rPr>
      </w:pPr>
      <w:r w:rsidRPr="004841ED">
        <w:rPr>
          <w:rFonts w:ascii="Calibri" w:hAnsi="Calibri" w:cs="Calibri"/>
          <w:sz w:val="24"/>
          <w:szCs w:val="24"/>
        </w:rPr>
        <w:lastRenderedPageBreak/>
        <w:t xml:space="preserve">Shen YZ, Peng K, Zhang J, Meng XW, Ji FH. Effects of Haloperidol on Delirium in Adult Patients: A Systematic Review and Meta-Analysis. Med Princ Pract. 2018;27(3):250-259. </w:t>
      </w:r>
    </w:p>
    <w:p w14:paraId="0E14F3D7"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Singh 2022:</w:t>
      </w:r>
    </w:p>
    <w:p w14:paraId="0035BC0C" w14:textId="52C3A5B5" w:rsidR="002E7792" w:rsidRPr="00BD4909" w:rsidRDefault="00BD4909" w:rsidP="00E76095">
      <w:pPr>
        <w:spacing w:line="480" w:lineRule="auto"/>
        <w:rPr>
          <w:rFonts w:ascii="Calibri" w:hAnsi="Calibri" w:cs="Calibri"/>
          <w:sz w:val="24"/>
          <w:szCs w:val="24"/>
        </w:rPr>
      </w:pPr>
      <w:r w:rsidRPr="00BD4909">
        <w:rPr>
          <w:rFonts w:ascii="Calibri" w:hAnsi="Calibri" w:cs="Calibri"/>
          <w:sz w:val="24"/>
          <w:szCs w:val="24"/>
        </w:rPr>
        <w:t xml:space="preserve">Singh A, Broad J, Brenna CTA, Kaustov L, Choi S. The Effects of Dexmedetomidine on Perioperative Neurocognitive Outcomes After Noncardiac Surgery: A Systematic Review and Meta-Analysis of Randomized Controlled Trials. Ann Surg Open. 2022;3(1):e130. </w:t>
      </w:r>
    </w:p>
    <w:p w14:paraId="54DB2CD0"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Smithburger 2019:</w:t>
      </w:r>
    </w:p>
    <w:p w14:paraId="73D0C349" w14:textId="6D717738" w:rsidR="00BD4909" w:rsidRPr="00BD4909" w:rsidRDefault="00BD4909" w:rsidP="00BD4909">
      <w:pPr>
        <w:spacing w:line="480" w:lineRule="auto"/>
        <w:rPr>
          <w:rFonts w:ascii="Calibri" w:hAnsi="Calibri" w:cs="Calibri"/>
          <w:sz w:val="24"/>
          <w:szCs w:val="24"/>
        </w:rPr>
      </w:pPr>
      <w:r w:rsidRPr="00BD4909">
        <w:rPr>
          <w:rFonts w:ascii="Calibri" w:hAnsi="Calibri" w:cs="Calibri"/>
          <w:sz w:val="24"/>
          <w:szCs w:val="24"/>
        </w:rPr>
        <w:t>Smithburger PL, Patel MK. Pharmacologic considerations surrounding sedation, delirium, and sleep in critically ill adults: a narrative review. Journal of pharmacy practice. 2019;32(3):271-91.</w:t>
      </w:r>
    </w:p>
    <w:p w14:paraId="77530542"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Tao 2018:</w:t>
      </w:r>
    </w:p>
    <w:p w14:paraId="2BA00EBE" w14:textId="36B902CC" w:rsidR="002B3211" w:rsidRPr="000E3488" w:rsidRDefault="00BD4909" w:rsidP="00E76095">
      <w:pPr>
        <w:spacing w:line="480" w:lineRule="auto"/>
        <w:rPr>
          <w:rFonts w:ascii="Calibri" w:hAnsi="Calibri" w:cs="Calibri"/>
          <w:sz w:val="24"/>
          <w:szCs w:val="24"/>
        </w:rPr>
      </w:pPr>
      <w:r w:rsidRPr="00BD4909">
        <w:rPr>
          <w:rFonts w:ascii="Calibri" w:hAnsi="Calibri" w:cs="Calibri"/>
          <w:sz w:val="24"/>
          <w:szCs w:val="24"/>
        </w:rPr>
        <w:t xml:space="preserve">Tao R, Wang XW, Pang LJ, Cheng J, Wang YM, Gao GQ, Liu Y, Wang C. Pharmacologic prevention of postoperative delirium after on-pump cardiac surgery: A meta-analysis of randomized trials. Medicine (Baltimore). 2018;97(43):e12771. </w:t>
      </w:r>
    </w:p>
    <w:p w14:paraId="46FDA778" w14:textId="16649475"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Wang 2012:</w:t>
      </w:r>
    </w:p>
    <w:p w14:paraId="14818928" w14:textId="72AD111E" w:rsidR="002B3211" w:rsidRPr="002B3211" w:rsidRDefault="002B3211" w:rsidP="00E76095">
      <w:pPr>
        <w:spacing w:line="480" w:lineRule="auto"/>
        <w:rPr>
          <w:rFonts w:ascii="Calibri" w:hAnsi="Calibri" w:cs="Calibri"/>
          <w:sz w:val="24"/>
          <w:szCs w:val="24"/>
        </w:rPr>
      </w:pPr>
      <w:r w:rsidRPr="002B3211">
        <w:rPr>
          <w:rFonts w:ascii="Calibri" w:hAnsi="Calibri" w:cs="Calibri"/>
          <w:sz w:val="24"/>
          <w:szCs w:val="24"/>
        </w:rPr>
        <w:t xml:space="preserve">Wang EH, Mabasa VH, Loh GW, Ensom MH. Haloperidol dosing strategies in the treatment of delirium in the critically ill. Neurocrit Care. 2012;16(1):170-83. </w:t>
      </w:r>
    </w:p>
    <w:p w14:paraId="0C0E6F0E"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 xml:space="preserve">Xiong 2021: </w:t>
      </w:r>
    </w:p>
    <w:p w14:paraId="671524C4" w14:textId="747690E6" w:rsidR="002B3211" w:rsidRPr="002B3211" w:rsidRDefault="002B3211" w:rsidP="002B3211">
      <w:pPr>
        <w:spacing w:line="480" w:lineRule="auto"/>
        <w:rPr>
          <w:rFonts w:ascii="Calibri" w:hAnsi="Calibri" w:cs="Calibri"/>
          <w:sz w:val="24"/>
          <w:szCs w:val="24"/>
        </w:rPr>
      </w:pPr>
      <w:r w:rsidRPr="002B3211">
        <w:rPr>
          <w:rFonts w:ascii="Calibri" w:hAnsi="Calibri" w:cs="Calibri"/>
          <w:sz w:val="24"/>
          <w:szCs w:val="24"/>
        </w:rPr>
        <w:t xml:space="preserve">Xiong X, Chen D, Shi J. Is Perioperative Dexmedetomidine Associated With a Reduced Risk of Perioperative Neurocognitive Disorders Following Cardiac Surgery? A Systematic Review and </w:t>
      </w:r>
      <w:r w:rsidRPr="002B3211">
        <w:rPr>
          <w:rFonts w:ascii="Calibri" w:hAnsi="Calibri" w:cs="Calibri"/>
          <w:sz w:val="24"/>
          <w:szCs w:val="24"/>
        </w:rPr>
        <w:lastRenderedPageBreak/>
        <w:t xml:space="preserve">Meta-Analysis With Trial Sequential Analysis of Randomized Controlled Trials. Front Med (Lausanne). 2021;8:645975. </w:t>
      </w:r>
    </w:p>
    <w:p w14:paraId="20C71200"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Zaal 2012:</w:t>
      </w:r>
    </w:p>
    <w:p w14:paraId="056C8DD5" w14:textId="03A1C211" w:rsidR="002B3211" w:rsidRPr="002B3211" w:rsidRDefault="002B3211" w:rsidP="002B3211">
      <w:pPr>
        <w:spacing w:line="480" w:lineRule="auto"/>
        <w:rPr>
          <w:rFonts w:ascii="Calibri" w:hAnsi="Calibri" w:cs="Calibri"/>
          <w:sz w:val="24"/>
          <w:szCs w:val="24"/>
        </w:rPr>
      </w:pPr>
      <w:r w:rsidRPr="002B3211">
        <w:rPr>
          <w:rFonts w:ascii="Calibri" w:hAnsi="Calibri" w:cs="Calibri"/>
          <w:sz w:val="24"/>
          <w:szCs w:val="24"/>
        </w:rPr>
        <w:t xml:space="preserve">Zaal IJ, Slooter AJC. Delirium in Critically Ill Patients. Drugs [Internet]. 2012;72(11):1457–71. </w:t>
      </w:r>
    </w:p>
    <w:p w14:paraId="100A6065"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Zhang 2013:</w:t>
      </w:r>
    </w:p>
    <w:p w14:paraId="27C11027" w14:textId="1E2A8BB9" w:rsidR="002B3211" w:rsidRPr="002B3211" w:rsidRDefault="002B3211" w:rsidP="002B3211">
      <w:pPr>
        <w:spacing w:line="480" w:lineRule="auto"/>
        <w:rPr>
          <w:rFonts w:ascii="Calibri" w:hAnsi="Calibri" w:cs="Calibri"/>
          <w:sz w:val="24"/>
          <w:szCs w:val="24"/>
        </w:rPr>
      </w:pPr>
      <w:r w:rsidRPr="002B3211">
        <w:rPr>
          <w:rFonts w:ascii="Calibri" w:hAnsi="Calibri" w:cs="Calibri"/>
          <w:sz w:val="24"/>
          <w:szCs w:val="24"/>
        </w:rPr>
        <w:t>Zhang H, Lu Y, Liu M, et al. Strategies for prevention of postoperative delirium: a systematic review and meta-analysis of randomized trials. Crit Care 2013;17:R47.</w:t>
      </w:r>
    </w:p>
    <w:p w14:paraId="7920C6B9"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Zhang 2017:</w:t>
      </w:r>
    </w:p>
    <w:p w14:paraId="2A7B9287" w14:textId="6F9EB90D" w:rsidR="00B00B6A" w:rsidRPr="000E3488" w:rsidRDefault="00B00B6A" w:rsidP="00E76095">
      <w:pPr>
        <w:spacing w:line="480" w:lineRule="auto"/>
        <w:rPr>
          <w:rFonts w:ascii="Calibri" w:hAnsi="Calibri" w:cs="Calibri"/>
          <w:sz w:val="24"/>
          <w:szCs w:val="24"/>
        </w:rPr>
      </w:pPr>
      <w:r w:rsidRPr="00B00B6A">
        <w:rPr>
          <w:rFonts w:ascii="Calibri" w:hAnsi="Calibri" w:cs="Calibri"/>
          <w:sz w:val="24"/>
          <w:szCs w:val="24"/>
        </w:rPr>
        <w:t xml:space="preserve">Zhang Z, Chen K, Ni H, Zhang X, Fan H. Sedation of mechanically ventilated adults in intensive care unit: a network meta-analysis. Sci Rep. 2017;7:44979. </w:t>
      </w:r>
    </w:p>
    <w:p w14:paraId="7974A4B5" w14:textId="302713CD"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Zhou 202</w:t>
      </w:r>
      <w:r w:rsidR="00B00B6A">
        <w:rPr>
          <w:rFonts w:ascii="Calibri" w:hAnsi="Calibri" w:cs="Calibri"/>
          <w:b/>
          <w:bCs/>
          <w:sz w:val="24"/>
          <w:szCs w:val="24"/>
        </w:rPr>
        <w:t>1</w:t>
      </w:r>
      <w:r w:rsidRPr="00CD7F5F">
        <w:rPr>
          <w:rFonts w:ascii="Calibri" w:hAnsi="Calibri" w:cs="Calibri"/>
          <w:b/>
          <w:bCs/>
          <w:sz w:val="24"/>
          <w:szCs w:val="24"/>
        </w:rPr>
        <w:t>:</w:t>
      </w:r>
    </w:p>
    <w:p w14:paraId="3B53937E" w14:textId="372E0E60" w:rsidR="00B00B6A" w:rsidRPr="004C62A0" w:rsidRDefault="00B00B6A" w:rsidP="004C62A0">
      <w:pPr>
        <w:spacing w:line="480" w:lineRule="auto"/>
        <w:rPr>
          <w:rFonts w:ascii="Calibri" w:hAnsi="Calibri" w:cs="Calibri"/>
          <w:sz w:val="24"/>
          <w:szCs w:val="24"/>
        </w:rPr>
      </w:pPr>
      <w:r w:rsidRPr="00B00B6A">
        <w:rPr>
          <w:rFonts w:ascii="Calibri" w:hAnsi="Calibri" w:cs="Calibri"/>
          <w:sz w:val="24"/>
          <w:szCs w:val="24"/>
        </w:rPr>
        <w:t xml:space="preserve">Zhou W-J, Liu M, Fan X-P (2021) Differences in efficacy and safety of midazolam vs. dexmedetomidine in critically ill patients: A meta-analysis of randomized controlled trial. Exp Ther Med 21:156. </w:t>
      </w:r>
    </w:p>
    <w:p w14:paraId="0ADFBD8D" w14:textId="77777777" w:rsidR="00150E34" w:rsidRDefault="00150E34" w:rsidP="00150E34">
      <w:pPr>
        <w:spacing w:line="480" w:lineRule="auto"/>
        <w:rPr>
          <w:rFonts w:ascii="Calibri" w:hAnsi="Calibri" w:cs="Calibri"/>
          <w:b/>
          <w:bCs/>
          <w:sz w:val="24"/>
          <w:szCs w:val="24"/>
        </w:rPr>
      </w:pPr>
      <w:r w:rsidRPr="00CD7F5F">
        <w:rPr>
          <w:rFonts w:ascii="Calibri" w:hAnsi="Calibri" w:cs="Calibri"/>
          <w:b/>
          <w:bCs/>
          <w:sz w:val="24"/>
          <w:szCs w:val="24"/>
        </w:rPr>
        <w:t>Zhu 2020:</w:t>
      </w:r>
    </w:p>
    <w:p w14:paraId="1BCEE03A" w14:textId="7CEA4D04" w:rsidR="00B00B6A" w:rsidRPr="00B00B6A" w:rsidRDefault="00B00B6A" w:rsidP="00E76095">
      <w:pPr>
        <w:spacing w:line="480" w:lineRule="auto"/>
        <w:rPr>
          <w:rFonts w:ascii="Calibri" w:hAnsi="Calibri" w:cs="Calibri"/>
          <w:sz w:val="24"/>
          <w:szCs w:val="24"/>
        </w:rPr>
      </w:pPr>
      <w:r w:rsidRPr="00B00B6A">
        <w:rPr>
          <w:rFonts w:ascii="Calibri" w:hAnsi="Calibri" w:cs="Calibri"/>
          <w:sz w:val="24"/>
          <w:szCs w:val="24"/>
        </w:rPr>
        <w:t>Zhu Y, Jiang Z, Huang H, et al (2020) Assessment of Melatonergics in Prevention of Delirium: A Systematic Review and Meta-Analysis. Front Neurol 11:198.</w:t>
      </w:r>
      <w:r w:rsidR="002E7792">
        <w:rPr>
          <w:rFonts w:ascii="Calibri" w:hAnsi="Calibri" w:cs="Calibri"/>
          <w:sz w:val="24"/>
          <w:szCs w:val="24"/>
        </w:rPr>
        <w:t xml:space="preserve"> </w:t>
      </w:r>
    </w:p>
    <w:p w14:paraId="08861B38" w14:textId="77777777" w:rsidR="00B00B6A" w:rsidRPr="00CD7F5F" w:rsidRDefault="00B00B6A" w:rsidP="00150E34">
      <w:pPr>
        <w:spacing w:line="480" w:lineRule="auto"/>
        <w:rPr>
          <w:rFonts w:ascii="Calibri" w:hAnsi="Calibri" w:cs="Calibri"/>
          <w:b/>
          <w:bCs/>
          <w:sz w:val="24"/>
          <w:szCs w:val="24"/>
        </w:rPr>
      </w:pPr>
    </w:p>
    <w:p w14:paraId="44777F32" w14:textId="77777777" w:rsidR="00150E34" w:rsidRPr="00E212C1" w:rsidRDefault="00150E34" w:rsidP="00150E34">
      <w:pPr>
        <w:spacing w:line="480" w:lineRule="auto"/>
        <w:rPr>
          <w:rFonts w:eastAsia="Calibri" w:cstheme="minorHAnsi"/>
          <w:kern w:val="2"/>
          <w:sz w:val="24"/>
          <w:szCs w:val="24"/>
          <w:lang w:eastAsia="en-US"/>
          <w14:ligatures w14:val="standardContextual"/>
        </w:rPr>
      </w:pPr>
    </w:p>
    <w:p w14:paraId="0AC8258B" w14:textId="77777777" w:rsidR="002C6C52" w:rsidRPr="00150E34" w:rsidRDefault="002C6C52" w:rsidP="00150E34">
      <w:pPr>
        <w:spacing w:line="480" w:lineRule="auto"/>
      </w:pPr>
    </w:p>
    <w:sectPr w:rsidR="002C6C52" w:rsidRPr="00150E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C0C03"/>
    <w:multiLevelType w:val="hybridMultilevel"/>
    <w:tmpl w:val="0DC20E00"/>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5E88514E"/>
    <w:multiLevelType w:val="hybridMultilevel"/>
    <w:tmpl w:val="0DC20E00"/>
    <w:lvl w:ilvl="0" w:tplc="8BA6E9D8">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E34"/>
    <w:rsid w:val="00053929"/>
    <w:rsid w:val="00082F35"/>
    <w:rsid w:val="000A0183"/>
    <w:rsid w:val="000E3488"/>
    <w:rsid w:val="00150E34"/>
    <w:rsid w:val="00164EAC"/>
    <w:rsid w:val="001E7F36"/>
    <w:rsid w:val="001F5C68"/>
    <w:rsid w:val="00216814"/>
    <w:rsid w:val="0029371D"/>
    <w:rsid w:val="002B3211"/>
    <w:rsid w:val="002C6C52"/>
    <w:rsid w:val="002E7792"/>
    <w:rsid w:val="00321EC4"/>
    <w:rsid w:val="0044429B"/>
    <w:rsid w:val="004841ED"/>
    <w:rsid w:val="004B6C1B"/>
    <w:rsid w:val="004C62A0"/>
    <w:rsid w:val="005D163B"/>
    <w:rsid w:val="005D4EFB"/>
    <w:rsid w:val="006771FA"/>
    <w:rsid w:val="00683997"/>
    <w:rsid w:val="006A142F"/>
    <w:rsid w:val="006B0C94"/>
    <w:rsid w:val="006C3358"/>
    <w:rsid w:val="00794A32"/>
    <w:rsid w:val="008F4721"/>
    <w:rsid w:val="00933B3F"/>
    <w:rsid w:val="00944013"/>
    <w:rsid w:val="009A4B5C"/>
    <w:rsid w:val="009E0468"/>
    <w:rsid w:val="009E0D96"/>
    <w:rsid w:val="009E528D"/>
    <w:rsid w:val="00AA2AF1"/>
    <w:rsid w:val="00B00B6A"/>
    <w:rsid w:val="00B645EA"/>
    <w:rsid w:val="00BB4F12"/>
    <w:rsid w:val="00BB61E7"/>
    <w:rsid w:val="00BD4909"/>
    <w:rsid w:val="00C02484"/>
    <w:rsid w:val="00C54045"/>
    <w:rsid w:val="00C5763C"/>
    <w:rsid w:val="00C61F98"/>
    <w:rsid w:val="00CB1787"/>
    <w:rsid w:val="00CD0699"/>
    <w:rsid w:val="00CD7F5F"/>
    <w:rsid w:val="00CF4998"/>
    <w:rsid w:val="00DB245D"/>
    <w:rsid w:val="00E73E69"/>
    <w:rsid w:val="00E76095"/>
    <w:rsid w:val="00EA565D"/>
    <w:rsid w:val="00EF30EB"/>
    <w:rsid w:val="00FC246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E34"/>
    <w:pPr>
      <w:spacing w:line="259" w:lineRule="auto"/>
    </w:pPr>
    <w:rPr>
      <w:kern w:val="0"/>
      <w:sz w:val="22"/>
      <w:szCs w:val="22"/>
      <w14:ligatures w14:val="none"/>
    </w:rPr>
  </w:style>
  <w:style w:type="paragraph" w:styleId="Heading1">
    <w:name w:val="heading 1"/>
    <w:basedOn w:val="Normal"/>
    <w:next w:val="Normal"/>
    <w:link w:val="Heading1Char"/>
    <w:uiPriority w:val="9"/>
    <w:qFormat/>
    <w:rsid w:val="00150E3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50E3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50E3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50E3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50E3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50E3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50E3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50E3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50E3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E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E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E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E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E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E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E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E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E34"/>
    <w:rPr>
      <w:rFonts w:eastAsiaTheme="majorEastAsia" w:cstheme="majorBidi"/>
      <w:color w:val="272727" w:themeColor="text1" w:themeTint="D8"/>
    </w:rPr>
  </w:style>
  <w:style w:type="paragraph" w:styleId="Title">
    <w:name w:val="Title"/>
    <w:basedOn w:val="Normal"/>
    <w:next w:val="Normal"/>
    <w:link w:val="TitleChar"/>
    <w:uiPriority w:val="10"/>
    <w:qFormat/>
    <w:rsid w:val="00150E3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50E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E3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50E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E3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50E34"/>
    <w:rPr>
      <w:i/>
      <w:iCs/>
      <w:color w:val="404040" w:themeColor="text1" w:themeTint="BF"/>
    </w:rPr>
  </w:style>
  <w:style w:type="paragraph" w:styleId="ListParagraph">
    <w:name w:val="List Paragraph"/>
    <w:basedOn w:val="Normal"/>
    <w:uiPriority w:val="34"/>
    <w:qFormat/>
    <w:rsid w:val="00150E3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50E34"/>
    <w:rPr>
      <w:i/>
      <w:iCs/>
      <w:color w:val="0F4761" w:themeColor="accent1" w:themeShade="BF"/>
    </w:rPr>
  </w:style>
  <w:style w:type="paragraph" w:styleId="IntenseQuote">
    <w:name w:val="Intense Quote"/>
    <w:basedOn w:val="Normal"/>
    <w:next w:val="Normal"/>
    <w:link w:val="IntenseQuoteChar"/>
    <w:uiPriority w:val="30"/>
    <w:qFormat/>
    <w:rsid w:val="00150E3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50E34"/>
    <w:rPr>
      <w:i/>
      <w:iCs/>
      <w:color w:val="0F4761" w:themeColor="accent1" w:themeShade="BF"/>
    </w:rPr>
  </w:style>
  <w:style w:type="character" w:styleId="IntenseReference">
    <w:name w:val="Intense Reference"/>
    <w:basedOn w:val="DefaultParagraphFont"/>
    <w:uiPriority w:val="32"/>
    <w:qFormat/>
    <w:rsid w:val="00150E34"/>
    <w:rPr>
      <w:b/>
      <w:bCs/>
      <w:smallCaps/>
      <w:color w:val="0F4761" w:themeColor="accent1" w:themeShade="BF"/>
      <w:spacing w:val="5"/>
    </w:rPr>
  </w:style>
  <w:style w:type="table" w:styleId="TableGrid">
    <w:name w:val="Table Grid"/>
    <w:basedOn w:val="TableNormal"/>
    <w:uiPriority w:val="39"/>
    <w:rsid w:val="00150E3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4B5C"/>
    <w:rPr>
      <w:color w:val="467886" w:themeColor="hyperlink"/>
      <w:u w:val="single"/>
    </w:rPr>
  </w:style>
  <w:style w:type="character" w:customStyle="1" w:styleId="UnresolvedMention">
    <w:name w:val="Unresolved Mention"/>
    <w:basedOn w:val="DefaultParagraphFont"/>
    <w:uiPriority w:val="99"/>
    <w:semiHidden/>
    <w:unhideWhenUsed/>
    <w:rsid w:val="009A4B5C"/>
    <w:rPr>
      <w:color w:val="605E5C"/>
      <w:shd w:val="clear" w:color="auto" w:fill="E1DFDD"/>
    </w:rPr>
  </w:style>
  <w:style w:type="paragraph" w:styleId="Revision">
    <w:name w:val="Revision"/>
    <w:hidden/>
    <w:uiPriority w:val="99"/>
    <w:semiHidden/>
    <w:rsid w:val="00CF4998"/>
    <w:pPr>
      <w:spacing w:after="0" w:line="240" w:lineRule="auto"/>
    </w:pPr>
    <w:rPr>
      <w:kern w:val="0"/>
      <w:sz w:val="22"/>
      <w:szCs w:val="22"/>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E34"/>
    <w:pPr>
      <w:spacing w:line="259" w:lineRule="auto"/>
    </w:pPr>
    <w:rPr>
      <w:kern w:val="0"/>
      <w:sz w:val="22"/>
      <w:szCs w:val="22"/>
      <w14:ligatures w14:val="none"/>
    </w:rPr>
  </w:style>
  <w:style w:type="paragraph" w:styleId="Heading1">
    <w:name w:val="heading 1"/>
    <w:basedOn w:val="Normal"/>
    <w:next w:val="Normal"/>
    <w:link w:val="Heading1Char"/>
    <w:uiPriority w:val="9"/>
    <w:qFormat/>
    <w:rsid w:val="00150E3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50E3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50E3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50E3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50E3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50E3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50E3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50E3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50E3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E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E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E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E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E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E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E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E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E34"/>
    <w:rPr>
      <w:rFonts w:eastAsiaTheme="majorEastAsia" w:cstheme="majorBidi"/>
      <w:color w:val="272727" w:themeColor="text1" w:themeTint="D8"/>
    </w:rPr>
  </w:style>
  <w:style w:type="paragraph" w:styleId="Title">
    <w:name w:val="Title"/>
    <w:basedOn w:val="Normal"/>
    <w:next w:val="Normal"/>
    <w:link w:val="TitleChar"/>
    <w:uiPriority w:val="10"/>
    <w:qFormat/>
    <w:rsid w:val="00150E3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50E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E3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50E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E3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50E34"/>
    <w:rPr>
      <w:i/>
      <w:iCs/>
      <w:color w:val="404040" w:themeColor="text1" w:themeTint="BF"/>
    </w:rPr>
  </w:style>
  <w:style w:type="paragraph" w:styleId="ListParagraph">
    <w:name w:val="List Paragraph"/>
    <w:basedOn w:val="Normal"/>
    <w:uiPriority w:val="34"/>
    <w:qFormat/>
    <w:rsid w:val="00150E3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50E34"/>
    <w:rPr>
      <w:i/>
      <w:iCs/>
      <w:color w:val="0F4761" w:themeColor="accent1" w:themeShade="BF"/>
    </w:rPr>
  </w:style>
  <w:style w:type="paragraph" w:styleId="IntenseQuote">
    <w:name w:val="Intense Quote"/>
    <w:basedOn w:val="Normal"/>
    <w:next w:val="Normal"/>
    <w:link w:val="IntenseQuoteChar"/>
    <w:uiPriority w:val="30"/>
    <w:qFormat/>
    <w:rsid w:val="00150E3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50E34"/>
    <w:rPr>
      <w:i/>
      <w:iCs/>
      <w:color w:val="0F4761" w:themeColor="accent1" w:themeShade="BF"/>
    </w:rPr>
  </w:style>
  <w:style w:type="character" w:styleId="IntenseReference">
    <w:name w:val="Intense Reference"/>
    <w:basedOn w:val="DefaultParagraphFont"/>
    <w:uiPriority w:val="32"/>
    <w:qFormat/>
    <w:rsid w:val="00150E34"/>
    <w:rPr>
      <w:b/>
      <w:bCs/>
      <w:smallCaps/>
      <w:color w:val="0F4761" w:themeColor="accent1" w:themeShade="BF"/>
      <w:spacing w:val="5"/>
    </w:rPr>
  </w:style>
  <w:style w:type="table" w:styleId="TableGrid">
    <w:name w:val="Table Grid"/>
    <w:basedOn w:val="TableNormal"/>
    <w:uiPriority w:val="39"/>
    <w:rsid w:val="00150E3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4B5C"/>
    <w:rPr>
      <w:color w:val="467886" w:themeColor="hyperlink"/>
      <w:u w:val="single"/>
    </w:rPr>
  </w:style>
  <w:style w:type="character" w:customStyle="1" w:styleId="UnresolvedMention">
    <w:name w:val="Unresolved Mention"/>
    <w:basedOn w:val="DefaultParagraphFont"/>
    <w:uiPriority w:val="99"/>
    <w:semiHidden/>
    <w:unhideWhenUsed/>
    <w:rsid w:val="009A4B5C"/>
    <w:rPr>
      <w:color w:val="605E5C"/>
      <w:shd w:val="clear" w:color="auto" w:fill="E1DFDD"/>
    </w:rPr>
  </w:style>
  <w:style w:type="paragraph" w:styleId="Revision">
    <w:name w:val="Revision"/>
    <w:hidden/>
    <w:uiPriority w:val="99"/>
    <w:semiHidden/>
    <w:rsid w:val="00CF499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4b1e3b-c10c-40f3-b67f-8a3657f26042">
      <Terms xmlns="http://schemas.microsoft.com/office/infopath/2007/PartnerControls"/>
    </lcf76f155ced4ddcb4097134ff3c332f>
    <TaxCatchAll xmlns="4657d5b2-3c9d-4115-a2fc-1c5d3e85db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1496768A8C994EA2FEDE6D6207C3FF" ma:contentTypeVersion="13" ma:contentTypeDescription="Create a new document." ma:contentTypeScope="" ma:versionID="c7f4ca022a8fcf495cb7528574250e85">
  <xsd:schema xmlns:xsd="http://www.w3.org/2001/XMLSchema" xmlns:xs="http://www.w3.org/2001/XMLSchema" xmlns:p="http://schemas.microsoft.com/office/2006/metadata/properties" xmlns:ns2="0a4b1e3b-c10c-40f3-b67f-8a3657f26042" xmlns:ns3="4657d5b2-3c9d-4115-a2fc-1c5d3e85db43" targetNamespace="http://schemas.microsoft.com/office/2006/metadata/properties" ma:root="true" ma:fieldsID="6c85eba9b56bef6198dee4d266b4b46a" ns2:_="" ns3:_="">
    <xsd:import namespace="0a4b1e3b-c10c-40f3-b67f-8a3657f26042"/>
    <xsd:import namespace="4657d5b2-3c9d-4115-a2fc-1c5d3e85db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b1e3b-c10c-40f3-b67f-8a3657f26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7d5b2-3c9d-4115-a2fc-1c5d3e85db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408800d-b4aa-4298-b30c-4de7a4758554}" ma:internalName="TaxCatchAll" ma:showField="CatchAllData" ma:web="4657d5b2-3c9d-4115-a2fc-1c5d3e85d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913B8-5C9C-4FE4-9AAA-8D6E09E9613A}">
  <ds:schemaRefs>
    <ds:schemaRef ds:uri="http://purl.org/dc/elements/1.1/"/>
    <ds:schemaRef ds:uri="http://schemas.microsoft.com/office/2006/documentManagement/types"/>
    <ds:schemaRef ds:uri="0a4b1e3b-c10c-40f3-b67f-8a3657f26042"/>
    <ds:schemaRef ds:uri="http://schemas.microsoft.com/office/infopath/2007/PartnerControls"/>
    <ds:schemaRef ds:uri="http://schemas.openxmlformats.org/package/2006/metadata/core-properties"/>
    <ds:schemaRef ds:uri="4657d5b2-3c9d-4115-a2fc-1c5d3e85db43"/>
    <ds:schemaRef ds:uri="http://www.w3.org/XML/1998/namespace"/>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B6813C20-1DEB-4027-AAAD-D0B304320851}">
  <ds:schemaRefs>
    <ds:schemaRef ds:uri="http://schemas.microsoft.com/sharepoint/v3/contenttype/forms"/>
  </ds:schemaRefs>
</ds:datastoreItem>
</file>

<file path=customXml/itemProps3.xml><?xml version="1.0" encoding="utf-8"?>
<ds:datastoreItem xmlns:ds="http://schemas.openxmlformats.org/officeDocument/2006/customXml" ds:itemID="{8A4DB82F-7267-4930-BBD6-9B157DC67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b1e3b-c10c-40f3-b67f-8a3657f26042"/>
    <ds:schemaRef ds:uri="4657d5b2-3c9d-4115-a2fc-1c5d3e85d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1541</Words>
  <Characters>8787</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Jones</dc:creator>
  <cp:lastModifiedBy>Manjubharathi Nagarajan</cp:lastModifiedBy>
  <cp:revision>2</cp:revision>
  <dcterms:created xsi:type="dcterms:W3CDTF">2025-12-30T07:57:00Z</dcterms:created>
  <dcterms:modified xsi:type="dcterms:W3CDTF">2025-12-30T07:57:00Z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0x0101009B1496768A8C994EA2FEDE6D6207C3FF</vt:lpwstr>
  </property>
</Properties>
</file>