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36A4" w14:textId="55C0EC33" w:rsidR="002D67E7" w:rsidRPr="00D84E94" w:rsidRDefault="00F35026" w:rsidP="002D67E7">
      <w:pPr>
        <w:spacing w:after="0" w:line="240" w:lineRule="auto"/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</w:pPr>
      <w:r w:rsidRPr="00D84E94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Additional file 3</w:t>
      </w:r>
      <w:r w:rsidR="004B20C7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b</w:t>
      </w:r>
      <w:r w:rsidR="00D84E94" w:rsidRPr="00D84E94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:</w:t>
      </w:r>
      <w:r w:rsidR="002D67E7" w:rsidRPr="00D84E94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 xml:space="preserve"> Included review characteristics</w:t>
      </w:r>
      <w:r w:rsidR="004863CE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 xml:space="preserve"> – interventions, comparators and outcomes</w:t>
      </w:r>
    </w:p>
    <w:p w14:paraId="796BF0BD" w14:textId="77777777" w:rsidR="002D67E7" w:rsidRPr="002D67E7" w:rsidRDefault="002D67E7" w:rsidP="002D67E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1"/>
        <w:tblW w:w="13887" w:type="dxa"/>
        <w:tblLayout w:type="fixed"/>
        <w:tblLook w:val="04A0" w:firstRow="1" w:lastRow="0" w:firstColumn="1" w:lastColumn="0" w:noHBand="0" w:noVBand="1"/>
      </w:tblPr>
      <w:tblGrid>
        <w:gridCol w:w="1838"/>
        <w:gridCol w:w="4678"/>
        <w:gridCol w:w="4536"/>
        <w:gridCol w:w="2835"/>
      </w:tblGrid>
      <w:tr w:rsidR="004423A9" w:rsidRPr="002D67E7" w14:paraId="09E3027A" w14:textId="72280FB9" w:rsidTr="00CC09E4">
        <w:trPr>
          <w:tblHeader/>
        </w:trPr>
        <w:tc>
          <w:tcPr>
            <w:tcW w:w="1838" w:type="dxa"/>
            <w:shd w:val="clear" w:color="auto" w:fill="auto"/>
          </w:tcPr>
          <w:p w14:paraId="3CFF8795" w14:textId="43DFB7F7" w:rsidR="004423A9" w:rsidRPr="009B6145" w:rsidRDefault="004423A9" w:rsidP="002D67E7">
            <w:pPr>
              <w:rPr>
                <w:rFonts w:ascii="Calibri" w:eastAsia="DengXian" w:hAnsi="Calibri" w:cs="Arial"/>
                <w:b/>
                <w:bCs/>
                <w:sz w:val="16"/>
                <w:szCs w:val="16"/>
                <w:vertAlign w:val="superscript"/>
              </w:rPr>
            </w:pPr>
            <w:r w:rsidRPr="002D67E7">
              <w:rPr>
                <w:rFonts w:ascii="Calibri" w:eastAsia="DengXian" w:hAnsi="Calibri" w:cs="Arial"/>
                <w:b/>
                <w:bCs/>
                <w:sz w:val="16"/>
                <w:szCs w:val="16"/>
              </w:rPr>
              <w:t xml:space="preserve">Review 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>(RCTs)</w:t>
            </w:r>
            <w:r w:rsidR="009B6145">
              <w:rPr>
                <w:rFonts w:ascii="Calibri" w:eastAsia="DengXian" w:hAnsi="Calibri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320141F6" w14:textId="77777777" w:rsidR="004423A9" w:rsidRPr="002D67E7" w:rsidRDefault="004423A9" w:rsidP="002D67E7">
            <w:pPr>
              <w:rPr>
                <w:rFonts w:ascii="Calibri" w:eastAsia="DengXian" w:hAnsi="Calibri" w:cs="Arial"/>
                <w:b/>
                <w:bCs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b/>
                <w:bCs/>
                <w:sz w:val="16"/>
                <w:szCs w:val="16"/>
              </w:rPr>
              <w:t>Review Intervention vs Comparison</w:t>
            </w:r>
          </w:p>
        </w:tc>
        <w:tc>
          <w:tcPr>
            <w:tcW w:w="4536" w:type="dxa"/>
            <w:shd w:val="clear" w:color="auto" w:fill="auto"/>
          </w:tcPr>
          <w:p w14:paraId="754C443E" w14:textId="62CF53B0" w:rsidR="004423A9" w:rsidRPr="002D67E7" w:rsidRDefault="004423A9" w:rsidP="002D67E7">
            <w:pPr>
              <w:rPr>
                <w:rFonts w:ascii="Calibri" w:eastAsia="DengXian" w:hAnsi="Calibri" w:cs="Arial"/>
                <w:b/>
                <w:bCs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b/>
                <w:bCs/>
                <w:sz w:val="16"/>
                <w:szCs w:val="16"/>
              </w:rPr>
              <w:t>Meta-analysed Core Outcomes</w:t>
            </w:r>
            <w:r w:rsidR="009B6145">
              <w:rPr>
                <w:rFonts w:ascii="Calibri" w:eastAsia="DengXian" w:hAnsi="Calibri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2D67E7">
              <w:rPr>
                <w:rFonts w:ascii="Calibri" w:eastAsia="DengXian" w:hAnsi="Calibri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05F01543" w14:textId="61EBCA8B" w:rsidR="004423A9" w:rsidRPr="002D67E7" w:rsidRDefault="004423A9" w:rsidP="002D67E7">
            <w:pPr>
              <w:rPr>
                <w:rFonts w:ascii="Calibri" w:eastAsia="DengXian" w:hAnsi="Calibri" w:cs="Arial"/>
                <w:b/>
                <w:bCs/>
                <w:sz w:val="16"/>
                <w:szCs w:val="16"/>
              </w:rPr>
            </w:pPr>
            <w:r>
              <w:rPr>
                <w:rFonts w:ascii="Calibri" w:eastAsia="DengXian" w:hAnsi="Calibri" w:cs="Arial"/>
                <w:b/>
                <w:bCs/>
                <w:sz w:val="16"/>
                <w:szCs w:val="16"/>
              </w:rPr>
              <w:t>Other Composite Delirium Outcomes</w:t>
            </w:r>
            <w:r w:rsidR="009B6145">
              <w:rPr>
                <w:rFonts w:ascii="Calibri" w:eastAsia="DengXian" w:hAnsi="Calibri" w:cs="Arial"/>
                <w:b/>
                <w:bCs/>
                <w:sz w:val="16"/>
                <w:szCs w:val="16"/>
                <w:vertAlign w:val="superscript"/>
              </w:rPr>
              <w:t>3</w:t>
            </w:r>
          </w:p>
        </w:tc>
      </w:tr>
      <w:tr w:rsidR="004423A9" w:rsidRPr="002D67E7" w14:paraId="7A197B33" w14:textId="666C51ED" w:rsidTr="00CC09E4">
        <w:tc>
          <w:tcPr>
            <w:tcW w:w="1838" w:type="dxa"/>
            <w:shd w:val="clear" w:color="auto" w:fill="auto"/>
          </w:tcPr>
          <w:p w14:paraId="64E2B0D9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Afzal 2023 (7)</w:t>
            </w:r>
          </w:p>
        </w:tc>
        <w:tc>
          <w:tcPr>
            <w:tcW w:w="4678" w:type="dxa"/>
            <w:shd w:val="clear" w:color="auto" w:fill="auto"/>
          </w:tcPr>
          <w:p w14:paraId="67A76D51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Typical antipsychotic and atypical antipsychotic vs each other or placebo</w:t>
            </w:r>
          </w:p>
        </w:tc>
        <w:tc>
          <w:tcPr>
            <w:tcW w:w="4536" w:type="dxa"/>
            <w:shd w:val="clear" w:color="auto" w:fill="auto"/>
          </w:tcPr>
          <w:p w14:paraId="1D199944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Duration of delirium (days); ICU length of stay; Mortality </w:t>
            </w:r>
          </w:p>
        </w:tc>
        <w:tc>
          <w:tcPr>
            <w:tcW w:w="2835" w:type="dxa"/>
          </w:tcPr>
          <w:p w14:paraId="648FDFD7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3CDEE01B" w14:textId="7E8B26C6" w:rsidTr="00CC09E4">
        <w:tc>
          <w:tcPr>
            <w:tcW w:w="1838" w:type="dxa"/>
            <w:shd w:val="clear" w:color="auto" w:fill="auto"/>
          </w:tcPr>
          <w:p w14:paraId="3E9847E4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Aiello 2023 (9)</w:t>
            </w:r>
          </w:p>
        </w:tc>
        <w:tc>
          <w:tcPr>
            <w:tcW w:w="4678" w:type="dxa"/>
            <w:shd w:val="clear" w:color="auto" w:fill="auto"/>
          </w:tcPr>
          <w:p w14:paraId="730AD31C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Melatonin and/or ramelteon vs placebo or no other treatment</w:t>
            </w:r>
          </w:p>
        </w:tc>
        <w:tc>
          <w:tcPr>
            <w:tcW w:w="4536" w:type="dxa"/>
            <w:shd w:val="clear" w:color="auto" w:fill="auto"/>
          </w:tcPr>
          <w:p w14:paraId="0151DED9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Delirium incidence; ICU length of stay; Mortality </w:t>
            </w:r>
          </w:p>
        </w:tc>
        <w:tc>
          <w:tcPr>
            <w:tcW w:w="2835" w:type="dxa"/>
          </w:tcPr>
          <w:p w14:paraId="3B5B7ACF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5E431052" w14:textId="3F831ADC" w:rsidTr="00CC09E4">
        <w:tc>
          <w:tcPr>
            <w:tcW w:w="1838" w:type="dxa"/>
            <w:shd w:val="clear" w:color="auto" w:fill="auto"/>
          </w:tcPr>
          <w:p w14:paraId="4D484B45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Aitken 2021 (8)</w:t>
            </w:r>
          </w:p>
        </w:tc>
        <w:tc>
          <w:tcPr>
            <w:tcW w:w="4678" w:type="dxa"/>
            <w:shd w:val="clear" w:color="auto" w:fill="auto"/>
          </w:tcPr>
          <w:p w14:paraId="697C64BD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‘Lighter’ sedation vs ‘Deeper sedation’</w:t>
            </w:r>
          </w:p>
        </w:tc>
        <w:tc>
          <w:tcPr>
            <w:tcW w:w="4536" w:type="dxa"/>
            <w:shd w:val="clear" w:color="auto" w:fill="auto"/>
          </w:tcPr>
          <w:p w14:paraId="64319C39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Delirium (%); ICU length of stay; Hospital length of stay; Mortality </w:t>
            </w:r>
          </w:p>
        </w:tc>
        <w:tc>
          <w:tcPr>
            <w:tcW w:w="2835" w:type="dxa"/>
          </w:tcPr>
          <w:p w14:paraId="23AA4496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745A9EE3" w14:textId="56160017" w:rsidTr="00CC09E4">
        <w:tc>
          <w:tcPr>
            <w:tcW w:w="1838" w:type="dxa"/>
            <w:shd w:val="clear" w:color="auto" w:fill="auto"/>
          </w:tcPr>
          <w:p w14:paraId="4DD5FCEB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Al-Qadheeb 2014 (17; 13 drug interventions)</w:t>
            </w:r>
          </w:p>
        </w:tc>
        <w:tc>
          <w:tcPr>
            <w:tcW w:w="4678" w:type="dxa"/>
            <w:shd w:val="clear" w:color="auto" w:fill="auto"/>
          </w:tcPr>
          <w:p w14:paraId="2554A920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Any ‘pharmacological, non-pharmacological or mixed pharmacological/ non-pharmacological strategy hypothesized to decrease delirium burden’ vs standard care or placebo</w:t>
            </w:r>
          </w:p>
        </w:tc>
        <w:tc>
          <w:tcPr>
            <w:tcW w:w="4536" w:type="dxa"/>
            <w:shd w:val="clear" w:color="auto" w:fill="auto"/>
          </w:tcPr>
          <w:p w14:paraId="3BE8FDBA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Duration of delirium (days); Mortality </w:t>
            </w:r>
          </w:p>
        </w:tc>
        <w:tc>
          <w:tcPr>
            <w:tcW w:w="2835" w:type="dxa"/>
          </w:tcPr>
          <w:p w14:paraId="250E44C7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2700C49C" w14:textId="2F7158A4" w:rsidTr="00CC09E4">
        <w:tc>
          <w:tcPr>
            <w:tcW w:w="1838" w:type="dxa"/>
            <w:shd w:val="clear" w:color="auto" w:fill="auto"/>
          </w:tcPr>
          <w:p w14:paraId="538E4DE5" w14:textId="36CFEA6F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Barbateskovic 20</w:t>
            </w:r>
            <w:r w:rsidR="00740D8E">
              <w:rPr>
                <w:rFonts w:ascii="Calibri" w:eastAsia="DengXian" w:hAnsi="Calibri" w:cs="Arial"/>
                <w:sz w:val="16"/>
                <w:szCs w:val="16"/>
              </w:rPr>
              <w:t>20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 (8)</w:t>
            </w:r>
          </w:p>
        </w:tc>
        <w:tc>
          <w:tcPr>
            <w:tcW w:w="4678" w:type="dxa"/>
            <w:shd w:val="clear" w:color="auto" w:fill="auto"/>
          </w:tcPr>
          <w:p w14:paraId="154F258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Haloperidol vs any intervention</w:t>
            </w:r>
          </w:p>
          <w:p w14:paraId="185F95FF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260A04F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Mortality; Delirium severity</w:t>
            </w:r>
          </w:p>
          <w:p w14:paraId="696D73CF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A6256F5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3AABA617" w14:textId="19AEC481" w:rsidTr="00CC09E4">
        <w:tc>
          <w:tcPr>
            <w:tcW w:w="1838" w:type="dxa"/>
            <w:shd w:val="clear" w:color="auto" w:fill="auto"/>
          </w:tcPr>
          <w:p w14:paraId="63836A8A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Burry 2014 (9)</w:t>
            </w:r>
          </w:p>
        </w:tc>
        <w:tc>
          <w:tcPr>
            <w:tcW w:w="4678" w:type="dxa"/>
            <w:shd w:val="clear" w:color="auto" w:fill="auto"/>
          </w:tcPr>
          <w:p w14:paraId="439B101E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Daily sedation interruption vs no daily sedation interruption (usual care or protocolized sedation strategies)</w:t>
            </w:r>
          </w:p>
        </w:tc>
        <w:tc>
          <w:tcPr>
            <w:tcW w:w="4536" w:type="dxa"/>
            <w:shd w:val="clear" w:color="auto" w:fill="auto"/>
          </w:tcPr>
          <w:p w14:paraId="2EC61C87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ICU length of stay; Hospital length of stay; Mortality; Quality of life. Other: adverse events including new-onset delirium  </w:t>
            </w:r>
          </w:p>
          <w:p w14:paraId="0141216B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0B557FC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27E4BADB" w14:textId="27FD578F" w:rsidTr="00CC09E4">
        <w:tc>
          <w:tcPr>
            <w:tcW w:w="1838" w:type="dxa"/>
            <w:shd w:val="clear" w:color="auto" w:fill="auto"/>
          </w:tcPr>
          <w:p w14:paraId="660F9E3D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Burry 2019 (14)</w:t>
            </w:r>
          </w:p>
          <w:p w14:paraId="00368652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46CBAA71" w14:textId="2B5CADAB" w:rsidR="004423A9" w:rsidRPr="002D67E7" w:rsidRDefault="004423A9" w:rsidP="00853F0E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Any drug (including </w:t>
            </w:r>
            <w:r w:rsidR="00853F0E" w:rsidRPr="00853F0E">
              <w:rPr>
                <w:rFonts w:ascii="Calibri" w:eastAsia="DengXian" w:hAnsi="Calibri" w:cs="Arial"/>
                <w:sz w:val="16"/>
                <w:szCs w:val="16"/>
              </w:rPr>
              <w:t>α2-adrenoceptor agonist</w:t>
            </w:r>
            <w:r w:rsidR="00853F0E">
              <w:rPr>
                <w:rFonts w:ascii="Calibri" w:eastAsia="DengXian" w:hAnsi="Calibri" w:cs="Arial"/>
                <w:sz w:val="16"/>
                <w:szCs w:val="16"/>
              </w:rPr>
              <w:t>s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>, antidepressants, antipsychotics (either typical or atypical agents), benzodiazepines, cholinesterase inhibitors, N-methyl-D-aspartate receptor antagonist, melatonin and melatonin agonists, opioids, propofol, serotonin receptor antagonists and statins) vs another active drug treatment, a placebo, or a non-drug intervention)</w:t>
            </w:r>
          </w:p>
        </w:tc>
        <w:tc>
          <w:tcPr>
            <w:tcW w:w="4536" w:type="dxa"/>
            <w:shd w:val="clear" w:color="auto" w:fill="auto"/>
          </w:tcPr>
          <w:p w14:paraId="0E5682CD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Duration of delirium (no units, log ratio of means); ICU length of stay; Hospital length of stay; Mortality</w:t>
            </w:r>
          </w:p>
        </w:tc>
        <w:tc>
          <w:tcPr>
            <w:tcW w:w="2835" w:type="dxa"/>
          </w:tcPr>
          <w:p w14:paraId="3D14C9D6" w14:textId="78A7E671" w:rsidR="004423A9" w:rsidRPr="002D67E7" w:rsidRDefault="00BA64A2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BA64A2">
              <w:rPr>
                <w:rFonts w:ascii="Calibri" w:eastAsia="DengXian" w:hAnsi="Calibri" w:cs="Arial"/>
                <w:sz w:val="16"/>
                <w:szCs w:val="16"/>
              </w:rPr>
              <w:t>Delirium-free and coma-free days</w:t>
            </w:r>
          </w:p>
        </w:tc>
      </w:tr>
      <w:tr w:rsidR="004423A9" w:rsidRPr="002D67E7" w14:paraId="1B84F5DF" w14:textId="618FFC1E" w:rsidTr="00CC09E4">
        <w:tc>
          <w:tcPr>
            <w:tcW w:w="1838" w:type="dxa"/>
            <w:shd w:val="clear" w:color="auto" w:fill="auto"/>
          </w:tcPr>
          <w:p w14:paraId="0CE128DF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Burry 2021 (80; 54 drug or sedation strategy studies) </w:t>
            </w:r>
          </w:p>
        </w:tc>
        <w:tc>
          <w:tcPr>
            <w:tcW w:w="4678" w:type="dxa"/>
            <w:shd w:val="clear" w:color="auto" w:fill="auto"/>
          </w:tcPr>
          <w:p w14:paraId="34E9A72A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Any drug, non-drug or multi-component intervention or sedation strategy</w:t>
            </w:r>
          </w:p>
          <w:p w14:paraId="02BEB9EC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69EF470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occurrence (incidence or prevalence); Delirium duration; ICU length of stay; hospital length of stay; Mortality. Other: adverse events, arrhythmia</w:t>
            </w:r>
          </w:p>
        </w:tc>
        <w:tc>
          <w:tcPr>
            <w:tcW w:w="2835" w:type="dxa"/>
          </w:tcPr>
          <w:p w14:paraId="6BC801E2" w14:textId="4041A3A9" w:rsidR="004423A9" w:rsidRPr="002D67E7" w:rsidRDefault="00AD7FB0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>
              <w:rPr>
                <w:rFonts w:ascii="Calibri" w:eastAsia="DengXian" w:hAnsi="Calibri" w:cs="Arial"/>
                <w:sz w:val="16"/>
                <w:szCs w:val="16"/>
              </w:rPr>
              <w:t>D</w:t>
            </w:r>
            <w:r w:rsidRPr="00AD7FB0">
              <w:rPr>
                <w:rFonts w:ascii="Calibri" w:eastAsia="DengXian" w:hAnsi="Calibri" w:cs="Arial"/>
                <w:sz w:val="16"/>
                <w:szCs w:val="16"/>
              </w:rPr>
              <w:t>elirium-free and coma-free days</w:t>
            </w:r>
          </w:p>
        </w:tc>
      </w:tr>
      <w:tr w:rsidR="004423A9" w:rsidRPr="002D67E7" w14:paraId="0969CB95" w14:textId="72FD2605" w:rsidTr="00CC09E4">
        <w:tc>
          <w:tcPr>
            <w:tcW w:w="1838" w:type="dxa"/>
            <w:shd w:val="clear" w:color="auto" w:fill="auto"/>
          </w:tcPr>
          <w:p w14:paraId="56D92F12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Chen 2015 (6 studies; 7 RCTs)</w:t>
            </w:r>
          </w:p>
          <w:p w14:paraId="64EFB52E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5B069846" w14:textId="7CBE97E4" w:rsidR="004423A9" w:rsidRPr="002D67E7" w:rsidRDefault="005F0690" w:rsidP="00853F0E">
            <w:pPr>
              <w:rPr>
                <w:rFonts w:ascii="Calibri" w:eastAsia="DengXian" w:hAnsi="Calibri" w:cs="Arial"/>
                <w:sz w:val="16"/>
                <w:szCs w:val="16"/>
              </w:rPr>
            </w:pPr>
            <w:r>
              <w:rPr>
                <w:rFonts w:ascii="Calibri" w:eastAsia="DengXian" w:hAnsi="Calibri" w:cs="Arial"/>
                <w:sz w:val="16"/>
                <w:szCs w:val="16"/>
              </w:rPr>
              <w:t>Alpha-</w:t>
            </w:r>
            <w:r w:rsidR="00853F0E" w:rsidRPr="00853F0E">
              <w:rPr>
                <w:rFonts w:ascii="Calibri" w:eastAsia="DengXian" w:hAnsi="Calibri" w:cs="Arial"/>
                <w:sz w:val="16"/>
                <w:szCs w:val="16"/>
              </w:rPr>
              <w:t>2</w:t>
            </w:r>
            <w:r>
              <w:rPr>
                <w:rFonts w:ascii="Calibri" w:eastAsia="DengXian" w:hAnsi="Calibri" w:cs="Arial"/>
                <w:sz w:val="16"/>
                <w:szCs w:val="16"/>
              </w:rPr>
              <w:t xml:space="preserve"> </w:t>
            </w:r>
            <w:r w:rsidR="00853F0E" w:rsidRPr="00853F0E">
              <w:rPr>
                <w:rFonts w:ascii="Calibri" w:eastAsia="DengXian" w:hAnsi="Calibri" w:cs="Arial"/>
                <w:sz w:val="16"/>
                <w:szCs w:val="16"/>
              </w:rPr>
              <w:t>adrenoceptor agonist</w:t>
            </w:r>
            <w:r w:rsidR="00853F0E">
              <w:rPr>
                <w:rFonts w:ascii="Calibri" w:eastAsia="DengXian" w:hAnsi="Calibri" w:cs="Arial"/>
                <w:sz w:val="16"/>
                <w:szCs w:val="16"/>
              </w:rPr>
              <w:t>s</w:t>
            </w:r>
            <w:r w:rsidR="00853F0E" w:rsidRPr="00853F0E">
              <w:rPr>
                <w:rFonts w:ascii="Calibri" w:eastAsia="DengXian" w:hAnsi="Calibri" w:cs="Arial"/>
                <w:sz w:val="16"/>
                <w:szCs w:val="16"/>
              </w:rPr>
              <w:t xml:space="preserve"> </w:t>
            </w:r>
            <w:r w:rsidR="004423A9" w:rsidRPr="002D67E7">
              <w:rPr>
                <w:rFonts w:ascii="Calibri" w:eastAsia="DengXian" w:hAnsi="Calibri" w:cs="Arial"/>
                <w:sz w:val="16"/>
                <w:szCs w:val="16"/>
              </w:rPr>
              <w:t>(dexmedetomidine) for sedation of more than 24 hours vs traditional sedatives (including benzodiazepine derivatives (midazolam or lorazepam), propofol, combinations of sedatives and other sedatives e.g. ‘standard care’)</w:t>
            </w:r>
          </w:p>
        </w:tc>
        <w:tc>
          <w:tcPr>
            <w:tcW w:w="4536" w:type="dxa"/>
            <w:shd w:val="clear" w:color="auto" w:fill="auto"/>
          </w:tcPr>
          <w:p w14:paraId="270CAB3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Risk of delirium; ICU length of stay; Mortality. Other: adverse events, bradycardia, hypotension</w:t>
            </w:r>
          </w:p>
          <w:p w14:paraId="2C114B80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2E8A4445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4A895CF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3F2AE97C" w14:textId="02881A1E" w:rsidTr="00CC09E4">
        <w:tc>
          <w:tcPr>
            <w:tcW w:w="1838" w:type="dxa"/>
            <w:shd w:val="clear" w:color="auto" w:fill="auto"/>
          </w:tcPr>
          <w:p w14:paraId="3AB3D5AA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Constantin 2016 (15 studies; 16 RCTs) </w:t>
            </w:r>
          </w:p>
        </w:tc>
        <w:tc>
          <w:tcPr>
            <w:tcW w:w="4678" w:type="dxa"/>
            <w:shd w:val="clear" w:color="auto" w:fill="auto"/>
          </w:tcPr>
          <w:p w14:paraId="2018BFFD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Dexmedetomidine vs another sedative agent, with or without opioid association </w:t>
            </w:r>
          </w:p>
        </w:tc>
        <w:tc>
          <w:tcPr>
            <w:tcW w:w="4536" w:type="dxa"/>
            <w:shd w:val="clear" w:color="auto" w:fill="auto"/>
          </w:tcPr>
          <w:p w14:paraId="708A0F9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ICU length of stay; Mortality. Other: adverse events, bradycardia, hypotension</w:t>
            </w:r>
          </w:p>
          <w:p w14:paraId="7B852D61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A5EA460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0C55FC32" w14:textId="5BD4C88C" w:rsidTr="00CC09E4">
        <w:tc>
          <w:tcPr>
            <w:tcW w:w="1838" w:type="dxa"/>
            <w:shd w:val="clear" w:color="auto" w:fill="auto"/>
          </w:tcPr>
          <w:p w14:paraId="6C4C0EA3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Cruickshank 2016 (18)</w:t>
            </w:r>
          </w:p>
          <w:p w14:paraId="3CDA8631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265ACCC3" w14:textId="2F6321F2" w:rsidR="004423A9" w:rsidRPr="002D67E7" w:rsidRDefault="005F0690" w:rsidP="00853F0E">
            <w:pPr>
              <w:rPr>
                <w:rFonts w:ascii="Calibri" w:eastAsia="DengXian" w:hAnsi="Calibri" w:cs="Arial"/>
                <w:sz w:val="16"/>
                <w:szCs w:val="16"/>
              </w:rPr>
            </w:pPr>
            <w:r>
              <w:rPr>
                <w:rFonts w:ascii="Calibri" w:eastAsia="DengXian" w:hAnsi="Calibri" w:cs="Arial"/>
                <w:sz w:val="16"/>
                <w:szCs w:val="16"/>
              </w:rPr>
              <w:t xml:space="preserve">Alpha-2 </w:t>
            </w:r>
            <w:r w:rsidR="00853F0E" w:rsidRPr="00853F0E">
              <w:rPr>
                <w:rFonts w:ascii="Calibri" w:eastAsia="DengXian" w:hAnsi="Calibri" w:cs="Arial"/>
                <w:sz w:val="16"/>
                <w:szCs w:val="16"/>
              </w:rPr>
              <w:t>adrenoceptor agonist</w:t>
            </w:r>
            <w:r w:rsidR="00853F0E">
              <w:rPr>
                <w:rFonts w:ascii="Calibri" w:eastAsia="DengXian" w:hAnsi="Calibri" w:cs="Arial"/>
                <w:sz w:val="16"/>
                <w:szCs w:val="16"/>
              </w:rPr>
              <w:t xml:space="preserve">s </w:t>
            </w:r>
            <w:r w:rsidR="004423A9" w:rsidRPr="002D67E7">
              <w:rPr>
                <w:rFonts w:ascii="Calibri" w:eastAsia="DengXian" w:hAnsi="Calibri" w:cs="Arial"/>
                <w:sz w:val="16"/>
                <w:szCs w:val="16"/>
              </w:rPr>
              <w:t>for sedation (dexmedetomidine vs clonidine or combined) vs propofol or benzodiazepines (such as midazolam, lorazepam, and diazepam)</w:t>
            </w:r>
          </w:p>
        </w:tc>
        <w:tc>
          <w:tcPr>
            <w:tcW w:w="4536" w:type="dxa"/>
            <w:shd w:val="clear" w:color="auto" w:fill="auto"/>
          </w:tcPr>
          <w:p w14:paraId="046E08D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 (timing not reported); ICU length of stay; Mortality. Other: adverse events, bradycardia, tachycardia, hypertension, hypotension, self-extubation</w:t>
            </w:r>
          </w:p>
        </w:tc>
        <w:tc>
          <w:tcPr>
            <w:tcW w:w="2835" w:type="dxa"/>
          </w:tcPr>
          <w:p w14:paraId="0D1E9341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5A3EE9B6" w14:textId="6903E9C5" w:rsidTr="00CC09E4">
        <w:tc>
          <w:tcPr>
            <w:tcW w:w="1838" w:type="dxa"/>
            <w:shd w:val="clear" w:color="auto" w:fill="auto"/>
          </w:tcPr>
          <w:p w14:paraId="59B8C6B4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Cuninghame 2023</w:t>
            </w:r>
          </w:p>
          <w:p w14:paraId="20ABDE9B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(13 studies; 8 RCTs)</w:t>
            </w:r>
          </w:p>
        </w:tc>
        <w:tc>
          <w:tcPr>
            <w:tcW w:w="4678" w:type="dxa"/>
            <w:shd w:val="clear" w:color="auto" w:fill="auto"/>
          </w:tcPr>
          <w:p w14:paraId="7C87936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Inhaled anaesthetics</w:t>
            </w:r>
            <w:r w:rsidRPr="002D67E7">
              <w:rPr>
                <w:rFonts w:ascii="AdvCaeciliaRm" w:eastAsia="DengXian" w:hAnsi="AdvCaeciliaRm" w:cs="AdvCaeciliaRm"/>
                <w:sz w:val="16"/>
                <w:szCs w:val="16"/>
              </w:rPr>
              <w:t xml:space="preserve"> 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>(sevoflurane, isoflurane, or desflurane) for sedation. Volatile anaesthetics vs intravenous anaesthesia (e.g., propofol, midazolam)</w:t>
            </w:r>
          </w:p>
        </w:tc>
        <w:tc>
          <w:tcPr>
            <w:tcW w:w="4536" w:type="dxa"/>
            <w:shd w:val="clear" w:color="auto" w:fill="auto"/>
          </w:tcPr>
          <w:p w14:paraId="782EF856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</w:t>
            </w:r>
          </w:p>
          <w:p w14:paraId="3CF9E950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5A787575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2C1D81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258BD3E8" w14:textId="7574D020" w:rsidTr="00CC09E4">
        <w:tc>
          <w:tcPr>
            <w:tcW w:w="1838" w:type="dxa"/>
            <w:shd w:val="clear" w:color="auto" w:fill="auto"/>
          </w:tcPr>
          <w:p w14:paraId="3A98CDA6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Dong 2020 (7) </w:t>
            </w:r>
          </w:p>
        </w:tc>
        <w:tc>
          <w:tcPr>
            <w:tcW w:w="4678" w:type="dxa"/>
            <w:shd w:val="clear" w:color="auto" w:fill="auto"/>
          </w:tcPr>
          <w:p w14:paraId="13162DAD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midazolam/propofol, lorazepam, midazolam or ‘unclear’</w:t>
            </w:r>
          </w:p>
        </w:tc>
        <w:tc>
          <w:tcPr>
            <w:tcW w:w="4536" w:type="dxa"/>
            <w:shd w:val="clear" w:color="auto" w:fill="auto"/>
          </w:tcPr>
          <w:p w14:paraId="54E30D8E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ICU length of stay; Mortality. Other: adverse events</w:t>
            </w:r>
          </w:p>
        </w:tc>
        <w:tc>
          <w:tcPr>
            <w:tcW w:w="2835" w:type="dxa"/>
          </w:tcPr>
          <w:p w14:paraId="1D615BE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5EBA6239" w14:textId="3B0F858F" w:rsidTr="00CC09E4">
        <w:tc>
          <w:tcPr>
            <w:tcW w:w="1838" w:type="dxa"/>
            <w:shd w:val="clear" w:color="auto" w:fill="auto"/>
          </w:tcPr>
          <w:p w14:paraId="004D4486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Duan 2023 (6 studies; 4 RCTs)</w:t>
            </w:r>
          </w:p>
        </w:tc>
        <w:tc>
          <w:tcPr>
            <w:tcW w:w="4678" w:type="dxa"/>
            <w:shd w:val="clear" w:color="auto" w:fill="auto"/>
          </w:tcPr>
          <w:p w14:paraId="2F4A88F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Melatonin vs placebo</w:t>
            </w:r>
          </w:p>
          <w:p w14:paraId="59756617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07DA59F9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Mortality </w:t>
            </w:r>
          </w:p>
        </w:tc>
        <w:tc>
          <w:tcPr>
            <w:tcW w:w="2835" w:type="dxa"/>
          </w:tcPr>
          <w:p w14:paraId="5D839437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23876494" w14:textId="1BD9F6F2" w:rsidTr="00CC09E4">
        <w:tc>
          <w:tcPr>
            <w:tcW w:w="1838" w:type="dxa"/>
            <w:shd w:val="clear" w:color="auto" w:fill="auto"/>
          </w:tcPr>
          <w:p w14:paraId="2F570A76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Fan 2017 (16) </w:t>
            </w:r>
          </w:p>
        </w:tc>
        <w:tc>
          <w:tcPr>
            <w:tcW w:w="4678" w:type="dxa"/>
            <w:shd w:val="clear" w:color="auto" w:fill="auto"/>
          </w:tcPr>
          <w:p w14:paraId="39391DF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propofol or placebo</w:t>
            </w:r>
          </w:p>
        </w:tc>
        <w:tc>
          <w:tcPr>
            <w:tcW w:w="4536" w:type="dxa"/>
            <w:shd w:val="clear" w:color="auto" w:fill="auto"/>
          </w:tcPr>
          <w:p w14:paraId="5F3F8969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prevalence; ICU length of stay; Hospital length of stay. Other: adverse events, hypotension, bradycardia, tachycardia</w:t>
            </w:r>
          </w:p>
        </w:tc>
        <w:tc>
          <w:tcPr>
            <w:tcW w:w="2835" w:type="dxa"/>
          </w:tcPr>
          <w:p w14:paraId="13E36A26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3D43BEA0" w14:textId="166BEB2E" w:rsidTr="00CC09E4">
        <w:tc>
          <w:tcPr>
            <w:tcW w:w="1838" w:type="dxa"/>
            <w:shd w:val="clear" w:color="auto" w:fill="auto"/>
          </w:tcPr>
          <w:p w14:paraId="1C2A36AB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lastRenderedPageBreak/>
              <w:t>Flukiger 2018 (28;  incidence (25 RCTs); treatment (3 RCTs))</w:t>
            </w:r>
          </w:p>
        </w:tc>
        <w:tc>
          <w:tcPr>
            <w:tcW w:w="4678" w:type="dxa"/>
            <w:shd w:val="clear" w:color="auto" w:fill="auto"/>
          </w:tcPr>
          <w:p w14:paraId="1A7FFABE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any comparator. (Comparator divided as placebo, standard sedatives (including propofol, midazolam, and lorazepam), and opioids (including morphine and remifentanil))</w:t>
            </w:r>
          </w:p>
        </w:tc>
        <w:tc>
          <w:tcPr>
            <w:tcW w:w="4536" w:type="dxa"/>
            <w:shd w:val="clear" w:color="auto" w:fill="auto"/>
          </w:tcPr>
          <w:p w14:paraId="3AC2FC7A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for treatment: Delirium resolution; ICU length of stay. Other: adverse events including mortality</w:t>
            </w:r>
          </w:p>
          <w:p w14:paraId="655CA9A9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2EE5B454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52A001A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4423A9" w:rsidRPr="002D67E7" w14:paraId="310E588B" w14:textId="7752CEB7" w:rsidTr="00CC09E4">
        <w:tc>
          <w:tcPr>
            <w:tcW w:w="1838" w:type="dxa"/>
            <w:shd w:val="clear" w:color="auto" w:fill="auto"/>
          </w:tcPr>
          <w:p w14:paraId="6AF4DE3C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Fraser 2013 (6)</w:t>
            </w:r>
          </w:p>
          <w:p w14:paraId="4EFE8308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14F59EA7" w14:textId="3308765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Benzodiazepine vs non-benzodiazepine-based sedation</w:t>
            </w:r>
            <w:r w:rsidR="005F0690">
              <w:rPr>
                <w:rFonts w:ascii="Calibri" w:eastAsia="DengXian" w:hAnsi="Calibri" w:cs="Arial"/>
                <w:sz w:val="16"/>
                <w:szCs w:val="16"/>
              </w:rPr>
              <w:t xml:space="preserve"> 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>(dexmedetomidine vs midazolam; midazolam vs propofol; lorazepam vs propofol; dexmedetomidine vs lorazepam)</w:t>
            </w:r>
          </w:p>
        </w:tc>
        <w:tc>
          <w:tcPr>
            <w:tcW w:w="4536" w:type="dxa"/>
            <w:shd w:val="clear" w:color="auto" w:fill="auto"/>
          </w:tcPr>
          <w:p w14:paraId="2DD430DB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Delirium prevalence (during ICU stay); ICU length of stay; Mortality </w:t>
            </w:r>
          </w:p>
          <w:p w14:paraId="40630046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ED14A8D" w14:textId="77777777" w:rsidR="004423A9" w:rsidRPr="002D67E7" w:rsidRDefault="004423A9" w:rsidP="002D67E7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78961CE8" w14:textId="7E25D7AA" w:rsidTr="00CC09E4">
        <w:tc>
          <w:tcPr>
            <w:tcW w:w="1838" w:type="dxa"/>
            <w:shd w:val="clear" w:color="auto" w:fill="auto"/>
          </w:tcPr>
          <w:p w14:paraId="0E67A18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Herling 2018 (12; 8 drug/sedation strategy RCTs)</w:t>
            </w:r>
          </w:p>
        </w:tc>
        <w:tc>
          <w:tcPr>
            <w:tcW w:w="4678" w:type="dxa"/>
            <w:shd w:val="clear" w:color="auto" w:fill="auto"/>
          </w:tcPr>
          <w:p w14:paraId="61932B65" w14:textId="273EB174" w:rsidR="00AD7FB0" w:rsidRPr="002D67E7" w:rsidRDefault="00AD7FB0" w:rsidP="001262B9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‘any non-pharmacological</w:t>
            </w:r>
            <w:r w:rsidR="001262B9">
              <w:rPr>
                <w:rFonts w:ascii="Calibri" w:eastAsia="DengXian" w:hAnsi="Calibri" w:cs="Arial"/>
                <w:sz w:val="16"/>
                <w:szCs w:val="16"/>
              </w:rPr>
              <w:t xml:space="preserve"> 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>intervention, single or multicomponent, including cognitive training i.e. digit span forwards/backwards, letter-number sequences, sudokus, early mobilization, modification of ICU environment through lighting or ear plugs, physical therapy or pharmacological interventions, or both’ vs standard care, placebo, or both</w:t>
            </w:r>
          </w:p>
        </w:tc>
        <w:tc>
          <w:tcPr>
            <w:tcW w:w="4536" w:type="dxa"/>
            <w:shd w:val="clear" w:color="auto" w:fill="auto"/>
          </w:tcPr>
          <w:p w14:paraId="65F49E4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Rate of ICU delirium (in 28 days); ICU length of stay; Mortality </w:t>
            </w:r>
          </w:p>
          <w:p w14:paraId="7469DD4A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1C5B609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CCF89CD" w14:textId="6A29AA55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>
              <w:rPr>
                <w:rFonts w:ascii="Calibri" w:eastAsia="DengXian" w:hAnsi="Calibri" w:cs="Arial"/>
                <w:sz w:val="16"/>
                <w:szCs w:val="16"/>
              </w:rPr>
              <w:t>D</w:t>
            </w:r>
            <w:r w:rsidRPr="00AD7FB0">
              <w:rPr>
                <w:rFonts w:ascii="Calibri" w:eastAsia="DengXian" w:hAnsi="Calibri" w:cs="Arial"/>
                <w:sz w:val="16"/>
                <w:szCs w:val="16"/>
              </w:rPr>
              <w:t>elirium-free and coma-free days</w:t>
            </w:r>
          </w:p>
        </w:tc>
      </w:tr>
      <w:tr w:rsidR="00AD7FB0" w:rsidRPr="002D67E7" w14:paraId="173B7170" w14:textId="10E62676" w:rsidTr="00CC09E4">
        <w:tc>
          <w:tcPr>
            <w:tcW w:w="1838" w:type="dxa"/>
            <w:shd w:val="clear" w:color="auto" w:fill="auto"/>
          </w:tcPr>
          <w:p w14:paraId="31DFE12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Heybati 2022 (41) </w:t>
            </w:r>
          </w:p>
        </w:tc>
        <w:tc>
          <w:tcPr>
            <w:tcW w:w="4678" w:type="dxa"/>
            <w:shd w:val="clear" w:color="auto" w:fill="auto"/>
          </w:tcPr>
          <w:p w14:paraId="74CC516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propofol</w:t>
            </w:r>
          </w:p>
          <w:p w14:paraId="5D5ADE6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0212686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ICU delirium incidence; Duration of delirium; ICU length of stay; Mortality. Other: adverse events, bradycardia, tachycardia, hypotension, hypertension</w:t>
            </w:r>
          </w:p>
        </w:tc>
        <w:tc>
          <w:tcPr>
            <w:tcW w:w="2835" w:type="dxa"/>
          </w:tcPr>
          <w:p w14:paraId="685E3E0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40DE79F2" w14:textId="027F79FA" w:rsidTr="00CC09E4">
        <w:tc>
          <w:tcPr>
            <w:tcW w:w="1838" w:type="dxa"/>
            <w:shd w:val="clear" w:color="auto" w:fill="auto"/>
          </w:tcPr>
          <w:p w14:paraId="5E7B968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Huang 2023 (9)</w:t>
            </w:r>
          </w:p>
        </w:tc>
        <w:tc>
          <w:tcPr>
            <w:tcW w:w="4678" w:type="dxa"/>
            <w:shd w:val="clear" w:color="auto" w:fill="auto"/>
          </w:tcPr>
          <w:p w14:paraId="4649A1EA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Haloperidol vs placebo or ‘no any type of intervention’</w:t>
            </w:r>
          </w:p>
        </w:tc>
        <w:tc>
          <w:tcPr>
            <w:tcW w:w="4536" w:type="dxa"/>
            <w:shd w:val="clear" w:color="auto" w:fill="auto"/>
          </w:tcPr>
          <w:p w14:paraId="11D559B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ICU length of stay; Hospital length of stay; Mortality (with/without Delirium). Other: adverse events</w:t>
            </w:r>
          </w:p>
        </w:tc>
        <w:tc>
          <w:tcPr>
            <w:tcW w:w="2835" w:type="dxa"/>
          </w:tcPr>
          <w:p w14:paraId="6F772BF5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19BB841C" w14:textId="49DE426D" w:rsidTr="00CC09E4">
        <w:tc>
          <w:tcPr>
            <w:tcW w:w="1838" w:type="dxa"/>
            <w:shd w:val="clear" w:color="auto" w:fill="auto"/>
          </w:tcPr>
          <w:p w14:paraId="31F91DE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Leigh 2019 (3)</w:t>
            </w:r>
          </w:p>
          <w:p w14:paraId="3CFD948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6737651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Any pharmacological intervention (including ‘atypical and typical antipsychotics, such as, but not limited to, haloperidol, quetiapine and olanzapine; benzodiazepines, such as, but not limited to, diazepam and midazolam; sedatives, such as, but not limited to, propofol; and alpha-agonists, such as, but not limited to, dexmedetomidine and clonidine.’ Drug comparators including any two pharmacological interventions from the previously mentioned classes of drugs)</w:t>
            </w:r>
          </w:p>
        </w:tc>
        <w:tc>
          <w:tcPr>
            <w:tcW w:w="4536" w:type="dxa"/>
            <w:shd w:val="clear" w:color="auto" w:fill="auto"/>
          </w:tcPr>
          <w:p w14:paraId="532F0F95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-</w:t>
            </w:r>
          </w:p>
          <w:p w14:paraId="4F759F3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6E6AFEB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EA73A1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9AC9D51" w14:textId="206BA2A7" w:rsidTr="00CC09E4">
        <w:tc>
          <w:tcPr>
            <w:tcW w:w="1838" w:type="dxa"/>
            <w:shd w:val="clear" w:color="auto" w:fill="auto"/>
          </w:tcPr>
          <w:p w14:paraId="49C7EBE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Lewis 2021 (12)</w:t>
            </w:r>
          </w:p>
        </w:tc>
        <w:tc>
          <w:tcPr>
            <w:tcW w:w="4678" w:type="dxa"/>
            <w:shd w:val="clear" w:color="auto" w:fill="auto"/>
          </w:tcPr>
          <w:p w14:paraId="15B2E76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another sedative (including, but not limited to, propofol, antipsychotics, opioids, or benzodiazepines) or placebo</w:t>
            </w:r>
          </w:p>
        </w:tc>
        <w:tc>
          <w:tcPr>
            <w:tcW w:w="4536" w:type="dxa"/>
            <w:shd w:val="clear" w:color="auto" w:fill="auto"/>
          </w:tcPr>
          <w:p w14:paraId="0B64EB8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Risk of delirium (during ICU stay); ICU length of stay; Mortality. Other: adverse events, pneumonia, bradycardia, hypotension</w:t>
            </w:r>
          </w:p>
        </w:tc>
        <w:tc>
          <w:tcPr>
            <w:tcW w:w="2835" w:type="dxa"/>
          </w:tcPr>
          <w:p w14:paraId="5C4B998A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07701344" w14:textId="5B4E17CD" w:rsidTr="00CC09E4">
        <w:tc>
          <w:tcPr>
            <w:tcW w:w="1838" w:type="dxa"/>
            <w:shd w:val="clear" w:color="auto" w:fill="auto"/>
          </w:tcPr>
          <w:p w14:paraId="2E1C0F4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Lewis 2022 (77)</w:t>
            </w:r>
          </w:p>
        </w:tc>
        <w:tc>
          <w:tcPr>
            <w:tcW w:w="4678" w:type="dxa"/>
            <w:shd w:val="clear" w:color="auto" w:fill="auto"/>
          </w:tcPr>
          <w:p w14:paraId="058220DC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another sedative, usual care, or placebo</w:t>
            </w:r>
          </w:p>
        </w:tc>
        <w:tc>
          <w:tcPr>
            <w:tcW w:w="4536" w:type="dxa"/>
            <w:shd w:val="clear" w:color="auto" w:fill="auto"/>
          </w:tcPr>
          <w:p w14:paraId="6C334F2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Risk of delirium (timing not reported); ICU length of stay; Hospital length of stay; Mortality. Other: adverse events, any, bradycardia, hypotension, hypertension, self-extubation, agitation</w:t>
            </w:r>
          </w:p>
        </w:tc>
        <w:tc>
          <w:tcPr>
            <w:tcW w:w="2835" w:type="dxa"/>
          </w:tcPr>
          <w:p w14:paraId="5DF3F70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7D8A7B7F" w14:textId="735996EB" w:rsidTr="00CC09E4">
        <w:tc>
          <w:tcPr>
            <w:tcW w:w="1838" w:type="dxa"/>
            <w:shd w:val="clear" w:color="auto" w:fill="auto"/>
          </w:tcPr>
          <w:p w14:paraId="719FBC7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Liu 2021 (15 studies; 10 RCTs</w:t>
            </w:r>
          </w:p>
        </w:tc>
        <w:tc>
          <w:tcPr>
            <w:tcW w:w="4678" w:type="dxa"/>
            <w:shd w:val="clear" w:color="auto" w:fill="auto"/>
          </w:tcPr>
          <w:p w14:paraId="180F0EBC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</w:t>
            </w:r>
            <w:r w:rsidRPr="002D67E7">
              <w:rPr>
                <w:rFonts w:ascii="Times New Roman" w:eastAsia="DengXian" w:hAnsi="Times New Roman" w:cs="Times New Roman"/>
                <w:color w:val="211D1E"/>
                <w:sz w:val="16"/>
                <w:szCs w:val="16"/>
              </w:rPr>
              <w:t xml:space="preserve"> 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>placebo or any other drug for the treatment of delirium</w:t>
            </w:r>
          </w:p>
        </w:tc>
        <w:tc>
          <w:tcPr>
            <w:tcW w:w="4536" w:type="dxa"/>
            <w:shd w:val="clear" w:color="auto" w:fill="auto"/>
          </w:tcPr>
          <w:p w14:paraId="14B4F79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point-prevalence after treatment (last time point); Time to resolution of delirium (hours); ICU length of stay. Other: adverse events, hypotension, bradycardia</w:t>
            </w:r>
          </w:p>
        </w:tc>
        <w:tc>
          <w:tcPr>
            <w:tcW w:w="2835" w:type="dxa"/>
          </w:tcPr>
          <w:p w14:paraId="4EFFB67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E4C3C7E" w14:textId="43081899" w:rsidTr="00CC09E4">
        <w:tc>
          <w:tcPr>
            <w:tcW w:w="1838" w:type="dxa"/>
            <w:shd w:val="clear" w:color="auto" w:fill="auto"/>
          </w:tcPr>
          <w:p w14:paraId="44B0A0B6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Liu 2023 (9 studies; 4 RCTs)</w:t>
            </w:r>
          </w:p>
          <w:p w14:paraId="47123D6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21CAB01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Olanzapine vs ‘other interventions, including routine care (no intervention), nonpharmaceutical interventions and pharmaceutical interventions’</w:t>
            </w:r>
          </w:p>
        </w:tc>
        <w:tc>
          <w:tcPr>
            <w:tcW w:w="4536" w:type="dxa"/>
            <w:shd w:val="clear" w:color="auto" w:fill="auto"/>
          </w:tcPr>
          <w:p w14:paraId="77D194F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duration meta-analysed but the index comparator was a traditional Chinese medicine (Taohe Chengqi Decoction) in 1 of 2 included RCTs. Other: overall adverse events included Taohe Chengqi Decoction as the comparator in 1 of 3 included RCTs</w:t>
            </w:r>
          </w:p>
        </w:tc>
        <w:tc>
          <w:tcPr>
            <w:tcW w:w="2835" w:type="dxa"/>
          </w:tcPr>
          <w:p w14:paraId="28A47ADA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3A4C36D" w14:textId="4909CBCB" w:rsidTr="00CC09E4">
        <w:tc>
          <w:tcPr>
            <w:tcW w:w="1838" w:type="dxa"/>
            <w:shd w:val="clear" w:color="auto" w:fill="auto"/>
          </w:tcPr>
          <w:p w14:paraId="0DB97E5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Lonergan 2009 (1)</w:t>
            </w:r>
          </w:p>
        </w:tc>
        <w:tc>
          <w:tcPr>
            <w:tcW w:w="4678" w:type="dxa"/>
            <w:shd w:val="clear" w:color="auto" w:fill="auto"/>
          </w:tcPr>
          <w:p w14:paraId="202FF3B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‘benzodiazepines, of any dosage, compared with placebo or another drug’ short-acting benzodiazepine, lorazepam vs selective</w:t>
            </w:r>
          </w:p>
          <w:p w14:paraId="6AA6A5B3" w14:textId="3668249F" w:rsidR="00AD7FB0" w:rsidRPr="002D67E7" w:rsidRDefault="00853F0E" w:rsidP="00853F0E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853F0E">
              <w:rPr>
                <w:rFonts w:ascii="Calibri" w:eastAsia="DengXian" w:hAnsi="Calibri" w:cs="Arial"/>
                <w:sz w:val="16"/>
                <w:szCs w:val="16"/>
              </w:rPr>
              <w:t>α2-adrenoceptor agonist</w:t>
            </w:r>
            <w:r w:rsidR="00AD7FB0" w:rsidRPr="002D67E7">
              <w:rPr>
                <w:rFonts w:ascii="Calibri" w:eastAsia="DengXian" w:hAnsi="Calibri" w:cs="Arial"/>
                <w:sz w:val="16"/>
                <w:szCs w:val="16"/>
              </w:rPr>
              <w:t>, dexmedetomidine</w:t>
            </w:r>
          </w:p>
        </w:tc>
        <w:tc>
          <w:tcPr>
            <w:tcW w:w="4536" w:type="dxa"/>
            <w:shd w:val="clear" w:color="auto" w:fill="auto"/>
          </w:tcPr>
          <w:p w14:paraId="162FB08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-</w:t>
            </w:r>
          </w:p>
          <w:p w14:paraId="3E93DF1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49E364F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7DC1958" w14:textId="28F62383" w:rsidR="00AD7FB0" w:rsidRPr="002D67E7" w:rsidRDefault="00681BC4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681BC4">
              <w:rPr>
                <w:rFonts w:ascii="Calibri" w:eastAsia="DengXian" w:hAnsi="Calibri" w:cs="Arial"/>
                <w:sz w:val="16"/>
                <w:szCs w:val="16"/>
              </w:rPr>
              <w:t>Duration of coma- and delirium-free days</w:t>
            </w:r>
            <w:r>
              <w:rPr>
                <w:rFonts w:ascii="Calibri" w:eastAsia="DengXian" w:hAnsi="Calibri" w:cs="Arial"/>
                <w:sz w:val="16"/>
                <w:szCs w:val="16"/>
              </w:rPr>
              <w:t xml:space="preserve">; </w:t>
            </w:r>
            <w:r w:rsidRPr="00681BC4">
              <w:rPr>
                <w:rFonts w:ascii="Calibri" w:eastAsia="DengXian" w:hAnsi="Calibri" w:cs="Arial"/>
                <w:sz w:val="16"/>
                <w:szCs w:val="16"/>
              </w:rPr>
              <w:t>Prevalence of delirium or coma</w:t>
            </w:r>
          </w:p>
        </w:tc>
      </w:tr>
      <w:tr w:rsidR="00AD7FB0" w:rsidRPr="002D67E7" w14:paraId="05BFA072" w14:textId="71C4FC57" w:rsidTr="00CC09E4">
        <w:tc>
          <w:tcPr>
            <w:tcW w:w="1838" w:type="dxa"/>
            <w:shd w:val="clear" w:color="auto" w:fill="auto"/>
          </w:tcPr>
          <w:p w14:paraId="52E9FDD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Long 2020 (18 studies; 10 RCTs)</w:t>
            </w:r>
          </w:p>
        </w:tc>
        <w:tc>
          <w:tcPr>
            <w:tcW w:w="4678" w:type="dxa"/>
            <w:shd w:val="clear" w:color="auto" w:fill="auto"/>
          </w:tcPr>
          <w:p w14:paraId="75BB373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Lighter sedation vs Deeper sedation</w:t>
            </w:r>
          </w:p>
          <w:p w14:paraId="2A42B96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5CCED49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Mortality. Other: adverse events, agitation-related adverse events</w:t>
            </w:r>
          </w:p>
        </w:tc>
        <w:tc>
          <w:tcPr>
            <w:tcW w:w="2835" w:type="dxa"/>
          </w:tcPr>
          <w:p w14:paraId="2D11785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74A89BEC" w14:textId="12434AD9" w:rsidTr="00CC09E4">
        <w:tc>
          <w:tcPr>
            <w:tcW w:w="1838" w:type="dxa"/>
            <w:shd w:val="clear" w:color="auto" w:fill="auto"/>
          </w:tcPr>
          <w:p w14:paraId="237AF03C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lastRenderedPageBreak/>
              <w:t>Luo 2019 (9 studies; 2 RCTs)</w:t>
            </w:r>
          </w:p>
        </w:tc>
        <w:tc>
          <w:tcPr>
            <w:tcW w:w="4678" w:type="dxa"/>
            <w:shd w:val="clear" w:color="auto" w:fill="auto"/>
          </w:tcPr>
          <w:p w14:paraId="3E5EF7D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Any member of the   statin family within the licensed dose range vs placebo</w:t>
            </w:r>
          </w:p>
        </w:tc>
        <w:tc>
          <w:tcPr>
            <w:tcW w:w="4536" w:type="dxa"/>
            <w:shd w:val="clear" w:color="auto" w:fill="auto"/>
          </w:tcPr>
          <w:p w14:paraId="5C56452C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 (daily delirium status in intensive care up to 28 days)</w:t>
            </w:r>
          </w:p>
        </w:tc>
        <w:tc>
          <w:tcPr>
            <w:tcW w:w="2835" w:type="dxa"/>
          </w:tcPr>
          <w:p w14:paraId="3A9B301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228B91DD" w14:textId="6E9194BC" w:rsidTr="00CC09E4">
        <w:tc>
          <w:tcPr>
            <w:tcW w:w="1838" w:type="dxa"/>
            <w:shd w:val="clear" w:color="auto" w:fill="auto"/>
          </w:tcPr>
          <w:p w14:paraId="03729F0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Marra 2021</w:t>
            </w:r>
          </w:p>
          <w:p w14:paraId="5F4A9CF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(7 or 8; 7 with study information) </w:t>
            </w:r>
          </w:p>
        </w:tc>
        <w:tc>
          <w:tcPr>
            <w:tcW w:w="4678" w:type="dxa"/>
            <w:shd w:val="clear" w:color="auto" w:fill="auto"/>
          </w:tcPr>
          <w:p w14:paraId="4C757585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Haloperidol vs placebo</w:t>
            </w:r>
          </w:p>
          <w:p w14:paraId="512A407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5CF7E43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2CFA89F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</w:t>
            </w:r>
            <w:r w:rsidRPr="002D67E7">
              <w:rPr>
                <w:rFonts w:ascii="TimesNewRomanPSMT" w:eastAsia="DengXian" w:hAnsi="TimesNewRomanPSMT" w:cs="TimesNewRomanPSMT"/>
                <w:sz w:val="16"/>
                <w:szCs w:val="16"/>
              </w:rPr>
              <w:t xml:space="preserve"> 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Delirium duration; ICU length of stay; Hospital length of stay; Mortality. Other: adverse events, extrapyramidal effects </w:t>
            </w:r>
          </w:p>
        </w:tc>
        <w:tc>
          <w:tcPr>
            <w:tcW w:w="2835" w:type="dxa"/>
          </w:tcPr>
          <w:p w14:paraId="6203E615" w14:textId="5E129082" w:rsidR="00AD7FB0" w:rsidRPr="002D67E7" w:rsidRDefault="00B31B49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>
              <w:rPr>
                <w:rFonts w:ascii="Calibri" w:eastAsia="DengXian" w:hAnsi="Calibri" w:cs="Arial"/>
                <w:sz w:val="16"/>
                <w:szCs w:val="16"/>
              </w:rPr>
              <w:t>D</w:t>
            </w:r>
            <w:r w:rsidRPr="00AD7FB0">
              <w:rPr>
                <w:rFonts w:ascii="Calibri" w:eastAsia="DengXian" w:hAnsi="Calibri" w:cs="Arial"/>
                <w:sz w:val="16"/>
                <w:szCs w:val="16"/>
              </w:rPr>
              <w:t>elirium-free and coma-free days</w:t>
            </w:r>
          </w:p>
        </w:tc>
      </w:tr>
      <w:tr w:rsidR="00AD7FB0" w:rsidRPr="002D67E7" w14:paraId="642C6608" w14:textId="4A9EA226" w:rsidTr="00CC09E4">
        <w:tc>
          <w:tcPr>
            <w:tcW w:w="1838" w:type="dxa"/>
            <w:shd w:val="clear" w:color="auto" w:fill="auto"/>
          </w:tcPr>
          <w:p w14:paraId="5F67898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Mukundarajan 2023 (12)</w:t>
            </w:r>
          </w:p>
        </w:tc>
        <w:tc>
          <w:tcPr>
            <w:tcW w:w="4678" w:type="dxa"/>
            <w:shd w:val="clear" w:color="auto" w:fill="auto"/>
          </w:tcPr>
          <w:p w14:paraId="2214BDE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Prophylactic melatonin or ramelteon (melatonergics) vs placebo or ‘standard therapy’ </w:t>
            </w:r>
          </w:p>
        </w:tc>
        <w:tc>
          <w:tcPr>
            <w:tcW w:w="4536" w:type="dxa"/>
            <w:shd w:val="clear" w:color="auto" w:fill="auto"/>
          </w:tcPr>
          <w:p w14:paraId="10C59B3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ICU length of stay; Hospital length of stay; Mortality; Delirium severity</w:t>
            </w:r>
          </w:p>
          <w:p w14:paraId="07E12A9C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2BF629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242247F3" w14:textId="433561EA" w:rsidTr="00CC09E4">
        <w:tc>
          <w:tcPr>
            <w:tcW w:w="1838" w:type="dxa"/>
            <w:shd w:val="clear" w:color="auto" w:fill="auto"/>
          </w:tcPr>
          <w:p w14:paraId="1653261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Nassar 2016 (7)</w:t>
            </w:r>
          </w:p>
        </w:tc>
        <w:tc>
          <w:tcPr>
            <w:tcW w:w="4678" w:type="dxa"/>
            <w:shd w:val="clear" w:color="auto" w:fill="auto"/>
          </w:tcPr>
          <w:p w14:paraId="0EE7EF8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Daily sedation interruption vs Sedation protocols</w:t>
            </w:r>
          </w:p>
        </w:tc>
        <w:tc>
          <w:tcPr>
            <w:tcW w:w="4536" w:type="dxa"/>
            <w:shd w:val="clear" w:color="auto" w:fill="auto"/>
          </w:tcPr>
          <w:p w14:paraId="72DD055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Delirium occurrence/ Prevalence of delirium; Mortality </w:t>
            </w:r>
          </w:p>
        </w:tc>
        <w:tc>
          <w:tcPr>
            <w:tcW w:w="2835" w:type="dxa"/>
          </w:tcPr>
          <w:p w14:paraId="71FA36E8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69B60142" w14:textId="27194783" w:rsidTr="00CC09E4">
        <w:tc>
          <w:tcPr>
            <w:tcW w:w="1838" w:type="dxa"/>
            <w:shd w:val="clear" w:color="auto" w:fill="auto"/>
          </w:tcPr>
          <w:p w14:paraId="522F066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Nelson 2015 (3)</w:t>
            </w:r>
          </w:p>
        </w:tc>
        <w:tc>
          <w:tcPr>
            <w:tcW w:w="4678" w:type="dxa"/>
            <w:shd w:val="clear" w:color="auto" w:fill="auto"/>
          </w:tcPr>
          <w:p w14:paraId="7116529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Dexmedetomidine vs other non-dexmedetomidine sedation strategies </w:t>
            </w:r>
          </w:p>
        </w:tc>
        <w:tc>
          <w:tcPr>
            <w:tcW w:w="4536" w:type="dxa"/>
            <w:shd w:val="clear" w:color="auto" w:fill="auto"/>
          </w:tcPr>
          <w:p w14:paraId="006A961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-</w:t>
            </w:r>
          </w:p>
          <w:p w14:paraId="140D9FB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FD92F5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6172CA71" w14:textId="19FA6378" w:rsidTr="00CC09E4">
        <w:tc>
          <w:tcPr>
            <w:tcW w:w="1838" w:type="dxa"/>
            <w:shd w:val="clear" w:color="auto" w:fill="auto"/>
          </w:tcPr>
          <w:p w14:paraId="065B200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Ng 2019 (25)</w:t>
            </w:r>
          </w:p>
        </w:tc>
        <w:tc>
          <w:tcPr>
            <w:tcW w:w="4678" w:type="dxa"/>
            <w:shd w:val="clear" w:color="auto" w:fill="auto"/>
          </w:tcPr>
          <w:p w14:paraId="70E85CA5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placebo</w:t>
            </w:r>
          </w:p>
          <w:p w14:paraId="1D37174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658604C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ICU delirium incidence; ICU length of stay; Hospital length of stay; Mortality. Other: adverse events, bradycardia, hypotension</w:t>
            </w:r>
          </w:p>
        </w:tc>
        <w:tc>
          <w:tcPr>
            <w:tcW w:w="2835" w:type="dxa"/>
          </w:tcPr>
          <w:p w14:paraId="35C6A8E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0B0BAD2" w14:textId="214B0D4C" w:rsidTr="00CC09E4">
        <w:tc>
          <w:tcPr>
            <w:tcW w:w="1838" w:type="dxa"/>
            <w:shd w:val="clear" w:color="auto" w:fill="auto"/>
          </w:tcPr>
          <w:p w14:paraId="0BCD441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Pasin 2014 (13 publications, 14 RCTs)</w:t>
            </w:r>
          </w:p>
        </w:tc>
        <w:tc>
          <w:tcPr>
            <w:tcW w:w="4678" w:type="dxa"/>
            <w:shd w:val="clear" w:color="auto" w:fill="auto"/>
          </w:tcPr>
          <w:p w14:paraId="5CB9130C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any comparator (with subgroup analyses for dexmedetomidine vs midazolam and dexmedetomidine vs propofol)</w:t>
            </w:r>
          </w:p>
        </w:tc>
        <w:tc>
          <w:tcPr>
            <w:tcW w:w="4536" w:type="dxa"/>
            <w:shd w:val="clear" w:color="auto" w:fill="auto"/>
          </w:tcPr>
          <w:p w14:paraId="38C6762F" w14:textId="6E30B1CB" w:rsidR="00AD7FB0" w:rsidRPr="002D67E7" w:rsidRDefault="00C47099" w:rsidP="00C47099">
            <w:pPr>
              <w:rPr>
                <w:rFonts w:ascii="Calibri" w:eastAsia="DengXian" w:hAnsi="Calibri" w:cs="Arial"/>
                <w:sz w:val="16"/>
                <w:szCs w:val="16"/>
              </w:rPr>
            </w:pPr>
            <w:r>
              <w:rPr>
                <w:rFonts w:ascii="Calibri" w:eastAsia="DengXian" w:hAnsi="Calibri" w:cs="Arial"/>
                <w:sz w:val="16"/>
                <w:szCs w:val="16"/>
              </w:rPr>
              <w:t>-</w:t>
            </w:r>
          </w:p>
        </w:tc>
        <w:tc>
          <w:tcPr>
            <w:tcW w:w="2835" w:type="dxa"/>
          </w:tcPr>
          <w:p w14:paraId="1608E472" w14:textId="046EFEF4" w:rsidR="00C47099" w:rsidRPr="002D67E7" w:rsidRDefault="00C47099" w:rsidP="00C47099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incidence/ rate as a composite with agitation and/or confusion</w:t>
            </w:r>
          </w:p>
          <w:p w14:paraId="5749F2DA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28FF2CA6" w14:textId="4AF671A8" w:rsidTr="00CC09E4">
        <w:tc>
          <w:tcPr>
            <w:tcW w:w="1838" w:type="dxa"/>
            <w:shd w:val="clear" w:color="auto" w:fill="auto"/>
          </w:tcPr>
          <w:p w14:paraId="06FBEAA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Peng 2017</w:t>
            </w:r>
          </w:p>
          <w:p w14:paraId="0965AC6A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(6 controlled trials -interpreted as RCTs as ‘adequate sequence generation’)</w:t>
            </w:r>
          </w:p>
        </w:tc>
        <w:tc>
          <w:tcPr>
            <w:tcW w:w="4678" w:type="dxa"/>
            <w:shd w:val="clear" w:color="auto" w:fill="auto"/>
          </w:tcPr>
          <w:p w14:paraId="1C940446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midazolam</w:t>
            </w:r>
          </w:p>
          <w:p w14:paraId="7574B9E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1A0C05B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5A45209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Post-operative delirium risk. Unclear if post-operative delirium (POD) as distinct from ICU delirium</w:t>
            </w:r>
          </w:p>
        </w:tc>
        <w:tc>
          <w:tcPr>
            <w:tcW w:w="2835" w:type="dxa"/>
          </w:tcPr>
          <w:p w14:paraId="6B73196A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FF9F1E7" w14:textId="39A2DA1D" w:rsidTr="00CC09E4">
        <w:tc>
          <w:tcPr>
            <w:tcW w:w="1838" w:type="dxa"/>
            <w:shd w:val="clear" w:color="auto" w:fill="auto"/>
          </w:tcPr>
          <w:p w14:paraId="6060AB3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Pereira 2020 (8 studies; 6 RCTs) </w:t>
            </w:r>
          </w:p>
        </w:tc>
        <w:tc>
          <w:tcPr>
            <w:tcW w:w="4678" w:type="dxa"/>
            <w:shd w:val="clear" w:color="auto" w:fill="auto"/>
          </w:tcPr>
          <w:p w14:paraId="7794CDF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propofol sedation</w:t>
            </w:r>
          </w:p>
          <w:p w14:paraId="22AF7CE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4156F4C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incidence/ occurrence; ICU length of stay; Hospital length of stay. Other: adverse events, hypotension</w:t>
            </w:r>
          </w:p>
        </w:tc>
        <w:tc>
          <w:tcPr>
            <w:tcW w:w="2835" w:type="dxa"/>
          </w:tcPr>
          <w:p w14:paraId="379665E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9F2090A" w14:textId="1FCF05F6" w:rsidTr="00CC09E4">
        <w:tc>
          <w:tcPr>
            <w:tcW w:w="1838" w:type="dxa"/>
            <w:shd w:val="clear" w:color="auto" w:fill="auto"/>
          </w:tcPr>
          <w:p w14:paraId="72C202C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Porhomayon 2015</w:t>
            </w:r>
          </w:p>
          <w:p w14:paraId="17F29B8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(11 studies; 6 RCTs)</w:t>
            </w:r>
          </w:p>
        </w:tc>
        <w:tc>
          <w:tcPr>
            <w:tcW w:w="4678" w:type="dxa"/>
            <w:shd w:val="clear" w:color="auto" w:fill="auto"/>
          </w:tcPr>
          <w:p w14:paraId="5144C20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Heavy vs Light sedation dosing strategies</w:t>
            </w:r>
          </w:p>
          <w:p w14:paraId="55D4BE1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5D8E5F7C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</w:t>
            </w:r>
          </w:p>
        </w:tc>
        <w:tc>
          <w:tcPr>
            <w:tcW w:w="2835" w:type="dxa"/>
          </w:tcPr>
          <w:p w14:paraId="6424820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D31131E" w14:textId="679E7587" w:rsidTr="00CC09E4">
        <w:tc>
          <w:tcPr>
            <w:tcW w:w="1838" w:type="dxa"/>
            <w:shd w:val="clear" w:color="auto" w:fill="auto"/>
          </w:tcPr>
          <w:p w14:paraId="15519B2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Qi 2021 (14 studies; 8 RCTs)</w:t>
            </w:r>
          </w:p>
        </w:tc>
        <w:tc>
          <w:tcPr>
            <w:tcW w:w="4678" w:type="dxa"/>
            <w:shd w:val="clear" w:color="auto" w:fill="auto"/>
          </w:tcPr>
          <w:p w14:paraId="76BADF5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Nurse-led sedation protocols vs Physician-led usual care</w:t>
            </w:r>
          </w:p>
        </w:tc>
        <w:tc>
          <w:tcPr>
            <w:tcW w:w="4536" w:type="dxa"/>
            <w:shd w:val="clear" w:color="auto" w:fill="auto"/>
          </w:tcPr>
          <w:p w14:paraId="7A161BA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ICU length of stay; Mortality</w:t>
            </w:r>
          </w:p>
        </w:tc>
        <w:tc>
          <w:tcPr>
            <w:tcW w:w="2835" w:type="dxa"/>
          </w:tcPr>
          <w:p w14:paraId="450FB47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12390191" w14:textId="068A9C03" w:rsidTr="00CC09E4">
        <w:tc>
          <w:tcPr>
            <w:tcW w:w="1838" w:type="dxa"/>
            <w:shd w:val="clear" w:color="auto" w:fill="auto"/>
          </w:tcPr>
          <w:p w14:paraId="1EB73A3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Sattar 2023 (14)</w:t>
            </w:r>
          </w:p>
        </w:tc>
        <w:tc>
          <w:tcPr>
            <w:tcW w:w="4678" w:type="dxa"/>
            <w:shd w:val="clear" w:color="auto" w:fill="auto"/>
          </w:tcPr>
          <w:p w14:paraId="764050E6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propofol</w:t>
            </w:r>
          </w:p>
          <w:p w14:paraId="1C6C855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0A44F35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Risk of delirium/ Number of patients diagnosed with delirium; ICU length of stay; Hospital length of hospital stay. Other: adverse events, bradycardia, atrial fibrillation, hypotension</w:t>
            </w:r>
          </w:p>
        </w:tc>
        <w:tc>
          <w:tcPr>
            <w:tcW w:w="2835" w:type="dxa"/>
          </w:tcPr>
          <w:p w14:paraId="0E8FD8B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8DB50F0" w14:textId="3F798BBE" w:rsidTr="00CC09E4">
        <w:tc>
          <w:tcPr>
            <w:tcW w:w="1838" w:type="dxa"/>
            <w:shd w:val="clear" w:color="auto" w:fill="auto"/>
          </w:tcPr>
          <w:p w14:paraId="2FFDD5C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Sedhai 2021 (19 studies; 8 RCTs) </w:t>
            </w:r>
          </w:p>
        </w:tc>
        <w:tc>
          <w:tcPr>
            <w:tcW w:w="4678" w:type="dxa"/>
            <w:shd w:val="clear" w:color="auto" w:fill="auto"/>
          </w:tcPr>
          <w:p w14:paraId="37FF967A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Thiamine and standard of care vs placebo and/or standard of care </w:t>
            </w:r>
          </w:p>
        </w:tc>
        <w:tc>
          <w:tcPr>
            <w:tcW w:w="4536" w:type="dxa"/>
            <w:shd w:val="clear" w:color="auto" w:fill="auto"/>
          </w:tcPr>
          <w:p w14:paraId="633C95F8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ICU length of stay; Hospital length of stay; Mortality rate</w:t>
            </w:r>
          </w:p>
          <w:p w14:paraId="26522828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4F2D8C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D27E085" w14:textId="6372510F" w:rsidTr="00CC09E4">
        <w:tc>
          <w:tcPr>
            <w:tcW w:w="1838" w:type="dxa"/>
            <w:shd w:val="clear" w:color="auto" w:fill="auto"/>
          </w:tcPr>
          <w:p w14:paraId="50BCC8D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Serafim 2015</w:t>
            </w:r>
          </w:p>
          <w:p w14:paraId="757124FC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(21 studies; 7 RCTs of ‘treatment’ with one study considered prevention and treatment)</w:t>
            </w:r>
          </w:p>
        </w:tc>
        <w:tc>
          <w:tcPr>
            <w:tcW w:w="4678" w:type="dxa"/>
            <w:shd w:val="clear" w:color="auto" w:fill="auto"/>
          </w:tcPr>
          <w:p w14:paraId="10A4CBB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Mixed index drugs. Comparator not specified at review level (4 RCTs reported to involve a placebo)</w:t>
            </w:r>
          </w:p>
          <w:p w14:paraId="1D26E765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7887D9F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0EC1D57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ICU length of stay. No separate meta-analysis for RCTs/non-RCTs on prevention</w:t>
            </w:r>
          </w:p>
        </w:tc>
        <w:tc>
          <w:tcPr>
            <w:tcW w:w="2835" w:type="dxa"/>
          </w:tcPr>
          <w:p w14:paraId="339C8A56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6FDA2376" w14:textId="1773CF93" w:rsidTr="00CC09E4">
        <w:tc>
          <w:tcPr>
            <w:tcW w:w="1838" w:type="dxa"/>
            <w:shd w:val="clear" w:color="auto" w:fill="auto"/>
          </w:tcPr>
          <w:p w14:paraId="3DDD2C6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Tan 2010 (24)</w:t>
            </w:r>
          </w:p>
          <w:p w14:paraId="68FE30D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7AA4300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placebo or another sedative agent (e.g., propofol or benzodiazepines)</w:t>
            </w:r>
          </w:p>
        </w:tc>
        <w:tc>
          <w:tcPr>
            <w:tcW w:w="4536" w:type="dxa"/>
            <w:shd w:val="clear" w:color="auto" w:fill="auto"/>
          </w:tcPr>
          <w:p w14:paraId="07D41FF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Risk of delirium; ICU length of stay; Hospital length of stay (incompletely reported); Mortality. Other: adverse events, bradycardia, hypotension, atrial fibrillation, nausea and vomiting, myocardial infarction, hyperglycemia</w:t>
            </w:r>
          </w:p>
        </w:tc>
        <w:tc>
          <w:tcPr>
            <w:tcW w:w="2835" w:type="dxa"/>
          </w:tcPr>
          <w:p w14:paraId="50EEF51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62B7C18B" w14:textId="7A3C95FE" w:rsidTr="00CC09E4">
        <w:tc>
          <w:tcPr>
            <w:tcW w:w="1838" w:type="dxa"/>
            <w:shd w:val="clear" w:color="auto" w:fill="auto"/>
          </w:tcPr>
          <w:p w14:paraId="1E8F479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lastRenderedPageBreak/>
              <w:t>Tran 2018 (17 studies; 6 RCTs)</w:t>
            </w:r>
          </w:p>
        </w:tc>
        <w:tc>
          <w:tcPr>
            <w:tcW w:w="4678" w:type="dxa"/>
            <w:shd w:val="clear" w:color="auto" w:fill="auto"/>
          </w:tcPr>
          <w:p w14:paraId="79B9A6D8" w14:textId="5AE7FBDC" w:rsidR="00AD7FB0" w:rsidRPr="002D67E7" w:rsidRDefault="005F0690" w:rsidP="00853F0E">
            <w:pPr>
              <w:rPr>
                <w:rFonts w:ascii="Calibri" w:eastAsia="DengXian" w:hAnsi="Calibri" w:cs="Arial"/>
                <w:sz w:val="16"/>
                <w:szCs w:val="16"/>
              </w:rPr>
            </w:pPr>
            <w:r>
              <w:rPr>
                <w:rFonts w:ascii="Calibri" w:eastAsia="DengXian" w:hAnsi="Calibri" w:cs="Arial"/>
                <w:sz w:val="16"/>
                <w:szCs w:val="16"/>
              </w:rPr>
              <w:t xml:space="preserve">Alpha-2 </w:t>
            </w:r>
            <w:r w:rsidR="00853F0E" w:rsidRPr="00853F0E">
              <w:rPr>
                <w:rFonts w:ascii="Calibri" w:eastAsia="DengXian" w:hAnsi="Calibri" w:cs="Arial"/>
                <w:sz w:val="16"/>
                <w:szCs w:val="16"/>
              </w:rPr>
              <w:t>adrenoceptor agonist</w:t>
            </w:r>
            <w:r w:rsidR="00853F0E">
              <w:rPr>
                <w:rFonts w:ascii="Calibri" w:eastAsia="DengXian" w:hAnsi="Calibri" w:cs="Arial"/>
                <w:sz w:val="16"/>
                <w:szCs w:val="16"/>
              </w:rPr>
              <w:t xml:space="preserve">s </w:t>
            </w:r>
            <w:r w:rsidR="00AD7FB0" w:rsidRPr="002D67E7">
              <w:rPr>
                <w:rFonts w:ascii="Calibri" w:eastAsia="DengXian" w:hAnsi="Calibri" w:cs="Arial"/>
                <w:sz w:val="16"/>
                <w:szCs w:val="16"/>
              </w:rPr>
              <w:t>for ‘non-procedural sedation’ vs any analgo-sedative regimen including but</w:t>
            </w:r>
          </w:p>
          <w:p w14:paraId="6242A18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not limited to propofol, benzodiazepines, opioids, or ketamine</w:t>
            </w:r>
          </w:p>
        </w:tc>
        <w:tc>
          <w:tcPr>
            <w:tcW w:w="4536" w:type="dxa"/>
            <w:shd w:val="clear" w:color="auto" w:fill="auto"/>
          </w:tcPr>
          <w:p w14:paraId="313AC79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-</w:t>
            </w:r>
          </w:p>
          <w:p w14:paraId="370739F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2B472088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153250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F841691" w14:textId="6DC0BC88" w:rsidTr="00CC09E4">
        <w:tc>
          <w:tcPr>
            <w:tcW w:w="1838" w:type="dxa"/>
            <w:shd w:val="clear" w:color="auto" w:fill="auto"/>
          </w:tcPr>
          <w:p w14:paraId="3E88DDE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Wang 2021 (39 publications; 36 RCTs)</w:t>
            </w:r>
          </w:p>
        </w:tc>
        <w:tc>
          <w:tcPr>
            <w:tcW w:w="4678" w:type="dxa"/>
            <w:shd w:val="clear" w:color="auto" w:fill="auto"/>
          </w:tcPr>
          <w:p w14:paraId="23B653D8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Sedation protocols with/without dexmedetomidine (10 studies used a placebo)</w:t>
            </w:r>
          </w:p>
        </w:tc>
        <w:tc>
          <w:tcPr>
            <w:tcW w:w="4536" w:type="dxa"/>
            <w:shd w:val="clear" w:color="auto" w:fill="auto"/>
          </w:tcPr>
          <w:p w14:paraId="24BB464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Risk of delirium; Duration of delirium (days); ICU length of stay; Hospital length of stay; Mortality. Other: adverse events, hypotension, bradycardia, hypoxaemia, hypotension</w:t>
            </w:r>
          </w:p>
        </w:tc>
        <w:tc>
          <w:tcPr>
            <w:tcW w:w="2835" w:type="dxa"/>
          </w:tcPr>
          <w:p w14:paraId="160DADB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6287D35F" w14:textId="25CCF6C1" w:rsidTr="00CC09E4">
        <w:tc>
          <w:tcPr>
            <w:tcW w:w="1838" w:type="dxa"/>
            <w:shd w:val="clear" w:color="auto" w:fill="auto"/>
          </w:tcPr>
          <w:p w14:paraId="49628D6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Wang 2019a (31)</w:t>
            </w:r>
          </w:p>
        </w:tc>
        <w:tc>
          <w:tcPr>
            <w:tcW w:w="4678" w:type="dxa"/>
            <w:shd w:val="clear" w:color="auto" w:fill="auto"/>
          </w:tcPr>
          <w:p w14:paraId="64D82C6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Individual and combined sedative drugs</w:t>
            </w:r>
          </w:p>
          <w:p w14:paraId="542CE9F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5A17EA6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Number of patients with delirium; ICU length of stay; Mortality rate. Other: adverse events, hypotension</w:t>
            </w:r>
          </w:p>
        </w:tc>
        <w:tc>
          <w:tcPr>
            <w:tcW w:w="2835" w:type="dxa"/>
          </w:tcPr>
          <w:p w14:paraId="43231E55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3DF3F30" w14:textId="354F8303" w:rsidTr="00CC09E4">
        <w:tc>
          <w:tcPr>
            <w:tcW w:w="1838" w:type="dxa"/>
            <w:shd w:val="clear" w:color="auto" w:fill="auto"/>
          </w:tcPr>
          <w:p w14:paraId="0FC4C39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Wang 2019b (17 studies; 6 RCTs) </w:t>
            </w:r>
          </w:p>
        </w:tc>
        <w:tc>
          <w:tcPr>
            <w:tcW w:w="4678" w:type="dxa"/>
            <w:shd w:val="clear" w:color="auto" w:fill="auto"/>
          </w:tcPr>
          <w:p w14:paraId="0A8F8CA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Analgesia-based sedation or analgosedation or no sedation. Comparisons included sedation strategies (e.g. none or intermittent vs daily interruption, protocolized vs non-protocolised) and analgesia-based vs hypnotic-based sedation</w:t>
            </w:r>
          </w:p>
        </w:tc>
        <w:tc>
          <w:tcPr>
            <w:tcW w:w="4536" w:type="dxa"/>
            <w:shd w:val="clear" w:color="auto" w:fill="auto"/>
          </w:tcPr>
          <w:p w14:paraId="4012FF7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Delirium incidence/ rate; Mortality </w:t>
            </w:r>
          </w:p>
        </w:tc>
        <w:tc>
          <w:tcPr>
            <w:tcW w:w="2835" w:type="dxa"/>
          </w:tcPr>
          <w:p w14:paraId="4661E5A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78F24B3E" w14:textId="34B41029" w:rsidTr="00CC09E4">
        <w:tc>
          <w:tcPr>
            <w:tcW w:w="1838" w:type="dxa"/>
            <w:shd w:val="clear" w:color="auto" w:fill="auto"/>
          </w:tcPr>
          <w:p w14:paraId="1687EEC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Wu 2022 (5)</w:t>
            </w:r>
          </w:p>
          <w:p w14:paraId="77E10A8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0F5EF2DC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Dexmedetomidine intravenous infusion. Comparator incompletely reported at review level </w:t>
            </w:r>
          </w:p>
        </w:tc>
        <w:tc>
          <w:tcPr>
            <w:tcW w:w="4536" w:type="dxa"/>
            <w:shd w:val="clear" w:color="auto" w:fill="auto"/>
          </w:tcPr>
          <w:p w14:paraId="48978C68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Incidence of ‘restless delirium’; Duration of total delirium after medication; ICU length of stay. Other: adverse events (bradycardia and hypotension)</w:t>
            </w:r>
          </w:p>
        </w:tc>
        <w:tc>
          <w:tcPr>
            <w:tcW w:w="2835" w:type="dxa"/>
          </w:tcPr>
          <w:p w14:paraId="7ADCBC3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5313508B" w14:textId="012DD3EB" w:rsidTr="00CC09E4">
        <w:tc>
          <w:tcPr>
            <w:tcW w:w="1838" w:type="dxa"/>
            <w:shd w:val="clear" w:color="auto" w:fill="auto"/>
          </w:tcPr>
          <w:p w14:paraId="023D8516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  <w:lang w:val="pt-PT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  <w:lang w:val="pt-PT"/>
              </w:rPr>
              <w:t>Xia 2013 (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10) </w:t>
            </w:r>
          </w:p>
        </w:tc>
        <w:tc>
          <w:tcPr>
            <w:tcW w:w="4678" w:type="dxa"/>
            <w:shd w:val="clear" w:color="auto" w:fill="auto"/>
          </w:tcPr>
          <w:p w14:paraId="0D273E5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propofol for sedation</w:t>
            </w:r>
          </w:p>
        </w:tc>
        <w:tc>
          <w:tcPr>
            <w:tcW w:w="4536" w:type="dxa"/>
            <w:shd w:val="clear" w:color="auto" w:fill="auto"/>
          </w:tcPr>
          <w:p w14:paraId="358F3C9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Risk of delirium; ICU length of stay; Mortality. Other: Adverse events, hypotension, bradycardia, hypertension</w:t>
            </w:r>
          </w:p>
        </w:tc>
        <w:tc>
          <w:tcPr>
            <w:tcW w:w="2835" w:type="dxa"/>
          </w:tcPr>
          <w:p w14:paraId="56277F9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16467B03" w14:textId="4455A310" w:rsidTr="00CC09E4">
        <w:tc>
          <w:tcPr>
            <w:tcW w:w="1838" w:type="dxa"/>
            <w:shd w:val="clear" w:color="auto" w:fill="auto"/>
          </w:tcPr>
          <w:p w14:paraId="2705D92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Xing 2018 (8)</w:t>
            </w:r>
          </w:p>
        </w:tc>
        <w:tc>
          <w:tcPr>
            <w:tcW w:w="4678" w:type="dxa"/>
            <w:shd w:val="clear" w:color="auto" w:fill="auto"/>
          </w:tcPr>
          <w:p w14:paraId="2668CC9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Dexmedetomidine vs midazolam/ propofol </w:t>
            </w:r>
          </w:p>
        </w:tc>
        <w:tc>
          <w:tcPr>
            <w:tcW w:w="4536" w:type="dxa"/>
            <w:shd w:val="clear" w:color="auto" w:fill="auto"/>
          </w:tcPr>
          <w:p w14:paraId="1D7E9142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ICU length of stay</w:t>
            </w:r>
          </w:p>
          <w:p w14:paraId="1B974BD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5D6366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790F6421" w14:textId="2DBAF794" w:rsidTr="00CC09E4">
        <w:tc>
          <w:tcPr>
            <w:tcW w:w="1838" w:type="dxa"/>
            <w:shd w:val="clear" w:color="auto" w:fill="auto"/>
          </w:tcPr>
          <w:p w14:paraId="28E9E32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Yan 2022 (12)</w:t>
            </w:r>
          </w:p>
        </w:tc>
        <w:tc>
          <w:tcPr>
            <w:tcW w:w="4678" w:type="dxa"/>
            <w:shd w:val="clear" w:color="auto" w:fill="auto"/>
          </w:tcPr>
          <w:p w14:paraId="2FBB35F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Prophylactic melatonin or melatonin receptor agonists (ramelteon) vs placebo, standard of care or no intervention</w:t>
            </w:r>
          </w:p>
        </w:tc>
        <w:tc>
          <w:tcPr>
            <w:tcW w:w="4536" w:type="dxa"/>
            <w:shd w:val="clear" w:color="auto" w:fill="auto"/>
          </w:tcPr>
          <w:p w14:paraId="3C1126E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prevalence;</w:t>
            </w:r>
            <w:r w:rsidRPr="002D67E7">
              <w:rPr>
                <w:rFonts w:ascii="HelveticaNeueLTStd-Lt" w:eastAsia="DengXian" w:hAnsi="HelveticaNeueLTStd-Lt" w:cs="HelveticaNeueLTStd-Lt"/>
                <w:sz w:val="16"/>
                <w:szCs w:val="16"/>
              </w:rPr>
              <w:t xml:space="preserve"> </w:t>
            </w:r>
            <w:r w:rsidRPr="002D67E7">
              <w:rPr>
                <w:rFonts w:ascii="Calibri" w:eastAsia="DengXian" w:hAnsi="Calibri" w:cs="Arial"/>
                <w:sz w:val="16"/>
                <w:szCs w:val="16"/>
              </w:rPr>
              <w:t>Duration of delirium; ICU length of stay; Hospital length of stay; Mortality</w:t>
            </w:r>
          </w:p>
        </w:tc>
        <w:tc>
          <w:tcPr>
            <w:tcW w:w="2835" w:type="dxa"/>
          </w:tcPr>
          <w:p w14:paraId="78B8B31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7D63E605" w14:textId="60BB80C0" w:rsidTr="00CC09E4">
        <w:tc>
          <w:tcPr>
            <w:tcW w:w="1838" w:type="dxa"/>
            <w:shd w:val="clear" w:color="auto" w:fill="auto"/>
          </w:tcPr>
          <w:p w14:paraId="5E8146D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Yang 2021 (15)</w:t>
            </w:r>
          </w:p>
        </w:tc>
        <w:tc>
          <w:tcPr>
            <w:tcW w:w="4678" w:type="dxa"/>
            <w:shd w:val="clear" w:color="auto" w:fill="auto"/>
          </w:tcPr>
          <w:p w14:paraId="2088765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Remifentanil vs other opioids </w:t>
            </w:r>
          </w:p>
          <w:p w14:paraId="2E2F8F5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719BB46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ICU length of stay; Hospital length of stay; Mortality. Other: adverse events, delirium, nausea/ vomiting, hypotension, dysrhythmia, side effects</w:t>
            </w:r>
          </w:p>
        </w:tc>
        <w:tc>
          <w:tcPr>
            <w:tcW w:w="2835" w:type="dxa"/>
          </w:tcPr>
          <w:p w14:paraId="1447284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12DFC191" w14:textId="08E12687" w:rsidTr="00CC09E4">
        <w:tc>
          <w:tcPr>
            <w:tcW w:w="1838" w:type="dxa"/>
            <w:shd w:val="clear" w:color="auto" w:fill="auto"/>
          </w:tcPr>
          <w:p w14:paraId="7C7C4686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Yiewong 2023 (5)</w:t>
            </w:r>
          </w:p>
          <w:p w14:paraId="46AA747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144402A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Early sedation with dexmedetomidine ‘including nocturnal low-dose intravenous dexmedetomidine infusion’ vs ‘medication other than dexmedetomidine for the promotion of sleep quality. The other medications included but were not confined to propofol, morphine, or a placebo’</w:t>
            </w:r>
          </w:p>
        </w:tc>
        <w:tc>
          <w:tcPr>
            <w:tcW w:w="4536" w:type="dxa"/>
            <w:shd w:val="clear" w:color="auto" w:fill="auto"/>
          </w:tcPr>
          <w:p w14:paraId="10279F3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Delirium incidence </w:t>
            </w:r>
          </w:p>
          <w:p w14:paraId="5B129CF9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  <w:p w14:paraId="741CE08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08FD0C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3AF96233" w14:textId="68482911" w:rsidTr="00CC09E4">
        <w:tc>
          <w:tcPr>
            <w:tcW w:w="1838" w:type="dxa"/>
            <w:shd w:val="clear" w:color="auto" w:fill="auto"/>
          </w:tcPr>
          <w:p w14:paraId="2D1195A5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Zayed 2019 (6)</w:t>
            </w:r>
          </w:p>
        </w:tc>
        <w:tc>
          <w:tcPr>
            <w:tcW w:w="4678" w:type="dxa"/>
            <w:shd w:val="clear" w:color="auto" w:fill="auto"/>
          </w:tcPr>
          <w:p w14:paraId="16A696B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Haloperidol vs placebo</w:t>
            </w:r>
          </w:p>
          <w:p w14:paraId="0FF18231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14:paraId="3F1C47C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ICU length of stay; Mortality. Other: adverse events, serious adverse events, QTc prolongation, extrapyramidal symptoms</w:t>
            </w:r>
          </w:p>
        </w:tc>
        <w:tc>
          <w:tcPr>
            <w:tcW w:w="2835" w:type="dxa"/>
          </w:tcPr>
          <w:p w14:paraId="335C70C8" w14:textId="4331C50C" w:rsidR="00AD7FB0" w:rsidRPr="002D67E7" w:rsidRDefault="009440E2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>
              <w:rPr>
                <w:rFonts w:ascii="Calibri" w:eastAsia="DengXian" w:hAnsi="Calibri" w:cs="Arial"/>
                <w:sz w:val="16"/>
                <w:szCs w:val="16"/>
              </w:rPr>
              <w:t>D</w:t>
            </w:r>
            <w:r w:rsidRPr="00AD7FB0">
              <w:rPr>
                <w:rFonts w:ascii="Calibri" w:eastAsia="DengXian" w:hAnsi="Calibri" w:cs="Arial"/>
                <w:sz w:val="16"/>
                <w:szCs w:val="16"/>
              </w:rPr>
              <w:t>elirium-free and coma-free days</w:t>
            </w:r>
          </w:p>
        </w:tc>
      </w:tr>
      <w:tr w:rsidR="00AD7FB0" w:rsidRPr="002D67E7" w14:paraId="3D6F5848" w14:textId="7C5F68F1" w:rsidTr="00CC09E4">
        <w:tc>
          <w:tcPr>
            <w:tcW w:w="1838" w:type="dxa"/>
            <w:shd w:val="clear" w:color="auto" w:fill="auto"/>
          </w:tcPr>
          <w:p w14:paraId="0C390304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Zhang 2019 (8; 7 ICU) </w:t>
            </w:r>
          </w:p>
        </w:tc>
        <w:tc>
          <w:tcPr>
            <w:tcW w:w="4678" w:type="dxa"/>
            <w:shd w:val="clear" w:color="auto" w:fill="auto"/>
          </w:tcPr>
          <w:p w14:paraId="023564AF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Exogenous melatonin and melatonin receptor agonists (7 studies in ICU were placebo-controlled)</w:t>
            </w:r>
          </w:p>
        </w:tc>
        <w:tc>
          <w:tcPr>
            <w:tcW w:w="4536" w:type="dxa"/>
            <w:shd w:val="clear" w:color="auto" w:fill="auto"/>
          </w:tcPr>
          <w:p w14:paraId="556431D7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Delirium prevalence; ICU length of stay; Mortality </w:t>
            </w:r>
          </w:p>
          <w:p w14:paraId="7FD8DBA5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349DFE8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7BF329A4" w14:textId="741FB8F2" w:rsidTr="00CC09E4">
        <w:tc>
          <w:tcPr>
            <w:tcW w:w="1838" w:type="dxa"/>
            <w:shd w:val="clear" w:color="auto" w:fill="auto"/>
          </w:tcPr>
          <w:p w14:paraId="739A8810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Zhang 2022 (19) </w:t>
            </w:r>
          </w:p>
        </w:tc>
        <w:tc>
          <w:tcPr>
            <w:tcW w:w="4678" w:type="dxa"/>
            <w:shd w:val="clear" w:color="auto" w:fill="auto"/>
          </w:tcPr>
          <w:p w14:paraId="0A62B9B6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Dexmedetomidine vs other sedatives</w:t>
            </w:r>
          </w:p>
        </w:tc>
        <w:tc>
          <w:tcPr>
            <w:tcW w:w="4536" w:type="dxa"/>
            <w:shd w:val="clear" w:color="auto" w:fill="auto"/>
          </w:tcPr>
          <w:p w14:paraId="087B442D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Delirium incidence; ICU length of stay; Mortality. Other: adverse events (total including tachycardia, bradycardia, and hypotension), arrhythmia, hypotension</w:t>
            </w:r>
          </w:p>
        </w:tc>
        <w:tc>
          <w:tcPr>
            <w:tcW w:w="2835" w:type="dxa"/>
          </w:tcPr>
          <w:p w14:paraId="00070AE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  <w:tr w:rsidR="00AD7FB0" w:rsidRPr="002D67E7" w14:paraId="655291D9" w14:textId="29395A64" w:rsidTr="00CC09E4">
        <w:tc>
          <w:tcPr>
            <w:tcW w:w="1838" w:type="dxa"/>
            <w:shd w:val="clear" w:color="auto" w:fill="auto"/>
          </w:tcPr>
          <w:p w14:paraId="3A917AB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Zitikyte 2023 (6)</w:t>
            </w:r>
          </w:p>
          <w:p w14:paraId="7A1E1F0A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  <w:tc>
          <w:tcPr>
            <w:tcW w:w="4678" w:type="dxa"/>
            <w:shd w:val="clear" w:color="auto" w:fill="auto"/>
          </w:tcPr>
          <w:p w14:paraId="7099AAEE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>Any pharmacological interventions</w:t>
            </w:r>
          </w:p>
        </w:tc>
        <w:tc>
          <w:tcPr>
            <w:tcW w:w="4536" w:type="dxa"/>
            <w:shd w:val="clear" w:color="auto" w:fill="auto"/>
          </w:tcPr>
          <w:p w14:paraId="523F66AB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  <w:r w:rsidRPr="002D67E7">
              <w:rPr>
                <w:rFonts w:ascii="Calibri" w:eastAsia="DengXian" w:hAnsi="Calibri" w:cs="Arial"/>
                <w:sz w:val="16"/>
                <w:szCs w:val="16"/>
              </w:rPr>
              <w:t xml:space="preserve">Delirium prevalence / occurrence (timing not reported); ICU length of stay; Hospital length of stay; Mortality </w:t>
            </w:r>
          </w:p>
        </w:tc>
        <w:tc>
          <w:tcPr>
            <w:tcW w:w="2835" w:type="dxa"/>
          </w:tcPr>
          <w:p w14:paraId="184D8373" w14:textId="77777777" w:rsidR="00AD7FB0" w:rsidRPr="002D67E7" w:rsidRDefault="00AD7FB0" w:rsidP="00AD7FB0">
            <w:pPr>
              <w:rPr>
                <w:rFonts w:ascii="Calibri" w:eastAsia="DengXian" w:hAnsi="Calibri" w:cs="Arial"/>
                <w:sz w:val="16"/>
                <w:szCs w:val="16"/>
              </w:rPr>
            </w:pPr>
          </w:p>
        </w:tc>
      </w:tr>
    </w:tbl>
    <w:p w14:paraId="7EAE6DE4" w14:textId="77777777" w:rsidR="003E20B0" w:rsidRPr="002E2D9E" w:rsidRDefault="003E20B0" w:rsidP="003E20B0">
      <w:pPr>
        <w:rPr>
          <w:rFonts w:ascii="Calibri" w:eastAsia="DengXian" w:hAnsi="Calibri" w:cs="Arial"/>
          <w:sz w:val="16"/>
          <w:szCs w:val="16"/>
        </w:rPr>
      </w:pPr>
      <w:r w:rsidRPr="002E2D9E">
        <w:rPr>
          <w:rFonts w:ascii="Calibri" w:eastAsia="DengXian" w:hAnsi="Calibri" w:cs="Arial"/>
          <w:sz w:val="16"/>
          <w:szCs w:val="16"/>
        </w:rPr>
        <w:t>Footnotes:</w:t>
      </w:r>
    </w:p>
    <w:p w14:paraId="3A3BEF34" w14:textId="04CDBF9A" w:rsidR="003E20B0" w:rsidRPr="003E20B0" w:rsidRDefault="009B6145" w:rsidP="009B6145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  <w:vertAlign w:val="superscript"/>
        </w:rPr>
        <w:t xml:space="preserve">1 </w:t>
      </w:r>
      <w:r>
        <w:rPr>
          <w:sz w:val="16"/>
          <w:szCs w:val="16"/>
        </w:rPr>
        <w:t>RCT: randomised controlled trial</w:t>
      </w:r>
      <w:r w:rsidR="00FC61DB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vertAlign w:val="superscript"/>
        </w:rPr>
        <w:t>2</w:t>
      </w:r>
      <w:r w:rsidR="003E20B0">
        <w:rPr>
          <w:sz w:val="16"/>
          <w:szCs w:val="16"/>
        </w:rPr>
        <w:t xml:space="preserve"> Meta-analysis from included review</w:t>
      </w:r>
      <w:r w:rsidR="00FC61DB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vertAlign w:val="superscript"/>
        </w:rPr>
        <w:t>3</w:t>
      </w:r>
      <w:r w:rsidR="003E20B0" w:rsidRPr="00977B13">
        <w:rPr>
          <w:sz w:val="16"/>
          <w:szCs w:val="16"/>
          <w:vertAlign w:val="superscript"/>
        </w:rPr>
        <w:t xml:space="preserve"> </w:t>
      </w:r>
      <w:r w:rsidR="003E20B0">
        <w:rPr>
          <w:sz w:val="16"/>
          <w:szCs w:val="16"/>
        </w:rPr>
        <w:t xml:space="preserve">Composite delirium outcome not included in the </w:t>
      </w:r>
      <w:r w:rsidR="003E20B0" w:rsidRPr="003E20B0">
        <w:rPr>
          <w:sz w:val="16"/>
          <w:szCs w:val="16"/>
        </w:rPr>
        <w:t>Del-CorS core outcome set</w:t>
      </w:r>
      <w:r w:rsidR="003E20B0">
        <w:rPr>
          <w:sz w:val="16"/>
          <w:szCs w:val="16"/>
        </w:rPr>
        <w:t xml:space="preserve"> or meta-review mapping but extracted from the included review</w:t>
      </w:r>
      <w:r w:rsidR="00A105DE">
        <w:rPr>
          <w:sz w:val="16"/>
          <w:szCs w:val="16"/>
        </w:rPr>
        <w:t>. Note: non-specific adverse event reporting was also sometimes found to include delirium</w:t>
      </w:r>
      <w:r w:rsidR="00243694">
        <w:rPr>
          <w:sz w:val="16"/>
          <w:szCs w:val="16"/>
        </w:rPr>
        <w:t xml:space="preserve"> </w:t>
      </w:r>
      <w:r w:rsidR="00FA6AEE">
        <w:rPr>
          <w:sz w:val="16"/>
          <w:szCs w:val="16"/>
        </w:rPr>
        <w:t xml:space="preserve">- </w:t>
      </w:r>
      <w:r w:rsidR="00243694">
        <w:rPr>
          <w:sz w:val="16"/>
          <w:szCs w:val="16"/>
        </w:rPr>
        <w:t xml:space="preserve">see </w:t>
      </w:r>
      <w:r w:rsidR="00FA6AEE">
        <w:rPr>
          <w:sz w:val="16"/>
          <w:szCs w:val="16"/>
        </w:rPr>
        <w:t>‘</w:t>
      </w:r>
      <w:r w:rsidR="00243694">
        <w:rPr>
          <w:sz w:val="16"/>
          <w:szCs w:val="16"/>
        </w:rPr>
        <w:t>Meta-analysed Core Outcomes</w:t>
      </w:r>
      <w:r w:rsidR="00FA6AEE">
        <w:rPr>
          <w:sz w:val="16"/>
          <w:szCs w:val="16"/>
        </w:rPr>
        <w:t>’</w:t>
      </w:r>
      <w:r w:rsidR="00A105DE">
        <w:rPr>
          <w:sz w:val="16"/>
          <w:szCs w:val="16"/>
        </w:rPr>
        <w:t>.</w:t>
      </w:r>
    </w:p>
    <w:sectPr w:rsidR="003E20B0" w:rsidRPr="003E20B0" w:rsidSect="002D67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CaeciliaR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Std-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E7"/>
    <w:rsid w:val="000E1D46"/>
    <w:rsid w:val="001262B9"/>
    <w:rsid w:val="0015555B"/>
    <w:rsid w:val="001A4A2B"/>
    <w:rsid w:val="00243694"/>
    <w:rsid w:val="002C6C52"/>
    <w:rsid w:val="002D67E7"/>
    <w:rsid w:val="003355AD"/>
    <w:rsid w:val="00345C24"/>
    <w:rsid w:val="003E20B0"/>
    <w:rsid w:val="004423A9"/>
    <w:rsid w:val="004863CE"/>
    <w:rsid w:val="004B20C7"/>
    <w:rsid w:val="005149D5"/>
    <w:rsid w:val="005F0690"/>
    <w:rsid w:val="00681BC4"/>
    <w:rsid w:val="00740D8E"/>
    <w:rsid w:val="007C1F25"/>
    <w:rsid w:val="00853F0E"/>
    <w:rsid w:val="009440E2"/>
    <w:rsid w:val="00977B13"/>
    <w:rsid w:val="009B6145"/>
    <w:rsid w:val="009E0468"/>
    <w:rsid w:val="00A105DE"/>
    <w:rsid w:val="00AD7FB0"/>
    <w:rsid w:val="00B31B49"/>
    <w:rsid w:val="00BA64A2"/>
    <w:rsid w:val="00C47099"/>
    <w:rsid w:val="00CC09E4"/>
    <w:rsid w:val="00D84E94"/>
    <w:rsid w:val="00DB245D"/>
    <w:rsid w:val="00E050A0"/>
    <w:rsid w:val="00EA1231"/>
    <w:rsid w:val="00F35026"/>
    <w:rsid w:val="00F50292"/>
    <w:rsid w:val="00FA2351"/>
    <w:rsid w:val="00FA6AEE"/>
    <w:rsid w:val="00FC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0297F"/>
  <w15:chartTrackingRefBased/>
  <w15:docId w15:val="{CD25AC5A-3D2A-4DE7-8344-24237013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2D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Jones</dc:creator>
  <cp:keywords/>
  <dc:description/>
  <cp:lastModifiedBy>Katherine Jones</cp:lastModifiedBy>
  <cp:revision>30</cp:revision>
  <dcterms:created xsi:type="dcterms:W3CDTF">2024-12-09T19:14:00Z</dcterms:created>
  <dcterms:modified xsi:type="dcterms:W3CDTF">2025-09-30T14:33:00Z</dcterms:modified>
</cp:coreProperties>
</file>