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96A31" w14:textId="6BBDE3A1" w:rsidR="006A66AB" w:rsidRPr="001E0A5A" w:rsidRDefault="00DC0704" w:rsidP="000A0932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E0A5A">
        <w:rPr>
          <w:rFonts w:asciiTheme="majorBidi" w:eastAsia="Times New Roman" w:hAnsiTheme="majorBidi" w:cstheme="majorBidi"/>
          <w:b/>
          <w:bCs/>
          <w:sz w:val="24"/>
          <w:szCs w:val="24"/>
        </w:rPr>
        <w:t>Additional file 5</w:t>
      </w:r>
      <w:r w:rsidR="001E0A5A" w:rsidRPr="001E0A5A">
        <w:rPr>
          <w:rFonts w:asciiTheme="majorBidi" w:eastAsia="Times New Roman" w:hAnsiTheme="majorBidi" w:cstheme="majorBidi"/>
          <w:b/>
          <w:bCs/>
          <w:sz w:val="24"/>
          <w:szCs w:val="24"/>
        </w:rPr>
        <w:t>:</w:t>
      </w:r>
      <w:r w:rsidR="00604135" w:rsidRPr="001E0A5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7D4A96" w:rsidRPr="001E0A5A">
        <w:rPr>
          <w:rFonts w:asciiTheme="majorBidi" w:eastAsia="Times New Roman" w:hAnsiTheme="majorBidi" w:cstheme="majorBidi"/>
          <w:b/>
          <w:bCs/>
          <w:sz w:val="24"/>
          <w:szCs w:val="24"/>
        </w:rPr>
        <w:t>Pharmacological e</w:t>
      </w:r>
      <w:r w:rsidR="00604135" w:rsidRPr="001E0A5A">
        <w:rPr>
          <w:rFonts w:asciiTheme="majorBidi" w:eastAsia="Times New Roman" w:hAnsiTheme="majorBidi" w:cstheme="majorBidi"/>
          <w:b/>
          <w:bCs/>
          <w:sz w:val="24"/>
          <w:szCs w:val="24"/>
        </w:rPr>
        <w:t>ff</w:t>
      </w:r>
      <w:r w:rsidRPr="001E0A5A">
        <w:rPr>
          <w:rFonts w:asciiTheme="majorBidi" w:eastAsia="Times New Roman" w:hAnsiTheme="majorBidi" w:cstheme="majorBidi"/>
          <w:b/>
          <w:bCs/>
          <w:sz w:val="24"/>
          <w:szCs w:val="24"/>
        </w:rPr>
        <w:t>ect estimates for mapped ICU and hospital mortality outcomes</w:t>
      </w: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2409"/>
        <w:gridCol w:w="3686"/>
        <w:gridCol w:w="3969"/>
      </w:tblGrid>
      <w:tr w:rsidR="006A66AB" w:rsidRPr="00025A0A" w14:paraId="5FD69005" w14:textId="77777777" w:rsidTr="006B4EE5">
        <w:trPr>
          <w:cantSplit/>
          <w:trHeight w:val="394"/>
        </w:trPr>
        <w:tc>
          <w:tcPr>
            <w:tcW w:w="1413" w:type="dxa"/>
          </w:tcPr>
          <w:p w14:paraId="063BCD1F" w14:textId="77777777" w:rsidR="006A66AB" w:rsidRPr="00025A0A" w:rsidRDefault="006A66AB" w:rsidP="00261543">
            <w:pPr>
              <w:rPr>
                <w:rFonts w:ascii="Calibri" w:hAnsi="Calibri" w:cs="Calibri"/>
                <w:b/>
                <w:bCs/>
              </w:rPr>
            </w:pPr>
            <w:r w:rsidRPr="00025A0A">
              <w:rPr>
                <w:rFonts w:ascii="Calibri" w:hAnsi="Calibri" w:cs="Calibri"/>
                <w:b/>
                <w:bCs/>
              </w:rPr>
              <w:t xml:space="preserve">Review                                                               </w:t>
            </w:r>
          </w:p>
        </w:tc>
        <w:tc>
          <w:tcPr>
            <w:tcW w:w="2410" w:type="dxa"/>
          </w:tcPr>
          <w:p w14:paraId="3F38C048" w14:textId="3104E0B8" w:rsidR="006A66AB" w:rsidRPr="00025A0A" w:rsidRDefault="006A66AB" w:rsidP="00261543">
            <w:pPr>
              <w:rPr>
                <w:rFonts w:ascii="Calibri" w:hAnsi="Calibri" w:cs="Calibri"/>
                <w:b/>
                <w:bCs/>
              </w:rPr>
            </w:pPr>
            <w:r w:rsidRPr="00025A0A">
              <w:rPr>
                <w:rFonts w:ascii="Calibri" w:hAnsi="Calibri" w:cs="Calibri"/>
                <w:b/>
                <w:bCs/>
              </w:rPr>
              <w:t xml:space="preserve">Drug / Drug class </w:t>
            </w:r>
            <w:r w:rsidR="00B835EE">
              <w:rPr>
                <w:rFonts w:ascii="Calibri" w:hAnsi="Calibri" w:cs="Calibri"/>
                <w:b/>
                <w:bCs/>
              </w:rPr>
              <w:t xml:space="preserve">          </w:t>
            </w:r>
            <w:r w:rsidRPr="00025A0A">
              <w:rPr>
                <w:rFonts w:ascii="Calibri" w:hAnsi="Calibri" w:cs="Calibri"/>
                <w:b/>
                <w:bCs/>
              </w:rPr>
              <w:t xml:space="preserve">/ </w:t>
            </w:r>
            <w:r w:rsidR="0074021C" w:rsidRPr="00025A0A">
              <w:rPr>
                <w:rFonts w:ascii="Calibri" w:hAnsi="Calibri" w:cs="Calibri"/>
                <w:b/>
                <w:bCs/>
              </w:rPr>
              <w:t>Sedation strategy</w:t>
            </w:r>
          </w:p>
        </w:tc>
        <w:tc>
          <w:tcPr>
            <w:tcW w:w="2409" w:type="dxa"/>
          </w:tcPr>
          <w:p w14:paraId="7F354F76" w14:textId="77777777" w:rsidR="006A66AB" w:rsidRPr="00025A0A" w:rsidRDefault="006A66AB" w:rsidP="00261543">
            <w:pPr>
              <w:rPr>
                <w:rFonts w:ascii="Calibri" w:hAnsi="Calibri" w:cs="Calibri"/>
                <w:b/>
                <w:bCs/>
              </w:rPr>
            </w:pPr>
            <w:r w:rsidRPr="00025A0A">
              <w:rPr>
                <w:rFonts w:ascii="Calibri" w:hAnsi="Calibri" w:cs="Calibri"/>
                <w:b/>
                <w:bCs/>
              </w:rPr>
              <w:t xml:space="preserve">Comparator </w:t>
            </w:r>
          </w:p>
        </w:tc>
        <w:tc>
          <w:tcPr>
            <w:tcW w:w="3686" w:type="dxa"/>
          </w:tcPr>
          <w:p w14:paraId="3B3662BF" w14:textId="4E3CA816" w:rsidR="006A66AB" w:rsidRPr="00025A0A" w:rsidRDefault="006A66AB" w:rsidP="00261543">
            <w:pPr>
              <w:rPr>
                <w:rFonts w:ascii="Calibri" w:hAnsi="Calibri" w:cs="Calibri"/>
                <w:b/>
                <w:bCs/>
              </w:rPr>
            </w:pPr>
            <w:r w:rsidRPr="00025A0A">
              <w:rPr>
                <w:rFonts w:ascii="Calibri" w:hAnsi="Calibri" w:cs="Calibri"/>
                <w:b/>
                <w:bCs/>
              </w:rPr>
              <w:t>ICU mortality</w:t>
            </w:r>
            <w:r w:rsidR="007A31A3" w:rsidRPr="00025A0A">
              <w:rPr>
                <w:rFonts w:ascii="Calibri" w:hAnsi="Calibri" w:cs="Calibri"/>
                <w:b/>
                <w:bCs/>
              </w:rPr>
              <w:t xml:space="preserve"> </w:t>
            </w:r>
            <w:r w:rsidR="007A31A3" w:rsidRPr="00025A0A">
              <w:rPr>
                <w:rFonts w:ascii="Calibri" w:hAnsi="Calibri" w:cs="Calibri"/>
              </w:rPr>
              <w:t xml:space="preserve">(days or </w:t>
            </w:r>
            <w:r w:rsidR="009533FC">
              <w:rPr>
                <w:rFonts w:ascii="Calibri" w:hAnsi="Calibri" w:cs="Calibri"/>
              </w:rPr>
              <w:t xml:space="preserve">no </w:t>
            </w:r>
            <w:r w:rsidR="007A31A3" w:rsidRPr="00025A0A">
              <w:rPr>
                <w:rFonts w:ascii="Calibri" w:hAnsi="Calibri" w:cs="Calibri"/>
              </w:rPr>
              <w:t>units)</w:t>
            </w:r>
          </w:p>
        </w:tc>
        <w:tc>
          <w:tcPr>
            <w:tcW w:w="3969" w:type="dxa"/>
          </w:tcPr>
          <w:p w14:paraId="3076FD0C" w14:textId="32173FF5" w:rsidR="006A66AB" w:rsidRPr="00025A0A" w:rsidRDefault="006A66AB" w:rsidP="00261543">
            <w:pPr>
              <w:rPr>
                <w:rFonts w:ascii="Calibri" w:hAnsi="Calibri" w:cs="Calibri"/>
                <w:b/>
                <w:bCs/>
              </w:rPr>
            </w:pPr>
            <w:r w:rsidRPr="00025A0A">
              <w:rPr>
                <w:rFonts w:ascii="Calibri" w:hAnsi="Calibri" w:cs="Calibri"/>
                <w:b/>
                <w:bCs/>
              </w:rPr>
              <w:t>Hospital mortality</w:t>
            </w:r>
            <w:r w:rsidR="007A31A3" w:rsidRPr="00025A0A">
              <w:rPr>
                <w:rFonts w:ascii="Calibri" w:hAnsi="Calibri" w:cs="Calibri"/>
                <w:b/>
                <w:bCs/>
              </w:rPr>
              <w:t xml:space="preserve"> </w:t>
            </w:r>
            <w:r w:rsidR="007A31A3" w:rsidRPr="00025A0A">
              <w:rPr>
                <w:rFonts w:ascii="Calibri" w:hAnsi="Calibri" w:cs="Calibri"/>
              </w:rPr>
              <w:t xml:space="preserve">(days or </w:t>
            </w:r>
            <w:r w:rsidR="009533FC">
              <w:rPr>
                <w:rFonts w:ascii="Calibri" w:hAnsi="Calibri" w:cs="Calibri"/>
              </w:rPr>
              <w:t xml:space="preserve">no </w:t>
            </w:r>
            <w:r w:rsidR="007A31A3" w:rsidRPr="00025A0A">
              <w:rPr>
                <w:rFonts w:ascii="Calibri" w:hAnsi="Calibri" w:cs="Calibri"/>
              </w:rPr>
              <w:t>units)</w:t>
            </w:r>
          </w:p>
        </w:tc>
      </w:tr>
      <w:tr w:rsidR="006A66AB" w:rsidRPr="00025A0A" w14:paraId="10172FB8" w14:textId="77777777" w:rsidTr="006B4EE5">
        <w:trPr>
          <w:cantSplit/>
          <w:trHeight w:val="264"/>
        </w:trPr>
        <w:tc>
          <w:tcPr>
            <w:tcW w:w="13887" w:type="dxa"/>
            <w:gridSpan w:val="5"/>
            <w:shd w:val="clear" w:color="auto" w:fill="000000" w:themeFill="text1"/>
          </w:tcPr>
          <w:p w14:paraId="456007C7" w14:textId="4DAE1BC2" w:rsidR="006A66AB" w:rsidRPr="00025A0A" w:rsidRDefault="006A66AB" w:rsidP="0026154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5A0A">
              <w:rPr>
                <w:rFonts w:ascii="Calibri" w:hAnsi="Calibri" w:cs="Calibri"/>
                <w:b/>
                <w:bCs/>
              </w:rPr>
              <w:t>Alpha</w:t>
            </w:r>
            <w:r w:rsidR="008B0B9E">
              <w:rPr>
                <w:rFonts w:ascii="Calibri" w:hAnsi="Calibri" w:cs="Calibri"/>
                <w:b/>
                <w:bCs/>
              </w:rPr>
              <w:t>-2 adrenoceptor</w:t>
            </w:r>
            <w:r w:rsidRPr="00025A0A">
              <w:rPr>
                <w:rFonts w:ascii="Calibri" w:hAnsi="Calibri" w:cs="Calibri"/>
                <w:b/>
                <w:bCs/>
              </w:rPr>
              <w:t xml:space="preserve"> agonists / Dexmedetomidine</w:t>
            </w:r>
          </w:p>
        </w:tc>
      </w:tr>
      <w:tr w:rsidR="006A66AB" w:rsidRPr="00025A0A" w14:paraId="3E86BB46" w14:textId="77777777" w:rsidTr="006B4EE5">
        <w:trPr>
          <w:cantSplit/>
          <w:trHeight w:val="394"/>
        </w:trPr>
        <w:tc>
          <w:tcPr>
            <w:tcW w:w="1413" w:type="dxa"/>
          </w:tcPr>
          <w:p w14:paraId="648E51D3" w14:textId="77777777" w:rsidR="006A66AB" w:rsidRPr="00025A0A" w:rsidRDefault="006A66AB" w:rsidP="0026154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Wang 2021</w:t>
            </w:r>
          </w:p>
        </w:tc>
        <w:tc>
          <w:tcPr>
            <w:tcW w:w="2410" w:type="dxa"/>
          </w:tcPr>
          <w:p w14:paraId="42E5FD65" w14:textId="77777777" w:rsidR="006A66AB" w:rsidRPr="00025A0A" w:rsidRDefault="006A66AB" w:rsidP="0026154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Dexmedetomidine</w:t>
            </w:r>
          </w:p>
        </w:tc>
        <w:tc>
          <w:tcPr>
            <w:tcW w:w="2409" w:type="dxa"/>
          </w:tcPr>
          <w:p w14:paraId="0C36DB32" w14:textId="77777777" w:rsidR="006A66AB" w:rsidRPr="00025A0A" w:rsidRDefault="006A66AB" w:rsidP="0026154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Non-dexmedetomidine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1313BAE7" w14:textId="32C38BFE" w:rsidR="006A66AB" w:rsidRPr="00025A0A" w:rsidRDefault="00D8500D" w:rsidP="00D8500D">
            <w:pPr>
              <w:rPr>
                <w:rFonts w:ascii="Calibri" w:hAnsi="Calibri" w:cs="Calibri"/>
                <w:sz w:val="18"/>
                <w:szCs w:val="18"/>
              </w:rPr>
            </w:pPr>
            <w:r w:rsidRPr="00025A0A">
              <w:rPr>
                <w:rFonts w:ascii="Calibri" w:hAnsi="Calibri" w:cs="Calibri"/>
                <w:sz w:val="18"/>
                <w:szCs w:val="18"/>
              </w:rPr>
              <w:t>RR 1.01 (95% CI 0.89, 1.14); p=0.90; I</w:t>
            </w:r>
            <w:r w:rsidRPr="00025A0A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025A0A">
              <w:rPr>
                <w:rFonts w:ascii="Calibri" w:hAnsi="Calibri" w:cs="Calibri"/>
                <w:sz w:val="18"/>
                <w:szCs w:val="18"/>
              </w:rPr>
              <w:t>=0%; 7 studies (4292 participants); random effects model</w:t>
            </w:r>
            <w:r w:rsidR="00E827DC" w:rsidRPr="00025A0A">
              <w:rPr>
                <w:rFonts w:ascii="Calibri" w:hAnsi="Calibri" w:cs="Calibri"/>
                <w:sz w:val="18"/>
                <w:szCs w:val="18"/>
              </w:rPr>
              <w:t>; low certainty</w:t>
            </w:r>
          </w:p>
          <w:p w14:paraId="2F83B5ED" w14:textId="06CC724F" w:rsidR="00D8500D" w:rsidRPr="00025A0A" w:rsidRDefault="00D8500D" w:rsidP="00D8500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6AE717BE" w14:textId="0C6F85A3" w:rsidR="006A66AB" w:rsidRPr="00025A0A" w:rsidRDefault="004121FD" w:rsidP="004121F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18"/>
                <w:szCs w:val="18"/>
              </w:rPr>
              <w:t>RR 1.01 (95% CI 0.91, 1.12); p=0.88; I</w:t>
            </w:r>
            <w:r w:rsidRPr="00025A0A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025A0A">
              <w:rPr>
                <w:rFonts w:ascii="Calibri" w:hAnsi="Calibri" w:cs="Calibri"/>
                <w:sz w:val="18"/>
                <w:szCs w:val="18"/>
              </w:rPr>
              <w:t>=1%; 9 studies (5829 participants); random effects model</w:t>
            </w:r>
            <w:r w:rsidR="00E827DC" w:rsidRPr="00025A0A">
              <w:rPr>
                <w:rFonts w:ascii="Calibri" w:hAnsi="Calibri" w:cs="Calibri"/>
                <w:sz w:val="18"/>
                <w:szCs w:val="18"/>
              </w:rPr>
              <w:t>; very low certainty</w:t>
            </w:r>
          </w:p>
        </w:tc>
      </w:tr>
      <w:tr w:rsidR="006A66AB" w:rsidRPr="00025A0A" w14:paraId="00140291" w14:textId="77777777" w:rsidTr="006B4EE5">
        <w:tc>
          <w:tcPr>
            <w:tcW w:w="13887" w:type="dxa"/>
            <w:gridSpan w:val="5"/>
            <w:shd w:val="clear" w:color="auto" w:fill="000000" w:themeFill="text1"/>
          </w:tcPr>
          <w:p w14:paraId="51CB51F5" w14:textId="77777777" w:rsidR="006A66AB" w:rsidRPr="00025A0A" w:rsidRDefault="006A66AB" w:rsidP="00261543">
            <w:pPr>
              <w:rPr>
                <w:rFonts w:ascii="Calibri" w:hAnsi="Calibri" w:cs="Calibri"/>
              </w:rPr>
            </w:pPr>
            <w:r w:rsidRPr="00025A0A">
              <w:rPr>
                <w:rFonts w:ascii="Calibri" w:hAnsi="Calibri" w:cs="Calibri"/>
                <w:b/>
                <w:bCs/>
              </w:rPr>
              <w:t>Antipsychotics</w:t>
            </w:r>
          </w:p>
        </w:tc>
      </w:tr>
      <w:tr w:rsidR="006A66AB" w:rsidRPr="00025A0A" w14:paraId="0F9AA0FA" w14:textId="77777777" w:rsidTr="006B4EE5">
        <w:tc>
          <w:tcPr>
            <w:tcW w:w="1413" w:type="dxa"/>
            <w:shd w:val="clear" w:color="auto" w:fill="auto"/>
          </w:tcPr>
          <w:p w14:paraId="1AB330FF" w14:textId="5DF12E18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Herling 2018</w:t>
            </w:r>
          </w:p>
        </w:tc>
        <w:tc>
          <w:tcPr>
            <w:tcW w:w="2410" w:type="dxa"/>
            <w:shd w:val="clear" w:color="auto" w:fill="auto"/>
          </w:tcPr>
          <w:p w14:paraId="676B6294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Haloperidol</w:t>
            </w:r>
          </w:p>
        </w:tc>
        <w:tc>
          <w:tcPr>
            <w:tcW w:w="2409" w:type="dxa"/>
            <w:shd w:val="clear" w:color="auto" w:fill="auto"/>
          </w:tcPr>
          <w:p w14:paraId="1DB1BB3C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Placebo</w:t>
            </w:r>
          </w:p>
        </w:tc>
        <w:tc>
          <w:tcPr>
            <w:tcW w:w="3686" w:type="dxa"/>
            <w:shd w:val="clear" w:color="auto" w:fill="auto"/>
          </w:tcPr>
          <w:p w14:paraId="46689CC0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1AD964D2" w14:textId="08822F61" w:rsidR="006A66AB" w:rsidRPr="00025A0A" w:rsidRDefault="00963005" w:rsidP="00963005">
            <w:pPr>
              <w:rPr>
                <w:rFonts w:ascii="Calibri" w:hAnsi="Calibri" w:cs="Calibri"/>
                <w:color w:val="FF0000"/>
                <w:sz w:val="18"/>
                <w:szCs w:val="18"/>
                <w:vertAlign w:val="superscript"/>
              </w:rPr>
            </w:pPr>
            <w:r w:rsidRPr="00025A0A">
              <w:rPr>
                <w:rFonts w:ascii="Calibri" w:hAnsi="Calibri" w:cs="Calibri"/>
                <w:sz w:val="18"/>
                <w:szCs w:val="18"/>
              </w:rPr>
              <w:t xml:space="preserve">RR 0.98 (95% CI 0.80, 1.22); </w:t>
            </w:r>
            <w:r w:rsidR="0088783B" w:rsidRPr="00025A0A">
              <w:rPr>
                <w:rFonts w:ascii="Calibri" w:hAnsi="Calibri" w:cs="Calibri"/>
                <w:sz w:val="18"/>
                <w:szCs w:val="18"/>
              </w:rPr>
              <w:t xml:space="preserve">p=0.88; </w:t>
            </w:r>
            <w:r w:rsidRPr="00025A0A">
              <w:rPr>
                <w:rFonts w:ascii="Calibri" w:hAnsi="Calibri" w:cs="Calibri"/>
                <w:sz w:val="18"/>
                <w:szCs w:val="18"/>
              </w:rPr>
              <w:t>I</w:t>
            </w:r>
            <w:r w:rsidRPr="00025A0A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025A0A">
              <w:rPr>
                <w:rFonts w:ascii="Calibri" w:hAnsi="Calibri" w:cs="Calibri"/>
                <w:sz w:val="18"/>
                <w:szCs w:val="18"/>
              </w:rPr>
              <w:t>=0%; 2 studies (1580 participants); random effects model</w:t>
            </w:r>
            <w:r w:rsidR="00E827DC" w:rsidRPr="00025A0A">
              <w:rPr>
                <w:rFonts w:ascii="Calibri" w:hAnsi="Calibri" w:cs="Calibri"/>
                <w:sz w:val="18"/>
                <w:szCs w:val="18"/>
              </w:rPr>
              <w:t>; moderate certainty</w:t>
            </w:r>
            <w:r w:rsidR="00FD3B6D" w:rsidRPr="00025A0A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</w:p>
          <w:p w14:paraId="3652552E" w14:textId="2E8DD2AB" w:rsidR="00963005" w:rsidRPr="00025A0A" w:rsidRDefault="00963005" w:rsidP="0096300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A66AB" w:rsidRPr="00025A0A" w14:paraId="3873C781" w14:textId="77777777" w:rsidTr="006B4EE5">
        <w:tc>
          <w:tcPr>
            <w:tcW w:w="13887" w:type="dxa"/>
            <w:gridSpan w:val="5"/>
            <w:shd w:val="clear" w:color="auto" w:fill="000000" w:themeFill="text1"/>
          </w:tcPr>
          <w:p w14:paraId="3A1E5370" w14:textId="77777777" w:rsidR="006A66AB" w:rsidRPr="00025A0A" w:rsidRDefault="006A66AB" w:rsidP="00261543">
            <w:pPr>
              <w:rPr>
                <w:rFonts w:ascii="Calibri" w:hAnsi="Calibri" w:cs="Calibri"/>
              </w:rPr>
            </w:pPr>
            <w:r w:rsidRPr="00025A0A">
              <w:rPr>
                <w:rFonts w:ascii="Calibri" w:hAnsi="Calibri" w:cs="Calibri"/>
                <w:b/>
                <w:bCs/>
              </w:rPr>
              <w:t>Melatonergics</w:t>
            </w:r>
          </w:p>
        </w:tc>
      </w:tr>
      <w:tr w:rsidR="006A66AB" w:rsidRPr="00025A0A" w14:paraId="12477A6E" w14:textId="77777777" w:rsidTr="006B4EE5">
        <w:tc>
          <w:tcPr>
            <w:tcW w:w="1413" w:type="dxa"/>
            <w:shd w:val="clear" w:color="auto" w:fill="auto"/>
          </w:tcPr>
          <w:p w14:paraId="4CB97535" w14:textId="77777777" w:rsidR="006A66AB" w:rsidRPr="00025A0A" w:rsidRDefault="006A66AB" w:rsidP="0026154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5A0A">
              <w:rPr>
                <w:rFonts w:ascii="Calibri" w:eastAsia="DengXian" w:hAnsi="Calibri" w:cs="Calibri"/>
                <w:kern w:val="0"/>
                <w:sz w:val="20"/>
                <w:szCs w:val="20"/>
                <w14:ligatures w14:val="none"/>
              </w:rPr>
              <w:t>Mukundarajan 2023</w:t>
            </w:r>
          </w:p>
        </w:tc>
        <w:tc>
          <w:tcPr>
            <w:tcW w:w="2410" w:type="dxa"/>
            <w:shd w:val="clear" w:color="auto" w:fill="auto"/>
          </w:tcPr>
          <w:p w14:paraId="01D247D3" w14:textId="77777777" w:rsidR="006A66AB" w:rsidRPr="00025A0A" w:rsidRDefault="006A66AB" w:rsidP="0026154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Melatonin / Ramelteon</w:t>
            </w:r>
          </w:p>
        </w:tc>
        <w:tc>
          <w:tcPr>
            <w:tcW w:w="2409" w:type="dxa"/>
            <w:shd w:val="clear" w:color="auto" w:fill="auto"/>
          </w:tcPr>
          <w:p w14:paraId="7B1A2DC2" w14:textId="617C42BD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Placebo</w:t>
            </w:r>
            <w:r w:rsidR="00CF46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25A0A">
              <w:rPr>
                <w:rFonts w:ascii="Calibri" w:hAnsi="Calibri" w:cs="Calibri"/>
                <w:sz w:val="20"/>
                <w:szCs w:val="20"/>
              </w:rPr>
              <w:t xml:space="preserve">/ Standard 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05340D57" w14:textId="409A23C1" w:rsidR="006A66AB" w:rsidRPr="00025A0A" w:rsidRDefault="00FE157A" w:rsidP="00FE157A">
            <w:pPr>
              <w:rPr>
                <w:rFonts w:ascii="Calibri" w:hAnsi="Calibri" w:cs="Calibri"/>
                <w:sz w:val="18"/>
                <w:szCs w:val="18"/>
              </w:rPr>
            </w:pPr>
            <w:r w:rsidRPr="00025A0A">
              <w:rPr>
                <w:rFonts w:ascii="Calibri" w:hAnsi="Calibri" w:cs="Calibri"/>
                <w:sz w:val="18"/>
                <w:szCs w:val="18"/>
              </w:rPr>
              <w:t>OR 0.78 (95% CI 0.56, 1.11); p=0.17; I</w:t>
            </w:r>
            <w:r w:rsidRPr="00025A0A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025A0A">
              <w:rPr>
                <w:rFonts w:ascii="Calibri" w:hAnsi="Calibri" w:cs="Calibri"/>
                <w:sz w:val="18"/>
                <w:szCs w:val="18"/>
              </w:rPr>
              <w:t>=0%; 8 studies (1549 participants); fixed effects model</w:t>
            </w:r>
            <w:r w:rsidR="00951AB0" w:rsidRPr="00025A0A">
              <w:rPr>
                <w:rFonts w:ascii="Calibri" w:hAnsi="Calibri" w:cs="Calibri"/>
                <w:sz w:val="18"/>
                <w:szCs w:val="18"/>
              </w:rPr>
              <w:t>; high certainty</w:t>
            </w:r>
          </w:p>
          <w:p w14:paraId="365A6FF4" w14:textId="2C5200A4" w:rsidR="00FE157A" w:rsidRPr="00025A0A" w:rsidRDefault="00FE157A" w:rsidP="00FE157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685B397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A66AB" w:rsidRPr="00025A0A" w14:paraId="6FD9AC3C" w14:textId="77777777" w:rsidTr="006B4EE5">
        <w:tc>
          <w:tcPr>
            <w:tcW w:w="13887" w:type="dxa"/>
            <w:gridSpan w:val="5"/>
            <w:shd w:val="clear" w:color="auto" w:fill="000000" w:themeFill="text1"/>
          </w:tcPr>
          <w:p w14:paraId="5B3087E1" w14:textId="50260B1D" w:rsidR="006A66AB" w:rsidRPr="00025A0A" w:rsidRDefault="006A66AB" w:rsidP="00261543">
            <w:pPr>
              <w:rPr>
                <w:rFonts w:ascii="Calibri" w:hAnsi="Calibri" w:cs="Calibri"/>
                <w:b/>
                <w:bCs/>
              </w:rPr>
            </w:pPr>
            <w:r w:rsidRPr="00025A0A">
              <w:rPr>
                <w:rFonts w:ascii="Calibri" w:hAnsi="Calibri" w:cs="Calibri"/>
                <w:b/>
                <w:bCs/>
              </w:rPr>
              <w:t xml:space="preserve">Sedation </w:t>
            </w:r>
            <w:r w:rsidR="001D2091" w:rsidRPr="00025A0A">
              <w:rPr>
                <w:rFonts w:ascii="Calibri" w:hAnsi="Calibri" w:cs="Calibri"/>
                <w:b/>
                <w:bCs/>
              </w:rPr>
              <w:t>strategies</w:t>
            </w:r>
          </w:p>
        </w:tc>
      </w:tr>
      <w:tr w:rsidR="006A66AB" w:rsidRPr="00025A0A" w14:paraId="32C14A5A" w14:textId="77777777" w:rsidTr="006B4EE5">
        <w:tc>
          <w:tcPr>
            <w:tcW w:w="1413" w:type="dxa"/>
          </w:tcPr>
          <w:p w14:paraId="0CB17069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  <w:bookmarkStart w:id="0" w:name="_Hlk189146363"/>
            <w:r w:rsidRPr="00025A0A">
              <w:rPr>
                <w:rFonts w:ascii="Calibri" w:eastAsia="DengXian" w:hAnsi="Calibri" w:cs="Calibri"/>
                <w:kern w:val="0"/>
                <w:sz w:val="20"/>
                <w:szCs w:val="20"/>
                <w14:ligatures w14:val="none"/>
              </w:rPr>
              <w:t>Aitken 2021</w:t>
            </w:r>
          </w:p>
        </w:tc>
        <w:tc>
          <w:tcPr>
            <w:tcW w:w="2410" w:type="dxa"/>
          </w:tcPr>
          <w:p w14:paraId="0E32344E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Light sedation</w:t>
            </w:r>
          </w:p>
        </w:tc>
        <w:tc>
          <w:tcPr>
            <w:tcW w:w="2409" w:type="dxa"/>
          </w:tcPr>
          <w:p w14:paraId="370D44BE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Deep sedation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1ED8F5F9" w14:textId="6199336B" w:rsidR="006A66AB" w:rsidRPr="00025A0A" w:rsidRDefault="00046E21" w:rsidP="00046E21">
            <w:pPr>
              <w:rPr>
                <w:rFonts w:ascii="Calibri" w:hAnsi="Calibri" w:cs="Calibri"/>
                <w:sz w:val="18"/>
                <w:szCs w:val="18"/>
              </w:rPr>
            </w:pPr>
            <w:r w:rsidRPr="00025A0A">
              <w:rPr>
                <w:rFonts w:ascii="Calibri" w:hAnsi="Calibri" w:cs="Calibri"/>
                <w:sz w:val="18"/>
                <w:szCs w:val="18"/>
              </w:rPr>
              <w:t>RR 0.82 (95% CI 0.58, 1.17); p=0.28; I</w:t>
            </w:r>
            <w:r w:rsidRPr="00025A0A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025A0A">
              <w:rPr>
                <w:rFonts w:ascii="Calibri" w:hAnsi="Calibri" w:cs="Calibri"/>
                <w:sz w:val="18"/>
                <w:szCs w:val="18"/>
              </w:rPr>
              <w:t>=30%; 4 studies (725 participants); random effects model</w:t>
            </w:r>
            <w:r w:rsidR="0076143D" w:rsidRPr="00025A0A">
              <w:rPr>
                <w:rFonts w:ascii="Calibri" w:hAnsi="Calibri" w:cs="Calibri"/>
                <w:sz w:val="18"/>
                <w:szCs w:val="18"/>
              </w:rPr>
              <w:t>; moderate certainty</w:t>
            </w:r>
          </w:p>
          <w:p w14:paraId="1312ED8A" w14:textId="041F6FCA" w:rsidR="00046E21" w:rsidRPr="00025A0A" w:rsidRDefault="00046E21" w:rsidP="00046E2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582F89AB" w14:textId="2EB4AB3F" w:rsidR="006A66AB" w:rsidRPr="00025A0A" w:rsidRDefault="00021FF4" w:rsidP="00021FF4">
            <w:pPr>
              <w:rPr>
                <w:rFonts w:ascii="Calibri" w:hAnsi="Calibri" w:cs="Calibri"/>
                <w:sz w:val="18"/>
                <w:szCs w:val="18"/>
              </w:rPr>
            </w:pPr>
            <w:r w:rsidRPr="00025A0A">
              <w:rPr>
                <w:rFonts w:ascii="Calibri" w:hAnsi="Calibri" w:cs="Calibri"/>
                <w:sz w:val="18"/>
                <w:szCs w:val="18"/>
              </w:rPr>
              <w:t>RR 0.93 (95% CI 0.75, 1.15); p=0.5; I</w:t>
            </w:r>
            <w:r w:rsidRPr="00025A0A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Pr="00025A0A">
              <w:rPr>
                <w:rFonts w:ascii="Calibri" w:hAnsi="Calibri" w:cs="Calibri"/>
                <w:sz w:val="18"/>
                <w:szCs w:val="18"/>
              </w:rPr>
              <w:t>=0%; 5 studies (762 participants); random effects model</w:t>
            </w:r>
            <w:r w:rsidR="0076143D" w:rsidRPr="00025A0A">
              <w:rPr>
                <w:rFonts w:ascii="Calibri" w:hAnsi="Calibri" w:cs="Calibri"/>
                <w:sz w:val="18"/>
                <w:szCs w:val="18"/>
              </w:rPr>
              <w:t>; moderate certainty</w:t>
            </w:r>
          </w:p>
        </w:tc>
      </w:tr>
      <w:tr w:rsidR="006A66AB" w:rsidRPr="00025A0A" w14:paraId="75FA25BE" w14:textId="77777777" w:rsidTr="006B4EE5">
        <w:tc>
          <w:tcPr>
            <w:tcW w:w="1413" w:type="dxa"/>
          </w:tcPr>
          <w:p w14:paraId="3C4E2162" w14:textId="77777777" w:rsidR="006A66AB" w:rsidRPr="00025A0A" w:rsidRDefault="006A66AB" w:rsidP="00261543">
            <w:pPr>
              <w:rPr>
                <w:rFonts w:ascii="Calibri" w:eastAsia="DengXian" w:hAnsi="Calibri" w:cs="Calibri"/>
                <w:kern w:val="0"/>
                <w:sz w:val="20"/>
                <w:szCs w:val="20"/>
                <w14:ligatures w14:val="none"/>
              </w:rPr>
            </w:pPr>
            <w:r w:rsidRPr="00025A0A">
              <w:rPr>
                <w:rFonts w:ascii="Calibri" w:eastAsia="DengXian" w:hAnsi="Calibri" w:cs="Calibri"/>
                <w:kern w:val="0"/>
                <w:sz w:val="20"/>
                <w:szCs w:val="20"/>
                <w14:ligatures w14:val="none"/>
              </w:rPr>
              <w:t>Burry 2014</w:t>
            </w:r>
          </w:p>
        </w:tc>
        <w:tc>
          <w:tcPr>
            <w:tcW w:w="2410" w:type="dxa"/>
          </w:tcPr>
          <w:p w14:paraId="1C637968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Daily sedation interruption</w:t>
            </w:r>
          </w:p>
        </w:tc>
        <w:tc>
          <w:tcPr>
            <w:tcW w:w="2409" w:type="dxa"/>
          </w:tcPr>
          <w:p w14:paraId="2F35453A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No daily sedation interruption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784B02CA" w14:textId="6A12C306" w:rsidR="006A66AB" w:rsidRPr="00025A0A" w:rsidRDefault="002C2E4F" w:rsidP="00310C30">
            <w:pPr>
              <w:rPr>
                <w:rFonts w:ascii="Calibri" w:hAnsi="Calibri" w:cs="Calibri"/>
                <w:sz w:val="18"/>
                <w:szCs w:val="18"/>
              </w:rPr>
            </w:pPr>
            <w:r w:rsidRPr="00025A0A">
              <w:rPr>
                <w:rFonts w:ascii="Calibri" w:hAnsi="Calibri" w:cs="Calibri"/>
                <w:sz w:val="18"/>
                <w:szCs w:val="18"/>
              </w:rPr>
              <w:t xml:space="preserve">RR 0.96 (95% CI 0.77, 1.21); </w:t>
            </w:r>
            <w:r w:rsidR="00703A78" w:rsidRPr="00025A0A">
              <w:rPr>
                <w:rFonts w:ascii="Calibri" w:hAnsi="Calibri" w:cs="Calibri"/>
                <w:sz w:val="18"/>
                <w:szCs w:val="18"/>
              </w:rPr>
              <w:t>p=0.75; I</w:t>
            </w:r>
            <w:r w:rsidR="00703A78" w:rsidRPr="00025A0A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="00703A78" w:rsidRPr="00025A0A">
              <w:rPr>
                <w:rFonts w:ascii="Calibri" w:hAnsi="Calibri" w:cs="Calibri"/>
                <w:sz w:val="18"/>
                <w:szCs w:val="18"/>
              </w:rPr>
              <w:t>=0%; 7 studies (815 participants); random effects model</w:t>
            </w:r>
            <w:r w:rsidR="00310C30" w:rsidRPr="00025A0A">
              <w:rPr>
                <w:rFonts w:ascii="Calibri" w:hAnsi="Calibri" w:cs="Calibri"/>
                <w:sz w:val="18"/>
                <w:szCs w:val="18"/>
              </w:rPr>
              <w:t>; moderate certainty</w:t>
            </w:r>
          </w:p>
          <w:p w14:paraId="29AD8F9F" w14:textId="6AD7E72C" w:rsidR="002C2E4F" w:rsidRPr="00025A0A" w:rsidRDefault="002C2E4F" w:rsidP="002C2E4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026BA088" w14:textId="77777777" w:rsidR="006A66AB" w:rsidRPr="00025A0A" w:rsidRDefault="006A66AB" w:rsidP="0026154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bookmarkEnd w:id="0"/>
      <w:tr w:rsidR="006A66AB" w:rsidRPr="00025A0A" w14:paraId="68C750C4" w14:textId="77777777" w:rsidTr="006B4EE5">
        <w:tc>
          <w:tcPr>
            <w:tcW w:w="1413" w:type="dxa"/>
            <w:shd w:val="clear" w:color="auto" w:fill="000000" w:themeFill="text1"/>
          </w:tcPr>
          <w:p w14:paraId="1886EDE7" w14:textId="77777777" w:rsidR="006A66AB" w:rsidRPr="00025A0A" w:rsidRDefault="006A66AB" w:rsidP="00261543">
            <w:pPr>
              <w:rPr>
                <w:rFonts w:ascii="Calibri" w:eastAsia="DengXian" w:hAnsi="Calibri" w:cs="Calibri"/>
                <w:b/>
                <w:bCs/>
                <w:kern w:val="0"/>
                <w14:ligatures w14:val="none"/>
              </w:rPr>
            </w:pPr>
            <w:r w:rsidRPr="00025A0A">
              <w:rPr>
                <w:rFonts w:ascii="Calibri" w:eastAsia="DengXian" w:hAnsi="Calibri" w:cs="Calibri"/>
                <w:b/>
                <w:bCs/>
                <w:kern w:val="0"/>
                <w14:ligatures w14:val="none"/>
              </w:rPr>
              <w:t>Other</w:t>
            </w:r>
          </w:p>
        </w:tc>
        <w:tc>
          <w:tcPr>
            <w:tcW w:w="2410" w:type="dxa"/>
            <w:shd w:val="clear" w:color="auto" w:fill="000000" w:themeFill="text1"/>
          </w:tcPr>
          <w:p w14:paraId="0B61757D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000000" w:themeFill="text1"/>
          </w:tcPr>
          <w:p w14:paraId="34E4E339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000000" w:themeFill="text1"/>
          </w:tcPr>
          <w:p w14:paraId="4BEDDEFE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000000" w:themeFill="text1"/>
          </w:tcPr>
          <w:p w14:paraId="7F909594" w14:textId="77777777" w:rsidR="006A66AB" w:rsidRPr="00025A0A" w:rsidRDefault="006A66AB" w:rsidP="002615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A66AB" w:rsidRPr="00025A0A" w14:paraId="2C35260F" w14:textId="77777777" w:rsidTr="006B4EE5">
        <w:tc>
          <w:tcPr>
            <w:tcW w:w="1413" w:type="dxa"/>
          </w:tcPr>
          <w:p w14:paraId="41724EBD" w14:textId="3A25F9E9" w:rsidR="006A66AB" w:rsidRPr="00025A0A" w:rsidRDefault="006A66AB" w:rsidP="00261543">
            <w:pPr>
              <w:rPr>
                <w:rFonts w:ascii="Calibri" w:eastAsia="DengXian" w:hAnsi="Calibri" w:cs="Calibri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Fraser 2013</w:t>
            </w:r>
          </w:p>
        </w:tc>
        <w:tc>
          <w:tcPr>
            <w:tcW w:w="2410" w:type="dxa"/>
          </w:tcPr>
          <w:p w14:paraId="594372D7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Non-benzodiazepine (dexmedetomidine or propofol)</w:t>
            </w:r>
          </w:p>
        </w:tc>
        <w:tc>
          <w:tcPr>
            <w:tcW w:w="2409" w:type="dxa"/>
          </w:tcPr>
          <w:p w14:paraId="0B997534" w14:textId="6860208A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  <w:r w:rsidRPr="00025A0A">
              <w:rPr>
                <w:rFonts w:ascii="Calibri" w:hAnsi="Calibri" w:cs="Calibri"/>
                <w:sz w:val="20"/>
                <w:szCs w:val="20"/>
              </w:rPr>
              <w:t>Benzodiazepine (lorazepam or</w:t>
            </w:r>
            <w:r w:rsidR="006B4EE5" w:rsidRPr="00025A0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25A0A">
              <w:rPr>
                <w:rFonts w:ascii="Calibri" w:hAnsi="Calibri" w:cs="Calibri"/>
                <w:sz w:val="20"/>
                <w:szCs w:val="20"/>
              </w:rPr>
              <w:t>midazolam)</w:t>
            </w:r>
          </w:p>
        </w:tc>
        <w:tc>
          <w:tcPr>
            <w:tcW w:w="3686" w:type="dxa"/>
            <w:shd w:val="clear" w:color="auto" w:fill="auto"/>
          </w:tcPr>
          <w:p w14:paraId="1932103A" w14:textId="77777777" w:rsidR="006A66AB" w:rsidRPr="00025A0A" w:rsidRDefault="006A66AB" w:rsidP="0026154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5C461C63" w14:textId="6E57D226" w:rsidR="006A66AB" w:rsidRPr="00025A0A" w:rsidRDefault="00AC1114" w:rsidP="00A2737F">
            <w:pPr>
              <w:rPr>
                <w:rFonts w:ascii="Calibri" w:hAnsi="Calibri" w:cs="Calibri"/>
                <w:sz w:val="18"/>
                <w:szCs w:val="18"/>
              </w:rPr>
            </w:pPr>
            <w:r w:rsidRPr="00025A0A">
              <w:rPr>
                <w:rFonts w:ascii="Calibri" w:hAnsi="Calibri" w:cs="Calibri"/>
                <w:sz w:val="18"/>
                <w:szCs w:val="18"/>
              </w:rPr>
              <w:t>RR 1.01 (95% CI 0.78, 1.30)</w:t>
            </w:r>
            <w:r w:rsidR="00A2737F" w:rsidRPr="00025A0A">
              <w:rPr>
                <w:rFonts w:ascii="Calibri" w:hAnsi="Calibri" w:cs="Calibri"/>
                <w:sz w:val="18"/>
                <w:szCs w:val="18"/>
              </w:rPr>
              <w:t xml:space="preserve">; </w:t>
            </w:r>
            <w:r w:rsidR="00AC39AB" w:rsidRPr="00025A0A">
              <w:rPr>
                <w:rFonts w:ascii="Calibri" w:hAnsi="Calibri" w:cs="Calibri"/>
                <w:sz w:val="18"/>
                <w:szCs w:val="18"/>
              </w:rPr>
              <w:t xml:space="preserve">p=0.96; </w:t>
            </w:r>
            <w:r w:rsidR="00A2737F" w:rsidRPr="00025A0A">
              <w:rPr>
                <w:rFonts w:ascii="Calibri" w:hAnsi="Calibri" w:cs="Calibri"/>
                <w:sz w:val="18"/>
                <w:szCs w:val="18"/>
              </w:rPr>
              <w:t>I</w:t>
            </w:r>
            <w:r w:rsidR="00A2737F" w:rsidRPr="00025A0A">
              <w:rPr>
                <w:rFonts w:ascii="Calibri" w:hAnsi="Calibri" w:cs="Calibri"/>
                <w:sz w:val="18"/>
                <w:szCs w:val="18"/>
                <w:vertAlign w:val="superscript"/>
              </w:rPr>
              <w:t>2</w:t>
            </w:r>
            <w:r w:rsidR="00A2737F" w:rsidRPr="00025A0A">
              <w:rPr>
                <w:rFonts w:ascii="Calibri" w:hAnsi="Calibri" w:cs="Calibri"/>
                <w:sz w:val="18"/>
                <w:szCs w:val="18"/>
              </w:rPr>
              <w:t>=31%; 5 studies (1101 participants); random effects model</w:t>
            </w:r>
            <w:r w:rsidR="00F54279" w:rsidRPr="00025A0A">
              <w:rPr>
                <w:rFonts w:ascii="Calibri" w:hAnsi="Calibri" w:cs="Calibri"/>
                <w:sz w:val="18"/>
                <w:szCs w:val="18"/>
              </w:rPr>
              <w:t>; moderate certainty</w:t>
            </w:r>
            <w:r w:rsidR="00FD3B6D" w:rsidRPr="00025A0A">
              <w:rPr>
                <w:rFonts w:ascii="Calibri" w:hAnsi="Calibri" w:cs="Calibri"/>
                <w:sz w:val="18"/>
                <w:szCs w:val="18"/>
                <w:vertAlign w:val="superscript"/>
              </w:rPr>
              <w:t>2,</w:t>
            </w:r>
            <w:r w:rsidR="00912A59" w:rsidRPr="00025A0A">
              <w:rPr>
                <w:rFonts w:ascii="Calibri" w:hAnsi="Calibri" w:cs="Calibri"/>
                <w:sz w:val="18"/>
                <w:szCs w:val="18"/>
                <w:vertAlign w:val="superscript"/>
              </w:rPr>
              <w:t>3</w:t>
            </w:r>
          </w:p>
          <w:p w14:paraId="50A38514" w14:textId="580D946C" w:rsidR="00A2737F" w:rsidRPr="00025A0A" w:rsidRDefault="00A2737F" w:rsidP="00A2737F">
            <w:pPr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</w:p>
        </w:tc>
      </w:tr>
    </w:tbl>
    <w:p w14:paraId="0E01E678" w14:textId="77777777" w:rsidR="006A66AB" w:rsidRPr="00025A0A" w:rsidRDefault="006A66AB" w:rsidP="006A66AB">
      <w:pPr>
        <w:spacing w:after="0"/>
        <w:rPr>
          <w:rFonts w:ascii="Calibri" w:hAnsi="Calibri" w:cs="Calibri"/>
          <w:sz w:val="18"/>
          <w:szCs w:val="18"/>
          <w:shd w:val="clear" w:color="auto" w:fill="8DD873" w:themeFill="accent6" w:themeFillTint="99"/>
        </w:rPr>
      </w:pPr>
    </w:p>
    <w:tbl>
      <w:tblPr>
        <w:tblStyle w:val="TableGrid"/>
        <w:tblW w:w="13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8"/>
      </w:tblGrid>
      <w:tr w:rsidR="006A66AB" w:rsidRPr="00025A0A" w14:paraId="67780A61" w14:textId="77777777" w:rsidTr="00912A59">
        <w:tc>
          <w:tcPr>
            <w:tcW w:w="13958" w:type="dxa"/>
          </w:tcPr>
          <w:p w14:paraId="495F48C8" w14:textId="55985527" w:rsidR="00021FF4" w:rsidRPr="00025A0A" w:rsidRDefault="00021FF4" w:rsidP="0026154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A66AB" w:rsidRPr="00025A0A" w14:paraId="5908AE68" w14:textId="77777777" w:rsidTr="00912A59">
        <w:tc>
          <w:tcPr>
            <w:tcW w:w="13958" w:type="dxa"/>
          </w:tcPr>
          <w:tbl>
            <w:tblPr>
              <w:tblStyle w:val="TableGrid"/>
              <w:tblW w:w="13777" w:type="dxa"/>
              <w:tblLook w:val="04A0" w:firstRow="1" w:lastRow="0" w:firstColumn="1" w:lastColumn="0" w:noHBand="0" w:noVBand="1"/>
            </w:tblPr>
            <w:tblGrid>
              <w:gridCol w:w="13777"/>
            </w:tblGrid>
            <w:tr w:rsidR="00D54697" w:rsidRPr="00025A0A" w14:paraId="33735266" w14:textId="77777777" w:rsidTr="0004042A">
              <w:trPr>
                <w:trHeight w:val="402"/>
              </w:trPr>
              <w:tc>
                <w:tcPr>
                  <w:tcW w:w="13777" w:type="dxa"/>
                  <w:shd w:val="clear" w:color="auto" w:fill="auto"/>
                </w:tcPr>
                <w:p w14:paraId="7D3FCBB0" w14:textId="77777777" w:rsidR="00D54697" w:rsidRPr="00025A0A" w:rsidRDefault="00D54697" w:rsidP="00D5469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025A0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lastRenderedPageBreak/>
                    <w:t>Key:</w:t>
                  </w:r>
                  <w:r w:rsidRPr="00025A0A">
                    <w:rPr>
                      <w:rFonts w:ascii="Calibri" w:hAnsi="Calibri" w:cs="Calibri"/>
                      <w:sz w:val="18"/>
                      <w:szCs w:val="18"/>
                    </w:rPr>
                    <w:t xml:space="preserve"> </w:t>
                  </w:r>
                </w:p>
                <w:p w14:paraId="137610E8" w14:textId="402C5AE0" w:rsidR="00D54697" w:rsidRPr="00025A0A" w:rsidRDefault="00BE63EB" w:rsidP="00D5469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025A0A">
                    <w:rPr>
                      <w:rFonts w:ascii="Calibri" w:hAnsi="Calibri" w:cs="Calibri"/>
                      <w:sz w:val="18"/>
                      <w:szCs w:val="18"/>
                    </w:rPr>
                    <w:t xml:space="preserve">RR (Risk Ratio); CI (Confidence Interval); </w:t>
                  </w:r>
                  <w:r w:rsidR="00D54697" w:rsidRPr="00025A0A">
                    <w:rPr>
                      <w:rFonts w:ascii="Calibri" w:hAnsi="Calibri" w:cs="Calibri"/>
                      <w:sz w:val="18"/>
                      <w:szCs w:val="18"/>
                    </w:rPr>
                    <w:t xml:space="preserve">OR (Odds Ratio); </w:t>
                  </w:r>
                  <w:r w:rsidR="00D54697" w:rsidRPr="00025A0A">
                    <w:rPr>
                      <w:rFonts w:ascii="Calibri" w:hAnsi="Calibri" w:cs="Calibri"/>
                      <w:sz w:val="18"/>
                      <w:szCs w:val="18"/>
                      <w:shd w:val="clear" w:color="auto" w:fill="D9D9D9" w:themeFill="background1" w:themeFillShade="D9"/>
                    </w:rPr>
                    <w:t>Grey</w:t>
                  </w:r>
                  <w:r w:rsidR="00D54697" w:rsidRPr="00025A0A">
                    <w:rPr>
                      <w:rFonts w:ascii="Calibri" w:hAnsi="Calibri" w:cs="Calibri"/>
                      <w:sz w:val="18"/>
                      <w:szCs w:val="18"/>
                    </w:rPr>
                    <w:t>: Favours neither the intervention or comparator; Blank cell: Outcome not assessed</w:t>
                  </w:r>
                  <w:r w:rsidR="00C72AE6" w:rsidRPr="00025A0A">
                    <w:rPr>
                      <w:rFonts w:ascii="Calibri" w:hAnsi="Calibri" w:cs="Calibri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D54697" w:rsidRPr="00025A0A" w14:paraId="055C5CEF" w14:textId="77777777" w:rsidTr="0004042A">
              <w:trPr>
                <w:trHeight w:val="963"/>
              </w:trPr>
              <w:tc>
                <w:tcPr>
                  <w:tcW w:w="13777" w:type="dxa"/>
                </w:tcPr>
                <w:p w14:paraId="6A2CDCC8" w14:textId="77777777" w:rsidR="00D54697" w:rsidRPr="00025A0A" w:rsidRDefault="00D54697" w:rsidP="00D54697">
                  <w:pPr>
                    <w:rPr>
                      <w:rFonts w:ascii="Calibri" w:hAnsi="Calibri" w:cs="Calibri"/>
                      <w:sz w:val="18"/>
                      <w:szCs w:val="18"/>
                      <w:shd w:val="clear" w:color="auto" w:fill="8DD873" w:themeFill="accent6" w:themeFillTint="99"/>
                    </w:rPr>
                  </w:pPr>
                  <w:r w:rsidRPr="00025A0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Footnotes:</w:t>
                  </w:r>
                </w:p>
                <w:p w14:paraId="397A2DE1" w14:textId="5C85D408" w:rsidR="00D54697" w:rsidRPr="00025A0A" w:rsidRDefault="00FD3B6D" w:rsidP="00D5469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025A0A">
                    <w:rPr>
                      <w:rFonts w:ascii="Calibri" w:hAnsi="Calibri" w:cs="Calibri"/>
                      <w:sz w:val="18"/>
                      <w:szCs w:val="18"/>
                      <w:vertAlign w:val="superscript"/>
                    </w:rPr>
                    <w:t>1</w:t>
                  </w:r>
                  <w:r w:rsidRPr="00025A0A">
                    <w:rPr>
                      <w:rFonts w:ascii="Calibri" w:hAnsi="Calibri" w:cs="Calibri"/>
                      <w:sz w:val="18"/>
                      <w:szCs w:val="18"/>
                    </w:rPr>
                    <w:t xml:space="preserve"> </w:t>
                  </w:r>
                  <w:r w:rsidR="00CC5857" w:rsidRPr="00025A0A">
                    <w:rPr>
                      <w:rFonts w:ascii="Calibri" w:hAnsi="Calibri" w:cs="Calibri"/>
                      <w:sz w:val="18"/>
                      <w:szCs w:val="18"/>
                    </w:rPr>
                    <w:t>I</w:t>
                  </w:r>
                  <w:r w:rsidRPr="00025A0A">
                    <w:rPr>
                      <w:rFonts w:ascii="Calibri" w:hAnsi="Calibri" w:cs="Calibri"/>
                      <w:sz w:val="18"/>
                      <w:szCs w:val="18"/>
                    </w:rPr>
                    <w:t>n-hospital mortality</w:t>
                  </w:r>
                  <w:r w:rsidR="00D54697" w:rsidRPr="00025A0A">
                    <w:rPr>
                      <w:rFonts w:ascii="Calibri" w:hAnsi="Calibri" w:cs="Calibri"/>
                      <w:sz w:val="18"/>
                      <w:szCs w:val="18"/>
                    </w:rPr>
                    <w:t xml:space="preserve"> </w:t>
                  </w:r>
                  <w:r w:rsidRPr="00025A0A">
                    <w:rPr>
                      <w:rFonts w:ascii="Calibri" w:hAnsi="Calibri" w:cs="Calibri"/>
                      <w:sz w:val="18"/>
                      <w:szCs w:val="18"/>
                    </w:rPr>
                    <w:t>within 28 days</w:t>
                  </w:r>
                </w:p>
                <w:p w14:paraId="73835BF1" w14:textId="23F3BD71" w:rsidR="00FD3B6D" w:rsidRPr="00025A0A" w:rsidRDefault="00FD3B6D" w:rsidP="00D5469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025A0A">
                    <w:rPr>
                      <w:rFonts w:ascii="Calibri" w:hAnsi="Calibri" w:cs="Calibri"/>
                      <w:sz w:val="18"/>
                      <w:szCs w:val="18"/>
                      <w:vertAlign w:val="superscript"/>
                    </w:rPr>
                    <w:t>2</w:t>
                  </w:r>
                  <w:r w:rsidRPr="00025A0A">
                    <w:rPr>
                      <w:rFonts w:ascii="Calibri" w:hAnsi="Calibri" w:cs="Calibri"/>
                      <w:sz w:val="18"/>
                      <w:szCs w:val="18"/>
                    </w:rPr>
                    <w:t xml:space="preserve"> </w:t>
                  </w:r>
                  <w:r w:rsidR="00CC5857" w:rsidRPr="00025A0A">
                    <w:rPr>
                      <w:rFonts w:ascii="Calibri" w:hAnsi="Calibri" w:cs="Calibri"/>
                      <w:sz w:val="18"/>
                      <w:szCs w:val="18"/>
                    </w:rPr>
                    <w:t>I</w:t>
                  </w:r>
                  <w:r w:rsidRPr="00025A0A">
                    <w:rPr>
                      <w:rFonts w:ascii="Calibri" w:hAnsi="Calibri" w:cs="Calibri"/>
                      <w:sz w:val="18"/>
                      <w:szCs w:val="18"/>
                    </w:rPr>
                    <w:t>n-hospital or up to 45 days after randomisation (‘short-term mortality’)</w:t>
                  </w:r>
                </w:p>
                <w:p w14:paraId="2982434B" w14:textId="5DA3A454" w:rsidR="00CC5857" w:rsidRPr="00025A0A" w:rsidRDefault="00CC5857" w:rsidP="00D54697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025A0A">
                    <w:rPr>
                      <w:rFonts w:ascii="Calibri" w:hAnsi="Calibri" w:cs="Calibri"/>
                      <w:sz w:val="18"/>
                      <w:szCs w:val="18"/>
                      <w:vertAlign w:val="superscript"/>
                    </w:rPr>
                    <w:t>3</w:t>
                  </w:r>
                  <w:r w:rsidRPr="00025A0A">
                    <w:rPr>
                      <w:rFonts w:ascii="Calibri" w:hAnsi="Calibri" w:cs="Calibri"/>
                      <w:sz w:val="18"/>
                      <w:szCs w:val="18"/>
                    </w:rPr>
                    <w:t xml:space="preserve"> Forest plot result </w:t>
                  </w:r>
                  <w:r w:rsidR="009862A2" w:rsidRPr="00025A0A">
                    <w:rPr>
                      <w:rFonts w:ascii="Calibri" w:hAnsi="Calibri" w:cs="Calibri"/>
                      <w:sz w:val="18"/>
                      <w:szCs w:val="18"/>
                    </w:rPr>
                    <w:t>reported. Note</w:t>
                  </w:r>
                  <w:r w:rsidRPr="00025A0A">
                    <w:rPr>
                      <w:rFonts w:ascii="Calibri" w:hAnsi="Calibri" w:cs="Calibri"/>
                      <w:sz w:val="18"/>
                      <w:szCs w:val="18"/>
                    </w:rPr>
                    <w:t xml:space="preserve"> difference </w:t>
                  </w:r>
                  <w:r w:rsidR="009862A2" w:rsidRPr="00025A0A">
                    <w:rPr>
                      <w:rFonts w:ascii="Calibri" w:hAnsi="Calibri" w:cs="Calibri"/>
                      <w:sz w:val="18"/>
                      <w:szCs w:val="18"/>
                    </w:rPr>
                    <w:t>in reporting</w:t>
                  </w:r>
                  <w:r w:rsidRPr="00025A0A">
                    <w:rPr>
                      <w:rFonts w:ascii="Calibri" w:hAnsi="Calibri" w:cs="Calibri"/>
                      <w:sz w:val="18"/>
                      <w:szCs w:val="18"/>
                    </w:rPr>
                    <w:t xml:space="preserve"> in</w:t>
                  </w:r>
                  <w:r w:rsidR="009862A2" w:rsidRPr="00025A0A">
                    <w:rPr>
                      <w:rFonts w:ascii="Calibri" w:hAnsi="Calibri" w:cs="Calibri"/>
                      <w:sz w:val="18"/>
                      <w:szCs w:val="18"/>
                    </w:rPr>
                    <w:t>-</w:t>
                  </w:r>
                  <w:r w:rsidRPr="00025A0A">
                    <w:rPr>
                      <w:rFonts w:ascii="Calibri" w:hAnsi="Calibri" w:cs="Calibri"/>
                      <w:sz w:val="18"/>
                      <w:szCs w:val="18"/>
                    </w:rPr>
                    <w:t>text although consistent direction of effect)</w:t>
                  </w:r>
                </w:p>
              </w:tc>
            </w:tr>
            <w:tr w:rsidR="00D54697" w:rsidRPr="00025A0A" w14:paraId="378CF97C" w14:textId="77777777" w:rsidTr="0004042A">
              <w:trPr>
                <w:trHeight w:val="83"/>
              </w:trPr>
              <w:tc>
                <w:tcPr>
                  <w:tcW w:w="13777" w:type="dxa"/>
                </w:tcPr>
                <w:p w14:paraId="4365E848" w14:textId="77777777" w:rsidR="00D54697" w:rsidRPr="00025A0A" w:rsidRDefault="00D54697" w:rsidP="00D54697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pPr>
                  <w:r w:rsidRPr="00025A0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t>GRADE Working Group grades of evidence: High certainty / Moderate certainty / Low certainty / Very low certainty</w:t>
                  </w:r>
                </w:p>
              </w:tc>
            </w:tr>
          </w:tbl>
          <w:p w14:paraId="03331065" w14:textId="77777777" w:rsidR="006A66AB" w:rsidRPr="00025A0A" w:rsidRDefault="006A66AB" w:rsidP="0026154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73C9671" w14:textId="511C5CF4" w:rsidR="002C6C52" w:rsidRPr="00025A0A" w:rsidRDefault="002C6C52">
      <w:pPr>
        <w:rPr>
          <w:rFonts w:ascii="Calibri" w:hAnsi="Calibri" w:cs="Calibri"/>
        </w:rPr>
      </w:pPr>
    </w:p>
    <w:sectPr w:rsidR="002C6C52" w:rsidRPr="00025A0A" w:rsidSect="004D7F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35"/>
    <w:rsid w:val="00021FF4"/>
    <w:rsid w:val="00022AFB"/>
    <w:rsid w:val="00025A0A"/>
    <w:rsid w:val="0003785C"/>
    <w:rsid w:val="0004042A"/>
    <w:rsid w:val="00046E21"/>
    <w:rsid w:val="000A0932"/>
    <w:rsid w:val="000A29D2"/>
    <w:rsid w:val="000C6773"/>
    <w:rsid w:val="001274D4"/>
    <w:rsid w:val="0013282F"/>
    <w:rsid w:val="0013413E"/>
    <w:rsid w:val="001451DC"/>
    <w:rsid w:val="001A3B76"/>
    <w:rsid w:val="001D2091"/>
    <w:rsid w:val="001E0A5A"/>
    <w:rsid w:val="001E218E"/>
    <w:rsid w:val="002102F6"/>
    <w:rsid w:val="0029371D"/>
    <w:rsid w:val="002C2E4F"/>
    <w:rsid w:val="002C6C52"/>
    <w:rsid w:val="002F27E3"/>
    <w:rsid w:val="00310C30"/>
    <w:rsid w:val="00322565"/>
    <w:rsid w:val="003355AD"/>
    <w:rsid w:val="0039607A"/>
    <w:rsid w:val="003A69A3"/>
    <w:rsid w:val="003D0191"/>
    <w:rsid w:val="004121FD"/>
    <w:rsid w:val="00453284"/>
    <w:rsid w:val="00461255"/>
    <w:rsid w:val="004678B1"/>
    <w:rsid w:val="00486FBA"/>
    <w:rsid w:val="00493195"/>
    <w:rsid w:val="004C21F7"/>
    <w:rsid w:val="004D7F2E"/>
    <w:rsid w:val="005778F5"/>
    <w:rsid w:val="005820F3"/>
    <w:rsid w:val="005F3CDA"/>
    <w:rsid w:val="00604135"/>
    <w:rsid w:val="006100F4"/>
    <w:rsid w:val="00637787"/>
    <w:rsid w:val="006578E0"/>
    <w:rsid w:val="006A60EB"/>
    <w:rsid w:val="006A66AB"/>
    <w:rsid w:val="006B4EE5"/>
    <w:rsid w:val="006C5B3F"/>
    <w:rsid w:val="00703A78"/>
    <w:rsid w:val="0074021C"/>
    <w:rsid w:val="007524E5"/>
    <w:rsid w:val="0076143D"/>
    <w:rsid w:val="007A31A3"/>
    <w:rsid w:val="007D4A96"/>
    <w:rsid w:val="007D5C16"/>
    <w:rsid w:val="00807878"/>
    <w:rsid w:val="008441DB"/>
    <w:rsid w:val="0088783B"/>
    <w:rsid w:val="008B0B9E"/>
    <w:rsid w:val="008B19AC"/>
    <w:rsid w:val="008B66CD"/>
    <w:rsid w:val="00912A59"/>
    <w:rsid w:val="00944013"/>
    <w:rsid w:val="00951AB0"/>
    <w:rsid w:val="009533FC"/>
    <w:rsid w:val="00963005"/>
    <w:rsid w:val="009835CB"/>
    <w:rsid w:val="009862A2"/>
    <w:rsid w:val="009A6570"/>
    <w:rsid w:val="009A6D9B"/>
    <w:rsid w:val="009E0468"/>
    <w:rsid w:val="00A2737F"/>
    <w:rsid w:val="00A47A8E"/>
    <w:rsid w:val="00AA21FB"/>
    <w:rsid w:val="00AB2C2D"/>
    <w:rsid w:val="00AB672E"/>
    <w:rsid w:val="00AC1114"/>
    <w:rsid w:val="00AC39AB"/>
    <w:rsid w:val="00B51C53"/>
    <w:rsid w:val="00B835EE"/>
    <w:rsid w:val="00BB67BA"/>
    <w:rsid w:val="00BE63EB"/>
    <w:rsid w:val="00C72AE6"/>
    <w:rsid w:val="00CC5857"/>
    <w:rsid w:val="00CF4604"/>
    <w:rsid w:val="00CF5BD7"/>
    <w:rsid w:val="00D52FDA"/>
    <w:rsid w:val="00D54697"/>
    <w:rsid w:val="00D8500D"/>
    <w:rsid w:val="00DA1755"/>
    <w:rsid w:val="00DB245D"/>
    <w:rsid w:val="00DC0704"/>
    <w:rsid w:val="00DE00A5"/>
    <w:rsid w:val="00E469EF"/>
    <w:rsid w:val="00E827DC"/>
    <w:rsid w:val="00EE0C1D"/>
    <w:rsid w:val="00F04FDA"/>
    <w:rsid w:val="00F2116C"/>
    <w:rsid w:val="00F54279"/>
    <w:rsid w:val="00FD3B6D"/>
    <w:rsid w:val="00FE157A"/>
    <w:rsid w:val="00FE3223"/>
    <w:rsid w:val="00FF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BE32"/>
  <w15:chartTrackingRefBased/>
  <w15:docId w15:val="{7D7EAB63-E050-42BF-BBA0-02B0A616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13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1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1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1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1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1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1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1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1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1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13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13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04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13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04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1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66A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15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15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157A"/>
    <w:rPr>
      <w:sz w:val="20"/>
      <w:szCs w:val="20"/>
    </w:rPr>
  </w:style>
  <w:style w:type="paragraph" w:styleId="Revision">
    <w:name w:val="Revision"/>
    <w:hidden/>
    <w:uiPriority w:val="99"/>
    <w:semiHidden/>
    <w:rsid w:val="001D2091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Jones</dc:creator>
  <cp:keywords/>
  <dc:description/>
  <cp:lastModifiedBy>Katherine Jones</cp:lastModifiedBy>
  <cp:revision>88</cp:revision>
  <dcterms:created xsi:type="dcterms:W3CDTF">2025-02-06T14:57:00Z</dcterms:created>
  <dcterms:modified xsi:type="dcterms:W3CDTF">2025-09-30T15:56:00Z</dcterms:modified>
</cp:coreProperties>
</file>