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FA5D9">
      <w:pPr>
        <w:pStyle w:val="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Legends of Supplemental Material</w:t>
      </w:r>
    </w:p>
    <w:p w14:paraId="13877871">
      <w:pPr>
        <w:jc w:val="left"/>
        <w:rPr>
          <w:rFonts w:hint="default" w:ascii="Times New Roman Regular" w:hAnsi="Times New Roman Regular" w:eastAsia="DengXian" w:cs="Times New Roman Regular"/>
          <w:b/>
          <w:bCs/>
          <w:sz w:val="24"/>
          <w:szCs w:val="24"/>
          <w:lang w:val="en-US" w:eastAsia="zh-CN" w:bidi="ar-SA"/>
        </w:rPr>
      </w:pPr>
      <w:r>
        <w:rPr>
          <w:rFonts w:hint="default" w:ascii="Times New Roman Regular" w:hAnsi="Times New Roman Regular" w:eastAsia="DengXian" w:cs="Times New Roman Regular"/>
          <w:b/>
          <w:bCs/>
          <w:sz w:val="24"/>
          <w:szCs w:val="24"/>
          <w:lang w:val="en-US" w:eastAsia="zh-CN" w:bidi="ar-SA"/>
        </w:rPr>
        <w:t>eTable 1. Epidemiological characteristics of traumatic cardiac arrest: summary of included epidemiological studies</w:t>
      </w:r>
    </w:p>
    <w:p w14:paraId="6E270D47">
      <w:pPr>
        <w:jc w:val="left"/>
        <w:rPr>
          <w:rFonts w:hint="default" w:ascii="Times New Roman Regular" w:hAnsi="Times New Roman Regular" w:eastAsia="DengXian" w:cs="Times New Roman Regular"/>
          <w:b/>
          <w:bCs/>
          <w:sz w:val="24"/>
          <w:szCs w:val="24"/>
          <w:lang w:val="en-US" w:eastAsia="zh-CN" w:bidi="ar-SA"/>
        </w:rPr>
      </w:pPr>
      <w:r>
        <w:rPr>
          <w:rFonts w:hint="default" w:ascii="Times New Roman Regular" w:hAnsi="Times New Roman Regular" w:eastAsia="DengXian" w:cs="Times New Roman Regular"/>
          <w:b/>
          <w:bCs/>
          <w:sz w:val="24"/>
          <w:szCs w:val="24"/>
          <w:lang w:val="en-US" w:eastAsia="zh-CN" w:bidi="ar-SA"/>
        </w:rPr>
        <w:t>eTable 2. Rates of return of spontaneous circulation (ROSC) and survival from clinical studies on traumatic cardiac arrest</w:t>
      </w:r>
    </w:p>
    <w:p w14:paraId="3034353E">
      <w:pPr>
        <w:jc w:val="left"/>
        <w:rPr>
          <w:rFonts w:hint="default" w:ascii="Times New Roman Regular" w:hAnsi="Times New Roman Regular" w:eastAsia="DengXian" w:cs="Times New Roman Regular"/>
          <w:b/>
          <w:bCs/>
          <w:sz w:val="24"/>
          <w:szCs w:val="24"/>
          <w:lang w:val="en-US" w:eastAsia="zh-CN" w:bidi="ar-SA"/>
        </w:rPr>
      </w:pPr>
      <w:r>
        <w:rPr>
          <w:rFonts w:hint="default" w:ascii="Times New Roman Regular" w:hAnsi="Times New Roman Regular" w:eastAsia="DengXian" w:cs="Times New Roman Regular"/>
          <w:b/>
          <w:bCs/>
          <w:sz w:val="24"/>
          <w:szCs w:val="24"/>
          <w:lang w:val="en-US" w:eastAsia="zh-CN" w:bidi="ar-SA"/>
        </w:rPr>
        <w:t>eTable 3. Summary of intervention-related studies in traumatic cardiac arrest</w:t>
      </w:r>
    </w:p>
    <w:p w14:paraId="62B69A5C">
      <w:pPr>
        <w:jc w:val="left"/>
        <w:rPr>
          <w:rFonts w:hint="default" w:ascii="Times New Roman Regular" w:hAnsi="Times New Roman Regular" w:eastAsia="DengXian" w:cs="Times New Roman Regular"/>
          <w:b/>
          <w:bCs/>
          <w:sz w:val="24"/>
          <w:szCs w:val="24"/>
          <w:lang w:val="en-US" w:eastAsia="zh-CN" w:bidi="ar-SA"/>
        </w:rPr>
      </w:pPr>
      <w:r>
        <w:rPr>
          <w:rFonts w:hint="default" w:ascii="Times New Roman Regular" w:hAnsi="Times New Roman Regular" w:eastAsia="DengXian" w:cs="Times New Roman Regular"/>
          <w:b/>
          <w:bCs/>
          <w:sz w:val="24"/>
          <w:szCs w:val="24"/>
          <w:lang w:val="en-US" w:eastAsia="zh-CN" w:bidi="ar-SA"/>
        </w:rPr>
        <w:t>eTable 4. Predictors of return of spontaneous circulation and survival in traumatic cardiac arrest</w:t>
      </w:r>
    </w:p>
    <w:p w14:paraId="4E3494E6">
      <w:pPr>
        <w:rPr>
          <w:rFonts w:hint="default" w:ascii="Times New Roman Regular" w:hAnsi="Times New Roman Regular" w:eastAsia="DengXian" w:cs="Times New Roman Regular"/>
          <w:b/>
          <w:bCs/>
          <w:sz w:val="24"/>
          <w:szCs w:val="24"/>
          <w:lang w:val="en-US" w:eastAsia="zh-CN" w:bidi="ar-SA"/>
        </w:rPr>
      </w:pPr>
      <w:r>
        <w:rPr>
          <w:rFonts w:hint="default" w:ascii="Times New Roman Regular" w:hAnsi="Times New Roman Regular" w:eastAsia="DengXian" w:cs="Times New Roman Regular"/>
          <w:b/>
          <w:bCs/>
          <w:sz w:val="24"/>
          <w:szCs w:val="24"/>
          <w:lang w:val="en-US" w:eastAsia="zh-CN" w:bidi="ar-SA"/>
        </w:rPr>
        <w:t>eTable 5. Variations in traumatic cardiac arrest definitions across the literature</w:t>
      </w:r>
    </w:p>
    <w:p w14:paraId="0EA6D17C">
      <w:pPr>
        <w:rPr>
          <w:rFonts w:hint="default" w:ascii="Times New Roman Regular" w:hAnsi="Times New Roman Regular" w:eastAsia="DengXian" w:cs="Times New Roman Regular"/>
          <w:b/>
          <w:bCs/>
          <w:sz w:val="24"/>
          <w:szCs w:val="24"/>
          <w:lang w:val="en-US" w:eastAsia="zh-CN" w:bidi="ar-SA"/>
        </w:rPr>
      </w:pPr>
    </w:p>
    <w:p w14:paraId="6B05D9D7">
      <w:pPr>
        <w:rPr>
          <w:rFonts w:hint="default" w:ascii="Times New Roman Regular" w:hAnsi="Times New Roman Regular" w:eastAsia="DengXian" w:cs="Times New Roman Regular"/>
          <w:b/>
          <w:bCs/>
          <w:sz w:val="24"/>
          <w:szCs w:val="24"/>
          <w:lang w:val="en-US" w:eastAsia="zh-CN" w:bidi="ar-SA"/>
        </w:rPr>
      </w:pPr>
    </w:p>
    <w:p w14:paraId="19A7F242">
      <w:pPr>
        <w:rPr>
          <w:rFonts w:hint="default" w:ascii="Times New Roman Regular" w:hAnsi="Times New Roman Regular" w:eastAsia="DengXian" w:cs="Times New Roman Regular"/>
          <w:b/>
          <w:bCs/>
          <w:sz w:val="24"/>
          <w:szCs w:val="24"/>
          <w:lang w:val="en-US" w:eastAsia="zh-CN" w:bidi="ar-SA"/>
        </w:rPr>
      </w:pPr>
    </w:p>
    <w:p w14:paraId="70B2FDBD">
      <w:pPr>
        <w:rPr>
          <w:rFonts w:hint="default" w:ascii="Times New Roman Regular" w:hAnsi="Times New Roman Regular" w:eastAsia="DengXian" w:cs="Times New Roman Regular"/>
          <w:b/>
          <w:bCs/>
          <w:sz w:val="24"/>
          <w:szCs w:val="24"/>
          <w:lang w:val="en-US" w:eastAsia="zh-CN" w:bidi="ar-SA"/>
        </w:rPr>
      </w:pPr>
    </w:p>
    <w:p w14:paraId="6728D113">
      <w:pPr>
        <w:rPr>
          <w:rFonts w:hint="default" w:ascii="Times New Roman Regular" w:hAnsi="Times New Roman Regular" w:eastAsia="DengXian" w:cs="Times New Roman Regular"/>
          <w:b/>
          <w:bCs/>
          <w:sz w:val="24"/>
          <w:szCs w:val="24"/>
          <w:lang w:val="en-US" w:eastAsia="zh-CN" w:bidi="ar-SA"/>
        </w:rPr>
      </w:pPr>
    </w:p>
    <w:p w14:paraId="70E4555C">
      <w:pPr>
        <w:rPr>
          <w:rFonts w:hint="default" w:ascii="Times New Roman Regular" w:hAnsi="Times New Roman Regular" w:eastAsia="DengXian" w:cs="Times New Roman Regular"/>
          <w:b/>
          <w:bCs/>
          <w:sz w:val="24"/>
          <w:szCs w:val="24"/>
          <w:lang w:val="en-US" w:eastAsia="zh-CN" w:bidi="ar-SA"/>
        </w:rPr>
      </w:pPr>
    </w:p>
    <w:p w14:paraId="3C2912B0">
      <w:pPr>
        <w:rPr>
          <w:rFonts w:hint="default" w:ascii="Times New Roman Regular" w:hAnsi="Times New Roman Regular" w:eastAsia="DengXian" w:cs="Times New Roman Regular"/>
          <w:b/>
          <w:bCs/>
          <w:sz w:val="24"/>
          <w:szCs w:val="24"/>
          <w:lang w:val="en-US" w:eastAsia="zh-CN" w:bidi="ar-SA"/>
        </w:rPr>
      </w:pPr>
    </w:p>
    <w:p w14:paraId="3444AA59">
      <w:pPr>
        <w:rPr>
          <w:rFonts w:hint="default" w:ascii="Times New Roman Regular" w:hAnsi="Times New Roman Regular" w:eastAsia="DengXian" w:cs="Times New Roman Regular"/>
          <w:b/>
          <w:bCs/>
          <w:sz w:val="24"/>
          <w:szCs w:val="24"/>
          <w:lang w:val="en-US" w:eastAsia="zh-CN" w:bidi="ar-SA"/>
        </w:rPr>
      </w:pPr>
    </w:p>
    <w:p w14:paraId="2D6D1CD9">
      <w:pPr>
        <w:rPr>
          <w:rFonts w:hint="default" w:ascii="Times New Roman Regular" w:hAnsi="Times New Roman Regular" w:eastAsia="DengXian" w:cs="Times New Roman Regular"/>
          <w:b/>
          <w:bCs/>
          <w:sz w:val="24"/>
          <w:szCs w:val="24"/>
          <w:lang w:val="en-US" w:eastAsia="zh-CN" w:bidi="ar-SA"/>
        </w:rPr>
      </w:pPr>
    </w:p>
    <w:p w14:paraId="1AA54B42">
      <w:pPr>
        <w:rPr>
          <w:rFonts w:hint="default" w:ascii="Times New Roman Regular" w:hAnsi="Times New Roman Regular" w:eastAsia="DengXian" w:cs="Times New Roman Regular"/>
          <w:b/>
          <w:bCs/>
          <w:sz w:val="24"/>
          <w:szCs w:val="24"/>
          <w:lang w:val="en-US" w:eastAsia="zh-CN" w:bidi="ar-SA"/>
        </w:rPr>
      </w:pPr>
    </w:p>
    <w:p w14:paraId="1A2A0942">
      <w:pPr>
        <w:rPr>
          <w:rFonts w:hint="default" w:ascii="Times New Roman Regular" w:hAnsi="Times New Roman Regular" w:eastAsia="DengXian" w:cs="Times New Roman Regular"/>
          <w:b/>
          <w:bCs/>
          <w:sz w:val="24"/>
          <w:szCs w:val="24"/>
          <w:lang w:val="en-US" w:eastAsia="zh-CN" w:bidi="ar-SA"/>
        </w:rPr>
      </w:pPr>
    </w:p>
    <w:p w14:paraId="3F269511">
      <w:pPr>
        <w:rPr>
          <w:rFonts w:hint="default" w:ascii="Times New Roman Regular" w:hAnsi="Times New Roman Regular" w:eastAsia="DengXian" w:cs="Times New Roman Regular"/>
          <w:b/>
          <w:bCs/>
          <w:sz w:val="24"/>
          <w:szCs w:val="24"/>
          <w:lang w:val="en-US" w:eastAsia="zh-CN" w:bidi="ar-SA"/>
        </w:rPr>
      </w:pPr>
    </w:p>
    <w:p w14:paraId="74F03798">
      <w:pPr>
        <w:rPr>
          <w:rFonts w:hint="default" w:ascii="Times New Roman Regular" w:hAnsi="Times New Roman Regular" w:eastAsia="DengXian" w:cs="Times New Roman Regular"/>
          <w:b/>
          <w:bCs/>
          <w:sz w:val="24"/>
          <w:szCs w:val="24"/>
          <w:lang w:val="en-US" w:eastAsia="zh-CN" w:bidi="ar-SA"/>
        </w:rPr>
      </w:pPr>
    </w:p>
    <w:p w14:paraId="7AEE6EA3">
      <w:pPr>
        <w:rPr>
          <w:rFonts w:hint="default" w:ascii="Times New Roman Regular" w:hAnsi="Times New Roman Regular" w:eastAsia="DengXian" w:cs="Times New Roman Regular"/>
          <w:b/>
          <w:bCs/>
          <w:sz w:val="24"/>
          <w:szCs w:val="24"/>
          <w:lang w:val="en-US" w:eastAsia="zh-CN" w:bidi="ar-SA"/>
        </w:rPr>
      </w:pPr>
    </w:p>
    <w:p w14:paraId="71562B24">
      <w:pPr>
        <w:rPr>
          <w:rFonts w:hint="default" w:ascii="Times New Roman Regular" w:hAnsi="Times New Roman Regular" w:eastAsia="DengXian" w:cs="Times New Roman Regular"/>
          <w:b/>
          <w:bCs/>
          <w:sz w:val="24"/>
          <w:szCs w:val="24"/>
          <w:lang w:val="en-US" w:eastAsia="zh-CN" w:bidi="ar-SA"/>
        </w:rPr>
      </w:pPr>
    </w:p>
    <w:p w14:paraId="0AD2B451">
      <w:pPr>
        <w:rPr>
          <w:rFonts w:hint="default" w:ascii="Times New Roman Regular" w:hAnsi="Times New Roman Regular" w:eastAsia="DengXian" w:cs="Times New Roman Regular"/>
          <w:b/>
          <w:bCs/>
          <w:sz w:val="24"/>
          <w:szCs w:val="24"/>
          <w:lang w:val="en-US" w:eastAsia="zh-CN" w:bidi="ar-SA"/>
        </w:rPr>
      </w:pPr>
    </w:p>
    <w:p w14:paraId="11388990">
      <w:pPr>
        <w:rPr>
          <w:rFonts w:hint="default" w:ascii="Times New Roman Regular" w:hAnsi="Times New Roman Regular" w:eastAsia="DengXian" w:cs="Times New Roman Regular"/>
          <w:b/>
          <w:bCs/>
          <w:sz w:val="24"/>
          <w:szCs w:val="24"/>
          <w:lang w:val="en-US" w:eastAsia="zh-CN" w:bidi="ar-SA"/>
        </w:rPr>
      </w:pPr>
    </w:p>
    <w:p w14:paraId="234C7EFB">
      <w:pPr>
        <w:rPr>
          <w:rFonts w:hint="default" w:ascii="Times New Roman Regular" w:hAnsi="Times New Roman Regular" w:eastAsia="DengXian" w:cs="Times New Roman Regular"/>
          <w:b/>
          <w:bCs/>
          <w:sz w:val="24"/>
          <w:szCs w:val="24"/>
          <w:lang w:val="en-US" w:eastAsia="zh-CN" w:bidi="ar-SA"/>
        </w:rPr>
      </w:pPr>
    </w:p>
    <w:p w14:paraId="748D91D3">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eTable 1. Epidemiological characteristics of traumatic cardiac arrest: summary of included epidemiological studies</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1954"/>
        <w:gridCol w:w="1547"/>
        <w:gridCol w:w="1402"/>
        <w:gridCol w:w="825"/>
        <w:gridCol w:w="989"/>
        <w:gridCol w:w="1258"/>
        <w:gridCol w:w="1825"/>
        <w:gridCol w:w="959"/>
        <w:gridCol w:w="1687"/>
        <w:gridCol w:w="1752"/>
      </w:tblGrid>
      <w:tr w14:paraId="1EBF59F1">
        <w:tc>
          <w:tcPr>
            <w:tcW w:w="1954" w:type="dxa"/>
            <w:tcBorders>
              <w:top w:val="single" w:color="auto" w:sz="4" w:space="0"/>
              <w:bottom w:val="single" w:color="auto" w:sz="4" w:space="0"/>
            </w:tcBorders>
            <w:tcMar>
              <w:top w:w="60" w:type="dxa"/>
              <w:left w:w="120" w:type="dxa"/>
              <w:bottom w:w="30" w:type="dxa"/>
              <w:right w:w="120" w:type="dxa"/>
            </w:tcMar>
          </w:tcPr>
          <w:p w14:paraId="4E0BF81A">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Autor (doi)</w:t>
            </w:r>
          </w:p>
        </w:tc>
        <w:tc>
          <w:tcPr>
            <w:tcW w:w="1547" w:type="dxa"/>
            <w:tcBorders>
              <w:top w:val="single" w:color="auto" w:sz="4" w:space="0"/>
              <w:bottom w:val="single" w:color="auto" w:sz="4" w:space="0"/>
            </w:tcBorders>
            <w:tcMar>
              <w:top w:w="60" w:type="dxa"/>
              <w:left w:w="120" w:type="dxa"/>
              <w:bottom w:w="30" w:type="dxa"/>
              <w:right w:w="120" w:type="dxa"/>
            </w:tcMar>
          </w:tcPr>
          <w:p w14:paraId="216AD99A">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 xml:space="preserve">Study </w:t>
            </w:r>
            <w:r>
              <w:rPr>
                <w:rFonts w:hint="default" w:ascii="Times New Roman Regular" w:hAnsi="Times New Roman Regular" w:cs="Times New Roman Regular"/>
                <w:b/>
                <w:bCs/>
                <w:sz w:val="24"/>
                <w:szCs w:val="24"/>
                <w:lang w:val="en-US" w:eastAsia="zh-CN"/>
              </w:rPr>
              <w:t>t</w:t>
            </w:r>
            <w:r>
              <w:rPr>
                <w:rFonts w:hint="default" w:ascii="Times New Roman Regular" w:hAnsi="Times New Roman Regular" w:cs="Times New Roman Regular"/>
                <w:b/>
                <w:bCs/>
                <w:sz w:val="24"/>
                <w:szCs w:val="24"/>
              </w:rPr>
              <w:t>ype</w:t>
            </w:r>
          </w:p>
        </w:tc>
        <w:tc>
          <w:tcPr>
            <w:tcW w:w="1402" w:type="dxa"/>
            <w:tcBorders>
              <w:top w:val="single" w:color="auto" w:sz="4" w:space="0"/>
              <w:bottom w:val="single" w:color="auto" w:sz="4" w:space="0"/>
            </w:tcBorders>
            <w:tcMar>
              <w:top w:w="60" w:type="dxa"/>
              <w:left w:w="120" w:type="dxa"/>
              <w:bottom w:w="30" w:type="dxa"/>
              <w:right w:w="120" w:type="dxa"/>
            </w:tcMar>
          </w:tcPr>
          <w:p w14:paraId="5FB406CC">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Region</w:t>
            </w:r>
          </w:p>
        </w:tc>
        <w:tc>
          <w:tcPr>
            <w:tcW w:w="825" w:type="dxa"/>
            <w:tcBorders>
              <w:top w:val="single" w:color="auto" w:sz="4" w:space="0"/>
              <w:bottom w:val="single" w:color="auto" w:sz="4" w:space="0"/>
            </w:tcBorders>
            <w:tcMar>
              <w:top w:w="60" w:type="dxa"/>
              <w:left w:w="120" w:type="dxa"/>
              <w:bottom w:w="30" w:type="dxa"/>
              <w:right w:w="120" w:type="dxa"/>
            </w:tcMar>
          </w:tcPr>
          <w:p w14:paraId="31B0796F">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lang w:val="en-US"/>
              </w:rPr>
              <w:t>Patient</w:t>
            </w:r>
            <w:r>
              <w:rPr>
                <w:rFonts w:hint="default" w:ascii="Times New Roman Regular" w:hAnsi="Times New Roman Regular" w:cs="Times New Roman Regular"/>
                <w:b/>
                <w:bCs/>
                <w:sz w:val="24"/>
                <w:szCs w:val="24"/>
              </w:rPr>
              <w:t xml:space="preserve"> </w:t>
            </w:r>
            <w:r>
              <w:rPr>
                <w:rFonts w:hint="default" w:ascii="Times New Roman Regular" w:hAnsi="Times New Roman Regular" w:cs="Times New Roman Regular"/>
                <w:b/>
                <w:bCs/>
                <w:sz w:val="24"/>
                <w:szCs w:val="24"/>
                <w:lang w:val="en-US" w:eastAsia="zh-CN"/>
              </w:rPr>
              <w:t>p</w:t>
            </w:r>
            <w:r>
              <w:rPr>
                <w:rFonts w:hint="default" w:ascii="Times New Roman Regular" w:hAnsi="Times New Roman Regular" w:cs="Times New Roman Regular"/>
                <w:b/>
                <w:bCs/>
                <w:sz w:val="24"/>
                <w:szCs w:val="24"/>
              </w:rPr>
              <w:t>eriod</w:t>
            </w:r>
          </w:p>
        </w:tc>
        <w:tc>
          <w:tcPr>
            <w:tcW w:w="989" w:type="dxa"/>
            <w:tcBorders>
              <w:top w:val="single" w:color="auto" w:sz="4" w:space="0"/>
              <w:bottom w:val="single" w:color="auto" w:sz="4" w:space="0"/>
            </w:tcBorders>
            <w:tcMar>
              <w:top w:w="60" w:type="dxa"/>
              <w:left w:w="120" w:type="dxa"/>
              <w:bottom w:w="30" w:type="dxa"/>
              <w:right w:w="120" w:type="dxa"/>
            </w:tcMar>
          </w:tcPr>
          <w:p w14:paraId="0289F3D9">
            <w:pPr>
              <w:pStyle w:val="12"/>
              <w:rPr>
                <w:rFonts w:hint="default" w:ascii="Times New Roman Regular" w:hAnsi="Times New Roman Regular" w:cs="Times New Roman Regular"/>
                <w:b/>
                <w:bCs/>
                <w:sz w:val="24"/>
                <w:szCs w:val="24"/>
                <w:lang w:val="en-US"/>
              </w:rPr>
            </w:pPr>
            <w:r>
              <w:rPr>
                <w:rFonts w:hint="default" w:ascii="Times New Roman Regular" w:hAnsi="Times New Roman Regular" w:cs="Times New Roman Regular"/>
                <w:b/>
                <w:bCs/>
                <w:sz w:val="24"/>
                <w:szCs w:val="24"/>
              </w:rPr>
              <w:t xml:space="preserve">Sample </w:t>
            </w:r>
            <w:r>
              <w:rPr>
                <w:rFonts w:hint="default" w:ascii="Times New Roman Regular" w:hAnsi="Times New Roman Regular" w:cs="Times New Roman Regular"/>
                <w:b/>
                <w:bCs/>
                <w:sz w:val="24"/>
                <w:szCs w:val="24"/>
                <w:lang w:val="en-US" w:eastAsia="zh-CN"/>
              </w:rPr>
              <w:t>s</w:t>
            </w:r>
            <w:r>
              <w:rPr>
                <w:rFonts w:hint="default" w:ascii="Times New Roman Regular" w:hAnsi="Times New Roman Regular" w:cs="Times New Roman Regular"/>
                <w:b/>
                <w:bCs/>
                <w:sz w:val="24"/>
                <w:szCs w:val="24"/>
              </w:rPr>
              <w:t>ize</w:t>
            </w:r>
            <w:r>
              <w:rPr>
                <w:rFonts w:hint="default" w:ascii="Times New Roman Regular" w:hAnsi="Times New Roman Regular" w:cs="Times New Roman Regular"/>
                <w:b/>
                <w:bCs/>
                <w:sz w:val="24"/>
                <w:szCs w:val="24"/>
                <w:lang w:val="en-US"/>
              </w:rPr>
              <w:t xml:space="preserve"> (n)</w:t>
            </w:r>
          </w:p>
        </w:tc>
        <w:tc>
          <w:tcPr>
            <w:tcW w:w="1258" w:type="dxa"/>
            <w:tcBorders>
              <w:top w:val="single" w:color="auto" w:sz="4" w:space="0"/>
              <w:bottom w:val="single" w:color="auto" w:sz="4" w:space="0"/>
            </w:tcBorders>
            <w:tcMar>
              <w:top w:w="60" w:type="dxa"/>
              <w:left w:w="120" w:type="dxa"/>
              <w:bottom w:w="30" w:type="dxa"/>
              <w:right w:w="120" w:type="dxa"/>
            </w:tcMar>
          </w:tcPr>
          <w:p w14:paraId="5FA9BC10">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Incidence</w:t>
            </w:r>
          </w:p>
        </w:tc>
        <w:tc>
          <w:tcPr>
            <w:tcW w:w="1825" w:type="dxa"/>
            <w:tcBorders>
              <w:top w:val="single" w:color="auto" w:sz="4" w:space="0"/>
              <w:bottom w:val="single" w:color="auto" w:sz="4" w:space="0"/>
            </w:tcBorders>
            <w:tcMar>
              <w:top w:w="60" w:type="dxa"/>
              <w:left w:w="120" w:type="dxa"/>
              <w:bottom w:w="30" w:type="dxa"/>
              <w:right w:w="120" w:type="dxa"/>
            </w:tcMar>
          </w:tcPr>
          <w:p w14:paraId="7B79950B">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Age (Median/IQR/Mean</w:t>
            </w:r>
            <w:r>
              <w:rPr>
                <w:rFonts w:hint="default" w:ascii="Times New Roman Regular" w:hAnsi="Times New Roman Regular" w:cs="Times New Roman Regular"/>
                <w:b/>
                <w:bCs/>
                <w:sz w:val="24"/>
                <w:szCs w:val="24"/>
                <w:lang w:val="en-US"/>
              </w:rPr>
              <w:t>, years</w:t>
            </w:r>
            <w:r>
              <w:rPr>
                <w:rFonts w:hint="default" w:ascii="Times New Roman Regular" w:hAnsi="Times New Roman Regular" w:cs="Times New Roman Regular"/>
                <w:b/>
                <w:bCs/>
                <w:sz w:val="24"/>
                <w:szCs w:val="24"/>
              </w:rPr>
              <w:t>)</w:t>
            </w:r>
          </w:p>
        </w:tc>
        <w:tc>
          <w:tcPr>
            <w:tcW w:w="959" w:type="dxa"/>
            <w:tcBorders>
              <w:top w:val="single" w:color="auto" w:sz="4" w:space="0"/>
              <w:bottom w:val="single" w:color="auto" w:sz="4" w:space="0"/>
            </w:tcBorders>
            <w:tcMar>
              <w:top w:w="60" w:type="dxa"/>
              <w:left w:w="120" w:type="dxa"/>
              <w:bottom w:w="30" w:type="dxa"/>
              <w:right w:w="120" w:type="dxa"/>
            </w:tcMar>
          </w:tcPr>
          <w:p w14:paraId="7FC96CB5">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Sex (Male %)</w:t>
            </w:r>
          </w:p>
        </w:tc>
        <w:tc>
          <w:tcPr>
            <w:tcW w:w="1687" w:type="dxa"/>
            <w:tcBorders>
              <w:top w:val="single" w:color="auto" w:sz="4" w:space="0"/>
              <w:bottom w:val="single" w:color="auto" w:sz="4" w:space="0"/>
            </w:tcBorders>
            <w:tcMar>
              <w:top w:w="60" w:type="dxa"/>
              <w:left w:w="120" w:type="dxa"/>
              <w:bottom w:w="30" w:type="dxa"/>
              <w:right w:w="120" w:type="dxa"/>
            </w:tcMar>
          </w:tcPr>
          <w:p w14:paraId="0BAD2F3A">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 xml:space="preserve">Injury </w:t>
            </w:r>
            <w:r>
              <w:rPr>
                <w:rFonts w:hint="default" w:ascii="Times New Roman Regular" w:hAnsi="Times New Roman Regular" w:cs="Times New Roman Regular"/>
                <w:b/>
                <w:bCs/>
                <w:sz w:val="24"/>
                <w:szCs w:val="24"/>
                <w:lang w:val="en-US" w:eastAsia="zh-CN"/>
              </w:rPr>
              <w:t>m</w:t>
            </w:r>
            <w:r>
              <w:rPr>
                <w:rFonts w:hint="default" w:ascii="Times New Roman Regular" w:hAnsi="Times New Roman Regular" w:cs="Times New Roman Regular"/>
                <w:b/>
                <w:bCs/>
                <w:sz w:val="24"/>
                <w:szCs w:val="24"/>
              </w:rPr>
              <w:t>echanism</w:t>
            </w:r>
          </w:p>
        </w:tc>
        <w:tc>
          <w:tcPr>
            <w:tcW w:w="1752" w:type="dxa"/>
            <w:tcBorders>
              <w:top w:val="single" w:color="auto" w:sz="4" w:space="0"/>
              <w:bottom w:val="single" w:color="auto" w:sz="4" w:space="0"/>
            </w:tcBorders>
            <w:tcMar>
              <w:top w:w="60" w:type="dxa"/>
              <w:left w:w="120" w:type="dxa"/>
              <w:bottom w:w="30" w:type="dxa"/>
              <w:right w:w="120" w:type="dxa"/>
            </w:tcMar>
          </w:tcPr>
          <w:p w14:paraId="17EE4148">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 xml:space="preserve">Key </w:t>
            </w:r>
            <w:r>
              <w:rPr>
                <w:rFonts w:hint="default" w:ascii="Times New Roman Regular" w:hAnsi="Times New Roman Regular" w:cs="Times New Roman Regular"/>
                <w:b/>
                <w:bCs/>
                <w:sz w:val="24"/>
                <w:szCs w:val="24"/>
                <w:lang w:val="en-US" w:eastAsia="zh-CN"/>
              </w:rPr>
              <w:t>o</w:t>
            </w:r>
            <w:r>
              <w:rPr>
                <w:rFonts w:hint="default" w:ascii="Times New Roman Regular" w:hAnsi="Times New Roman Regular" w:cs="Times New Roman Regular"/>
                <w:b/>
                <w:bCs/>
                <w:sz w:val="24"/>
                <w:szCs w:val="24"/>
              </w:rPr>
              <w:t>utcomes</w:t>
            </w:r>
          </w:p>
        </w:tc>
      </w:tr>
      <w:tr w14:paraId="70A63B5A">
        <w:tc>
          <w:tcPr>
            <w:tcW w:w="1954" w:type="dxa"/>
            <w:tcBorders>
              <w:top w:val="single" w:color="auto" w:sz="4" w:space="0"/>
            </w:tcBorders>
            <w:tcMar>
              <w:top w:w="60" w:type="dxa"/>
              <w:left w:w="120" w:type="dxa"/>
              <w:bottom w:w="30" w:type="dxa"/>
              <w:right w:w="120" w:type="dxa"/>
            </w:tcMar>
            <w:vAlign w:val="top"/>
          </w:tcPr>
          <w:p w14:paraId="043A2D2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Benhamed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"https://doi.org/10.1016/j.resuscitation.2023.109763"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10.1016/j.resuscitation.2023.109763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tcBorders>
              <w:top w:val="single" w:color="auto" w:sz="4" w:space="0"/>
            </w:tcBorders>
            <w:tcMar>
              <w:top w:w="60" w:type="dxa"/>
              <w:left w:w="120" w:type="dxa"/>
              <w:bottom w:w="30" w:type="dxa"/>
              <w:right w:w="120" w:type="dxa"/>
            </w:tcMar>
            <w:vAlign w:val="top"/>
          </w:tcPr>
          <w:p w14:paraId="11C2725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interrupted time-series analysis</w:t>
            </w:r>
          </w:p>
        </w:tc>
        <w:tc>
          <w:tcPr>
            <w:tcW w:w="1402" w:type="dxa"/>
            <w:tcBorders>
              <w:top w:val="single" w:color="auto" w:sz="4" w:space="0"/>
            </w:tcBorders>
            <w:tcMar>
              <w:top w:w="60" w:type="dxa"/>
              <w:left w:w="120" w:type="dxa"/>
              <w:bottom w:w="30" w:type="dxa"/>
              <w:right w:w="120" w:type="dxa"/>
            </w:tcMar>
            <w:vAlign w:val="top"/>
          </w:tcPr>
          <w:p w14:paraId="32E9C9B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825" w:type="dxa"/>
            <w:tcBorders>
              <w:top w:val="single" w:color="auto" w:sz="4" w:space="0"/>
            </w:tcBorders>
            <w:tcMar>
              <w:top w:w="60" w:type="dxa"/>
              <w:left w:w="120" w:type="dxa"/>
              <w:bottom w:w="30" w:type="dxa"/>
              <w:right w:w="120" w:type="dxa"/>
            </w:tcMar>
            <w:vAlign w:val="top"/>
          </w:tcPr>
          <w:p w14:paraId="64A8587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2020</w:t>
            </w:r>
          </w:p>
        </w:tc>
        <w:tc>
          <w:tcPr>
            <w:tcW w:w="989" w:type="dxa"/>
            <w:tcBorders>
              <w:top w:val="single" w:color="auto" w:sz="4" w:space="0"/>
            </w:tcBorders>
            <w:tcMar>
              <w:top w:w="60" w:type="dxa"/>
              <w:left w:w="120" w:type="dxa"/>
              <w:bottom w:w="30" w:type="dxa"/>
              <w:right w:w="120" w:type="dxa"/>
            </w:tcMar>
            <w:vAlign w:val="top"/>
          </w:tcPr>
          <w:p w14:paraId="669B84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4,980</w:t>
            </w:r>
          </w:p>
        </w:tc>
        <w:tc>
          <w:tcPr>
            <w:tcW w:w="1258" w:type="dxa"/>
            <w:tcBorders>
              <w:top w:val="single" w:color="auto" w:sz="4" w:space="0"/>
            </w:tcBorders>
            <w:tcMar>
              <w:top w:w="60" w:type="dxa"/>
              <w:left w:w="120" w:type="dxa"/>
              <w:bottom w:w="30" w:type="dxa"/>
              <w:right w:w="120" w:type="dxa"/>
            </w:tcMar>
            <w:vAlign w:val="top"/>
          </w:tcPr>
          <w:p w14:paraId="5EA64BF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tcBorders>
              <w:top w:val="single" w:color="auto" w:sz="4" w:space="0"/>
            </w:tcBorders>
            <w:tcMar>
              <w:top w:w="60" w:type="dxa"/>
              <w:left w:w="120" w:type="dxa"/>
              <w:bottom w:w="30" w:type="dxa"/>
              <w:right w:w="120" w:type="dxa"/>
            </w:tcMar>
            <w:vAlign w:val="top"/>
          </w:tcPr>
          <w:p w14:paraId="46387A5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46 [30;63] (pre); 47 [30;64] (post)</w:t>
            </w:r>
          </w:p>
        </w:tc>
        <w:tc>
          <w:tcPr>
            <w:tcW w:w="959" w:type="dxa"/>
            <w:tcBorders>
              <w:top w:val="single" w:color="auto" w:sz="4" w:space="0"/>
            </w:tcBorders>
            <w:tcMar>
              <w:top w:w="60" w:type="dxa"/>
              <w:left w:w="120" w:type="dxa"/>
              <w:bottom w:w="30" w:type="dxa"/>
              <w:right w:w="120" w:type="dxa"/>
            </w:tcMar>
            <w:vAlign w:val="top"/>
          </w:tcPr>
          <w:p w14:paraId="0F1FF0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76.2% (pre); 76.8% (post)</w:t>
            </w:r>
          </w:p>
        </w:tc>
        <w:tc>
          <w:tcPr>
            <w:tcW w:w="1687" w:type="dxa"/>
            <w:tcBorders>
              <w:top w:val="single" w:color="auto" w:sz="4" w:space="0"/>
            </w:tcBorders>
            <w:tcMar>
              <w:top w:w="60" w:type="dxa"/>
              <w:left w:w="120" w:type="dxa"/>
              <w:bottom w:w="30" w:type="dxa"/>
              <w:right w:w="120" w:type="dxa"/>
            </w:tcMar>
            <w:vAlign w:val="top"/>
          </w:tcPr>
          <w:p w14:paraId="2D2FDFD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Majority; Penetrating: 14.4% (pre) → 24.0% (post)</w:t>
            </w:r>
          </w:p>
        </w:tc>
        <w:tc>
          <w:tcPr>
            <w:tcW w:w="1752" w:type="dxa"/>
            <w:tcBorders>
              <w:top w:val="single" w:color="auto" w:sz="4" w:space="0"/>
            </w:tcBorders>
            <w:tcMar>
              <w:top w:w="60" w:type="dxa"/>
              <w:left w:w="120" w:type="dxa"/>
              <w:bottom w:w="30" w:type="dxa"/>
              <w:right w:w="120" w:type="dxa"/>
            </w:tcMar>
            <w:vAlign w:val="top"/>
          </w:tcPr>
          <w:p w14:paraId="12D93536">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ROSC: 22.4% (pre) vs. 20.2% (post), p=0.07</w:t>
            </w:r>
          </w:p>
          <w:p w14:paraId="71E39FE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1.4% (both periods), p=0.87</w:t>
            </w:r>
          </w:p>
          <w:p w14:paraId="3D08E5F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Good neurological outcome (CPC 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 71.4% (pre) vs. 66.7% (post), p=0.93</w:t>
            </w:r>
          </w:p>
        </w:tc>
      </w:tr>
      <w:tr w14:paraId="53ACC9AA">
        <w:tc>
          <w:tcPr>
            <w:tcW w:w="1954" w:type="dxa"/>
            <w:tcMar>
              <w:top w:w="60" w:type="dxa"/>
              <w:left w:w="120" w:type="dxa"/>
              <w:bottom w:w="30" w:type="dxa"/>
              <w:right w:w="120" w:type="dxa"/>
            </w:tcMar>
            <w:vAlign w:val="top"/>
          </w:tcPr>
          <w:p w14:paraId="5CC9FFB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Seewald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"https://doi.org/10.1186/s12873-022-00714-5"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10.1186/s12873-022-00714-5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tcMar>
              <w:top w:w="60" w:type="dxa"/>
              <w:left w:w="120" w:type="dxa"/>
              <w:bottom w:w="30" w:type="dxa"/>
              <w:right w:w="120" w:type="dxa"/>
            </w:tcMar>
            <w:vAlign w:val="top"/>
          </w:tcPr>
          <w:p w14:paraId="0AD0BE8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 (two registries)</w:t>
            </w:r>
          </w:p>
        </w:tc>
        <w:tc>
          <w:tcPr>
            <w:tcW w:w="1402" w:type="dxa"/>
            <w:tcMar>
              <w:top w:w="60" w:type="dxa"/>
              <w:left w:w="120" w:type="dxa"/>
              <w:bottom w:w="30" w:type="dxa"/>
              <w:right w:w="120" w:type="dxa"/>
            </w:tcMar>
            <w:vAlign w:val="top"/>
          </w:tcPr>
          <w:p w14:paraId="2F8FE5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Germany</w:t>
            </w:r>
          </w:p>
        </w:tc>
        <w:tc>
          <w:tcPr>
            <w:tcW w:w="825" w:type="dxa"/>
            <w:tcMar>
              <w:top w:w="60" w:type="dxa"/>
              <w:left w:w="120" w:type="dxa"/>
              <w:bottom w:w="30" w:type="dxa"/>
              <w:right w:w="120" w:type="dxa"/>
            </w:tcMar>
            <w:vAlign w:val="top"/>
          </w:tcPr>
          <w:p w14:paraId="7F80955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2019</w:t>
            </w:r>
          </w:p>
        </w:tc>
        <w:tc>
          <w:tcPr>
            <w:tcW w:w="989" w:type="dxa"/>
            <w:tcMar>
              <w:top w:w="60" w:type="dxa"/>
              <w:left w:w="120" w:type="dxa"/>
              <w:bottom w:w="30" w:type="dxa"/>
              <w:right w:w="120" w:type="dxa"/>
            </w:tcMar>
            <w:vAlign w:val="top"/>
          </w:tcPr>
          <w:p w14:paraId="3A7DCBA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1,049</w:t>
            </w:r>
          </w:p>
        </w:tc>
        <w:tc>
          <w:tcPr>
            <w:tcW w:w="1258" w:type="dxa"/>
            <w:tcMar>
              <w:top w:w="60" w:type="dxa"/>
              <w:left w:w="120" w:type="dxa"/>
              <w:bottom w:w="30" w:type="dxa"/>
              <w:right w:w="120" w:type="dxa"/>
            </w:tcMar>
            <w:vAlign w:val="top"/>
          </w:tcPr>
          <w:p w14:paraId="4B97E7D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tcMar>
              <w:top w:w="60" w:type="dxa"/>
              <w:left w:w="120" w:type="dxa"/>
              <w:bottom w:w="30" w:type="dxa"/>
              <w:right w:w="120" w:type="dxa"/>
            </w:tcMar>
            <w:vAlign w:val="top"/>
          </w:tcPr>
          <w:p w14:paraId="4E544FC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55 [35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73]</w:t>
            </w:r>
          </w:p>
        </w:tc>
        <w:tc>
          <w:tcPr>
            <w:tcW w:w="959" w:type="dxa"/>
            <w:tcMar>
              <w:top w:w="60" w:type="dxa"/>
              <w:left w:w="120" w:type="dxa"/>
              <w:bottom w:w="30" w:type="dxa"/>
              <w:right w:w="120" w:type="dxa"/>
            </w:tcMar>
            <w:vAlign w:val="top"/>
          </w:tcPr>
          <w:p w14:paraId="795B9EE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75.1%</w:t>
            </w:r>
          </w:p>
        </w:tc>
        <w:tc>
          <w:tcPr>
            <w:tcW w:w="1687" w:type="dxa"/>
            <w:tcMar>
              <w:top w:w="60" w:type="dxa"/>
              <w:left w:w="120" w:type="dxa"/>
              <w:bottom w:w="30" w:type="dxa"/>
              <w:right w:w="120" w:type="dxa"/>
            </w:tcMar>
            <w:vAlign w:val="top"/>
          </w:tcPr>
          <w:p w14:paraId="457E271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Blunt: Majority; Penetrating: </w:t>
            </w:r>
            <w:r>
              <w:rPr>
                <w:rFonts w:hint="default" w:ascii="Times New Roman Regular" w:hAnsi="Times New Roman Regular" w:cs="Times New Roman Regular"/>
                <w:sz w:val="24"/>
                <w:szCs w:val="24"/>
                <w:lang w:val="en-US"/>
              </w:rPr>
              <w:t>4.4</w:t>
            </w:r>
            <w:r>
              <w:rPr>
                <w:rFonts w:hint="default" w:ascii="Times New Roman Regular" w:hAnsi="Times New Roman Regular" w:cs="Times New Roman Regular"/>
                <w:sz w:val="24"/>
                <w:szCs w:val="24"/>
              </w:rPr>
              <w:t>%</w:t>
            </w:r>
          </w:p>
        </w:tc>
        <w:tc>
          <w:tcPr>
            <w:tcW w:w="1752" w:type="dxa"/>
            <w:tcMar>
              <w:top w:w="60" w:type="dxa"/>
              <w:left w:w="120" w:type="dxa"/>
              <w:bottom w:w="30" w:type="dxa"/>
              <w:right w:w="120" w:type="dxa"/>
            </w:tcMar>
            <w:vAlign w:val="top"/>
          </w:tcPr>
          <w:p w14:paraId="4ED36AA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28.7%</w:t>
            </w:r>
          </w:p>
          <w:p w14:paraId="64D44736">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Hospital admission with ROSC: 22.9%</w:t>
            </w:r>
          </w:p>
          <w:p w14:paraId="5987FB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to discharge: 5.0%</w:t>
            </w:r>
          </w:p>
        </w:tc>
      </w:tr>
      <w:tr w14:paraId="54F74EE3">
        <w:tc>
          <w:tcPr>
            <w:tcW w:w="1954" w:type="dxa"/>
            <w:tcMar>
              <w:top w:w="60" w:type="dxa"/>
              <w:left w:w="120" w:type="dxa"/>
              <w:bottom w:w="30" w:type="dxa"/>
              <w:right w:w="120" w:type="dxa"/>
            </w:tcMar>
            <w:vAlign w:val="top"/>
          </w:tcPr>
          <w:p w14:paraId="6687BED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Khalifa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"https://doi.org/10.1016/j.ajem.2021.01.020"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10.1016/j.ajem.2021.01.020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tcMar>
              <w:top w:w="60" w:type="dxa"/>
              <w:left w:w="120" w:type="dxa"/>
              <w:bottom w:w="30" w:type="dxa"/>
              <w:right w:w="120" w:type="dxa"/>
            </w:tcMar>
            <w:vAlign w:val="top"/>
          </w:tcPr>
          <w:p w14:paraId="7F635F5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tcMar>
              <w:top w:w="60" w:type="dxa"/>
              <w:left w:w="120" w:type="dxa"/>
              <w:bottom w:w="30" w:type="dxa"/>
              <w:right w:w="120" w:type="dxa"/>
            </w:tcMar>
            <w:vAlign w:val="top"/>
          </w:tcPr>
          <w:p w14:paraId="4BBDD20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825" w:type="dxa"/>
            <w:tcMar>
              <w:top w:w="60" w:type="dxa"/>
              <w:left w:w="120" w:type="dxa"/>
              <w:bottom w:w="30" w:type="dxa"/>
              <w:right w:w="120" w:type="dxa"/>
            </w:tcMar>
            <w:vAlign w:val="top"/>
          </w:tcPr>
          <w:p w14:paraId="580B3C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tc>
        <w:tc>
          <w:tcPr>
            <w:tcW w:w="989" w:type="dxa"/>
            <w:tcMar>
              <w:top w:w="60" w:type="dxa"/>
              <w:left w:w="120" w:type="dxa"/>
              <w:bottom w:w="30" w:type="dxa"/>
              <w:right w:w="120" w:type="dxa"/>
            </w:tcMar>
            <w:vAlign w:val="top"/>
          </w:tcPr>
          <w:p w14:paraId="6FE8BDA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24,191</w:t>
            </w:r>
          </w:p>
        </w:tc>
        <w:tc>
          <w:tcPr>
            <w:tcW w:w="1258" w:type="dxa"/>
            <w:tcMar>
              <w:top w:w="60" w:type="dxa"/>
              <w:left w:w="120" w:type="dxa"/>
              <w:bottom w:w="30" w:type="dxa"/>
              <w:right w:w="120" w:type="dxa"/>
            </w:tcMar>
            <w:vAlign w:val="top"/>
          </w:tcPr>
          <w:p w14:paraId="226CD18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tcMar>
              <w:top w:w="60" w:type="dxa"/>
              <w:left w:w="120" w:type="dxa"/>
              <w:bottom w:w="30" w:type="dxa"/>
              <w:right w:w="120" w:type="dxa"/>
            </w:tcMar>
            <w:vAlign w:val="top"/>
          </w:tcPr>
          <w:p w14:paraId="5B98E5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Mean: 34.9 (survivors); 35.5 (non-survivors)</w:t>
            </w:r>
          </w:p>
        </w:tc>
        <w:tc>
          <w:tcPr>
            <w:tcW w:w="959" w:type="dxa"/>
            <w:tcMar>
              <w:top w:w="60" w:type="dxa"/>
              <w:left w:w="120" w:type="dxa"/>
              <w:bottom w:w="30" w:type="dxa"/>
              <w:right w:w="120" w:type="dxa"/>
            </w:tcMar>
            <w:vAlign w:val="top"/>
          </w:tcPr>
          <w:p w14:paraId="5041D0A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74.8% (survivors); 78.9% (non-survivors)</w:t>
            </w:r>
          </w:p>
        </w:tc>
        <w:tc>
          <w:tcPr>
            <w:tcW w:w="1687" w:type="dxa"/>
            <w:tcMar>
              <w:top w:w="60" w:type="dxa"/>
              <w:left w:w="120" w:type="dxa"/>
              <w:bottom w:w="30" w:type="dxa"/>
              <w:right w:w="120" w:type="dxa"/>
            </w:tcMar>
            <w:vAlign w:val="top"/>
          </w:tcPr>
          <w:p w14:paraId="2621382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Blunt: 45.9% (survivors)</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53.3% (non-survivors)</w:t>
            </w:r>
          </w:p>
          <w:p w14:paraId="15CABA1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Penetrating: 54.1% (survivors); 46.7% (non-survivors)</w:t>
            </w:r>
          </w:p>
        </w:tc>
        <w:tc>
          <w:tcPr>
            <w:tcW w:w="1752" w:type="dxa"/>
            <w:tcMar>
              <w:top w:w="60" w:type="dxa"/>
              <w:left w:w="120" w:type="dxa"/>
              <w:bottom w:w="30" w:type="dxa"/>
              <w:right w:w="120" w:type="dxa"/>
            </w:tcMar>
            <w:vAlign w:val="top"/>
          </w:tcPr>
          <w:p w14:paraId="17A863B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survival: 1.0%</w:t>
            </w:r>
          </w:p>
          <w:p w14:paraId="646B1BB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Discharge home: 0.3%</w:t>
            </w:r>
          </w:p>
          <w:p w14:paraId="254B97F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in resuscitation responders: 30.3%</w:t>
            </w:r>
          </w:p>
        </w:tc>
      </w:tr>
      <w:tr w14:paraId="108CE3E7">
        <w:tc>
          <w:tcPr>
            <w:tcW w:w="1954" w:type="dxa"/>
            <w:tcMar>
              <w:top w:w="60" w:type="dxa"/>
              <w:left w:w="120" w:type="dxa"/>
              <w:bottom w:w="30" w:type="dxa"/>
              <w:right w:w="120" w:type="dxa"/>
            </w:tcMar>
            <w:vAlign w:val="top"/>
          </w:tcPr>
          <w:p w14:paraId="3F94BC4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Irfan et al. (10.1016/j.ijcard.2017.03.134)</w:t>
            </w:r>
          </w:p>
        </w:tc>
        <w:tc>
          <w:tcPr>
            <w:tcW w:w="1547" w:type="dxa"/>
            <w:tcMar>
              <w:top w:w="60" w:type="dxa"/>
              <w:left w:w="120" w:type="dxa"/>
              <w:bottom w:w="30" w:type="dxa"/>
              <w:right w:w="120" w:type="dxa"/>
            </w:tcMar>
            <w:vAlign w:val="top"/>
          </w:tcPr>
          <w:p w14:paraId="1131D4C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cohort study</w:t>
            </w:r>
          </w:p>
        </w:tc>
        <w:tc>
          <w:tcPr>
            <w:tcW w:w="1402" w:type="dxa"/>
            <w:tcMar>
              <w:top w:w="60" w:type="dxa"/>
              <w:left w:w="120" w:type="dxa"/>
              <w:bottom w:w="30" w:type="dxa"/>
              <w:right w:w="120" w:type="dxa"/>
            </w:tcMar>
            <w:vAlign w:val="top"/>
          </w:tcPr>
          <w:p w14:paraId="5CE8842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Qatar</w:t>
            </w:r>
          </w:p>
        </w:tc>
        <w:tc>
          <w:tcPr>
            <w:tcW w:w="825" w:type="dxa"/>
            <w:tcMar>
              <w:top w:w="60" w:type="dxa"/>
              <w:left w:w="120" w:type="dxa"/>
              <w:bottom w:w="30" w:type="dxa"/>
              <w:right w:w="120" w:type="dxa"/>
            </w:tcMar>
            <w:vAlign w:val="top"/>
          </w:tcPr>
          <w:p w14:paraId="3F58669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tc>
        <w:tc>
          <w:tcPr>
            <w:tcW w:w="989" w:type="dxa"/>
            <w:tcMar>
              <w:top w:w="60" w:type="dxa"/>
              <w:left w:w="120" w:type="dxa"/>
              <w:bottom w:w="30" w:type="dxa"/>
              <w:right w:w="120" w:type="dxa"/>
            </w:tcMar>
            <w:vAlign w:val="top"/>
          </w:tcPr>
          <w:p w14:paraId="30CEE20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410</w:t>
            </w:r>
          </w:p>
        </w:tc>
        <w:tc>
          <w:tcPr>
            <w:tcW w:w="1258" w:type="dxa"/>
            <w:tcMar>
              <w:top w:w="60" w:type="dxa"/>
              <w:left w:w="120" w:type="dxa"/>
              <w:bottom w:w="30" w:type="dxa"/>
              <w:right w:w="120" w:type="dxa"/>
            </w:tcMar>
            <w:vAlign w:val="top"/>
          </w:tcPr>
          <w:p w14:paraId="0C6098E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4.0 per 100,000 population/year</w:t>
            </w:r>
          </w:p>
        </w:tc>
        <w:tc>
          <w:tcPr>
            <w:tcW w:w="1825" w:type="dxa"/>
            <w:tcMar>
              <w:top w:w="60" w:type="dxa"/>
              <w:left w:w="120" w:type="dxa"/>
              <w:bottom w:w="30" w:type="dxa"/>
              <w:right w:w="120" w:type="dxa"/>
            </w:tcMar>
            <w:vAlign w:val="top"/>
          </w:tcPr>
          <w:p w14:paraId="4437EE1D">
            <w:pPr>
              <w:pStyle w:val="12"/>
              <w:ind w:left="0" w:leftChars="0"/>
              <w:rPr>
                <w:rFonts w:hint="default" w:ascii="Times New Roman Regular" w:hAnsi="Times New Roman Regular" w:eastAsia="等线" w:cs="Times New Roman Regular"/>
                <w:sz w:val="24"/>
                <w:szCs w:val="24"/>
                <w:lang w:val="en-US"/>
              </w:rPr>
            </w:pPr>
            <w:r>
              <w:rPr>
                <w:rFonts w:hint="default" w:ascii="Times New Roman Regular" w:hAnsi="Times New Roman Regular" w:cs="Times New Roman Regular"/>
                <w:sz w:val="24"/>
                <w:szCs w:val="24"/>
              </w:rPr>
              <w:t xml:space="preserve">Median: 33 </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46</w:t>
            </w:r>
            <w:r>
              <w:rPr>
                <w:rFonts w:hint="default" w:ascii="Times New Roman Regular" w:hAnsi="Times New Roman Regular" w:cs="Times New Roman Regular"/>
                <w:sz w:val="24"/>
                <w:szCs w:val="24"/>
                <w:lang w:val="en-US"/>
              </w:rPr>
              <w:t>)</w:t>
            </w:r>
          </w:p>
        </w:tc>
        <w:tc>
          <w:tcPr>
            <w:tcW w:w="959" w:type="dxa"/>
            <w:tcMar>
              <w:top w:w="60" w:type="dxa"/>
              <w:left w:w="120" w:type="dxa"/>
              <w:bottom w:w="30" w:type="dxa"/>
              <w:right w:w="120" w:type="dxa"/>
            </w:tcMar>
            <w:vAlign w:val="top"/>
          </w:tcPr>
          <w:p w14:paraId="42F4DB5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92.9%</w:t>
            </w:r>
          </w:p>
        </w:tc>
        <w:tc>
          <w:tcPr>
            <w:tcW w:w="1687" w:type="dxa"/>
            <w:tcMar>
              <w:top w:w="60" w:type="dxa"/>
              <w:left w:w="120" w:type="dxa"/>
              <w:bottom w:w="30" w:type="dxa"/>
              <w:right w:w="120" w:type="dxa"/>
            </w:tcMar>
            <w:vAlign w:val="top"/>
          </w:tcPr>
          <w:p w14:paraId="209D61A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94.3%</w:t>
            </w:r>
          </w:p>
        </w:tc>
        <w:tc>
          <w:tcPr>
            <w:tcW w:w="1752" w:type="dxa"/>
            <w:tcMar>
              <w:top w:w="60" w:type="dxa"/>
              <w:left w:w="120" w:type="dxa"/>
              <w:bottom w:w="30" w:type="dxa"/>
              <w:right w:w="120" w:type="dxa"/>
            </w:tcMar>
            <w:vAlign w:val="top"/>
          </w:tcPr>
          <w:p w14:paraId="6ED741F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at ED admission: 14.9%</w:t>
            </w:r>
          </w:p>
          <w:p w14:paraId="2C4A1EA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to discharge: 2.4%</w:t>
            </w:r>
          </w:p>
        </w:tc>
      </w:tr>
      <w:tr w14:paraId="3B980158">
        <w:tc>
          <w:tcPr>
            <w:tcW w:w="1954" w:type="dxa"/>
            <w:tcMar>
              <w:top w:w="60" w:type="dxa"/>
              <w:left w:w="120" w:type="dxa"/>
              <w:bottom w:w="30" w:type="dxa"/>
              <w:right w:w="120" w:type="dxa"/>
            </w:tcMar>
            <w:vAlign w:val="top"/>
          </w:tcPr>
          <w:p w14:paraId="18B0571F">
            <w:pPr>
              <w:keepNext w:val="0"/>
              <w:keepLines w:val="0"/>
              <w:widowControl/>
              <w:suppressLineNumbers w:val="0"/>
              <w:jc w:val="left"/>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Barnard et al. (10.1136/emermed-2018-208165)</w:t>
            </w:r>
          </w:p>
        </w:tc>
        <w:tc>
          <w:tcPr>
            <w:tcW w:w="1547" w:type="dxa"/>
            <w:tcMar>
              <w:top w:w="60" w:type="dxa"/>
              <w:left w:w="120" w:type="dxa"/>
              <w:bottom w:w="30" w:type="dxa"/>
              <w:right w:w="120" w:type="dxa"/>
            </w:tcMar>
            <w:vAlign w:val="top"/>
          </w:tcPr>
          <w:p w14:paraId="21EFC37A">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Population-based cohort study</w:t>
            </w:r>
          </w:p>
        </w:tc>
        <w:tc>
          <w:tcPr>
            <w:tcW w:w="1402" w:type="dxa"/>
            <w:tcMar>
              <w:top w:w="60" w:type="dxa"/>
              <w:left w:w="120" w:type="dxa"/>
              <w:bottom w:w="30" w:type="dxa"/>
              <w:right w:w="120" w:type="dxa"/>
            </w:tcMar>
            <w:vAlign w:val="top"/>
          </w:tcPr>
          <w:p w14:paraId="00964C31">
            <w:pPr>
              <w:keepNext w:val="0"/>
              <w:keepLines w:val="0"/>
              <w:widowControl/>
              <w:suppressLineNumbers w:val="0"/>
              <w:jc w:val="left"/>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East of England</w:t>
            </w:r>
          </w:p>
        </w:tc>
        <w:tc>
          <w:tcPr>
            <w:tcW w:w="825" w:type="dxa"/>
            <w:tcMar>
              <w:top w:w="60" w:type="dxa"/>
              <w:left w:w="120" w:type="dxa"/>
              <w:bottom w:w="30" w:type="dxa"/>
              <w:right w:w="120" w:type="dxa"/>
            </w:tcMar>
            <w:vAlign w:val="top"/>
          </w:tcPr>
          <w:p w14:paraId="1D3D8351">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2015-</w:t>
            </w:r>
            <w:r>
              <w:rPr>
                <w:rFonts w:hint="default" w:ascii="Times New Roman Regular" w:hAnsi="Times New Roman Regular" w:cs="Times New Roman Regular"/>
                <w:sz w:val="24"/>
                <w:szCs w:val="24"/>
                <w:lang w:val="en-US" w:eastAsia="zh-CN"/>
              </w:rPr>
              <w:t>2017</w:t>
            </w:r>
          </w:p>
        </w:tc>
        <w:tc>
          <w:tcPr>
            <w:tcW w:w="989" w:type="dxa"/>
            <w:tcMar>
              <w:top w:w="60" w:type="dxa"/>
              <w:left w:w="120" w:type="dxa"/>
              <w:bottom w:w="30" w:type="dxa"/>
              <w:right w:w="120" w:type="dxa"/>
            </w:tcMar>
            <w:vAlign w:val="top"/>
          </w:tcPr>
          <w:p w14:paraId="3C145167">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304</w:t>
            </w:r>
          </w:p>
        </w:tc>
        <w:tc>
          <w:tcPr>
            <w:tcW w:w="1258" w:type="dxa"/>
            <w:tcMar>
              <w:top w:w="60" w:type="dxa"/>
              <w:left w:w="120" w:type="dxa"/>
              <w:bottom w:w="30" w:type="dxa"/>
              <w:right w:w="120" w:type="dxa"/>
            </w:tcMar>
            <w:vAlign w:val="top"/>
          </w:tcPr>
          <w:p w14:paraId="29320CE5">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1.8 per 100,000 population/year</w:t>
            </w:r>
          </w:p>
        </w:tc>
        <w:tc>
          <w:tcPr>
            <w:tcW w:w="1825" w:type="dxa"/>
            <w:tcMar>
              <w:top w:w="60" w:type="dxa"/>
              <w:left w:w="120" w:type="dxa"/>
              <w:bottom w:w="30" w:type="dxa"/>
              <w:right w:w="120" w:type="dxa"/>
            </w:tcMar>
            <w:vAlign w:val="top"/>
          </w:tcPr>
          <w:p w14:paraId="7FD80E98">
            <w:pPr>
              <w:keepNext w:val="0"/>
              <w:keepLines w:val="0"/>
              <w:widowControl/>
              <w:suppressLineNumbers w:val="0"/>
              <w:jc w:val="left"/>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Median: 43 (30-61)</w:t>
            </w:r>
          </w:p>
        </w:tc>
        <w:tc>
          <w:tcPr>
            <w:tcW w:w="959" w:type="dxa"/>
            <w:tcMar>
              <w:top w:w="60" w:type="dxa"/>
              <w:left w:w="120" w:type="dxa"/>
              <w:bottom w:w="30" w:type="dxa"/>
              <w:right w:w="120" w:type="dxa"/>
            </w:tcMar>
            <w:vAlign w:val="top"/>
          </w:tcPr>
          <w:p w14:paraId="3133595D">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77%</w:t>
            </w:r>
          </w:p>
        </w:tc>
        <w:tc>
          <w:tcPr>
            <w:tcW w:w="1687" w:type="dxa"/>
            <w:shd w:val="clear" w:color="auto" w:fill="auto"/>
            <w:tcMar>
              <w:top w:w="60" w:type="dxa"/>
              <w:left w:w="120" w:type="dxa"/>
              <w:bottom w:w="30" w:type="dxa"/>
              <w:right w:w="120" w:type="dxa"/>
            </w:tcMar>
            <w:vAlign w:val="top"/>
          </w:tcPr>
          <w:p w14:paraId="37B9016B">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Not reported</w:t>
            </w:r>
          </w:p>
        </w:tc>
        <w:tc>
          <w:tcPr>
            <w:tcW w:w="1752" w:type="dxa"/>
            <w:tcMar>
              <w:top w:w="60" w:type="dxa"/>
              <w:left w:w="120" w:type="dxa"/>
              <w:bottom w:w="30" w:type="dxa"/>
              <w:right w:w="120" w:type="dxa"/>
            </w:tcMar>
            <w:vAlign w:val="top"/>
          </w:tcPr>
          <w:p w14:paraId="18B29935">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 xml:space="preserve">- Survival to admission: 19.3% </w:t>
            </w:r>
          </w:p>
          <w:p w14:paraId="16E9BD2C">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eastAsia="DengXian" w:cs="Times New Roman Regular"/>
                <w:sz w:val="24"/>
                <w:szCs w:val="24"/>
                <w:lang w:val="en-US" w:eastAsia="zh-CN" w:bidi="ar-SA"/>
              </w:rPr>
              <w:t xml:space="preserve">- Survival to discharge: 3.8% </w:t>
            </w:r>
          </w:p>
        </w:tc>
      </w:tr>
      <w:tr w14:paraId="2420036E">
        <w:tc>
          <w:tcPr>
            <w:tcW w:w="1954" w:type="dxa"/>
            <w:tcMar>
              <w:top w:w="60" w:type="dxa"/>
              <w:left w:w="120" w:type="dxa"/>
              <w:bottom w:w="30" w:type="dxa"/>
              <w:right w:w="120" w:type="dxa"/>
            </w:tcMar>
            <w:vAlign w:val="top"/>
          </w:tcPr>
          <w:p w14:paraId="45FD48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Vianen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"https://doi.org/10.1007/s00068-022-01941-y"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10.1007/s00068-022-01941-y</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tcMar>
              <w:top w:w="60" w:type="dxa"/>
              <w:left w:w="120" w:type="dxa"/>
              <w:bottom w:w="30" w:type="dxa"/>
              <w:right w:w="120" w:type="dxa"/>
            </w:tcMar>
            <w:vAlign w:val="top"/>
          </w:tcPr>
          <w:p w14:paraId="2142B12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 and meta-analysis</w:t>
            </w:r>
          </w:p>
        </w:tc>
        <w:tc>
          <w:tcPr>
            <w:tcW w:w="1402" w:type="dxa"/>
            <w:tcMar>
              <w:top w:w="60" w:type="dxa"/>
              <w:left w:w="120" w:type="dxa"/>
              <w:bottom w:w="30" w:type="dxa"/>
              <w:right w:w="120" w:type="dxa"/>
            </w:tcMar>
            <w:vAlign w:val="top"/>
          </w:tcPr>
          <w:p w14:paraId="4904F65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Global (36 studies)</w:t>
            </w:r>
          </w:p>
        </w:tc>
        <w:tc>
          <w:tcPr>
            <w:tcW w:w="825" w:type="dxa"/>
            <w:tcMar>
              <w:top w:w="60" w:type="dxa"/>
              <w:left w:w="120" w:type="dxa"/>
              <w:bottom w:w="30" w:type="dxa"/>
              <w:right w:w="120" w:type="dxa"/>
            </w:tcMar>
            <w:vAlign w:val="top"/>
          </w:tcPr>
          <w:p w14:paraId="5E9BED5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2020</w:t>
            </w:r>
          </w:p>
        </w:tc>
        <w:tc>
          <w:tcPr>
            <w:tcW w:w="989" w:type="dxa"/>
            <w:tcMar>
              <w:top w:w="60" w:type="dxa"/>
              <w:left w:w="120" w:type="dxa"/>
              <w:bottom w:w="30" w:type="dxa"/>
              <w:right w:w="120" w:type="dxa"/>
            </w:tcMar>
            <w:vAlign w:val="top"/>
          </w:tcPr>
          <w:p w14:paraId="7D78137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51,722</w:t>
            </w:r>
          </w:p>
        </w:tc>
        <w:tc>
          <w:tcPr>
            <w:tcW w:w="1258" w:type="dxa"/>
            <w:tcMar>
              <w:top w:w="60" w:type="dxa"/>
              <w:left w:w="120" w:type="dxa"/>
              <w:bottom w:w="30" w:type="dxa"/>
              <w:right w:w="120" w:type="dxa"/>
            </w:tcMar>
            <w:vAlign w:val="top"/>
          </w:tcPr>
          <w:p w14:paraId="546B9DD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tcMar>
              <w:top w:w="60" w:type="dxa"/>
              <w:left w:w="120" w:type="dxa"/>
              <w:bottom w:w="30" w:type="dxa"/>
              <w:right w:w="120" w:type="dxa"/>
            </w:tcMar>
            <w:vAlign w:val="top"/>
          </w:tcPr>
          <w:p w14:paraId="2AF964F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Variable across studies</w:t>
            </w:r>
          </w:p>
        </w:tc>
        <w:tc>
          <w:tcPr>
            <w:tcW w:w="959" w:type="dxa"/>
            <w:tcMar>
              <w:top w:w="60" w:type="dxa"/>
              <w:left w:w="120" w:type="dxa"/>
              <w:bottom w:w="30" w:type="dxa"/>
              <w:right w:w="120" w:type="dxa"/>
            </w:tcMar>
            <w:vAlign w:val="top"/>
          </w:tcPr>
          <w:p w14:paraId="7093344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Variable across studies</w:t>
            </w:r>
          </w:p>
        </w:tc>
        <w:tc>
          <w:tcPr>
            <w:tcW w:w="1687" w:type="dxa"/>
            <w:tcMar>
              <w:top w:w="60" w:type="dxa"/>
              <w:left w:w="120" w:type="dxa"/>
              <w:bottom w:w="30" w:type="dxa"/>
              <w:right w:w="120" w:type="dxa"/>
            </w:tcMar>
            <w:vAlign w:val="top"/>
          </w:tcPr>
          <w:p w14:paraId="1A8C77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Majority; Penetrating: Variable</w:t>
            </w:r>
          </w:p>
        </w:tc>
        <w:tc>
          <w:tcPr>
            <w:tcW w:w="1752" w:type="dxa"/>
            <w:tcMar>
              <w:top w:w="60" w:type="dxa"/>
              <w:left w:w="120" w:type="dxa"/>
              <w:bottom w:w="30" w:type="dxa"/>
              <w:right w:w="120" w:type="dxa"/>
            </w:tcMar>
            <w:vAlign w:val="top"/>
          </w:tcPr>
          <w:p w14:paraId="1F1C4FB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Pooled mortality: 96.2% (95%CI 95.0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97.2)</w:t>
            </w:r>
          </w:p>
          <w:p w14:paraId="6DA460D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 (CPC 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 in survivors: 43.5% (95%CI 32.3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55.0)</w:t>
            </w:r>
          </w:p>
          <w:p w14:paraId="32900F7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Lower mortality with physician-staffed EMS (93.9% vs. 97.6%)</w:t>
            </w:r>
          </w:p>
        </w:tc>
      </w:tr>
      <w:tr w14:paraId="60585723">
        <w:tc>
          <w:tcPr>
            <w:tcW w:w="1954" w:type="dxa"/>
            <w:tcMar>
              <w:top w:w="60" w:type="dxa"/>
              <w:left w:w="120" w:type="dxa"/>
              <w:bottom w:w="30" w:type="dxa"/>
              <w:right w:w="120" w:type="dxa"/>
            </w:tcMar>
            <w:vAlign w:val="top"/>
          </w:tcPr>
          <w:p w14:paraId="5E711FA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Morcel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"https://doi.org/10.1016/j.resplu.2025.100981"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10.1016/j.resplu.2025.100981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tcMar>
              <w:top w:w="60" w:type="dxa"/>
              <w:left w:w="120" w:type="dxa"/>
              <w:bottom w:w="30" w:type="dxa"/>
              <w:right w:w="120" w:type="dxa"/>
            </w:tcMar>
            <w:vAlign w:val="top"/>
          </w:tcPr>
          <w:p w14:paraId="4D169CC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tcMar>
              <w:top w:w="60" w:type="dxa"/>
              <w:left w:w="120" w:type="dxa"/>
              <w:bottom w:w="30" w:type="dxa"/>
              <w:right w:w="120" w:type="dxa"/>
            </w:tcMar>
            <w:vAlign w:val="top"/>
          </w:tcPr>
          <w:p w14:paraId="1F4909C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825" w:type="dxa"/>
            <w:tcMar>
              <w:top w:w="60" w:type="dxa"/>
              <w:left w:w="120" w:type="dxa"/>
              <w:bottom w:w="30" w:type="dxa"/>
              <w:right w:w="120" w:type="dxa"/>
            </w:tcMar>
            <w:vAlign w:val="top"/>
          </w:tcPr>
          <w:p w14:paraId="34B0A4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2023</w:t>
            </w:r>
          </w:p>
        </w:tc>
        <w:tc>
          <w:tcPr>
            <w:tcW w:w="989" w:type="dxa"/>
            <w:tcMar>
              <w:top w:w="60" w:type="dxa"/>
              <w:left w:w="120" w:type="dxa"/>
              <w:bottom w:w="30" w:type="dxa"/>
              <w:right w:w="120" w:type="dxa"/>
            </w:tcMar>
            <w:vAlign w:val="top"/>
          </w:tcPr>
          <w:p w14:paraId="67E8456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5,030 (396 children; 4,634 adults)</w:t>
            </w:r>
          </w:p>
        </w:tc>
        <w:tc>
          <w:tcPr>
            <w:tcW w:w="1258" w:type="dxa"/>
            <w:tcMar>
              <w:top w:w="60" w:type="dxa"/>
              <w:left w:w="120" w:type="dxa"/>
              <w:bottom w:w="30" w:type="dxa"/>
              <w:right w:w="120" w:type="dxa"/>
            </w:tcMar>
            <w:vAlign w:val="top"/>
          </w:tcPr>
          <w:p w14:paraId="02EBD3C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tcMar>
              <w:top w:w="60" w:type="dxa"/>
              <w:left w:w="120" w:type="dxa"/>
              <w:bottom w:w="30" w:type="dxa"/>
              <w:right w:w="120" w:type="dxa"/>
            </w:tcMar>
            <w:vAlign w:val="top"/>
          </w:tcPr>
          <w:p w14:paraId="0FCBE9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Children: Median 13 [4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16]Adults: Median 39 [27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51]</w:t>
            </w:r>
          </w:p>
        </w:tc>
        <w:tc>
          <w:tcPr>
            <w:tcW w:w="959" w:type="dxa"/>
            <w:tcMar>
              <w:top w:w="60" w:type="dxa"/>
              <w:left w:w="120" w:type="dxa"/>
              <w:bottom w:w="30" w:type="dxa"/>
              <w:right w:w="120" w:type="dxa"/>
            </w:tcMar>
            <w:vAlign w:val="top"/>
          </w:tcPr>
          <w:p w14:paraId="5E3DEC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Children: 73.2%Adults: 80.4%</w:t>
            </w:r>
          </w:p>
        </w:tc>
        <w:tc>
          <w:tcPr>
            <w:tcW w:w="1687" w:type="dxa"/>
            <w:tcMar>
              <w:top w:w="60" w:type="dxa"/>
              <w:left w:w="120" w:type="dxa"/>
              <w:bottom w:w="30" w:type="dxa"/>
              <w:right w:w="120" w:type="dxa"/>
            </w:tcMar>
            <w:vAlign w:val="top"/>
          </w:tcPr>
          <w:p w14:paraId="48929BA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Blunt: 81.3% (children); 77.9% (adults)</w:t>
            </w:r>
          </w:p>
          <w:p w14:paraId="66C6769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Penetrating: 18.2% (children); 21.4% (adults)</w:t>
            </w:r>
          </w:p>
        </w:tc>
        <w:tc>
          <w:tcPr>
            <w:tcW w:w="1752" w:type="dxa"/>
            <w:tcMar>
              <w:top w:w="60" w:type="dxa"/>
              <w:left w:w="120" w:type="dxa"/>
              <w:bottom w:w="30" w:type="dxa"/>
              <w:right w:w="120" w:type="dxa"/>
            </w:tcMar>
            <w:vAlign w:val="top"/>
          </w:tcPr>
          <w:p w14:paraId="3AC0B28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3.5% (children) vs. 1.6% (adults), p&lt;0.01</w:t>
            </w:r>
          </w:p>
          <w:p w14:paraId="27FB1FA8">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25.5% (children) vs. 20.6% (adults), p=0.02</w:t>
            </w:r>
          </w:p>
          <w:p w14:paraId="73D6893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Favorable neurological outcome: 0.8% (children) vs. 0.9% (adults), p=0.80</w:t>
            </w:r>
          </w:p>
        </w:tc>
      </w:tr>
      <w:tr w14:paraId="20349703">
        <w:tc>
          <w:tcPr>
            <w:tcW w:w="1954" w:type="dxa"/>
            <w:tcMar>
              <w:top w:w="60" w:type="dxa"/>
              <w:left w:w="120" w:type="dxa"/>
              <w:bottom w:w="30" w:type="dxa"/>
              <w:right w:w="120" w:type="dxa"/>
            </w:tcMar>
            <w:vAlign w:val="top"/>
          </w:tcPr>
          <w:p w14:paraId="4E34D23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Savary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"https://doi.org/10.1016/j.resuscitation.2021.05.012"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10.1016/j.resuscitation.2021.05.012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tcMar>
              <w:top w:w="60" w:type="dxa"/>
              <w:left w:w="120" w:type="dxa"/>
              <w:bottom w:w="30" w:type="dxa"/>
              <w:right w:w="120" w:type="dxa"/>
            </w:tcMar>
            <w:vAlign w:val="top"/>
          </w:tcPr>
          <w:p w14:paraId="71F242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tcMar>
              <w:top w:w="60" w:type="dxa"/>
              <w:left w:w="120" w:type="dxa"/>
              <w:bottom w:w="30" w:type="dxa"/>
              <w:right w:w="120" w:type="dxa"/>
            </w:tcMar>
            <w:vAlign w:val="top"/>
          </w:tcPr>
          <w:p w14:paraId="6760DFC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825" w:type="dxa"/>
            <w:tcMar>
              <w:top w:w="60" w:type="dxa"/>
              <w:left w:w="120" w:type="dxa"/>
              <w:bottom w:w="30" w:type="dxa"/>
              <w:right w:w="120" w:type="dxa"/>
            </w:tcMar>
            <w:vAlign w:val="top"/>
          </w:tcPr>
          <w:p w14:paraId="572187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2017</w:t>
            </w:r>
          </w:p>
        </w:tc>
        <w:tc>
          <w:tcPr>
            <w:tcW w:w="989" w:type="dxa"/>
            <w:tcMar>
              <w:top w:w="60" w:type="dxa"/>
              <w:left w:w="120" w:type="dxa"/>
              <w:bottom w:w="30" w:type="dxa"/>
              <w:right w:w="120" w:type="dxa"/>
            </w:tcMar>
            <w:vAlign w:val="top"/>
          </w:tcPr>
          <w:p w14:paraId="6C95FD4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287</w:t>
            </w:r>
          </w:p>
        </w:tc>
        <w:tc>
          <w:tcPr>
            <w:tcW w:w="1258" w:type="dxa"/>
            <w:tcMar>
              <w:top w:w="60" w:type="dxa"/>
              <w:left w:w="120" w:type="dxa"/>
              <w:bottom w:w="30" w:type="dxa"/>
              <w:right w:w="120" w:type="dxa"/>
            </w:tcMar>
            <w:vAlign w:val="top"/>
          </w:tcPr>
          <w:p w14:paraId="6D66F48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tcMar>
              <w:top w:w="60" w:type="dxa"/>
              <w:left w:w="120" w:type="dxa"/>
              <w:bottom w:w="30" w:type="dxa"/>
              <w:right w:w="120" w:type="dxa"/>
            </w:tcMar>
            <w:vAlign w:val="top"/>
          </w:tcPr>
          <w:p w14:paraId="34CCB2E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Mean: 44.8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47.9</w:t>
            </w:r>
          </w:p>
        </w:tc>
        <w:tc>
          <w:tcPr>
            <w:tcW w:w="959" w:type="dxa"/>
            <w:tcMar>
              <w:top w:w="60" w:type="dxa"/>
              <w:left w:w="120" w:type="dxa"/>
              <w:bottom w:w="30" w:type="dxa"/>
              <w:right w:w="120" w:type="dxa"/>
            </w:tcMar>
            <w:vAlign w:val="top"/>
          </w:tcPr>
          <w:p w14:paraId="5FF0E2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75.4-84.2</w:t>
            </w:r>
            <w:r>
              <w:rPr>
                <w:rFonts w:hint="default" w:ascii="Times New Roman Regular" w:hAnsi="Times New Roman Regular" w:cs="Times New Roman Regular"/>
                <w:sz w:val="24"/>
                <w:szCs w:val="24"/>
              </w:rPr>
              <w:t>%</w:t>
            </w:r>
          </w:p>
        </w:tc>
        <w:tc>
          <w:tcPr>
            <w:tcW w:w="1687" w:type="dxa"/>
            <w:tcMar>
              <w:top w:w="60" w:type="dxa"/>
              <w:left w:w="120" w:type="dxa"/>
              <w:bottom w:w="30" w:type="dxa"/>
              <w:right w:w="120" w:type="dxa"/>
            </w:tcMar>
            <w:vAlign w:val="top"/>
          </w:tcPr>
          <w:p w14:paraId="59FEB07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Majority; Penetrating: 6.3%</w:t>
            </w:r>
          </w:p>
        </w:tc>
        <w:tc>
          <w:tcPr>
            <w:tcW w:w="1752" w:type="dxa"/>
            <w:tcMar>
              <w:top w:w="60" w:type="dxa"/>
              <w:left w:w="120" w:type="dxa"/>
              <w:bottom w:w="30" w:type="dxa"/>
              <w:right w:w="120" w:type="dxa"/>
            </w:tcMar>
            <w:vAlign w:val="top"/>
          </w:tcPr>
          <w:p w14:paraId="63DAEE2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with good neurological outcome: 2.8%</w:t>
            </w:r>
          </w:p>
          <w:p w14:paraId="4AFF73F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improvement in survival post-guidelines despite increased interventions</w:t>
            </w:r>
          </w:p>
        </w:tc>
      </w:tr>
      <w:tr w14:paraId="3A3CF2F0">
        <w:tc>
          <w:tcPr>
            <w:tcW w:w="1954" w:type="dxa"/>
            <w:tcMar>
              <w:top w:w="60" w:type="dxa"/>
              <w:left w:w="120" w:type="dxa"/>
              <w:bottom w:w="30" w:type="dxa"/>
              <w:right w:w="120" w:type="dxa"/>
            </w:tcMar>
            <w:vAlign w:val="top"/>
          </w:tcPr>
          <w:p w14:paraId="50482168">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Irfan et al. (</w:t>
            </w:r>
            <w:r>
              <w:rPr>
                <w:rFonts w:hint="default" w:ascii="Times New Roman Regular" w:hAnsi="Times New Roman Regular" w:cs="Times New Roman Regular"/>
                <w:color w:val="000000" w:themeColor="text1"/>
                <w:sz w:val="24"/>
                <w:szCs w:val="24"/>
                <w14:textFill>
                  <w14:solidFill>
                    <w14:schemeClr w14:val="tx1"/>
                  </w14:solidFill>
                </w14:textFill>
              </w:rPr>
              <w:fldChar w:fldCharType="begin"/>
            </w:r>
            <w:r>
              <w:rPr>
                <w:rFonts w:hint="default" w:ascii="Times New Roman Regular" w:hAnsi="Times New Roman Regular" w:cs="Times New Roman Regular"/>
                <w:color w:val="000000" w:themeColor="text1"/>
                <w:sz w:val="24"/>
                <w:szCs w:val="24"/>
                <w14:textFill>
                  <w14:solidFill>
                    <w14:schemeClr w14:val="tx1"/>
                  </w14:solidFill>
                </w14:textFill>
              </w:rPr>
              <w:instrText xml:space="preserve"> HYPERLINK "https://doi.org/10.1186/s12245-022-00454-0" </w:instrText>
            </w:r>
            <w:r>
              <w:rPr>
                <w:rFonts w:hint="default" w:ascii="Times New Roman Regular" w:hAnsi="Times New Roman Regular" w:cs="Times New Roman Regular"/>
                <w:color w:val="000000" w:themeColor="text1"/>
                <w:sz w:val="24"/>
                <w:szCs w:val="24"/>
                <w14:textFill>
                  <w14:solidFill>
                    <w14:schemeClr w14:val="tx1"/>
                  </w14:solidFill>
                </w14:textFill>
              </w:rPr>
              <w:fldChar w:fldCharType="separate"/>
            </w:r>
            <w:r>
              <w:rPr>
                <w:rStyle w:val="10"/>
                <w:rFonts w:hint="default" w:ascii="Times New Roman Regular" w:hAnsi="Times New Roman Regular" w:cs="Times New Roman Regular"/>
                <w:color w:val="000000" w:themeColor="text1"/>
                <w:sz w:val="24"/>
                <w:szCs w:val="24"/>
                <w14:textFill>
                  <w14:solidFill>
                    <w14:schemeClr w14:val="tx1"/>
                  </w14:solidFill>
                </w14:textFill>
              </w:rPr>
              <w:t>10.1186/s12245-022-00454-0</w:t>
            </w:r>
            <w:r>
              <w:rPr>
                <w:rStyle w:val="10"/>
                <w:rFonts w:hint="default" w:ascii="Times New Roman Regular" w:hAnsi="Times New Roman Regular" w:cs="Times New Roman Regular"/>
                <w:color w:val="000000" w:themeColor="text1"/>
                <w:sz w:val="24"/>
                <w:szCs w:val="24"/>
                <w14:textFill>
                  <w14:solidFill>
                    <w14:schemeClr w14:val="tx1"/>
                  </w14:solidFill>
                </w14:textFill>
              </w:rPr>
              <w:fldChar w:fldCharType="end"/>
            </w:r>
            <w:r>
              <w:rPr>
                <w:rFonts w:hint="default" w:ascii="Times New Roman Regular" w:hAnsi="Times New Roman Regular" w:cs="Times New Roman Regular"/>
                <w:color w:val="000000" w:themeColor="text1"/>
                <w:sz w:val="24"/>
                <w:szCs w:val="24"/>
                <w14:textFill>
                  <w14:solidFill>
                    <w14:schemeClr w14:val="tx1"/>
                  </w14:solidFill>
                </w14:textFill>
              </w:rPr>
              <w:t>)</w:t>
            </w:r>
          </w:p>
        </w:tc>
        <w:tc>
          <w:tcPr>
            <w:tcW w:w="1547" w:type="dxa"/>
            <w:tcMar>
              <w:top w:w="60" w:type="dxa"/>
              <w:left w:w="120" w:type="dxa"/>
              <w:bottom w:w="30" w:type="dxa"/>
              <w:right w:w="120" w:type="dxa"/>
            </w:tcMar>
            <w:vAlign w:val="top"/>
          </w:tcPr>
          <w:p w14:paraId="6AD44639">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Retrospective cohort study</w:t>
            </w:r>
          </w:p>
        </w:tc>
        <w:tc>
          <w:tcPr>
            <w:tcW w:w="1402" w:type="dxa"/>
            <w:tcMar>
              <w:top w:w="60" w:type="dxa"/>
              <w:left w:w="120" w:type="dxa"/>
              <w:bottom w:w="30" w:type="dxa"/>
              <w:right w:w="120" w:type="dxa"/>
            </w:tcMar>
            <w:vAlign w:val="top"/>
          </w:tcPr>
          <w:p w14:paraId="39C09410">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Qatar</w:t>
            </w:r>
          </w:p>
        </w:tc>
        <w:tc>
          <w:tcPr>
            <w:tcW w:w="825" w:type="dxa"/>
            <w:tcMar>
              <w:top w:w="60" w:type="dxa"/>
              <w:left w:w="120" w:type="dxa"/>
              <w:bottom w:w="30" w:type="dxa"/>
              <w:right w:w="120" w:type="dxa"/>
            </w:tcMar>
            <w:vAlign w:val="top"/>
          </w:tcPr>
          <w:p w14:paraId="2249338E">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2010</w:t>
            </w:r>
            <w:r>
              <w:rPr>
                <w:rFonts w:hint="default" w:ascii="Times New Roman Regular" w:hAnsi="Times New Roman Regular" w:cs="Times New Roman Regular"/>
                <w:color w:val="000000" w:themeColor="text1"/>
                <w:sz w:val="24"/>
                <w:szCs w:val="24"/>
                <w:lang w:eastAsia="zh-CN"/>
                <w14:textFill>
                  <w14:solidFill>
                    <w14:schemeClr w14:val="tx1"/>
                  </w14:solidFill>
                </w14:textFill>
              </w:rPr>
              <w:t>-</w:t>
            </w:r>
            <w:r>
              <w:rPr>
                <w:rFonts w:hint="default" w:ascii="Times New Roman Regular" w:hAnsi="Times New Roman Regular" w:cs="Times New Roman Regular"/>
                <w:color w:val="000000" w:themeColor="text1"/>
                <w:sz w:val="24"/>
                <w:szCs w:val="24"/>
                <w14:textFill>
                  <w14:solidFill>
                    <w14:schemeClr w14:val="tx1"/>
                  </w14:solidFill>
                </w14:textFill>
              </w:rPr>
              <w:t>2015</w:t>
            </w:r>
          </w:p>
        </w:tc>
        <w:tc>
          <w:tcPr>
            <w:tcW w:w="989" w:type="dxa"/>
            <w:tcMar>
              <w:top w:w="60" w:type="dxa"/>
              <w:left w:w="120" w:type="dxa"/>
              <w:bottom w:w="30" w:type="dxa"/>
              <w:right w:w="120" w:type="dxa"/>
            </w:tcMar>
            <w:vAlign w:val="top"/>
          </w:tcPr>
          <w:p w14:paraId="26568070">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lang w:val="en-US"/>
                <w14:textFill>
                  <w14:solidFill>
                    <w14:schemeClr w14:val="tx1"/>
                  </w14:solidFill>
                </w14:textFill>
              </w:rPr>
              <w:t>609</w:t>
            </w:r>
            <w:r>
              <w:rPr>
                <w:rFonts w:hint="default" w:ascii="Times New Roman Regular" w:hAnsi="Times New Roman Regular" w:cs="Times New Roman Regular"/>
                <w:color w:val="000000" w:themeColor="text1"/>
                <w:sz w:val="24"/>
                <w:szCs w:val="24"/>
                <w14:textFill>
                  <w14:solidFill>
                    <w14:schemeClr w14:val="tx1"/>
                  </w14:solidFill>
                </w14:textFill>
              </w:rPr>
              <w:t>(410 OHTCA; 199 IHCAT)</w:t>
            </w:r>
          </w:p>
        </w:tc>
        <w:tc>
          <w:tcPr>
            <w:tcW w:w="1258" w:type="dxa"/>
            <w:tcMar>
              <w:top w:w="60" w:type="dxa"/>
              <w:left w:w="120" w:type="dxa"/>
              <w:bottom w:w="30" w:type="dxa"/>
              <w:right w:w="120" w:type="dxa"/>
            </w:tcMar>
            <w:vAlign w:val="top"/>
          </w:tcPr>
          <w:p w14:paraId="12E52CAE">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IHCAT: 2.0 per 100,000 population/year- OHTCA: 4.0 per 100,000 population/year</w:t>
            </w:r>
          </w:p>
        </w:tc>
        <w:tc>
          <w:tcPr>
            <w:tcW w:w="1825" w:type="dxa"/>
            <w:tcMar>
              <w:top w:w="60" w:type="dxa"/>
              <w:left w:w="120" w:type="dxa"/>
              <w:bottom w:w="30" w:type="dxa"/>
              <w:right w:w="120" w:type="dxa"/>
            </w:tcMar>
            <w:vAlign w:val="top"/>
          </w:tcPr>
          <w:p w14:paraId="1973D573">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Median: 33.0 (OHTCA, IQR 27</w:t>
            </w:r>
            <w:r>
              <w:rPr>
                <w:rFonts w:hint="default" w:ascii="Times New Roman Regular" w:hAnsi="Times New Roman Regular" w:cs="Times New Roman Regular"/>
                <w:color w:val="000000" w:themeColor="text1"/>
                <w:sz w:val="24"/>
                <w:szCs w:val="24"/>
                <w:lang w:eastAsia="zh-CN"/>
                <w14:textFill>
                  <w14:solidFill>
                    <w14:schemeClr w14:val="tx1"/>
                  </w14:solidFill>
                </w14:textFill>
              </w:rPr>
              <w:t>-</w:t>
            </w:r>
            <w:r>
              <w:rPr>
                <w:rFonts w:hint="default" w:ascii="Times New Roman Regular" w:hAnsi="Times New Roman Regular" w:cs="Times New Roman Regular"/>
                <w:color w:val="000000" w:themeColor="text1"/>
                <w:sz w:val="24"/>
                <w:szCs w:val="24"/>
                <w14:textFill>
                  <w14:solidFill>
                    <w14:schemeClr w14:val="tx1"/>
                  </w14:solidFill>
                </w14:textFill>
              </w:rPr>
              <w:t>46); 33.5 (IHCAT, IQR 25</w:t>
            </w:r>
            <w:r>
              <w:rPr>
                <w:rFonts w:hint="default" w:ascii="Times New Roman Regular" w:hAnsi="Times New Roman Regular" w:cs="Times New Roman Regular"/>
                <w:color w:val="000000" w:themeColor="text1"/>
                <w:sz w:val="24"/>
                <w:szCs w:val="24"/>
                <w:lang w:eastAsia="zh-CN"/>
                <w14:textFill>
                  <w14:solidFill>
                    <w14:schemeClr w14:val="tx1"/>
                  </w14:solidFill>
                </w14:textFill>
              </w:rPr>
              <w:t>-</w:t>
            </w:r>
            <w:r>
              <w:rPr>
                <w:rFonts w:hint="default" w:ascii="Times New Roman Regular" w:hAnsi="Times New Roman Regular" w:cs="Times New Roman Regular"/>
                <w:color w:val="000000" w:themeColor="text1"/>
                <w:sz w:val="24"/>
                <w:szCs w:val="24"/>
                <w14:textFill>
                  <w14:solidFill>
                    <w14:schemeClr w14:val="tx1"/>
                  </w14:solidFill>
                </w14:textFill>
              </w:rPr>
              <w:t>48.3)</w:t>
            </w:r>
          </w:p>
        </w:tc>
        <w:tc>
          <w:tcPr>
            <w:tcW w:w="959" w:type="dxa"/>
            <w:tcMar>
              <w:top w:w="60" w:type="dxa"/>
              <w:left w:w="120" w:type="dxa"/>
              <w:bottom w:w="30" w:type="dxa"/>
              <w:right w:w="120" w:type="dxa"/>
            </w:tcMar>
            <w:vAlign w:val="top"/>
          </w:tcPr>
          <w:p w14:paraId="43B8CBFC">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91.9% (OHTCA); 90.4% (IHCAT)</w:t>
            </w:r>
          </w:p>
        </w:tc>
        <w:tc>
          <w:tcPr>
            <w:tcW w:w="1687" w:type="dxa"/>
            <w:tcMar>
              <w:top w:w="60" w:type="dxa"/>
              <w:left w:w="120" w:type="dxa"/>
              <w:bottom w:w="30" w:type="dxa"/>
              <w:right w:w="120" w:type="dxa"/>
            </w:tcMar>
            <w:vAlign w:val="top"/>
          </w:tcPr>
          <w:p w14:paraId="4CC25BDF">
            <w:pPr>
              <w:pStyle w:val="12"/>
              <w:ind w:left="0" w:leftChars="0"/>
              <w:rPr>
                <w:rFonts w:hint="default" w:ascii="Times New Roman Regular" w:hAnsi="Times New Roman Regular"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Blunt injury: 93.4% (OHTCA); 96.0% (IHCAT)</w:t>
            </w:r>
          </w:p>
          <w:p w14:paraId="161A7AA9">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Road traffic injury (leading cause): 74.0% (OHTCA); 73.4% (IHCAT)- Falls: 13.9% (OHTCA); 20.6% (IHCAT)</w:t>
            </w:r>
          </w:p>
        </w:tc>
        <w:tc>
          <w:tcPr>
            <w:tcW w:w="1752" w:type="dxa"/>
            <w:tcMar>
              <w:top w:w="60" w:type="dxa"/>
              <w:left w:w="120" w:type="dxa"/>
              <w:bottom w:w="30" w:type="dxa"/>
              <w:right w:w="120" w:type="dxa"/>
            </w:tcMar>
            <w:vAlign w:val="top"/>
          </w:tcPr>
          <w:p w14:paraId="6868EFD0">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Survival to discharge: 2.4% (OHTCA); 7.5% (IHCAT)</w:t>
            </w:r>
          </w:p>
        </w:tc>
      </w:tr>
      <w:tr w14:paraId="79528B62">
        <w:tc>
          <w:tcPr>
            <w:tcW w:w="1954" w:type="dxa"/>
            <w:vAlign w:val="top"/>
          </w:tcPr>
          <w:p w14:paraId="18EB452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Wolthers et al. (10.1097/MEJ.0000000000001108)</w:t>
            </w:r>
          </w:p>
        </w:tc>
        <w:tc>
          <w:tcPr>
            <w:tcW w:w="1547" w:type="dxa"/>
            <w:vAlign w:val="top"/>
          </w:tcPr>
          <w:p w14:paraId="3E304CA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cohort study</w:t>
            </w:r>
          </w:p>
        </w:tc>
        <w:tc>
          <w:tcPr>
            <w:tcW w:w="1402" w:type="dxa"/>
            <w:vAlign w:val="top"/>
          </w:tcPr>
          <w:p w14:paraId="36D5D2A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Denmark</w:t>
            </w:r>
          </w:p>
        </w:tc>
        <w:tc>
          <w:tcPr>
            <w:tcW w:w="825" w:type="dxa"/>
            <w:vAlign w:val="top"/>
          </w:tcPr>
          <w:p w14:paraId="7A80BC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2021</w:t>
            </w:r>
          </w:p>
        </w:tc>
        <w:tc>
          <w:tcPr>
            <w:tcW w:w="989" w:type="dxa"/>
            <w:vAlign w:val="top"/>
          </w:tcPr>
          <w:p w14:paraId="3A259BC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223</w:t>
            </w:r>
          </w:p>
        </w:tc>
        <w:tc>
          <w:tcPr>
            <w:tcW w:w="1258" w:type="dxa"/>
            <w:vAlign w:val="top"/>
          </w:tcPr>
          <w:p w14:paraId="6A9300A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114451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54 years (IQR 34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68)</w:t>
            </w:r>
          </w:p>
        </w:tc>
        <w:tc>
          <w:tcPr>
            <w:tcW w:w="959" w:type="dxa"/>
            <w:vAlign w:val="top"/>
          </w:tcPr>
          <w:p w14:paraId="0EE237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86%</w:t>
            </w:r>
          </w:p>
        </w:tc>
        <w:tc>
          <w:tcPr>
            <w:tcW w:w="1687" w:type="dxa"/>
            <w:vAlign w:val="top"/>
          </w:tcPr>
          <w:p w14:paraId="6D20DC0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Blunt high-energy trauma: 86% (road collision: 64%)</w:t>
            </w:r>
          </w:p>
          <w:p w14:paraId="1F9062E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Penetrating trauma: 5%</w:t>
            </w:r>
          </w:p>
          <w:p w14:paraId="219C2BD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Low-energy blunt trauma: 9%</w:t>
            </w:r>
          </w:p>
        </w:tc>
        <w:tc>
          <w:tcPr>
            <w:tcW w:w="1752" w:type="dxa"/>
            <w:vAlign w:val="top"/>
          </w:tcPr>
          <w:p w14:paraId="1792C9B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- 30-day survival: 4%</w:t>
            </w:r>
          </w:p>
        </w:tc>
      </w:tr>
      <w:tr w14:paraId="5FBBACB6">
        <w:tc>
          <w:tcPr>
            <w:tcW w:w="1954" w:type="dxa"/>
            <w:vAlign w:val="top"/>
          </w:tcPr>
          <w:p w14:paraId="018556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von Vopelius-Feldt et al. (10.1016/j.resplu.2025.101012)</w:t>
            </w:r>
          </w:p>
        </w:tc>
        <w:tc>
          <w:tcPr>
            <w:tcW w:w="1547" w:type="dxa"/>
            <w:vAlign w:val="top"/>
          </w:tcPr>
          <w:p w14:paraId="315A97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autopsy series</w:t>
            </w:r>
          </w:p>
        </w:tc>
        <w:tc>
          <w:tcPr>
            <w:tcW w:w="1402" w:type="dxa"/>
            <w:vAlign w:val="top"/>
          </w:tcPr>
          <w:p w14:paraId="648A20A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Canada (Ontario)</w:t>
            </w:r>
          </w:p>
        </w:tc>
        <w:tc>
          <w:tcPr>
            <w:tcW w:w="825" w:type="dxa"/>
            <w:vAlign w:val="top"/>
          </w:tcPr>
          <w:p w14:paraId="7FF0309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2022</w:t>
            </w:r>
          </w:p>
        </w:tc>
        <w:tc>
          <w:tcPr>
            <w:tcW w:w="989" w:type="dxa"/>
            <w:vAlign w:val="top"/>
          </w:tcPr>
          <w:p w14:paraId="58B7E7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172</w:t>
            </w:r>
          </w:p>
        </w:tc>
        <w:tc>
          <w:tcPr>
            <w:tcW w:w="1258" w:type="dxa"/>
            <w:vAlign w:val="top"/>
          </w:tcPr>
          <w:p w14:paraId="50DEDA35">
            <w:pPr>
              <w:pStyle w:val="12"/>
              <w:ind w:left="0" w:leftChars="0"/>
              <w:jc w:val="center"/>
              <w:rPr>
                <w:rFonts w:hint="default" w:ascii="Times New Roman Regular" w:hAnsi="Times New Roman Regular" w:eastAsia="等线" w:cs="Times New Roman Regular"/>
                <w:sz w:val="24"/>
                <w:szCs w:val="24"/>
                <w:lang w:val="en-US"/>
              </w:rPr>
            </w:pPr>
            <w:r>
              <w:rPr>
                <w:rFonts w:hint="default" w:ascii="Times New Roman Regular" w:hAnsi="Times New Roman Regular" w:eastAsia="等线" w:cs="Times New Roman Regular"/>
                <w:sz w:val="24"/>
                <w:szCs w:val="24"/>
                <w:lang w:val="en-US"/>
              </w:rPr>
              <w:t>-</w:t>
            </w:r>
          </w:p>
        </w:tc>
        <w:tc>
          <w:tcPr>
            <w:tcW w:w="1825" w:type="dxa"/>
            <w:vAlign w:val="top"/>
          </w:tcPr>
          <w:p w14:paraId="79452F3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age range: 30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40 (all adult)</w:t>
            </w:r>
          </w:p>
        </w:tc>
        <w:tc>
          <w:tcPr>
            <w:tcW w:w="959" w:type="dxa"/>
            <w:vAlign w:val="top"/>
          </w:tcPr>
          <w:p w14:paraId="23FBD7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78%</w:t>
            </w:r>
          </w:p>
        </w:tc>
        <w:tc>
          <w:tcPr>
            <w:tcW w:w="1687" w:type="dxa"/>
            <w:vAlign w:val="top"/>
          </w:tcPr>
          <w:p w14:paraId="3FA04249">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Blunt mechanism: 66%</w:t>
            </w:r>
          </w:p>
          <w:p w14:paraId="6E24112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Penetrating mechanism: 34% (gunshot: 21%, stab:13%)</w:t>
            </w:r>
          </w:p>
        </w:tc>
        <w:tc>
          <w:tcPr>
            <w:tcW w:w="1752" w:type="dxa"/>
            <w:vAlign w:val="top"/>
          </w:tcPr>
          <w:p w14:paraId="705EC6F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Hemothorax incidence: 70%</w:t>
            </w:r>
          </w:p>
          <w:p w14:paraId="0E5572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ROSC: 1%</w:t>
            </w:r>
          </w:p>
        </w:tc>
      </w:tr>
      <w:tr w14:paraId="0BC4CFF3">
        <w:tc>
          <w:tcPr>
            <w:tcW w:w="1954" w:type="dxa"/>
            <w:vAlign w:val="top"/>
          </w:tcPr>
          <w:p w14:paraId="08D79B8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Perkins et al. (10.1001/jamasurg.2024.7245)</w:t>
            </w:r>
          </w:p>
        </w:tc>
        <w:tc>
          <w:tcPr>
            <w:tcW w:w="1547" w:type="dxa"/>
            <w:vAlign w:val="top"/>
          </w:tcPr>
          <w:p w14:paraId="458A2C6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3B6D56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 (London)</w:t>
            </w:r>
          </w:p>
        </w:tc>
        <w:tc>
          <w:tcPr>
            <w:tcW w:w="825" w:type="dxa"/>
            <w:vAlign w:val="top"/>
          </w:tcPr>
          <w:p w14:paraId="07D4033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2019</w:t>
            </w:r>
          </w:p>
        </w:tc>
        <w:tc>
          <w:tcPr>
            <w:tcW w:w="989" w:type="dxa"/>
            <w:vAlign w:val="top"/>
          </w:tcPr>
          <w:p w14:paraId="560F373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601 (prehospital TCA)</w:t>
            </w:r>
          </w:p>
        </w:tc>
        <w:tc>
          <w:tcPr>
            <w:tcW w:w="1258" w:type="dxa"/>
            <w:vAlign w:val="top"/>
          </w:tcPr>
          <w:p w14:paraId="7EA168C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2569CF3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25 years (IQR 20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37)</w:t>
            </w:r>
          </w:p>
        </w:tc>
        <w:tc>
          <w:tcPr>
            <w:tcW w:w="959" w:type="dxa"/>
            <w:vAlign w:val="top"/>
          </w:tcPr>
          <w:p w14:paraId="1B7933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89.5%</w:t>
            </w:r>
          </w:p>
        </w:tc>
        <w:tc>
          <w:tcPr>
            <w:tcW w:w="1687" w:type="dxa"/>
            <w:vAlign w:val="top"/>
          </w:tcPr>
          <w:p w14:paraId="29F7A37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Penetrating injury: 88%</w:t>
            </w:r>
          </w:p>
          <w:p w14:paraId="0B93CD5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Blunt injury: 12%</w:t>
            </w:r>
          </w:p>
        </w:tc>
        <w:tc>
          <w:tcPr>
            <w:tcW w:w="1752" w:type="dxa"/>
            <w:vAlign w:val="top"/>
          </w:tcPr>
          <w:p w14:paraId="3CFE79F6">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discharge: 5.0%</w:t>
            </w:r>
          </w:p>
          <w:p w14:paraId="26B018E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by cause: Cardiac tamponade (21%), exsanguination (1.9%), combined (0%)</w:t>
            </w:r>
          </w:p>
          <w:p w14:paraId="5E4CFDC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Time window: No survival &gt;15 min (tamponade) or &gt;5 min (exsanguination)</w:t>
            </w:r>
          </w:p>
        </w:tc>
      </w:tr>
      <w:tr w14:paraId="511DF7E2">
        <w:tc>
          <w:tcPr>
            <w:tcW w:w="1954" w:type="dxa"/>
            <w:vAlign w:val="top"/>
          </w:tcPr>
          <w:p w14:paraId="1E9DCE5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Alhasan et al. (10.1097/MD.0000000000020520)</w:t>
            </w:r>
          </w:p>
        </w:tc>
        <w:tc>
          <w:tcPr>
            <w:tcW w:w="1547" w:type="dxa"/>
            <w:vAlign w:val="top"/>
          </w:tcPr>
          <w:p w14:paraId="585D8E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study</w:t>
            </w:r>
          </w:p>
        </w:tc>
        <w:tc>
          <w:tcPr>
            <w:tcW w:w="1402" w:type="dxa"/>
            <w:vAlign w:val="top"/>
          </w:tcPr>
          <w:p w14:paraId="5CB2C53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Kuwait</w:t>
            </w:r>
          </w:p>
        </w:tc>
        <w:tc>
          <w:tcPr>
            <w:tcW w:w="825" w:type="dxa"/>
            <w:vAlign w:val="top"/>
          </w:tcPr>
          <w:p w14:paraId="502A9BF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2017</w:t>
            </w:r>
          </w:p>
        </w:tc>
        <w:tc>
          <w:tcPr>
            <w:tcW w:w="989" w:type="dxa"/>
            <w:vAlign w:val="top"/>
          </w:tcPr>
          <w:p w14:paraId="49DC41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140</w:t>
            </w:r>
          </w:p>
        </w:tc>
        <w:tc>
          <w:tcPr>
            <w:tcW w:w="1258" w:type="dxa"/>
            <w:vAlign w:val="top"/>
          </w:tcPr>
          <w:p w14:paraId="2BD7518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4FA6355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RTA: 32±16</w:t>
            </w:r>
          </w:p>
          <w:p w14:paraId="747BB70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Slip/fall: 50±15</w:t>
            </w:r>
          </w:p>
        </w:tc>
        <w:tc>
          <w:tcPr>
            <w:tcW w:w="959" w:type="dxa"/>
            <w:vAlign w:val="top"/>
          </w:tcPr>
          <w:p w14:paraId="0CE3145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87% (RTA); 94% (FFH); 90% (slip/fall); 83% (assault)</w:t>
            </w:r>
          </w:p>
        </w:tc>
        <w:tc>
          <w:tcPr>
            <w:tcW w:w="1687" w:type="dxa"/>
            <w:vAlign w:val="top"/>
          </w:tcPr>
          <w:p w14:paraId="7A32D29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RTA:76%</w:t>
            </w:r>
          </w:p>
          <w:p w14:paraId="50B4424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FFH:13%</w:t>
            </w:r>
          </w:p>
          <w:p w14:paraId="5D7E187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Assault:7%</w:t>
            </w:r>
          </w:p>
          <w:p w14:paraId="7BE4EEF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Slip/fall:4%</w:t>
            </w:r>
          </w:p>
        </w:tc>
        <w:tc>
          <w:tcPr>
            <w:tcW w:w="1752" w:type="dxa"/>
            <w:vAlign w:val="top"/>
          </w:tcPr>
          <w:p w14:paraId="59A7181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On-scene mortality: </w:t>
            </w:r>
            <w:r>
              <w:rPr>
                <w:rFonts w:hint="default" w:ascii="Times New Roman Regular" w:hAnsi="Times New Roman Regular" w:cs="Times New Roman Regular"/>
                <w:sz w:val="24"/>
                <w:szCs w:val="24"/>
                <w:lang w:val="en-US"/>
              </w:rPr>
              <w:t>28</w:t>
            </w:r>
            <w:r>
              <w:rPr>
                <w:rFonts w:hint="default" w:ascii="Times New Roman Regular" w:hAnsi="Times New Roman Regular" w:cs="Times New Roman Regular"/>
                <w:sz w:val="24"/>
                <w:szCs w:val="24"/>
              </w:rPr>
              <w:t>% (overall); 60% (FFH with isolated head injury)</w:t>
            </w:r>
          </w:p>
          <w:p w14:paraId="4CC18E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ROSC: 2.8%</w:t>
            </w:r>
          </w:p>
        </w:tc>
      </w:tr>
      <w:tr w14:paraId="0115730C">
        <w:tc>
          <w:tcPr>
            <w:tcW w:w="1954" w:type="dxa"/>
            <w:vAlign w:val="top"/>
          </w:tcPr>
          <w:p w14:paraId="3FEC096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Vassallo et al. (10.1136/archdischild-2018-314985)</w:t>
            </w:r>
          </w:p>
        </w:tc>
        <w:tc>
          <w:tcPr>
            <w:tcW w:w="1547" w:type="dxa"/>
            <w:vAlign w:val="top"/>
          </w:tcPr>
          <w:p w14:paraId="54D7F2F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analysis</w:t>
            </w:r>
          </w:p>
        </w:tc>
        <w:tc>
          <w:tcPr>
            <w:tcW w:w="1402" w:type="dxa"/>
            <w:vAlign w:val="top"/>
          </w:tcPr>
          <w:p w14:paraId="7BEB12E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 (England &amp; Wales)</w:t>
            </w:r>
          </w:p>
        </w:tc>
        <w:tc>
          <w:tcPr>
            <w:tcW w:w="825" w:type="dxa"/>
            <w:vAlign w:val="top"/>
          </w:tcPr>
          <w:p w14:paraId="71B588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tc>
        <w:tc>
          <w:tcPr>
            <w:tcW w:w="989" w:type="dxa"/>
            <w:vAlign w:val="top"/>
          </w:tcPr>
          <w:p w14:paraId="54A02A2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129 (pediatric, &lt;18 years)</w:t>
            </w:r>
          </w:p>
        </w:tc>
        <w:tc>
          <w:tcPr>
            <w:tcW w:w="1258" w:type="dxa"/>
            <w:vAlign w:val="top"/>
          </w:tcPr>
          <w:p w14:paraId="1906146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0FE30B4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11.7 (IQR 3.4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16.6)</w:t>
            </w:r>
          </w:p>
        </w:tc>
        <w:tc>
          <w:tcPr>
            <w:tcW w:w="959" w:type="dxa"/>
            <w:vAlign w:val="top"/>
          </w:tcPr>
          <w:p w14:paraId="3B09DF1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62.8%</w:t>
            </w:r>
          </w:p>
        </w:tc>
        <w:tc>
          <w:tcPr>
            <w:tcW w:w="1687" w:type="dxa"/>
            <w:vAlign w:val="top"/>
          </w:tcPr>
          <w:p w14:paraId="7CA4ED4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Blunt injury: 85.3% (road traffic collision: 56.6%)</w:t>
            </w:r>
          </w:p>
          <w:p w14:paraId="65CDC7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Penetrating injury:14.7%</w:t>
            </w:r>
          </w:p>
        </w:tc>
        <w:tc>
          <w:tcPr>
            <w:tcW w:w="1752" w:type="dxa"/>
            <w:vAlign w:val="top"/>
          </w:tcPr>
          <w:p w14:paraId="6942B61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5.4%</w:t>
            </w:r>
          </w:p>
          <w:p w14:paraId="025FAA5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Highest survival at pediatric major trauma center (10.3%)</w:t>
            </w:r>
          </w:p>
        </w:tc>
      </w:tr>
      <w:tr w14:paraId="7DE03C3E">
        <w:tc>
          <w:tcPr>
            <w:tcW w:w="1954" w:type="dxa"/>
            <w:vAlign w:val="top"/>
          </w:tcPr>
          <w:p w14:paraId="6C386323">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Barnard et al. (10.1016/j.resuscitation.2016.11.001)</w:t>
            </w:r>
          </w:p>
        </w:tc>
        <w:tc>
          <w:tcPr>
            <w:tcW w:w="1547" w:type="dxa"/>
            <w:vAlign w:val="top"/>
          </w:tcPr>
          <w:p w14:paraId="465A4169">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Population-based analysis</w:t>
            </w:r>
          </w:p>
        </w:tc>
        <w:tc>
          <w:tcPr>
            <w:tcW w:w="1402" w:type="dxa"/>
            <w:vAlign w:val="top"/>
          </w:tcPr>
          <w:p w14:paraId="3FEE7174">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UK (England &amp; Wales)</w:t>
            </w:r>
          </w:p>
        </w:tc>
        <w:tc>
          <w:tcPr>
            <w:tcW w:w="825" w:type="dxa"/>
            <w:vAlign w:val="top"/>
          </w:tcPr>
          <w:p w14:paraId="012428FB">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2009</w:t>
            </w:r>
            <w:r>
              <w:rPr>
                <w:rFonts w:hint="default" w:ascii="Times New Roman Regular" w:hAnsi="Times New Roman Regular" w:cs="Times New Roman Regular"/>
                <w:color w:val="000000" w:themeColor="text1"/>
                <w:sz w:val="24"/>
                <w:szCs w:val="24"/>
                <w:lang w:eastAsia="zh-CN"/>
                <w14:textFill>
                  <w14:solidFill>
                    <w14:schemeClr w14:val="tx1"/>
                  </w14:solidFill>
                </w14:textFill>
              </w:rPr>
              <w:t>-</w:t>
            </w:r>
            <w:r>
              <w:rPr>
                <w:rFonts w:hint="default" w:ascii="Times New Roman Regular" w:hAnsi="Times New Roman Regular" w:cs="Times New Roman Regular"/>
                <w:color w:val="000000" w:themeColor="text1"/>
                <w:sz w:val="24"/>
                <w:szCs w:val="24"/>
                <w14:textFill>
                  <w14:solidFill>
                    <w14:schemeClr w14:val="tx1"/>
                  </w14:solidFill>
                </w14:textFill>
              </w:rPr>
              <w:t>2015</w:t>
            </w:r>
          </w:p>
        </w:tc>
        <w:tc>
          <w:tcPr>
            <w:tcW w:w="989" w:type="dxa"/>
            <w:vAlign w:val="top"/>
          </w:tcPr>
          <w:p w14:paraId="77EE90E5">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705</w:t>
            </w:r>
          </w:p>
        </w:tc>
        <w:tc>
          <w:tcPr>
            <w:tcW w:w="1258" w:type="dxa"/>
            <w:vAlign w:val="top"/>
          </w:tcPr>
          <w:p w14:paraId="134AF888">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0.3% of trauma patients</w:t>
            </w:r>
          </w:p>
        </w:tc>
        <w:tc>
          <w:tcPr>
            <w:tcW w:w="1825" w:type="dxa"/>
            <w:vAlign w:val="top"/>
          </w:tcPr>
          <w:p w14:paraId="76920DDF">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Median: 44.3 (IQR 25.2</w:t>
            </w:r>
            <w:r>
              <w:rPr>
                <w:rFonts w:hint="default" w:ascii="Times New Roman Regular" w:hAnsi="Times New Roman Regular" w:cs="Times New Roman Regular"/>
                <w:color w:val="000000" w:themeColor="text1"/>
                <w:sz w:val="24"/>
                <w:szCs w:val="24"/>
                <w:lang w:eastAsia="zh-CN"/>
                <w14:textFill>
                  <w14:solidFill>
                    <w14:schemeClr w14:val="tx1"/>
                  </w14:solidFill>
                </w14:textFill>
              </w:rPr>
              <w:t>-</w:t>
            </w:r>
            <w:r>
              <w:rPr>
                <w:rFonts w:hint="default" w:ascii="Times New Roman Regular" w:hAnsi="Times New Roman Regular" w:cs="Times New Roman Regular"/>
                <w:color w:val="000000" w:themeColor="text1"/>
                <w:sz w:val="24"/>
                <w:szCs w:val="24"/>
                <w14:textFill>
                  <w14:solidFill>
                    <w14:schemeClr w14:val="tx1"/>
                  </w14:solidFill>
                </w14:textFill>
              </w:rPr>
              <w:t>83.2)</w:t>
            </w:r>
          </w:p>
        </w:tc>
        <w:tc>
          <w:tcPr>
            <w:tcW w:w="959" w:type="dxa"/>
            <w:vAlign w:val="top"/>
          </w:tcPr>
          <w:p w14:paraId="4A645E09">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74.3%</w:t>
            </w:r>
          </w:p>
        </w:tc>
        <w:tc>
          <w:tcPr>
            <w:tcW w:w="1687" w:type="dxa"/>
            <w:vAlign w:val="top"/>
          </w:tcPr>
          <w:p w14:paraId="2D8597AF">
            <w:pPr>
              <w:pStyle w:val="12"/>
              <w:ind w:left="0" w:leftChars="0"/>
              <w:rPr>
                <w:rFonts w:hint="default" w:ascii="Times New Roman Regular" w:hAnsi="Times New Roman Regular"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Blunt injury: 85.2% (road traffic collision: 45.7%)</w:t>
            </w:r>
          </w:p>
          <w:p w14:paraId="2B69D284">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Penetrating injury:14.</w:t>
            </w:r>
            <w:r>
              <w:rPr>
                <w:rFonts w:hint="default" w:ascii="Times New Roman Regular" w:hAnsi="Times New Roman Regular" w:cs="Times New Roman Regular"/>
                <w:color w:val="000000" w:themeColor="text1"/>
                <w:sz w:val="24"/>
                <w:szCs w:val="24"/>
                <w:lang w:val="en-US"/>
                <w14:textFill>
                  <w14:solidFill>
                    <w14:schemeClr w14:val="tx1"/>
                  </w14:solidFill>
                </w14:textFill>
              </w:rPr>
              <w:t>8</w:t>
            </w:r>
            <w:r>
              <w:rPr>
                <w:rFonts w:hint="default" w:ascii="Times New Roman Regular" w:hAnsi="Times New Roman Regular" w:cs="Times New Roman Regular"/>
                <w:color w:val="000000" w:themeColor="text1"/>
                <w:sz w:val="24"/>
                <w:szCs w:val="24"/>
                <w14:textFill>
                  <w14:solidFill>
                    <w14:schemeClr w14:val="tx1"/>
                  </w14:solidFill>
                </w14:textFill>
              </w:rPr>
              <w:t>%</w:t>
            </w:r>
          </w:p>
        </w:tc>
        <w:tc>
          <w:tcPr>
            <w:tcW w:w="1752" w:type="dxa"/>
            <w:vAlign w:val="top"/>
          </w:tcPr>
          <w:p w14:paraId="23C90877">
            <w:pPr>
              <w:pStyle w:val="12"/>
              <w:ind w:left="0" w:leftChars="0"/>
              <w:rPr>
                <w:rFonts w:hint="default" w:ascii="Times New Roman Regular" w:hAnsi="Times New Roman Regular"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- 30-day survival:7.5%</w:t>
            </w:r>
          </w:p>
          <w:p w14:paraId="5B0B92B7">
            <w:pPr>
              <w:pStyle w:val="12"/>
              <w:ind w:left="0" w:leftChars="0"/>
              <w:rPr>
                <w:rFonts w:hint="default" w:ascii="Times New Roman Regular" w:hAnsi="Times New Roman Regular"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Survival by location: Prehospital only (11.5%), ED only (3.9%), combined (0%)</w:t>
            </w:r>
          </w:p>
          <w:p w14:paraId="3FED0A54">
            <w:pPr>
              <w:pStyle w:val="12"/>
              <w:ind w:left="0" w:leftChars="0"/>
              <w:rPr>
                <w:rFonts w:hint="default" w:ascii="Times New Roman Regular" w:hAnsi="Times New Roman Regular" w:eastAsia="等线"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color w:val="000000" w:themeColor="text1"/>
                <w:sz w:val="24"/>
                <w:szCs w:val="24"/>
                <w14:textFill>
                  <w14:solidFill>
                    <w14:schemeClr w14:val="tx1"/>
                  </w14:solidFill>
                </w14:textFill>
              </w:rPr>
              <w:t>- Predictor: Isolated TBI/hemorrhage (10.2% survival) vs. combined (2.2%)</w:t>
            </w:r>
          </w:p>
        </w:tc>
      </w:tr>
      <w:tr w14:paraId="1D8EBCD9">
        <w:tc>
          <w:tcPr>
            <w:tcW w:w="1954" w:type="dxa"/>
            <w:vAlign w:val="top"/>
          </w:tcPr>
          <w:p w14:paraId="43374E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Djarv et al. (10.1186/s13049-018-0500-7)</w:t>
            </w:r>
          </w:p>
        </w:tc>
        <w:tc>
          <w:tcPr>
            <w:tcW w:w="1547" w:type="dxa"/>
            <w:vAlign w:val="top"/>
          </w:tcPr>
          <w:p w14:paraId="3BD3EC8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cohort study</w:t>
            </w:r>
          </w:p>
        </w:tc>
        <w:tc>
          <w:tcPr>
            <w:tcW w:w="1402" w:type="dxa"/>
            <w:vAlign w:val="top"/>
          </w:tcPr>
          <w:p w14:paraId="45CB1D7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Sweden</w:t>
            </w:r>
          </w:p>
        </w:tc>
        <w:tc>
          <w:tcPr>
            <w:tcW w:w="825" w:type="dxa"/>
            <w:vAlign w:val="top"/>
          </w:tcPr>
          <w:p w14:paraId="5CA41AA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2016</w:t>
            </w:r>
          </w:p>
        </w:tc>
        <w:tc>
          <w:tcPr>
            <w:tcW w:w="989" w:type="dxa"/>
            <w:vAlign w:val="top"/>
          </w:tcPr>
          <w:p w14:paraId="2633BF3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1774</w:t>
            </w:r>
          </w:p>
        </w:tc>
        <w:tc>
          <w:tcPr>
            <w:tcW w:w="1258" w:type="dxa"/>
            <w:vAlign w:val="top"/>
          </w:tcPr>
          <w:p w14:paraId="2639AAE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2.4% of all OHCAs</w:t>
            </w:r>
          </w:p>
        </w:tc>
        <w:tc>
          <w:tcPr>
            <w:tcW w:w="1825" w:type="dxa"/>
            <w:vAlign w:val="top"/>
          </w:tcPr>
          <w:p w14:paraId="72E5C11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Mean: 51 (SD 23)</w:t>
            </w:r>
          </w:p>
        </w:tc>
        <w:tc>
          <w:tcPr>
            <w:tcW w:w="959" w:type="dxa"/>
            <w:vAlign w:val="top"/>
          </w:tcPr>
          <w:p w14:paraId="28BB54E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78%</w:t>
            </w:r>
          </w:p>
        </w:tc>
        <w:tc>
          <w:tcPr>
            <w:tcW w:w="1687" w:type="dxa"/>
            <w:vAlign w:val="top"/>
          </w:tcPr>
          <w:p w14:paraId="4CAAFB0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Not specified (EMS-reported traumatic etiology)</w:t>
            </w:r>
          </w:p>
          <w:p w14:paraId="416684A4">
            <w:pPr>
              <w:pStyle w:val="12"/>
              <w:ind w:left="0" w:leftChars="0"/>
              <w:rPr>
                <w:rFonts w:hint="default" w:ascii="Times New Roman Regular" w:hAnsi="Times New Roman Regular" w:cs="Times New Roman Regular"/>
                <w:sz w:val="24"/>
                <w:szCs w:val="24"/>
              </w:rPr>
            </w:pPr>
          </w:p>
        </w:tc>
        <w:tc>
          <w:tcPr>
            <w:tcW w:w="1752" w:type="dxa"/>
            <w:vAlign w:val="top"/>
          </w:tcPr>
          <w:p w14:paraId="0878AC5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- 30-day survival:3.7% (vs. 8.1% for medical CA)</w:t>
            </w:r>
          </w:p>
        </w:tc>
      </w:tr>
      <w:tr w14:paraId="7D93E22B">
        <w:tc>
          <w:tcPr>
            <w:tcW w:w="1954" w:type="dxa"/>
            <w:vAlign w:val="top"/>
          </w:tcPr>
          <w:p w14:paraId="3440ED1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Beck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"https://doi.org/10.1016/j.resuscitation.2016.11.011"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10.1016/j.resuscitation.2016.11.011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4E2AEFB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1C3B0B3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Victoria, Australia</w:t>
            </w:r>
          </w:p>
        </w:tc>
        <w:tc>
          <w:tcPr>
            <w:tcW w:w="825" w:type="dxa"/>
            <w:vAlign w:val="top"/>
          </w:tcPr>
          <w:p w14:paraId="35EADED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2014</w:t>
            </w:r>
          </w:p>
        </w:tc>
        <w:tc>
          <w:tcPr>
            <w:tcW w:w="989" w:type="dxa"/>
            <w:vAlign w:val="top"/>
          </w:tcPr>
          <w:p w14:paraId="21478FF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2334</w:t>
            </w:r>
          </w:p>
        </w:tc>
        <w:tc>
          <w:tcPr>
            <w:tcW w:w="1258" w:type="dxa"/>
            <w:vAlign w:val="top"/>
          </w:tcPr>
          <w:p w14:paraId="02828B7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7.4% of all OHCA cases</w:t>
            </w:r>
          </w:p>
        </w:tc>
        <w:tc>
          <w:tcPr>
            <w:tcW w:w="1825" w:type="dxa"/>
            <w:vAlign w:val="top"/>
          </w:tcPr>
          <w:p w14:paraId="775814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44 (IQR: 28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60)</w:t>
            </w:r>
          </w:p>
        </w:tc>
        <w:tc>
          <w:tcPr>
            <w:tcW w:w="959" w:type="dxa"/>
            <w:vAlign w:val="top"/>
          </w:tcPr>
          <w:p w14:paraId="084290B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67.7%</w:t>
            </w:r>
          </w:p>
        </w:tc>
        <w:tc>
          <w:tcPr>
            <w:tcW w:w="1687" w:type="dxa"/>
            <w:vAlign w:val="top"/>
          </w:tcPr>
          <w:p w14:paraId="260E46A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(7</w:t>
            </w:r>
            <w:r>
              <w:rPr>
                <w:rFonts w:hint="eastAsia" w:ascii="Times New Roman Regular" w:hAnsi="Times New Roman Regular" w:cs="Times New Roman Regular"/>
                <w:sz w:val="24"/>
                <w:szCs w:val="24"/>
                <w:lang w:val="en-US" w:eastAsia="zh-CN"/>
              </w:rPr>
              <w:t>6.3</w:t>
            </w:r>
            <w:r>
              <w:rPr>
                <w:rFonts w:hint="default" w:ascii="Times New Roman Regular" w:hAnsi="Times New Roman Regular" w:cs="Times New Roman Regular"/>
                <w:sz w:val="24"/>
                <w:szCs w:val="24"/>
              </w:rPr>
              <w:t>%): Motor vehicle collision (3</w:t>
            </w:r>
            <w:r>
              <w:rPr>
                <w:rFonts w:hint="eastAsia" w:ascii="Times New Roman Regular" w:hAnsi="Times New Roman Regular" w:cs="Times New Roman Regular"/>
                <w:sz w:val="24"/>
                <w:szCs w:val="24"/>
                <w:lang w:val="en-US" w:eastAsia="zh-CN"/>
              </w:rPr>
              <w:t>6.5</w:t>
            </w:r>
            <w:r>
              <w:rPr>
                <w:rFonts w:hint="default" w:ascii="Times New Roman Regular" w:hAnsi="Times New Roman Regular" w:cs="Times New Roman Regular"/>
                <w:sz w:val="24"/>
                <w:szCs w:val="24"/>
              </w:rPr>
              <w:t>%), motorcycle collision (10.1%), fall (9.4%), pedestrian collision (8.6%); Penetrating (22.8%): Shooting (7.3%), stabbing (6.0%)</w:t>
            </w:r>
          </w:p>
        </w:tc>
        <w:tc>
          <w:tcPr>
            <w:tcW w:w="1752" w:type="dxa"/>
            <w:vAlign w:val="top"/>
          </w:tcPr>
          <w:p w14:paraId="315C180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Resuscitation attempted: 2</w:t>
            </w:r>
            <w:r>
              <w:rPr>
                <w:rFonts w:hint="eastAsia" w:ascii="Times New Roman Regular" w:hAnsi="Times New Roman Regular" w:cs="Times New Roman Regular"/>
                <w:sz w:val="24"/>
                <w:szCs w:val="24"/>
                <w:lang w:val="en-US" w:eastAsia="zh-CN"/>
              </w:rPr>
              <w:t>8.3</w:t>
            </w:r>
            <w:r>
              <w:rPr>
                <w:rFonts w:hint="default" w:ascii="Times New Roman Regular" w:hAnsi="Times New Roman Regular" w:cs="Times New Roman Regular"/>
                <w:sz w:val="24"/>
                <w:szCs w:val="24"/>
              </w:rPr>
              <w:t xml:space="preserve">%; </w:t>
            </w:r>
          </w:p>
          <w:p w14:paraId="5D8630C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ROSC not reported; </w:t>
            </w:r>
          </w:p>
          <w:p w14:paraId="130FA06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Survival to hospital discharge: 1.1% (of total TCA) / 3.8% (of resuscitated cases)</w:t>
            </w:r>
          </w:p>
        </w:tc>
      </w:tr>
      <w:tr w14:paraId="1792158D">
        <w:tc>
          <w:tcPr>
            <w:tcW w:w="1954" w:type="dxa"/>
            <w:vAlign w:val="top"/>
          </w:tcPr>
          <w:p w14:paraId="37D2B13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Wang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"https://doi.org/10.1186/s13049-025-01335-0"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10.1186/s13049-025-01335-0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2D52650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08D018D2">
            <w:pPr>
              <w:pStyle w:val="12"/>
              <w:ind w:left="0" w:leftChars="0"/>
              <w:rPr>
                <w:rFonts w:hint="eastAsia" w:ascii="Times New Roman Regular" w:hAnsi="Times New Roman Regular" w:eastAsia="等线" w:cs="Times New Roman Regular"/>
                <w:sz w:val="24"/>
                <w:szCs w:val="24"/>
                <w:lang w:eastAsia="zh-CN"/>
              </w:rPr>
            </w:pPr>
            <w:r>
              <w:rPr>
                <w:rFonts w:hint="eastAsia" w:ascii="Times New Roman Regular" w:hAnsi="Times New Roman Regular" w:eastAsia="等线" w:cs="Times New Roman Regular"/>
                <w:sz w:val="24"/>
                <w:szCs w:val="24"/>
                <w:lang w:val="en-US" w:eastAsia="zh-CN"/>
              </w:rPr>
              <w:t>Chinese Taiwan</w:t>
            </w:r>
          </w:p>
        </w:tc>
        <w:tc>
          <w:tcPr>
            <w:tcW w:w="825" w:type="dxa"/>
            <w:vAlign w:val="top"/>
          </w:tcPr>
          <w:p w14:paraId="60C1474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2022</w:t>
            </w:r>
          </w:p>
        </w:tc>
        <w:tc>
          <w:tcPr>
            <w:tcW w:w="989" w:type="dxa"/>
            <w:vAlign w:val="top"/>
          </w:tcPr>
          <w:p w14:paraId="2CC8CB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557</w:t>
            </w:r>
          </w:p>
        </w:tc>
        <w:tc>
          <w:tcPr>
            <w:tcW w:w="1258" w:type="dxa"/>
            <w:vAlign w:val="top"/>
          </w:tcPr>
          <w:p w14:paraId="01A30E3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0F693A1E">
            <w:pPr>
              <w:pStyle w:val="12"/>
              <w:ind w:left="0" w:leftChars="0"/>
              <w:rPr>
                <w:rFonts w:hint="default" w:ascii="Times New Roman Regular" w:hAnsi="Times New Roman Regular" w:eastAsia="等线" w:cs="Times New Roman Regular"/>
                <w:sz w:val="24"/>
                <w:szCs w:val="24"/>
                <w:lang w:val="en-US"/>
              </w:rPr>
            </w:pPr>
            <w:r>
              <w:rPr>
                <w:rFonts w:hint="default" w:ascii="Times New Roman Regular" w:hAnsi="Times New Roman Regular" w:cs="Times New Roman Regular"/>
                <w:sz w:val="24"/>
                <w:szCs w:val="24"/>
              </w:rPr>
              <w:t>Mean: 48.6</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lang w:val="en-US" w:eastAsia="zh-CN"/>
              </w:rPr>
              <w:t xml:space="preserve">(SD </w:t>
            </w:r>
            <w:r>
              <w:rPr>
                <w:rFonts w:hint="default" w:ascii="Times New Roman Regular" w:hAnsi="Times New Roman Regular" w:cs="Times New Roman Regular"/>
                <w:sz w:val="24"/>
                <w:szCs w:val="24"/>
              </w:rPr>
              <w:t>20.5</w:t>
            </w:r>
            <w:r>
              <w:rPr>
                <w:rFonts w:hint="default" w:ascii="Times New Roman Regular" w:hAnsi="Times New Roman Regular" w:cs="Times New Roman Regular"/>
                <w:sz w:val="24"/>
                <w:szCs w:val="24"/>
                <w:lang w:val="en-US"/>
              </w:rPr>
              <w:t>)</w:t>
            </w:r>
          </w:p>
        </w:tc>
        <w:tc>
          <w:tcPr>
            <w:tcW w:w="959" w:type="dxa"/>
            <w:vAlign w:val="top"/>
          </w:tcPr>
          <w:p w14:paraId="5BD5F76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65.7%</w:t>
            </w:r>
          </w:p>
        </w:tc>
        <w:tc>
          <w:tcPr>
            <w:tcW w:w="1687" w:type="dxa"/>
            <w:vAlign w:val="top"/>
          </w:tcPr>
          <w:p w14:paraId="76703C2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(94.8%), Penetrating (2.5%), Burn (1.8%)</w:t>
            </w:r>
          </w:p>
        </w:tc>
        <w:tc>
          <w:tcPr>
            <w:tcW w:w="1752" w:type="dxa"/>
            <w:vAlign w:val="top"/>
          </w:tcPr>
          <w:p w14:paraId="4B3C0C7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ROSC: 18.3%;</w:t>
            </w:r>
          </w:p>
          <w:p w14:paraId="385AF2F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24-h survival: </w:t>
            </w:r>
            <w:r>
              <w:rPr>
                <w:rFonts w:hint="default" w:ascii="Times New Roman Regular" w:hAnsi="Times New Roman Regular" w:cs="Times New Roman Regular"/>
                <w:sz w:val="24"/>
                <w:szCs w:val="24"/>
                <w:lang w:val="en-US"/>
              </w:rPr>
              <w:t>9.5</w:t>
            </w:r>
            <w:r>
              <w:rPr>
                <w:rFonts w:hint="default" w:ascii="Times New Roman Regular" w:hAnsi="Times New Roman Regular" w:cs="Times New Roman Regular"/>
                <w:sz w:val="24"/>
                <w:szCs w:val="24"/>
              </w:rPr>
              <w:t xml:space="preserve">%; </w:t>
            </w:r>
          </w:p>
          <w:p w14:paraId="34694B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30-day survival: </w:t>
            </w:r>
            <w:r>
              <w:rPr>
                <w:rFonts w:hint="default" w:ascii="Times New Roman Regular" w:hAnsi="Times New Roman Regular" w:cs="Times New Roman Regular"/>
                <w:sz w:val="24"/>
                <w:szCs w:val="24"/>
                <w:lang w:val="en-US"/>
              </w:rPr>
              <w:t>2.9</w:t>
            </w:r>
            <w:r>
              <w:rPr>
                <w:rFonts w:hint="default" w:ascii="Times New Roman Regular" w:hAnsi="Times New Roman Regular" w:cs="Times New Roman Regular"/>
                <w:sz w:val="24"/>
                <w:szCs w:val="24"/>
              </w:rPr>
              <w:t>%</w:t>
            </w:r>
          </w:p>
        </w:tc>
      </w:tr>
      <w:tr w14:paraId="061060A7">
        <w:tc>
          <w:tcPr>
            <w:tcW w:w="1954" w:type="dxa"/>
            <w:vAlign w:val="top"/>
          </w:tcPr>
          <w:p w14:paraId="319A22F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Doan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"https://doi.org/10.1136/emermed-2021-211723"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10.1136/emermed-2021-211723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0D71F74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40B98B0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Queensland, Australia</w:t>
            </w:r>
          </w:p>
        </w:tc>
        <w:tc>
          <w:tcPr>
            <w:tcW w:w="825" w:type="dxa"/>
            <w:vAlign w:val="top"/>
          </w:tcPr>
          <w:p w14:paraId="49A0EA6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2019</w:t>
            </w:r>
          </w:p>
        </w:tc>
        <w:tc>
          <w:tcPr>
            <w:tcW w:w="989" w:type="dxa"/>
            <w:vAlign w:val="top"/>
          </w:tcPr>
          <w:p w14:paraId="5EE997B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3891</w:t>
            </w:r>
          </w:p>
        </w:tc>
        <w:tc>
          <w:tcPr>
            <w:tcW w:w="1258" w:type="dxa"/>
            <w:vAlign w:val="top"/>
          </w:tcPr>
          <w:p w14:paraId="2CFFEDD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4E14E0A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44 (IQR: 30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60)</w:t>
            </w:r>
          </w:p>
        </w:tc>
        <w:tc>
          <w:tcPr>
            <w:tcW w:w="959" w:type="dxa"/>
            <w:vAlign w:val="top"/>
          </w:tcPr>
          <w:p w14:paraId="518C42C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78.8%</w:t>
            </w:r>
          </w:p>
        </w:tc>
        <w:tc>
          <w:tcPr>
            <w:tcW w:w="1687" w:type="dxa"/>
            <w:vAlign w:val="top"/>
          </w:tcPr>
          <w:p w14:paraId="148B1A3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(79.8%): Motor vehicle collision (38.1%), motorcycle collision (13.6%), fall (12.6%); Penetrating (19.8%): Gunshot wound (12.2%), stabbing (5.0%); Burn (0.3%)</w:t>
            </w:r>
          </w:p>
        </w:tc>
        <w:tc>
          <w:tcPr>
            <w:tcW w:w="1752" w:type="dxa"/>
            <w:vAlign w:val="top"/>
          </w:tcPr>
          <w:p w14:paraId="28E54B1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Resuscitation attempted: 38.5%; </w:t>
            </w:r>
          </w:p>
          <w:p w14:paraId="6BBD340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Survival to hospital handover: 15.3%; </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Survival to discharge: 9.8%; </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6-month survival: 9.8%</w:t>
            </w:r>
          </w:p>
        </w:tc>
      </w:tr>
      <w:tr w14:paraId="38936760">
        <w:tc>
          <w:tcPr>
            <w:tcW w:w="1954" w:type="dxa"/>
            <w:vAlign w:val="top"/>
          </w:tcPr>
          <w:p w14:paraId="0594BEE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Lee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"https://doi.org/10.1080/10903127.2022.2113941"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10.1080/10903127.2022.2113941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412F82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 (Pan-Asian)</w:t>
            </w:r>
          </w:p>
        </w:tc>
        <w:tc>
          <w:tcPr>
            <w:tcW w:w="1402" w:type="dxa"/>
            <w:vAlign w:val="top"/>
          </w:tcPr>
          <w:p w14:paraId="1AEB629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 Asian countries</w:t>
            </w:r>
            <w:r>
              <w:rPr>
                <w:rFonts w:hint="default" w:ascii="Times New Roman Regular" w:hAnsi="Times New Roman Regular" w:cs="Times New Roman Regular"/>
                <w:sz w:val="24"/>
                <w:szCs w:val="24"/>
                <w:lang w:val="en-US"/>
              </w:rPr>
              <w:t>/regions</w:t>
            </w:r>
            <w:r>
              <w:rPr>
                <w:rFonts w:hint="default" w:ascii="Times New Roman Regular" w:hAnsi="Times New Roman Regular" w:cs="Times New Roman Regular"/>
                <w:sz w:val="24"/>
                <w:szCs w:val="24"/>
              </w:rPr>
              <w:t xml:space="preserve"> (Japan, Korea, Singapore, etc.)</w:t>
            </w:r>
          </w:p>
        </w:tc>
        <w:tc>
          <w:tcPr>
            <w:tcW w:w="825" w:type="dxa"/>
            <w:vAlign w:val="top"/>
          </w:tcPr>
          <w:p w14:paraId="3D7A4C5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2018</w:t>
            </w:r>
          </w:p>
        </w:tc>
        <w:tc>
          <w:tcPr>
            <w:tcW w:w="989" w:type="dxa"/>
            <w:vAlign w:val="top"/>
          </w:tcPr>
          <w:p w14:paraId="4E49D8A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13631</w:t>
            </w:r>
          </w:p>
        </w:tc>
        <w:tc>
          <w:tcPr>
            <w:tcW w:w="1258" w:type="dxa"/>
            <w:vAlign w:val="top"/>
          </w:tcPr>
          <w:p w14:paraId="7E05997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6.6% of all OHCA cases</w:t>
            </w:r>
          </w:p>
        </w:tc>
        <w:tc>
          <w:tcPr>
            <w:tcW w:w="1825" w:type="dxa"/>
            <w:vAlign w:val="top"/>
          </w:tcPr>
          <w:p w14:paraId="1E52E6E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57 (IQR: 39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73)</w:t>
            </w:r>
          </w:p>
        </w:tc>
        <w:tc>
          <w:tcPr>
            <w:tcW w:w="959" w:type="dxa"/>
            <w:vAlign w:val="top"/>
          </w:tcPr>
          <w:p w14:paraId="479DF79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64.6%</w:t>
            </w:r>
          </w:p>
        </w:tc>
        <w:tc>
          <w:tcPr>
            <w:tcW w:w="1687" w:type="dxa"/>
            <w:vAlign w:val="top"/>
          </w:tcPr>
          <w:p w14:paraId="694F52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1752" w:type="dxa"/>
            <w:vAlign w:val="top"/>
          </w:tcPr>
          <w:p w14:paraId="3209D1C9">
            <w:pPr>
              <w:pStyle w:val="12"/>
              <w:ind w:left="0" w:leftChars="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 by-stander CPR: 23% </w:t>
            </w:r>
          </w:p>
          <w:p w14:paraId="3F0F685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ROSC: 12.8%; </w:t>
            </w:r>
          </w:p>
          <w:p w14:paraId="11FC76D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Survival to discharge: 3.4%; </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Favorable neurological outcome (CPC 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 1.0%</w:t>
            </w:r>
          </w:p>
        </w:tc>
      </w:tr>
      <w:tr w14:paraId="002C46B2">
        <w:tc>
          <w:tcPr>
            <w:tcW w:w="1954" w:type="dxa"/>
            <w:vAlign w:val="top"/>
          </w:tcPr>
          <w:p w14:paraId="021C03D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Escutnaire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"https://doi.org/10.1016/j.resuscitation.2018.07.032"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10.1016/j.resuscitation.2018.07.032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4605A7D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National registry study</w:t>
            </w:r>
          </w:p>
        </w:tc>
        <w:tc>
          <w:tcPr>
            <w:tcW w:w="1402" w:type="dxa"/>
            <w:vAlign w:val="top"/>
          </w:tcPr>
          <w:p w14:paraId="7D76153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825" w:type="dxa"/>
            <w:vAlign w:val="top"/>
          </w:tcPr>
          <w:p w14:paraId="22C4AFA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2017</w:t>
            </w:r>
          </w:p>
        </w:tc>
        <w:tc>
          <w:tcPr>
            <w:tcW w:w="989" w:type="dxa"/>
            <w:vAlign w:val="top"/>
          </w:tcPr>
          <w:p w14:paraId="47784E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3209</w:t>
            </w:r>
          </w:p>
        </w:tc>
        <w:tc>
          <w:tcPr>
            <w:tcW w:w="1258" w:type="dxa"/>
            <w:vAlign w:val="top"/>
          </w:tcPr>
          <w:p w14:paraId="3F98E45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03A8238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46 (IQR: 29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64)</w:t>
            </w:r>
          </w:p>
        </w:tc>
        <w:tc>
          <w:tcPr>
            <w:tcW w:w="959" w:type="dxa"/>
            <w:vAlign w:val="top"/>
          </w:tcPr>
          <w:p w14:paraId="194A101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75.0%</w:t>
            </w:r>
          </w:p>
        </w:tc>
        <w:tc>
          <w:tcPr>
            <w:tcW w:w="1687" w:type="dxa"/>
            <w:vAlign w:val="top"/>
          </w:tcPr>
          <w:p w14:paraId="42F5AD3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1752" w:type="dxa"/>
            <w:vAlign w:val="top"/>
          </w:tcPr>
          <w:p w14:paraId="6107B12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Survival to admission: 14.0%;</w:t>
            </w:r>
          </w:p>
          <w:p w14:paraId="152100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30-day survival: 1.5%</w:t>
            </w:r>
          </w:p>
        </w:tc>
      </w:tr>
      <w:tr w14:paraId="520A6A13">
        <w:tc>
          <w:tcPr>
            <w:tcW w:w="1954" w:type="dxa"/>
            <w:vAlign w:val="top"/>
          </w:tcPr>
          <w:p w14:paraId="33A1E0A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Evans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"https://doi.org/10.1097/TA.0000000000001070"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10.1097/TA.0000000000001070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6F0C2F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Secondary analysis of registries</w:t>
            </w:r>
          </w:p>
        </w:tc>
        <w:tc>
          <w:tcPr>
            <w:tcW w:w="1402" w:type="dxa"/>
            <w:vAlign w:val="top"/>
          </w:tcPr>
          <w:p w14:paraId="44492E6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North America (US and Canada)</w:t>
            </w:r>
          </w:p>
        </w:tc>
        <w:tc>
          <w:tcPr>
            <w:tcW w:w="825" w:type="dxa"/>
            <w:vAlign w:val="top"/>
          </w:tcPr>
          <w:p w14:paraId="2B5CD0C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2007 (Epistry-Trauma); 2010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2011 (PROPHET)</w:t>
            </w:r>
          </w:p>
        </w:tc>
        <w:tc>
          <w:tcPr>
            <w:tcW w:w="989" w:type="dxa"/>
            <w:vAlign w:val="top"/>
          </w:tcPr>
          <w:p w14:paraId="3A95E58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2300 (1292+1008)</w:t>
            </w:r>
          </w:p>
        </w:tc>
        <w:tc>
          <w:tcPr>
            <w:tcW w:w="1258" w:type="dxa"/>
            <w:vAlign w:val="top"/>
          </w:tcPr>
          <w:p w14:paraId="1747252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17C570A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Mean: 39 (SD:20, Epistry); 40 (SD:19, PROPHET)</w:t>
            </w:r>
          </w:p>
        </w:tc>
        <w:tc>
          <w:tcPr>
            <w:tcW w:w="959" w:type="dxa"/>
            <w:vAlign w:val="top"/>
          </w:tcPr>
          <w:p w14:paraId="045FE0B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79.0%</w:t>
            </w:r>
          </w:p>
        </w:tc>
        <w:tc>
          <w:tcPr>
            <w:tcW w:w="1687" w:type="dxa"/>
            <w:vAlign w:val="top"/>
          </w:tcPr>
          <w:p w14:paraId="33EA686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(67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68%): Motor vehicle collision (24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28%), fall (14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15%); Penetrating (32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33%): Gunshot wound (24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26%)</w:t>
            </w:r>
          </w:p>
        </w:tc>
        <w:tc>
          <w:tcPr>
            <w:tcW w:w="1752" w:type="dxa"/>
            <w:vAlign w:val="top"/>
          </w:tcPr>
          <w:p w14:paraId="7905292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Survival to discharge: 6.3% (7.1% Epistry; 5.3% PROPHET); 81% of survivors had vitals on EMS arrival</w:t>
            </w:r>
          </w:p>
        </w:tc>
      </w:tr>
      <w:tr w14:paraId="3B4EED55">
        <w:tc>
          <w:tcPr>
            <w:tcW w:w="1954" w:type="dxa"/>
            <w:vAlign w:val="top"/>
          </w:tcPr>
          <w:p w14:paraId="763A738C">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Kitano et al. (</w:t>
            </w:r>
            <w:r>
              <w:rPr>
                <w:rFonts w:hint="default" w:ascii="Times New Roman Regular" w:hAnsi="Times New Roman Regular" w:cs="Times New Roman Regular"/>
                <w:color w:val="0070C0"/>
                <w:sz w:val="24"/>
                <w:szCs w:val="24"/>
              </w:rPr>
              <w:fldChar w:fldCharType="begin"/>
            </w:r>
            <w:r>
              <w:rPr>
                <w:rFonts w:hint="default" w:ascii="Times New Roman Regular" w:hAnsi="Times New Roman Regular" w:cs="Times New Roman Regular"/>
                <w:color w:val="0070C0"/>
                <w:sz w:val="24"/>
                <w:szCs w:val="24"/>
              </w:rPr>
              <w:instrText xml:space="preserve"> HYPERLINK "https://doi.org/10.1016/j.resuscitation.2021.12.023" </w:instrText>
            </w:r>
            <w:r>
              <w:rPr>
                <w:rFonts w:hint="default" w:ascii="Times New Roman Regular" w:hAnsi="Times New Roman Regular" w:cs="Times New Roman Regular"/>
                <w:color w:val="0070C0"/>
                <w:sz w:val="24"/>
                <w:szCs w:val="24"/>
              </w:rPr>
              <w:fldChar w:fldCharType="separate"/>
            </w:r>
            <w:r>
              <w:rPr>
                <w:rStyle w:val="10"/>
                <w:rFonts w:hint="default" w:ascii="Times New Roman Regular" w:hAnsi="Times New Roman Regular" w:cs="Times New Roman Regular"/>
                <w:color w:val="0070C0"/>
                <w:sz w:val="24"/>
                <w:szCs w:val="24"/>
              </w:rPr>
              <w:t>10.1016/j.resuscitation.2021.12.023</w:t>
            </w:r>
            <w:r>
              <w:rPr>
                <w:rStyle w:val="10"/>
                <w:rFonts w:hint="default" w:ascii="Times New Roman Regular" w:hAnsi="Times New Roman Regular" w:cs="Times New Roman Regular"/>
                <w:color w:val="0070C0"/>
                <w:sz w:val="24"/>
                <w:szCs w:val="24"/>
              </w:rPr>
              <w:fldChar w:fldCharType="end"/>
            </w:r>
            <w:r>
              <w:rPr>
                <w:rFonts w:hint="default" w:ascii="Times New Roman Regular" w:hAnsi="Times New Roman Regular" w:cs="Times New Roman Regular"/>
                <w:color w:val="0070C0"/>
                <w:sz w:val="24"/>
                <w:szCs w:val="24"/>
              </w:rPr>
              <w:t>)</w:t>
            </w:r>
          </w:p>
        </w:tc>
        <w:tc>
          <w:tcPr>
            <w:tcW w:w="1547" w:type="dxa"/>
            <w:vAlign w:val="top"/>
          </w:tcPr>
          <w:p w14:paraId="7E9E406E">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Retrospective nationwide registry study</w:t>
            </w:r>
          </w:p>
        </w:tc>
        <w:tc>
          <w:tcPr>
            <w:tcW w:w="1402" w:type="dxa"/>
            <w:vAlign w:val="top"/>
          </w:tcPr>
          <w:p w14:paraId="2C8353A8">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Japan</w:t>
            </w:r>
          </w:p>
        </w:tc>
        <w:tc>
          <w:tcPr>
            <w:tcW w:w="825" w:type="dxa"/>
            <w:vAlign w:val="top"/>
          </w:tcPr>
          <w:p w14:paraId="1213F604">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2014</w:t>
            </w:r>
            <w:r>
              <w:rPr>
                <w:rFonts w:hint="default" w:ascii="Times New Roman Regular" w:hAnsi="Times New Roman Regular" w:cs="Times New Roman Regular"/>
                <w:color w:val="0070C0"/>
                <w:sz w:val="24"/>
                <w:szCs w:val="24"/>
                <w:lang w:eastAsia="zh-CN"/>
              </w:rPr>
              <w:t>-</w:t>
            </w:r>
            <w:r>
              <w:rPr>
                <w:rFonts w:hint="default" w:ascii="Times New Roman Regular" w:hAnsi="Times New Roman Regular" w:cs="Times New Roman Regular"/>
                <w:color w:val="0070C0"/>
                <w:sz w:val="24"/>
                <w:szCs w:val="24"/>
              </w:rPr>
              <w:t>2019</w:t>
            </w:r>
          </w:p>
        </w:tc>
        <w:tc>
          <w:tcPr>
            <w:tcW w:w="989" w:type="dxa"/>
            <w:vAlign w:val="top"/>
          </w:tcPr>
          <w:p w14:paraId="0B82BDB2">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3883</w:t>
            </w:r>
          </w:p>
        </w:tc>
        <w:tc>
          <w:tcPr>
            <w:tcW w:w="1258" w:type="dxa"/>
            <w:vAlign w:val="top"/>
          </w:tcPr>
          <w:p w14:paraId="3E10BDE3">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Not reported</w:t>
            </w:r>
          </w:p>
        </w:tc>
        <w:tc>
          <w:tcPr>
            <w:tcW w:w="1825" w:type="dxa"/>
            <w:vAlign w:val="top"/>
          </w:tcPr>
          <w:p w14:paraId="1B306EC8">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Median: 61</w:t>
            </w:r>
            <w:r>
              <w:rPr>
                <w:rFonts w:hint="default" w:ascii="Times New Roman Regular" w:hAnsi="Times New Roman Regular" w:cs="Times New Roman Regular"/>
                <w:color w:val="0070C0"/>
                <w:sz w:val="24"/>
                <w:szCs w:val="24"/>
                <w:lang w:eastAsia="zh-CN"/>
              </w:rPr>
              <w:t>-</w:t>
            </w:r>
            <w:r>
              <w:rPr>
                <w:rFonts w:hint="default" w:ascii="Times New Roman Regular" w:hAnsi="Times New Roman Regular" w:cs="Times New Roman Regular"/>
                <w:color w:val="0070C0"/>
                <w:sz w:val="24"/>
                <w:szCs w:val="24"/>
              </w:rPr>
              <w:t>65</w:t>
            </w:r>
            <w:r>
              <w:rPr>
                <w:rFonts w:hint="eastAsia" w:ascii="Times New Roman Regular" w:hAnsi="Times New Roman Regular" w:cs="Times New Roman Regular"/>
                <w:color w:val="0070C0"/>
                <w:sz w:val="24"/>
                <w:szCs w:val="24"/>
                <w:lang w:val="en-US" w:eastAsia="zh-CN"/>
              </w:rPr>
              <w:t xml:space="preserve"> </w:t>
            </w:r>
            <w:r>
              <w:rPr>
                <w:rFonts w:hint="default" w:ascii="Times New Roman Regular" w:hAnsi="Times New Roman Regular" w:cs="Times New Roman Regular"/>
                <w:color w:val="0070C0"/>
                <w:sz w:val="24"/>
                <w:szCs w:val="24"/>
              </w:rPr>
              <w:t>(IQR: 41</w:t>
            </w:r>
            <w:r>
              <w:rPr>
                <w:rFonts w:hint="default" w:ascii="Times New Roman Regular" w:hAnsi="Times New Roman Regular" w:cs="Times New Roman Regular"/>
                <w:color w:val="0070C0"/>
                <w:sz w:val="24"/>
                <w:szCs w:val="24"/>
                <w:lang w:eastAsia="zh-CN"/>
              </w:rPr>
              <w:t>-</w:t>
            </w:r>
            <w:r>
              <w:rPr>
                <w:rFonts w:hint="default" w:ascii="Times New Roman Regular" w:hAnsi="Times New Roman Regular" w:cs="Times New Roman Regular"/>
                <w:color w:val="0070C0"/>
                <w:sz w:val="24"/>
                <w:szCs w:val="24"/>
              </w:rPr>
              <w:t>75/77)</w:t>
            </w:r>
          </w:p>
        </w:tc>
        <w:tc>
          <w:tcPr>
            <w:tcW w:w="959" w:type="dxa"/>
            <w:vAlign w:val="top"/>
          </w:tcPr>
          <w:p w14:paraId="761E58B2">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67.0</w:t>
            </w:r>
            <w:r>
              <w:rPr>
                <w:rFonts w:hint="default" w:ascii="Times New Roman Regular" w:hAnsi="Times New Roman Regular" w:cs="Times New Roman Regular"/>
                <w:color w:val="0070C0"/>
                <w:sz w:val="24"/>
                <w:szCs w:val="24"/>
                <w:lang w:eastAsia="zh-CN"/>
              </w:rPr>
              <w:t>-</w:t>
            </w:r>
            <w:r>
              <w:rPr>
                <w:rFonts w:hint="default" w:ascii="Times New Roman Regular" w:hAnsi="Times New Roman Regular" w:cs="Times New Roman Regular"/>
                <w:color w:val="0070C0"/>
                <w:sz w:val="24"/>
                <w:szCs w:val="24"/>
              </w:rPr>
              <w:t>72.7%</w:t>
            </w:r>
          </w:p>
        </w:tc>
        <w:tc>
          <w:tcPr>
            <w:tcW w:w="1687" w:type="dxa"/>
            <w:vAlign w:val="top"/>
          </w:tcPr>
          <w:p w14:paraId="590B58AF">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rPr>
              <w:t>Traffic collisions (blunt trauma)</w:t>
            </w:r>
          </w:p>
        </w:tc>
        <w:tc>
          <w:tcPr>
            <w:tcW w:w="1752" w:type="dxa"/>
            <w:vAlign w:val="top"/>
          </w:tcPr>
          <w:p w14:paraId="366EF7ED">
            <w:pPr>
              <w:pStyle w:val="12"/>
              <w:ind w:left="0" w:leftChars="0"/>
              <w:rPr>
                <w:rFonts w:hint="default" w:ascii="Times New Roman Regular" w:hAnsi="Times New Roman Regular" w:cs="Times New Roman Regular"/>
                <w:color w:val="0070C0"/>
                <w:sz w:val="24"/>
                <w:szCs w:val="24"/>
              </w:rPr>
            </w:pPr>
            <w:r>
              <w:rPr>
                <w:rFonts w:hint="default" w:ascii="Times New Roman Regular" w:hAnsi="Times New Roman Regular" w:cs="Times New Roman Regular"/>
                <w:color w:val="0070C0"/>
                <w:sz w:val="24"/>
                <w:szCs w:val="24"/>
                <w:lang w:val="en-US" w:eastAsia="zh-CN"/>
              </w:rPr>
              <w:t xml:space="preserve">- </w:t>
            </w:r>
            <w:r>
              <w:rPr>
                <w:rFonts w:hint="default" w:ascii="Times New Roman Regular" w:hAnsi="Times New Roman Regular" w:cs="Times New Roman Regular"/>
                <w:color w:val="0070C0"/>
                <w:sz w:val="24"/>
                <w:szCs w:val="24"/>
              </w:rPr>
              <w:t xml:space="preserve">1-month survival: 5.6% (unwitnessed) /7.2% (bystander-witnessed)/10.9% (EMS-witnessed); </w:t>
            </w:r>
          </w:p>
          <w:p w14:paraId="3A483CDD">
            <w:pPr>
              <w:pStyle w:val="12"/>
              <w:ind w:left="0" w:leftChars="0"/>
              <w:rPr>
                <w:rFonts w:hint="default" w:ascii="Times New Roman Regular" w:hAnsi="Times New Roman Regular" w:cs="Times New Roman Regular"/>
                <w:color w:val="0070C0"/>
                <w:sz w:val="24"/>
                <w:szCs w:val="24"/>
              </w:rPr>
            </w:pPr>
            <w:r>
              <w:rPr>
                <w:rFonts w:hint="default" w:ascii="Times New Roman Regular" w:hAnsi="Times New Roman Regular" w:cs="Times New Roman Regular"/>
                <w:color w:val="0070C0"/>
                <w:sz w:val="24"/>
                <w:szCs w:val="24"/>
                <w:lang w:val="en-US" w:eastAsia="zh-CN"/>
              </w:rPr>
              <w:t>-</w:t>
            </w:r>
            <w:r>
              <w:rPr>
                <w:rFonts w:hint="default" w:ascii="Times New Roman Regular" w:hAnsi="Times New Roman Regular" w:cs="Times New Roman Regular"/>
                <w:color w:val="0070C0"/>
                <w:sz w:val="24"/>
                <w:szCs w:val="24"/>
              </w:rPr>
              <w:t>ROSC:7.9%/10.2%/14.4%;</w:t>
            </w:r>
          </w:p>
          <w:p w14:paraId="182C180A">
            <w:pPr>
              <w:pStyle w:val="12"/>
              <w:ind w:left="0" w:leftChars="0"/>
              <w:rPr>
                <w:rFonts w:hint="default" w:ascii="Times New Roman Regular" w:hAnsi="Times New Roman Regular" w:eastAsia="等线" w:cs="Times New Roman Regular"/>
                <w:color w:val="0070C0"/>
                <w:sz w:val="24"/>
                <w:szCs w:val="24"/>
              </w:rPr>
            </w:pPr>
            <w:r>
              <w:rPr>
                <w:rFonts w:hint="default" w:ascii="Times New Roman Regular" w:hAnsi="Times New Roman Regular" w:cs="Times New Roman Regular"/>
                <w:color w:val="0070C0"/>
                <w:sz w:val="24"/>
                <w:szCs w:val="24"/>
                <w:lang w:val="en-US" w:eastAsia="zh-CN"/>
              </w:rPr>
              <w:t xml:space="preserve">- </w:t>
            </w:r>
            <w:r>
              <w:rPr>
                <w:rFonts w:hint="default" w:ascii="Times New Roman Regular" w:hAnsi="Times New Roman Regular" w:cs="Times New Roman Regular"/>
                <w:color w:val="0070C0"/>
                <w:sz w:val="24"/>
                <w:szCs w:val="24"/>
              </w:rPr>
              <w:t>Favorable neurological outcome:1.8%/2.6%/3.4%</w:t>
            </w:r>
          </w:p>
        </w:tc>
      </w:tr>
      <w:tr w14:paraId="7C79264A">
        <w:tc>
          <w:tcPr>
            <w:tcW w:w="1954" w:type="dxa"/>
            <w:vAlign w:val="top"/>
          </w:tcPr>
          <w:p w14:paraId="2787835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Cheng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"https://doi.org/10.1016/j.injury.2025.112262"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10.1016/j.injury.2025.112262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48B0256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6B99473C">
            <w:pPr>
              <w:pStyle w:val="12"/>
              <w:ind w:left="0" w:leftChars="0"/>
              <w:rPr>
                <w:rFonts w:hint="eastAsia" w:ascii="Times New Roman Regular" w:hAnsi="Times New Roman Regular" w:eastAsia="等线" w:cs="Times New Roman Regular"/>
                <w:sz w:val="24"/>
                <w:szCs w:val="24"/>
                <w:lang w:eastAsia="zh-CN"/>
              </w:rPr>
            </w:pPr>
            <w:r>
              <w:rPr>
                <w:rFonts w:hint="eastAsia" w:ascii="Times New Roman Regular" w:hAnsi="Times New Roman Regular" w:eastAsia="等线" w:cs="Times New Roman Regular"/>
                <w:sz w:val="24"/>
                <w:szCs w:val="24"/>
                <w:lang w:val="en-US" w:eastAsia="zh-CN"/>
              </w:rPr>
              <w:t>Chinese Taiwan</w:t>
            </w:r>
          </w:p>
        </w:tc>
        <w:tc>
          <w:tcPr>
            <w:tcW w:w="825" w:type="dxa"/>
            <w:vAlign w:val="top"/>
          </w:tcPr>
          <w:p w14:paraId="7ADD59F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2022</w:t>
            </w:r>
          </w:p>
        </w:tc>
        <w:tc>
          <w:tcPr>
            <w:tcW w:w="989" w:type="dxa"/>
            <w:vAlign w:val="top"/>
          </w:tcPr>
          <w:p w14:paraId="418FF62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136</w:t>
            </w:r>
          </w:p>
        </w:tc>
        <w:tc>
          <w:tcPr>
            <w:tcW w:w="1258" w:type="dxa"/>
            <w:vAlign w:val="top"/>
          </w:tcPr>
          <w:p w14:paraId="38F6E8E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544A5AF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959" w:type="dxa"/>
            <w:vAlign w:val="top"/>
          </w:tcPr>
          <w:p w14:paraId="04BDF58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73.0%</w:t>
            </w:r>
          </w:p>
        </w:tc>
        <w:tc>
          <w:tcPr>
            <w:tcW w:w="1687" w:type="dxa"/>
            <w:vAlign w:val="top"/>
          </w:tcPr>
          <w:p w14:paraId="28771D8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(94%), Penetrating (6%: gunshot, stabbing)</w:t>
            </w:r>
          </w:p>
        </w:tc>
        <w:tc>
          <w:tcPr>
            <w:tcW w:w="1752" w:type="dxa"/>
            <w:vAlign w:val="top"/>
          </w:tcPr>
          <w:p w14:paraId="147DFF9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ROSC:39%; Sustained ROSC:30%; </w:t>
            </w:r>
          </w:p>
          <w:p w14:paraId="5779C83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Survival to admission:24%; </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Survival to discharge:</w:t>
            </w:r>
            <w:r>
              <w:rPr>
                <w:rFonts w:hint="default" w:ascii="Times New Roman Regular" w:hAnsi="Times New Roman Regular" w:cs="Times New Roman Regular"/>
                <w:sz w:val="24"/>
                <w:szCs w:val="24"/>
                <w:lang w:val="en-US"/>
              </w:rPr>
              <w:t>2</w:t>
            </w:r>
            <w:r>
              <w:rPr>
                <w:rFonts w:hint="default" w:ascii="Times New Roman Regular" w:hAnsi="Times New Roman Regular" w:cs="Times New Roman Regular"/>
                <w:sz w:val="24"/>
                <w:szCs w:val="24"/>
              </w:rPr>
              <w:t>% (only PEA group)</w:t>
            </w:r>
          </w:p>
        </w:tc>
      </w:tr>
      <w:tr w14:paraId="26EEC228">
        <w:tc>
          <w:tcPr>
            <w:tcW w:w="1954" w:type="dxa"/>
            <w:vAlign w:val="top"/>
          </w:tcPr>
          <w:p w14:paraId="29F4A6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Faulkner J et al.(10.1177/00031348221091937)</w:t>
            </w:r>
          </w:p>
        </w:tc>
        <w:tc>
          <w:tcPr>
            <w:tcW w:w="1547" w:type="dxa"/>
            <w:vAlign w:val="top"/>
          </w:tcPr>
          <w:p w14:paraId="04BD070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0C47AB2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825" w:type="dxa"/>
            <w:vAlign w:val="top"/>
          </w:tcPr>
          <w:p w14:paraId="6C6D7EF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2007-2016</w:t>
            </w:r>
          </w:p>
        </w:tc>
        <w:tc>
          <w:tcPr>
            <w:tcW w:w="989" w:type="dxa"/>
            <w:vAlign w:val="top"/>
          </w:tcPr>
          <w:p w14:paraId="7CCA57B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7503</w:t>
            </w:r>
          </w:p>
        </w:tc>
        <w:tc>
          <w:tcPr>
            <w:tcW w:w="1258" w:type="dxa"/>
            <w:vAlign w:val="top"/>
          </w:tcPr>
          <w:p w14:paraId="1AA5FE4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2108235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959" w:type="dxa"/>
            <w:vAlign w:val="top"/>
          </w:tcPr>
          <w:p w14:paraId="49A397D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687" w:type="dxa"/>
            <w:vAlign w:val="top"/>
          </w:tcPr>
          <w:p w14:paraId="2FFD620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1752" w:type="dxa"/>
            <w:vAlign w:val="top"/>
          </w:tcPr>
          <w:p w14:paraId="5B93834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in-hospital mortality: 95.7%</w:t>
            </w:r>
          </w:p>
          <w:p w14:paraId="3B1095B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Discharge home rate: 1.3%</w:t>
            </w:r>
          </w:p>
        </w:tc>
      </w:tr>
      <w:tr w14:paraId="197B0CA9">
        <w:tc>
          <w:tcPr>
            <w:tcW w:w="1954" w:type="dxa"/>
            <w:vAlign w:val="top"/>
          </w:tcPr>
          <w:p w14:paraId="21A5092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Talmy T et al.(10.1080/10903127.2023.2241542)</w:t>
            </w:r>
          </w:p>
        </w:tc>
        <w:tc>
          <w:tcPr>
            <w:tcW w:w="1547" w:type="dxa"/>
            <w:vAlign w:val="top"/>
          </w:tcPr>
          <w:p w14:paraId="52B9DAD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1B1E787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Israel</w:t>
            </w:r>
          </w:p>
        </w:tc>
        <w:tc>
          <w:tcPr>
            <w:tcW w:w="825" w:type="dxa"/>
            <w:vAlign w:val="top"/>
          </w:tcPr>
          <w:p w14:paraId="47CDEAB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1997-2022</w:t>
            </w:r>
          </w:p>
        </w:tc>
        <w:tc>
          <w:tcPr>
            <w:tcW w:w="989" w:type="dxa"/>
            <w:vAlign w:val="top"/>
          </w:tcPr>
          <w:p w14:paraId="239A5F4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149</w:t>
            </w:r>
          </w:p>
        </w:tc>
        <w:tc>
          <w:tcPr>
            <w:tcW w:w="1258" w:type="dxa"/>
            <w:vAlign w:val="top"/>
          </w:tcPr>
          <w:p w14:paraId="7F2501D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1BD6F9A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21</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(IQR 19-27)</w:t>
            </w:r>
          </w:p>
        </w:tc>
        <w:tc>
          <w:tcPr>
            <w:tcW w:w="959" w:type="dxa"/>
            <w:vAlign w:val="top"/>
          </w:tcPr>
          <w:p w14:paraId="6FD11EA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89.9%</w:t>
            </w:r>
          </w:p>
        </w:tc>
        <w:tc>
          <w:tcPr>
            <w:tcW w:w="1687" w:type="dxa"/>
            <w:vAlign w:val="top"/>
          </w:tcPr>
          <w:p w14:paraId="51CC5E1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Military setting: Gunshot (64.3%), blast (17.9%)- Non-military setting: Motor vehicle collision (63.1%), gunshot (16.9%)</w:t>
            </w:r>
          </w:p>
        </w:tc>
        <w:tc>
          <w:tcPr>
            <w:tcW w:w="1752" w:type="dxa"/>
            <w:vAlign w:val="top"/>
          </w:tcPr>
          <w:p w14:paraId="3B4EA27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return of vital signs: 3.4%</w:t>
            </w:r>
          </w:p>
          <w:p w14:paraId="19B266C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to hospital admission: 0%</w:t>
            </w:r>
          </w:p>
        </w:tc>
      </w:tr>
      <w:tr w14:paraId="6E18AB48">
        <w:tc>
          <w:tcPr>
            <w:tcW w:w="1954" w:type="dxa"/>
            <w:vAlign w:val="top"/>
          </w:tcPr>
          <w:p w14:paraId="57B89EE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Shi D et al.(10.1136/tsaco-2021-000817)</w:t>
            </w:r>
          </w:p>
        </w:tc>
        <w:tc>
          <w:tcPr>
            <w:tcW w:w="1547" w:type="dxa"/>
            <w:vAlign w:val="top"/>
          </w:tcPr>
          <w:p w14:paraId="0FF15D5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w:t>
            </w:r>
          </w:p>
        </w:tc>
        <w:tc>
          <w:tcPr>
            <w:tcW w:w="1402" w:type="dxa"/>
            <w:vAlign w:val="top"/>
          </w:tcPr>
          <w:p w14:paraId="3A2D05A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Mixed</w:t>
            </w:r>
          </w:p>
        </w:tc>
        <w:tc>
          <w:tcPr>
            <w:tcW w:w="825" w:type="dxa"/>
            <w:vAlign w:val="top"/>
          </w:tcPr>
          <w:p w14:paraId="7B3C7B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1983-2019</w:t>
            </w:r>
          </w:p>
        </w:tc>
        <w:tc>
          <w:tcPr>
            <w:tcW w:w="989" w:type="dxa"/>
            <w:vAlign w:val="top"/>
          </w:tcPr>
          <w:p w14:paraId="6532AB3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23644</w:t>
            </w:r>
          </w:p>
        </w:tc>
        <w:tc>
          <w:tcPr>
            <w:tcW w:w="1258" w:type="dxa"/>
            <w:vAlign w:val="top"/>
          </w:tcPr>
          <w:p w14:paraId="43A23C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54B8D89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959" w:type="dxa"/>
            <w:vAlign w:val="top"/>
          </w:tcPr>
          <w:p w14:paraId="71C5B6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687" w:type="dxa"/>
            <w:vAlign w:val="top"/>
          </w:tcPr>
          <w:p w14:paraId="70B7A9B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1752" w:type="dxa"/>
            <w:vAlign w:val="top"/>
          </w:tcPr>
          <w:p w14:paraId="0D57923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9.2% (2168 patients)</w:t>
            </w:r>
          </w:p>
          <w:p w14:paraId="1BD9C59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outcomes (good/moderate)</w:t>
            </w:r>
            <w:r>
              <w:rPr>
                <w:rFonts w:hint="default" w:ascii="Times New Roman Regular" w:hAnsi="Times New Roman Regular" w:cs="Times New Roman Regular"/>
                <w:sz w:val="24"/>
                <w:szCs w:val="24"/>
                <w:lang w:val="en-US"/>
              </w:rPr>
              <w:t xml:space="preserve"> in survivals</w:t>
            </w:r>
            <w:r>
              <w:rPr>
                <w:rFonts w:hint="default" w:ascii="Times New Roman Regular" w:hAnsi="Times New Roman Regular" w:cs="Times New Roman Regular"/>
                <w:sz w:val="24"/>
                <w:szCs w:val="24"/>
              </w:rPr>
              <w:t>: 45.8%</w:t>
            </w:r>
          </w:p>
          <w:p w14:paraId="060733B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Unfavorable neurological outcomes (severe/vegetative)</w:t>
            </w:r>
            <w:r>
              <w:rPr>
                <w:rFonts w:hint="default" w:ascii="Times New Roman Regular" w:hAnsi="Times New Roman Regular" w:cs="Times New Roman Regular"/>
                <w:sz w:val="24"/>
                <w:szCs w:val="24"/>
                <w:lang w:val="en-US"/>
              </w:rPr>
              <w:t xml:space="preserve"> in survivals</w:t>
            </w:r>
            <w:r>
              <w:rPr>
                <w:rFonts w:hint="default" w:ascii="Times New Roman Regular" w:hAnsi="Times New Roman Regular" w:cs="Times New Roman Regular"/>
                <w:sz w:val="24"/>
                <w:szCs w:val="24"/>
              </w:rPr>
              <w:t>: 29.0%</w:t>
            </w:r>
          </w:p>
          <w:p w14:paraId="3D52989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Missing neurological outcomes</w:t>
            </w:r>
            <w:r>
              <w:rPr>
                <w:rFonts w:hint="default" w:ascii="Times New Roman Regular" w:hAnsi="Times New Roman Regular" w:cs="Times New Roman Regular"/>
                <w:sz w:val="24"/>
                <w:szCs w:val="24"/>
                <w:lang w:val="en-US"/>
              </w:rPr>
              <w:t xml:space="preserve"> in survivals</w:t>
            </w:r>
            <w:r>
              <w:rPr>
                <w:rFonts w:hint="default" w:ascii="Times New Roman Regular" w:hAnsi="Times New Roman Regular" w:cs="Times New Roman Regular"/>
                <w:sz w:val="24"/>
                <w:szCs w:val="24"/>
              </w:rPr>
              <w:t>: 25.2%</w:t>
            </w:r>
          </w:p>
        </w:tc>
      </w:tr>
      <w:tr w14:paraId="60A44365">
        <w:tc>
          <w:tcPr>
            <w:tcW w:w="1954" w:type="dxa"/>
            <w:vAlign w:val="top"/>
          </w:tcPr>
          <w:p w14:paraId="25C782D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Nevins et al. ( 10.1007/s00068-018-0982-z)</w:t>
            </w:r>
          </w:p>
        </w:tc>
        <w:tc>
          <w:tcPr>
            <w:tcW w:w="1547" w:type="dxa"/>
            <w:vAlign w:val="top"/>
          </w:tcPr>
          <w:p w14:paraId="7DED53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w:t>
            </w:r>
          </w:p>
        </w:tc>
        <w:tc>
          <w:tcPr>
            <w:tcW w:w="1402" w:type="dxa"/>
            <w:vAlign w:val="top"/>
          </w:tcPr>
          <w:p w14:paraId="2C8F2A1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Global (37 studies)</w:t>
            </w:r>
          </w:p>
        </w:tc>
        <w:tc>
          <w:tcPr>
            <w:tcW w:w="825" w:type="dxa"/>
            <w:vAlign w:val="top"/>
          </w:tcPr>
          <w:p w14:paraId="52CE4B8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2016</w:t>
            </w:r>
          </w:p>
        </w:tc>
        <w:tc>
          <w:tcPr>
            <w:tcW w:w="989" w:type="dxa"/>
            <w:vAlign w:val="top"/>
          </w:tcPr>
          <w:p w14:paraId="002346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3251</w:t>
            </w:r>
          </w:p>
        </w:tc>
        <w:tc>
          <w:tcPr>
            <w:tcW w:w="1258" w:type="dxa"/>
            <w:vAlign w:val="top"/>
          </w:tcPr>
          <w:p w14:paraId="5824E62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6BA25D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959" w:type="dxa"/>
            <w:vAlign w:val="top"/>
          </w:tcPr>
          <w:p w14:paraId="5662F5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687" w:type="dxa"/>
            <w:shd w:val="clear" w:color="auto" w:fill="auto"/>
            <w:vAlign w:val="top"/>
          </w:tcPr>
          <w:p w14:paraId="7CC342DE">
            <w:pPr>
              <w:pStyle w:val="12"/>
              <w:ind w:left="0" w:leftChars="0"/>
              <w:rPr>
                <w:rFonts w:hint="default" w:ascii="Times New Roman Regular" w:hAnsi="Times New Roman Regular" w:eastAsia="等线" w:cs="Times New Roman Regular"/>
                <w:sz w:val="24"/>
                <w:szCs w:val="24"/>
                <w:lang w:val="en-US" w:eastAsia="zh-CN" w:bidi="ar-SA"/>
              </w:rPr>
            </w:pPr>
            <w:r>
              <w:rPr>
                <w:rFonts w:hint="default" w:ascii="Times New Roman Regular" w:hAnsi="Times New Roman Regular" w:cs="Times New Roman Regular"/>
                <w:sz w:val="24"/>
                <w:szCs w:val="24"/>
              </w:rPr>
              <w:t>Not reported</w:t>
            </w:r>
          </w:p>
        </w:tc>
        <w:tc>
          <w:tcPr>
            <w:tcW w:w="1752" w:type="dxa"/>
            <w:vAlign w:val="top"/>
          </w:tcPr>
          <w:p w14:paraId="2D98414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Overall survival rate: 8.5%</w:t>
            </w:r>
          </w:p>
        </w:tc>
      </w:tr>
      <w:tr w14:paraId="457C1D8B">
        <w:tc>
          <w:tcPr>
            <w:tcW w:w="1954" w:type="dxa"/>
            <w:vAlign w:val="top"/>
          </w:tcPr>
          <w:p w14:paraId="361B15A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Benhamed et al. (10.1097/TA.0000000000003474)</w:t>
            </w:r>
          </w:p>
        </w:tc>
        <w:tc>
          <w:tcPr>
            <w:tcW w:w="1547" w:type="dxa"/>
            <w:vAlign w:val="top"/>
          </w:tcPr>
          <w:p w14:paraId="32001FA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58A9529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825" w:type="dxa"/>
            <w:vAlign w:val="top"/>
          </w:tcPr>
          <w:p w14:paraId="7B679C0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2020</w:t>
            </w:r>
          </w:p>
        </w:tc>
        <w:tc>
          <w:tcPr>
            <w:tcW w:w="989" w:type="dxa"/>
            <w:vAlign w:val="top"/>
          </w:tcPr>
          <w:p w14:paraId="3810E5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4,922</w:t>
            </w:r>
          </w:p>
        </w:tc>
        <w:tc>
          <w:tcPr>
            <w:tcW w:w="1258" w:type="dxa"/>
            <w:vAlign w:val="top"/>
          </w:tcPr>
          <w:p w14:paraId="4351F57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reported</w:t>
            </w:r>
          </w:p>
        </w:tc>
        <w:tc>
          <w:tcPr>
            <w:tcW w:w="1825" w:type="dxa"/>
            <w:vAlign w:val="top"/>
          </w:tcPr>
          <w:p w14:paraId="47FB49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46 (30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64)</w:t>
            </w:r>
          </w:p>
        </w:tc>
        <w:tc>
          <w:tcPr>
            <w:tcW w:w="959" w:type="dxa"/>
            <w:vAlign w:val="top"/>
          </w:tcPr>
          <w:p w14:paraId="3026991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75.9%</w:t>
            </w:r>
          </w:p>
        </w:tc>
        <w:tc>
          <w:tcPr>
            <w:tcW w:w="1687" w:type="dxa"/>
            <w:vAlign w:val="top"/>
          </w:tcPr>
          <w:p w14:paraId="3F53377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80.8%; Penetrating: 19.2%</w:t>
            </w:r>
          </w:p>
        </w:tc>
        <w:tc>
          <w:tcPr>
            <w:tcW w:w="1752" w:type="dxa"/>
            <w:vAlign w:val="top"/>
          </w:tcPr>
          <w:p w14:paraId="170F166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Sustained on-scene ROSC: 21.1%</w:t>
            </w:r>
          </w:p>
          <w:p w14:paraId="2EB797F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1.4%</w:t>
            </w:r>
          </w:p>
          <w:p w14:paraId="55E15CF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Favorable neurological outcome (CPC 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 among 30-day survivors: 72.2%</w:t>
            </w:r>
          </w:p>
        </w:tc>
      </w:tr>
      <w:tr w14:paraId="479112BB">
        <w:tc>
          <w:tcPr>
            <w:tcW w:w="1954" w:type="dxa"/>
            <w:vAlign w:val="top"/>
          </w:tcPr>
          <w:p w14:paraId="2CDEF96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Kim et al. (10.22514/sv.2023.128)</w:t>
            </w:r>
          </w:p>
        </w:tc>
        <w:tc>
          <w:tcPr>
            <w:tcW w:w="1547" w:type="dxa"/>
            <w:vAlign w:val="top"/>
          </w:tcPr>
          <w:p w14:paraId="00D13B2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cross-sectional study</w:t>
            </w:r>
          </w:p>
        </w:tc>
        <w:tc>
          <w:tcPr>
            <w:tcW w:w="1402" w:type="dxa"/>
            <w:vAlign w:val="top"/>
          </w:tcPr>
          <w:p w14:paraId="13E2F85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South Korea</w:t>
            </w:r>
          </w:p>
        </w:tc>
        <w:tc>
          <w:tcPr>
            <w:tcW w:w="825" w:type="dxa"/>
            <w:vAlign w:val="top"/>
          </w:tcPr>
          <w:p w14:paraId="0F872C6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2019</w:t>
            </w:r>
          </w:p>
        </w:tc>
        <w:tc>
          <w:tcPr>
            <w:tcW w:w="989" w:type="dxa"/>
            <w:vAlign w:val="top"/>
          </w:tcPr>
          <w:p w14:paraId="536983B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20,247</w:t>
            </w:r>
          </w:p>
        </w:tc>
        <w:tc>
          <w:tcPr>
            <w:tcW w:w="1258" w:type="dxa"/>
            <w:vAlign w:val="top"/>
          </w:tcPr>
          <w:p w14:paraId="568DF69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explicitly reported</w:t>
            </w:r>
          </w:p>
        </w:tc>
        <w:tc>
          <w:tcPr>
            <w:tcW w:w="1825" w:type="dxa"/>
            <w:vAlign w:val="top"/>
          </w:tcPr>
          <w:p w14:paraId="74DD698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55 (40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68)</w:t>
            </w:r>
          </w:p>
        </w:tc>
        <w:tc>
          <w:tcPr>
            <w:tcW w:w="959" w:type="dxa"/>
            <w:vAlign w:val="top"/>
          </w:tcPr>
          <w:p w14:paraId="219380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72.0%</w:t>
            </w:r>
          </w:p>
        </w:tc>
        <w:tc>
          <w:tcPr>
            <w:tcW w:w="1687" w:type="dxa"/>
            <w:vAlign w:val="top"/>
          </w:tcPr>
          <w:p w14:paraId="4B8CD23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(traffic accident, fall, etc.): 97.5%; Penetrating: 2.5%</w:t>
            </w:r>
          </w:p>
        </w:tc>
        <w:tc>
          <w:tcPr>
            <w:tcW w:w="1752" w:type="dxa"/>
            <w:vAlign w:val="top"/>
          </w:tcPr>
          <w:p w14:paraId="77DD202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Good neurological status at discharge: 0.3%</w:t>
            </w:r>
          </w:p>
          <w:p w14:paraId="726F2C5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to discharge: 8.6%</w:t>
            </w:r>
          </w:p>
        </w:tc>
      </w:tr>
      <w:tr w14:paraId="6F88DF47">
        <w:tc>
          <w:tcPr>
            <w:tcW w:w="1954" w:type="dxa"/>
            <w:vAlign w:val="top"/>
          </w:tcPr>
          <w:p w14:paraId="560983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Smida et al. (10.1007/s00068-023-02279-9)</w:t>
            </w:r>
          </w:p>
        </w:tc>
        <w:tc>
          <w:tcPr>
            <w:tcW w:w="1547" w:type="dxa"/>
            <w:vAlign w:val="top"/>
          </w:tcPr>
          <w:p w14:paraId="7B377C1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2A2390C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United States</w:t>
            </w:r>
          </w:p>
        </w:tc>
        <w:tc>
          <w:tcPr>
            <w:tcW w:w="825" w:type="dxa"/>
            <w:vAlign w:val="top"/>
          </w:tcPr>
          <w:p w14:paraId="5550880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2021</w:t>
            </w:r>
          </w:p>
        </w:tc>
        <w:tc>
          <w:tcPr>
            <w:tcW w:w="989" w:type="dxa"/>
            <w:vAlign w:val="top"/>
          </w:tcPr>
          <w:p w14:paraId="1FBD75E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4,942</w:t>
            </w:r>
          </w:p>
        </w:tc>
        <w:tc>
          <w:tcPr>
            <w:tcW w:w="1258" w:type="dxa"/>
            <w:vAlign w:val="top"/>
          </w:tcPr>
          <w:p w14:paraId="324446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explicitly reported</w:t>
            </w:r>
          </w:p>
        </w:tc>
        <w:tc>
          <w:tcPr>
            <w:tcW w:w="1825" w:type="dxa"/>
            <w:vAlign w:val="top"/>
          </w:tcPr>
          <w:p w14:paraId="223C8BAE">
            <w:pPr>
              <w:pStyle w:val="12"/>
              <w:ind w:left="0" w:leftChars="0"/>
              <w:rPr>
                <w:rFonts w:hint="default" w:ascii="Times New Roman Regular" w:hAnsi="Times New Roman Regular" w:eastAsia="等线" w:cs="Times New Roman Regular"/>
                <w:sz w:val="24"/>
                <w:szCs w:val="24"/>
                <w:lang w:val="en-US"/>
              </w:rPr>
            </w:pPr>
            <w:r>
              <w:rPr>
                <w:rFonts w:hint="default" w:ascii="Times New Roman Regular" w:hAnsi="Times New Roman Regular" w:cs="Times New Roman Regular"/>
                <w:sz w:val="24"/>
                <w:szCs w:val="24"/>
              </w:rPr>
              <w:t>Me</w:t>
            </w:r>
            <w:r>
              <w:rPr>
                <w:rFonts w:hint="default" w:ascii="Times New Roman Regular" w:hAnsi="Times New Roman Regular" w:cs="Times New Roman Regular"/>
                <w:sz w:val="24"/>
                <w:szCs w:val="24"/>
                <w:lang w:val="en-US"/>
              </w:rPr>
              <w:t>dian</w:t>
            </w:r>
            <w:r>
              <w:rPr>
                <w:rFonts w:hint="default" w:ascii="Times New Roman Regular" w:hAnsi="Times New Roman Regular" w:cs="Times New Roman Regular"/>
                <w:sz w:val="24"/>
                <w:szCs w:val="24"/>
              </w:rPr>
              <w:t>: 44</w:t>
            </w:r>
            <w:r>
              <w:rPr>
                <w:rFonts w:hint="default" w:ascii="Times New Roman Regular" w:hAnsi="Times New Roman Regular" w:cs="Times New Roman Regular"/>
                <w:sz w:val="24"/>
                <w:szCs w:val="24"/>
                <w:lang w:val="en-US"/>
              </w:rPr>
              <w:t xml:space="preserve"> (IQR28-58)</w:t>
            </w:r>
          </w:p>
        </w:tc>
        <w:tc>
          <w:tcPr>
            <w:tcW w:w="959" w:type="dxa"/>
            <w:vAlign w:val="top"/>
          </w:tcPr>
          <w:p w14:paraId="501773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78.9%</w:t>
            </w:r>
          </w:p>
        </w:tc>
        <w:tc>
          <w:tcPr>
            <w:tcW w:w="1687" w:type="dxa"/>
            <w:vAlign w:val="top"/>
          </w:tcPr>
          <w:p w14:paraId="3476E89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64.3%; Penetrating: 35.7%</w:t>
            </w:r>
          </w:p>
        </w:tc>
        <w:tc>
          <w:tcPr>
            <w:tcW w:w="1752" w:type="dxa"/>
            <w:vAlign w:val="top"/>
          </w:tcPr>
          <w:p w14:paraId="0BB3D83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at ED arrival:14.6%</w:t>
            </w:r>
          </w:p>
          <w:p w14:paraId="6C52882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to hospital discharge:3.2%</w:t>
            </w:r>
          </w:p>
        </w:tc>
      </w:tr>
      <w:tr w14:paraId="3968BAF4">
        <w:tc>
          <w:tcPr>
            <w:tcW w:w="1954" w:type="dxa"/>
            <w:vAlign w:val="top"/>
          </w:tcPr>
          <w:p w14:paraId="4AD96F1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Agostinucci et al. (10.1111/ijn.13244)</w:t>
            </w:r>
          </w:p>
        </w:tc>
        <w:tc>
          <w:tcPr>
            <w:tcW w:w="1547" w:type="dxa"/>
            <w:vAlign w:val="top"/>
          </w:tcPr>
          <w:p w14:paraId="2228725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4880A17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 (Seine-Saint-Denis region)</w:t>
            </w:r>
          </w:p>
        </w:tc>
        <w:tc>
          <w:tcPr>
            <w:tcW w:w="825" w:type="dxa"/>
            <w:vAlign w:val="top"/>
          </w:tcPr>
          <w:p w14:paraId="1EB6B7B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2021</w:t>
            </w:r>
          </w:p>
        </w:tc>
        <w:tc>
          <w:tcPr>
            <w:tcW w:w="989" w:type="dxa"/>
            <w:vAlign w:val="top"/>
          </w:tcPr>
          <w:p w14:paraId="278CEDF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3964 (resuscitated TCA)</w:t>
            </w:r>
          </w:p>
        </w:tc>
        <w:tc>
          <w:tcPr>
            <w:tcW w:w="1258" w:type="dxa"/>
            <w:vAlign w:val="top"/>
          </w:tcPr>
          <w:p w14:paraId="52EAE4C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eastAsia="zh-CN"/>
              </w:rPr>
              <w:t>IO</w:t>
            </w:r>
            <w:r>
              <w:rPr>
                <w:rFonts w:hint="default" w:ascii="Times New Roman Regular" w:hAnsi="Times New Roman Regular" w:cs="Times New Roman Regular"/>
                <w:sz w:val="24"/>
                <w:szCs w:val="24"/>
              </w:rPr>
              <w:t xml:space="preserve"> use increased from 7% (2013) to 33% (2021) among TCA patients</w:t>
            </w:r>
          </w:p>
        </w:tc>
        <w:tc>
          <w:tcPr>
            <w:tcW w:w="1825" w:type="dxa"/>
            <w:vAlign w:val="top"/>
          </w:tcPr>
          <w:p w14:paraId="39A512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58 (43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71) (</w:t>
            </w:r>
            <w:r>
              <w:rPr>
                <w:rFonts w:hint="default" w:ascii="Times New Roman Regular" w:hAnsi="Times New Roman Regular" w:cs="Times New Roman Regular"/>
                <w:sz w:val="24"/>
                <w:szCs w:val="24"/>
                <w:lang w:eastAsia="zh-CN"/>
              </w:rPr>
              <w:t>IO</w:t>
            </w:r>
            <w:r>
              <w:rPr>
                <w:rFonts w:hint="default" w:ascii="Times New Roman Regular" w:hAnsi="Times New Roman Regular" w:cs="Times New Roman Regular"/>
                <w:sz w:val="24"/>
                <w:szCs w:val="24"/>
              </w:rPr>
              <w:t xml:space="preserve"> group); 63 (50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74)  (non-</w:t>
            </w:r>
            <w:r>
              <w:rPr>
                <w:rFonts w:hint="default" w:ascii="Times New Roman Regular" w:hAnsi="Times New Roman Regular" w:cs="Times New Roman Regular"/>
                <w:sz w:val="24"/>
                <w:szCs w:val="24"/>
                <w:lang w:eastAsia="zh-CN"/>
              </w:rPr>
              <w:t>IO</w:t>
            </w:r>
            <w:r>
              <w:rPr>
                <w:rFonts w:hint="default" w:ascii="Times New Roman Regular" w:hAnsi="Times New Roman Regular" w:cs="Times New Roman Regular"/>
                <w:sz w:val="24"/>
                <w:szCs w:val="24"/>
              </w:rPr>
              <w:t xml:space="preserve"> group)</w:t>
            </w:r>
          </w:p>
        </w:tc>
        <w:tc>
          <w:tcPr>
            <w:tcW w:w="959" w:type="dxa"/>
            <w:vAlign w:val="top"/>
          </w:tcPr>
          <w:p w14:paraId="57DB881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explicitly reported</w:t>
            </w:r>
          </w:p>
        </w:tc>
        <w:tc>
          <w:tcPr>
            <w:tcW w:w="1687" w:type="dxa"/>
            <w:vAlign w:val="top"/>
          </w:tcPr>
          <w:p w14:paraId="636F2A4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explicitly reported</w:t>
            </w:r>
          </w:p>
        </w:tc>
        <w:tc>
          <w:tcPr>
            <w:tcW w:w="1752" w:type="dxa"/>
            <w:vAlign w:val="top"/>
          </w:tcPr>
          <w:p w14:paraId="57390B3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- 30-day survival:</w:t>
            </w:r>
            <w:r>
              <w:rPr>
                <w:rFonts w:hint="eastAsia" w:ascii="Times New Roman Regular" w:hAnsi="Times New Roman Regular" w:cs="Times New Roman Regular"/>
                <w:sz w:val="24"/>
                <w:szCs w:val="24"/>
                <w:lang w:val="en-US" w:eastAsia="zh-CN"/>
              </w:rPr>
              <w:t xml:space="preserve"> 5.5%</w:t>
            </w:r>
          </w:p>
        </w:tc>
      </w:tr>
      <w:tr w14:paraId="2A37DCB0">
        <w:tc>
          <w:tcPr>
            <w:tcW w:w="1954" w:type="dxa"/>
            <w:vAlign w:val="top"/>
          </w:tcPr>
          <w:p w14:paraId="6A13E9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Aoki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"https://doi.org/10.1038/s41598-019-46460-w"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10.1038/s41598-019-46460-w</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7B6C273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Prospective, population-based observational study</w:t>
            </w:r>
          </w:p>
        </w:tc>
        <w:tc>
          <w:tcPr>
            <w:tcW w:w="1402" w:type="dxa"/>
            <w:vAlign w:val="top"/>
          </w:tcPr>
          <w:p w14:paraId="2F124D7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825" w:type="dxa"/>
            <w:vAlign w:val="top"/>
          </w:tcPr>
          <w:p w14:paraId="486FD4F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tc>
        <w:tc>
          <w:tcPr>
            <w:tcW w:w="989" w:type="dxa"/>
            <w:vAlign w:val="top"/>
          </w:tcPr>
          <w:p w14:paraId="58DDB51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5,204</w:t>
            </w:r>
          </w:p>
        </w:tc>
        <w:tc>
          <w:tcPr>
            <w:tcW w:w="1258" w:type="dxa"/>
            <w:vAlign w:val="top"/>
          </w:tcPr>
          <w:p w14:paraId="763FB724">
            <w:pPr>
              <w:pStyle w:val="12"/>
              <w:ind w:left="0" w:leftChars="0"/>
              <w:rPr>
                <w:rFonts w:hint="default" w:ascii="Times New Roman Regular" w:hAnsi="Times New Roman Regular" w:eastAsia="等线" w:cs="Times New Roman Regular"/>
                <w:sz w:val="24"/>
                <w:szCs w:val="24"/>
                <w:lang w:eastAsia="zh-CN"/>
              </w:rPr>
            </w:pPr>
            <w:r>
              <w:rPr>
                <w:rFonts w:hint="default" w:ascii="Times New Roman Regular" w:hAnsi="Times New Roman Regular" w:cs="Times New Roman Regular"/>
                <w:sz w:val="24"/>
                <w:szCs w:val="24"/>
              </w:rPr>
              <w:t>-</w:t>
            </w:r>
          </w:p>
        </w:tc>
        <w:tc>
          <w:tcPr>
            <w:tcW w:w="1825" w:type="dxa"/>
            <w:vAlign w:val="top"/>
          </w:tcPr>
          <w:p w14:paraId="50B04A2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61 (</w:t>
            </w:r>
            <w:r>
              <w:rPr>
                <w:rFonts w:hint="eastAsia" w:ascii="Times New Roman Regular" w:hAnsi="Times New Roman Regular" w:cs="Times New Roman Regular"/>
                <w:sz w:val="24"/>
                <w:szCs w:val="24"/>
                <w:lang w:val="en-US" w:eastAsia="zh-CN"/>
              </w:rPr>
              <w:t>40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75)</w:t>
            </w:r>
          </w:p>
        </w:tc>
        <w:tc>
          <w:tcPr>
            <w:tcW w:w="959" w:type="dxa"/>
            <w:vAlign w:val="top"/>
          </w:tcPr>
          <w:p w14:paraId="7832A5B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w:t>
            </w:r>
            <w:r>
              <w:rPr>
                <w:rFonts w:hint="eastAsia" w:ascii="Times New Roman Regular" w:hAnsi="Times New Roman Regular" w:cs="Times New Roman Regular"/>
                <w:sz w:val="24"/>
                <w:szCs w:val="24"/>
                <w:lang w:val="en-US" w:eastAsia="zh-CN"/>
              </w:rPr>
              <w:t>9.2</w:t>
            </w:r>
            <w:r>
              <w:rPr>
                <w:rFonts w:hint="default" w:ascii="Times New Roman Regular" w:hAnsi="Times New Roman Regular" w:cs="Times New Roman Regular"/>
                <w:sz w:val="24"/>
                <w:szCs w:val="24"/>
              </w:rPr>
              <w:t>%</w:t>
            </w:r>
          </w:p>
        </w:tc>
        <w:tc>
          <w:tcPr>
            <w:tcW w:w="1687" w:type="dxa"/>
            <w:vAlign w:val="top"/>
          </w:tcPr>
          <w:p w14:paraId="62C7717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trauma (all caused by traffic collisions)</w:t>
            </w:r>
          </w:p>
        </w:tc>
        <w:tc>
          <w:tcPr>
            <w:tcW w:w="1752" w:type="dxa"/>
            <w:vAlign w:val="top"/>
          </w:tcPr>
          <w:p w14:paraId="1D5888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1-month survival: 1.5% (Epinephrine group) vs. 0.9% (No epinephrine group); </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Prehospital ROSC: 9.8% (Epinephrine group) vs. 0.9% (No epinephrine group)</w:t>
            </w:r>
          </w:p>
        </w:tc>
      </w:tr>
      <w:tr w14:paraId="6579B714">
        <w:tc>
          <w:tcPr>
            <w:tcW w:w="1954" w:type="dxa"/>
            <w:vAlign w:val="top"/>
          </w:tcPr>
          <w:p w14:paraId="07B206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Ordoobadi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"https://doi.org/10.1016/j.resuscitation.2022.08.005"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10.1016/j.resuscitation.2022.08.005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09C22A4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Cross-sectional analysis (protocol review + clinical practice)</w:t>
            </w:r>
          </w:p>
        </w:tc>
        <w:tc>
          <w:tcPr>
            <w:tcW w:w="1402" w:type="dxa"/>
            <w:vAlign w:val="top"/>
          </w:tcPr>
          <w:p w14:paraId="473F43F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825" w:type="dxa"/>
            <w:vAlign w:val="top"/>
          </w:tcPr>
          <w:p w14:paraId="684A83D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2018</w:t>
            </w:r>
          </w:p>
        </w:tc>
        <w:tc>
          <w:tcPr>
            <w:tcW w:w="989" w:type="dxa"/>
            <w:vAlign w:val="top"/>
          </w:tcPr>
          <w:p w14:paraId="05E5B5B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9,565</w:t>
            </w:r>
          </w:p>
        </w:tc>
        <w:tc>
          <w:tcPr>
            <w:tcW w:w="1258" w:type="dxa"/>
            <w:vAlign w:val="top"/>
          </w:tcPr>
          <w:p w14:paraId="565639A4">
            <w:pPr>
              <w:pStyle w:val="12"/>
              <w:ind w:left="0" w:leftChars="0"/>
              <w:rPr>
                <w:rFonts w:hint="default" w:ascii="Times New Roman Regular" w:hAnsi="Times New Roman Regular" w:eastAsia="等线" w:cs="Times New Roman Regular"/>
                <w:sz w:val="24"/>
                <w:szCs w:val="24"/>
                <w:lang w:eastAsia="zh-CN"/>
              </w:rPr>
            </w:pPr>
            <w:r>
              <w:rPr>
                <w:rFonts w:hint="default" w:ascii="Times New Roman Regular" w:hAnsi="Times New Roman Regular" w:cs="Times New Roman Regular"/>
                <w:sz w:val="24"/>
                <w:szCs w:val="24"/>
              </w:rPr>
              <w:t>-</w:t>
            </w:r>
          </w:p>
        </w:tc>
        <w:tc>
          <w:tcPr>
            <w:tcW w:w="1825" w:type="dxa"/>
            <w:vAlign w:val="top"/>
          </w:tcPr>
          <w:p w14:paraId="1D5680C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50</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(32.0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67.0)</w:t>
            </w:r>
          </w:p>
        </w:tc>
        <w:tc>
          <w:tcPr>
            <w:tcW w:w="959" w:type="dxa"/>
            <w:vAlign w:val="top"/>
          </w:tcPr>
          <w:p w14:paraId="73CACFB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76.6%</w:t>
            </w:r>
          </w:p>
        </w:tc>
        <w:tc>
          <w:tcPr>
            <w:tcW w:w="1687" w:type="dxa"/>
            <w:vAlign w:val="top"/>
          </w:tcPr>
          <w:p w14:paraId="6ACE2CA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trauma: 79.1%; Penetrating trauma: 20.9%</w:t>
            </w:r>
          </w:p>
        </w:tc>
        <w:tc>
          <w:tcPr>
            <w:tcW w:w="1752" w:type="dxa"/>
            <w:vAlign w:val="top"/>
          </w:tcPr>
          <w:p w14:paraId="5A87347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ROSC: 25.5%</w:t>
            </w:r>
          </w:p>
          <w:p w14:paraId="6EF6919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Presumptively dead at end of incident: 77.7%</w:t>
            </w:r>
          </w:p>
          <w:p w14:paraId="56F31B8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Resuscitation terminated in field: 26.4%</w:t>
            </w:r>
          </w:p>
        </w:tc>
      </w:tr>
      <w:tr w14:paraId="03501E90">
        <w:tc>
          <w:tcPr>
            <w:tcW w:w="1954" w:type="dxa"/>
            <w:vAlign w:val="top"/>
          </w:tcPr>
          <w:p w14:paraId="3C2ACEE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Chen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"https://doi.org/10.1016/j.injury.2018.07.010"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10.1016/j.injury.2018.07.010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790EC0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3BC0F6B8">
            <w:pPr>
              <w:pStyle w:val="12"/>
              <w:ind w:left="0" w:leftChars="0"/>
              <w:rPr>
                <w:rFonts w:hint="eastAsia" w:ascii="Times New Roman Regular" w:hAnsi="Times New Roman Regular" w:eastAsia="等线" w:cs="Times New Roman Regular"/>
                <w:sz w:val="24"/>
                <w:szCs w:val="24"/>
                <w:lang w:eastAsia="zh-CN"/>
              </w:rPr>
            </w:pPr>
            <w:r>
              <w:rPr>
                <w:rFonts w:hint="eastAsia" w:ascii="Times New Roman Regular" w:hAnsi="Times New Roman Regular" w:eastAsia="等线" w:cs="Times New Roman Regular"/>
                <w:sz w:val="24"/>
                <w:szCs w:val="24"/>
                <w:lang w:val="en-US" w:eastAsia="zh-CN"/>
              </w:rPr>
              <w:t>Chinese Taiwan</w:t>
            </w:r>
          </w:p>
        </w:tc>
        <w:tc>
          <w:tcPr>
            <w:tcW w:w="825" w:type="dxa"/>
            <w:vAlign w:val="top"/>
          </w:tcPr>
          <w:p w14:paraId="6E7EC57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2014</w:t>
            </w:r>
          </w:p>
        </w:tc>
        <w:tc>
          <w:tcPr>
            <w:tcW w:w="989" w:type="dxa"/>
            <w:vAlign w:val="top"/>
          </w:tcPr>
          <w:p w14:paraId="7C7BC2B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463</w:t>
            </w:r>
          </w:p>
        </w:tc>
        <w:tc>
          <w:tcPr>
            <w:tcW w:w="1258" w:type="dxa"/>
            <w:vAlign w:val="top"/>
          </w:tcPr>
          <w:p w14:paraId="752618F5">
            <w:pPr>
              <w:pStyle w:val="12"/>
              <w:ind w:left="0" w:leftChars="0"/>
              <w:rPr>
                <w:rFonts w:hint="default" w:ascii="Times New Roman Regular" w:hAnsi="Times New Roman Regular" w:eastAsia="等线" w:cs="Times New Roman Regular"/>
                <w:sz w:val="24"/>
                <w:szCs w:val="24"/>
                <w:lang w:eastAsia="zh-CN"/>
              </w:rPr>
            </w:pPr>
            <w:r>
              <w:rPr>
                <w:rFonts w:hint="default" w:ascii="Times New Roman Regular" w:hAnsi="Times New Roman Regular" w:cs="Times New Roman Regular"/>
                <w:sz w:val="24"/>
                <w:szCs w:val="24"/>
              </w:rPr>
              <w:t>-</w:t>
            </w:r>
          </w:p>
        </w:tc>
        <w:tc>
          <w:tcPr>
            <w:tcW w:w="1825" w:type="dxa"/>
            <w:vAlign w:val="top"/>
          </w:tcPr>
          <w:p w14:paraId="5E8B47B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49 (35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62) [Non-ROSC group]; 50 (34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58) [ROSC group]</w:t>
            </w:r>
          </w:p>
        </w:tc>
        <w:tc>
          <w:tcPr>
            <w:tcW w:w="959" w:type="dxa"/>
            <w:vAlign w:val="top"/>
          </w:tcPr>
          <w:p w14:paraId="078A4E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74% (Non-ROSC group); 69% (ROSC group)</w:t>
            </w:r>
          </w:p>
        </w:tc>
        <w:tc>
          <w:tcPr>
            <w:tcW w:w="1687" w:type="dxa"/>
            <w:vAlign w:val="top"/>
          </w:tcPr>
          <w:p w14:paraId="32ED231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trauma: 8</w:t>
            </w:r>
            <w:r>
              <w:rPr>
                <w:rFonts w:hint="eastAsia" w:ascii="Times New Roman Regular" w:hAnsi="Times New Roman Regular" w:cs="Times New Roman Regular"/>
                <w:sz w:val="24"/>
                <w:szCs w:val="24"/>
                <w:lang w:val="en-US" w:eastAsia="zh-CN"/>
              </w:rPr>
              <w:t>7.7</w:t>
            </w: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 xml:space="preserve"> Penetrating trauma: </w:t>
            </w:r>
            <w:r>
              <w:rPr>
                <w:rFonts w:hint="default" w:ascii="Times New Roman Regular" w:hAnsi="Times New Roman Regular" w:cs="Times New Roman Regular"/>
                <w:sz w:val="24"/>
                <w:szCs w:val="24"/>
                <w:lang w:val="en-US"/>
              </w:rPr>
              <w:t>2.6</w:t>
            </w:r>
            <w:r>
              <w:rPr>
                <w:rFonts w:hint="default" w:ascii="Times New Roman Regular" w:hAnsi="Times New Roman Regular" w:cs="Times New Roman Regular"/>
                <w:sz w:val="24"/>
                <w:szCs w:val="24"/>
              </w:rPr>
              <w:t>%</w:t>
            </w:r>
          </w:p>
        </w:tc>
        <w:tc>
          <w:tcPr>
            <w:tcW w:w="1752" w:type="dxa"/>
            <w:vAlign w:val="top"/>
          </w:tcPr>
          <w:p w14:paraId="2D40BF3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ROSC in ED: 16%;</w:t>
            </w:r>
          </w:p>
          <w:p w14:paraId="43D73DB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30-day survival: </w:t>
            </w:r>
            <w:r>
              <w:rPr>
                <w:rFonts w:hint="default" w:ascii="Times New Roman Regular" w:hAnsi="Times New Roman Regular" w:cs="Times New Roman Regular"/>
                <w:sz w:val="24"/>
                <w:szCs w:val="24"/>
                <w:lang w:val="en-US"/>
              </w:rPr>
              <w:t>2.2</w:t>
            </w:r>
            <w:r>
              <w:rPr>
                <w:rFonts w:hint="default" w:ascii="Times New Roman Regular" w:hAnsi="Times New Roman Regular" w:cs="Times New Roman Regular"/>
                <w:sz w:val="24"/>
                <w:szCs w:val="24"/>
              </w:rPr>
              <w:t>%</w:t>
            </w:r>
          </w:p>
        </w:tc>
      </w:tr>
      <w:tr w14:paraId="732C99DE">
        <w:tc>
          <w:tcPr>
            <w:tcW w:w="1954" w:type="dxa"/>
            <w:vAlign w:val="top"/>
          </w:tcPr>
          <w:p w14:paraId="15A2E2F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Tsutsumi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"http://dx.doi.org/10.1016/j.injury.2017.09.005"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10.1016/j.injury.2017.09.005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10E7825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704864F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825" w:type="dxa"/>
            <w:vAlign w:val="top"/>
          </w:tcPr>
          <w:p w14:paraId="0A34CD9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tc>
        <w:tc>
          <w:tcPr>
            <w:tcW w:w="989" w:type="dxa"/>
            <w:vAlign w:val="top"/>
          </w:tcPr>
          <w:p w14:paraId="701ADC7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4,313</w:t>
            </w:r>
          </w:p>
        </w:tc>
        <w:tc>
          <w:tcPr>
            <w:tcW w:w="1258" w:type="dxa"/>
            <w:vAlign w:val="top"/>
          </w:tcPr>
          <w:p w14:paraId="086E39C0">
            <w:pPr>
              <w:pStyle w:val="12"/>
              <w:ind w:left="0" w:leftChars="0"/>
              <w:rPr>
                <w:rFonts w:hint="default" w:ascii="Times New Roman Regular" w:hAnsi="Times New Roman Regular" w:eastAsia="等线" w:cs="Times New Roman Regular"/>
                <w:sz w:val="24"/>
                <w:szCs w:val="24"/>
                <w:lang w:eastAsia="zh-CN"/>
              </w:rPr>
            </w:pPr>
            <w:r>
              <w:rPr>
                <w:rFonts w:hint="default" w:ascii="Times New Roman Regular" w:hAnsi="Times New Roman Regular" w:cs="Times New Roman Regular"/>
                <w:sz w:val="24"/>
                <w:szCs w:val="24"/>
              </w:rPr>
              <w:t>-</w:t>
            </w:r>
          </w:p>
        </w:tc>
        <w:tc>
          <w:tcPr>
            <w:tcW w:w="1825" w:type="dxa"/>
            <w:vAlign w:val="top"/>
          </w:tcPr>
          <w:p w14:paraId="7C0D1A6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50.6 ± 20.1 (Immobilized group); 53.4 ± 20.7</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(Non-immobilized group)</w:t>
            </w:r>
          </w:p>
        </w:tc>
        <w:tc>
          <w:tcPr>
            <w:tcW w:w="959" w:type="dxa"/>
            <w:vAlign w:val="top"/>
          </w:tcPr>
          <w:p w14:paraId="7E282CB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67.4% (Immobilized group); 66.1% (Non-immobilized group)</w:t>
            </w:r>
          </w:p>
        </w:tc>
        <w:tc>
          <w:tcPr>
            <w:tcW w:w="1687" w:type="dxa"/>
            <w:vAlign w:val="top"/>
          </w:tcPr>
          <w:p w14:paraId="119F71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trauma (all): Motor vehicle crash (12.9% vs.14.7%), motorcycle crash (12.5% vs.8.1%), fall from height (42.6% vs.36.2%)</w:t>
            </w:r>
          </w:p>
        </w:tc>
        <w:tc>
          <w:tcPr>
            <w:tcW w:w="1752" w:type="dxa"/>
            <w:vAlign w:val="top"/>
          </w:tcPr>
          <w:p w14:paraId="57E46D2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Survival to discharge: 1.8% (Immobilized group) vs. 3.7% (Non-immobilized group);</w:t>
            </w:r>
          </w:p>
          <w:p w14:paraId="0053C5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ROSC by admission: 25.0% vs. 41.9%</w:t>
            </w:r>
          </w:p>
        </w:tc>
      </w:tr>
      <w:tr w14:paraId="77D3A402">
        <w:tc>
          <w:tcPr>
            <w:tcW w:w="1954" w:type="dxa"/>
            <w:vAlign w:val="top"/>
          </w:tcPr>
          <w:p w14:paraId="21FF1B7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Obara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"https://doi.org/10.1016/j.resplu.2024.100701"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10.1016/j.resplu.2024.100701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vAlign w:val="top"/>
          </w:tcPr>
          <w:p w14:paraId="1E8FE09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402" w:type="dxa"/>
            <w:vAlign w:val="top"/>
          </w:tcPr>
          <w:p w14:paraId="106C972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825" w:type="dxa"/>
            <w:vAlign w:val="top"/>
          </w:tcPr>
          <w:p w14:paraId="60184C3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2021</w:t>
            </w:r>
          </w:p>
        </w:tc>
        <w:tc>
          <w:tcPr>
            <w:tcW w:w="989" w:type="dxa"/>
            <w:vAlign w:val="top"/>
          </w:tcPr>
          <w:p w14:paraId="01432FE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1,981</w:t>
            </w:r>
          </w:p>
        </w:tc>
        <w:tc>
          <w:tcPr>
            <w:tcW w:w="1258" w:type="dxa"/>
            <w:vAlign w:val="top"/>
          </w:tcPr>
          <w:p w14:paraId="786B4467">
            <w:pPr>
              <w:pStyle w:val="12"/>
              <w:ind w:left="0" w:leftChars="0"/>
              <w:rPr>
                <w:rFonts w:hint="default" w:ascii="Times New Roman Regular" w:hAnsi="Times New Roman Regular" w:eastAsia="等线" w:cs="Times New Roman Regular"/>
                <w:sz w:val="24"/>
                <w:szCs w:val="24"/>
                <w:lang w:eastAsia="zh-CN"/>
              </w:rPr>
            </w:pPr>
            <w:r>
              <w:rPr>
                <w:rFonts w:hint="default" w:ascii="Times New Roman Regular" w:hAnsi="Times New Roman Regular" w:cs="Times New Roman Regular"/>
                <w:sz w:val="24"/>
                <w:szCs w:val="24"/>
              </w:rPr>
              <w:t>-</w:t>
            </w:r>
          </w:p>
        </w:tc>
        <w:tc>
          <w:tcPr>
            <w:tcW w:w="1825" w:type="dxa"/>
            <w:vAlign w:val="top"/>
          </w:tcPr>
          <w:p w14:paraId="69B1F46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60.0 [41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80] (With SOLs group); 55.4 [38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75] (Without SOLs group)</w:t>
            </w:r>
          </w:p>
        </w:tc>
        <w:tc>
          <w:tcPr>
            <w:tcW w:w="959" w:type="dxa"/>
            <w:vAlign w:val="top"/>
          </w:tcPr>
          <w:p w14:paraId="1033210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66.7% (With SOLs group); 65.0% (Without SOLs group)</w:t>
            </w:r>
          </w:p>
        </w:tc>
        <w:tc>
          <w:tcPr>
            <w:tcW w:w="1687" w:type="dxa"/>
            <w:vAlign w:val="top"/>
          </w:tcPr>
          <w:p w14:paraId="2DEEC6A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trauma: 81.1% (With SOLs group); 84.5% (Without SOLs group); Penetrating trauma: 9.0% (With SOLs group); 4.7% (Without SOLs group)</w:t>
            </w:r>
          </w:p>
        </w:tc>
        <w:tc>
          <w:tcPr>
            <w:tcW w:w="1752" w:type="dxa"/>
            <w:vAlign w:val="top"/>
          </w:tcPr>
          <w:p w14:paraId="1856295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Survival to discharge: 8.8% (With SOLs group) vs. 1.3% (Without SOLs group);</w:t>
            </w:r>
          </w:p>
          <w:p w14:paraId="5797389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Favorable neurological outcome (GOS 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5): 3.5% vs. 0.3%</w:t>
            </w:r>
          </w:p>
        </w:tc>
      </w:tr>
      <w:tr w14:paraId="3D416F0C">
        <w:tc>
          <w:tcPr>
            <w:tcW w:w="1954" w:type="dxa"/>
            <w:tcBorders>
              <w:bottom w:val="single" w:color="auto" w:sz="4" w:space="0"/>
            </w:tcBorders>
            <w:vAlign w:val="top"/>
          </w:tcPr>
          <w:p w14:paraId="17B9E43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Naito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"https://doi.org/10.1186/s12873-021-00499-z"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10.1186/s12873-021-00499-z</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547" w:type="dxa"/>
            <w:tcBorders>
              <w:bottom w:val="single" w:color="auto" w:sz="4" w:space="0"/>
            </w:tcBorders>
            <w:vAlign w:val="top"/>
          </w:tcPr>
          <w:p w14:paraId="174DDE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 (nationwide)</w:t>
            </w:r>
          </w:p>
        </w:tc>
        <w:tc>
          <w:tcPr>
            <w:tcW w:w="1402" w:type="dxa"/>
            <w:tcBorders>
              <w:bottom w:val="single" w:color="auto" w:sz="4" w:space="0"/>
            </w:tcBorders>
            <w:vAlign w:val="top"/>
          </w:tcPr>
          <w:p w14:paraId="58BCB94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825" w:type="dxa"/>
            <w:tcBorders>
              <w:bottom w:val="single" w:color="auto" w:sz="4" w:space="0"/>
            </w:tcBorders>
            <w:vAlign w:val="top"/>
          </w:tcPr>
          <w:p w14:paraId="28084F6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2017</w:t>
            </w:r>
          </w:p>
        </w:tc>
        <w:tc>
          <w:tcPr>
            <w:tcW w:w="989" w:type="dxa"/>
            <w:tcBorders>
              <w:bottom w:val="single" w:color="auto" w:sz="4" w:space="0"/>
            </w:tcBorders>
            <w:vAlign w:val="top"/>
          </w:tcPr>
          <w:p w14:paraId="5669A37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5336 (all TCA with prehospital CPR); 4141 (sustained TCA, no prehospital ROSC)</w:t>
            </w:r>
          </w:p>
        </w:tc>
        <w:tc>
          <w:tcPr>
            <w:tcW w:w="1258" w:type="dxa"/>
            <w:tcBorders>
              <w:bottom w:val="single" w:color="auto" w:sz="4" w:space="0"/>
            </w:tcBorders>
            <w:vAlign w:val="top"/>
          </w:tcPr>
          <w:p w14:paraId="3A6463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explicitly reported</w:t>
            </w:r>
          </w:p>
        </w:tc>
        <w:tc>
          <w:tcPr>
            <w:tcW w:w="1825" w:type="dxa"/>
            <w:tcBorders>
              <w:bottom w:val="single" w:color="auto" w:sz="4" w:space="0"/>
            </w:tcBorders>
            <w:vAlign w:val="top"/>
          </w:tcPr>
          <w:p w14:paraId="7A566FC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Median: 53 (IQR 36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70) for all TCA</w:t>
            </w:r>
          </w:p>
        </w:tc>
        <w:tc>
          <w:tcPr>
            <w:tcW w:w="959" w:type="dxa"/>
            <w:tcBorders>
              <w:bottom w:val="single" w:color="auto" w:sz="4" w:space="0"/>
            </w:tcBorders>
            <w:vAlign w:val="top"/>
          </w:tcPr>
          <w:p w14:paraId="00C7EC1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67.2%</w:t>
            </w:r>
          </w:p>
        </w:tc>
        <w:tc>
          <w:tcPr>
            <w:tcW w:w="1687" w:type="dxa"/>
            <w:tcBorders>
              <w:bottom w:val="single" w:color="auto" w:sz="4" w:space="0"/>
            </w:tcBorders>
            <w:vAlign w:val="top"/>
          </w:tcPr>
          <w:p w14:paraId="593DF78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Blunt trauma: 94.5%</w:t>
            </w:r>
          </w:p>
          <w:p w14:paraId="50AFF8E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Penetrating trauma: 5.5%</w:t>
            </w:r>
          </w:p>
          <w:p w14:paraId="30399F4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Most common cause: Accident (53.3%)</w:t>
            </w:r>
          </w:p>
        </w:tc>
        <w:tc>
          <w:tcPr>
            <w:tcW w:w="1752" w:type="dxa"/>
            <w:tcBorders>
              <w:bottom w:val="single" w:color="auto" w:sz="4" w:space="0"/>
            </w:tcBorders>
            <w:vAlign w:val="top"/>
          </w:tcPr>
          <w:p w14:paraId="0FA68D99">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survival to discharge: 4.5%</w:t>
            </w:r>
          </w:p>
          <w:p w14:paraId="31F660D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of sustained TCA: 1.2%</w:t>
            </w:r>
          </w:p>
          <w:p w14:paraId="566C2D5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of sustained TCA declined rapidly after 15 min of transport time (survival &lt;1%)</w:t>
            </w:r>
          </w:p>
        </w:tc>
      </w:tr>
    </w:tbl>
    <w:p w14:paraId="740501DA">
      <w:pPr>
        <w:rPr>
          <w:rFonts w:hint="default" w:ascii="Times New Roman Regular" w:hAnsi="Times New Roman Regular" w:cs="Times New Roman Regular" w:eastAsiaTheme="minorEastAsia"/>
          <w:b/>
          <w:bCs/>
          <w:sz w:val="24"/>
          <w:szCs w:val="24"/>
          <w:lang w:val="en-US" w:eastAsia="zh-CN" w:bidi="ar-SA"/>
        </w:rPr>
      </w:pPr>
      <w:r>
        <w:rPr>
          <w:rFonts w:hint="default" w:ascii="Times New Roman Regular" w:hAnsi="Times New Roman Regular" w:cs="Times New Roman Regular"/>
          <w:sz w:val="24"/>
          <w:szCs w:val="24"/>
        </w:rPr>
        <w:t>Study period reflects the years during which patient cases were enrolled.</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Incidence is as reported in the original study, given as cases per 100,000 population/year or as a percentage of total cardiac arrests/trauma cases, as applicable.</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Age and sex statistics are presented per study, using median [IQR], mean ± SD, or as otherwise indicated.</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Injury mechanism (blunt vs. penetrating) is based on the classification adopted by each study; further injury type details are provided where available. Key outcomes include, but are not limited to, rates of ROSC, survival to hospital admission or discharge, and favorable neurological outcome, reported according to the definitions and time points used in each original study.</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Where possible, data are stratified by age group, sex, injury mechanism, or other clinically relevant subgroups.</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Only peer-reviewed studies primarily reporting on the epidemiology of TCA</w:t>
      </w:r>
      <w:r>
        <w:rPr>
          <w:rFonts w:hint="default"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including incidence, demographics, injury mechanisms, and outcomes</w:t>
      </w:r>
      <w:r>
        <w:rPr>
          <w:rFonts w:hint="default"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were included. Intervention-focused or animal/basic studies were excluded.</w:t>
      </w:r>
      <w:r>
        <w:rPr>
          <w:rFonts w:hint="default" w:ascii="Times New Roman Regular" w:hAnsi="Times New Roman Regular" w:cs="Times New Roman Regular"/>
          <w:sz w:val="24"/>
          <w:szCs w:val="24"/>
          <w:lang w:val="en-US" w:eastAsia="zh-CN"/>
        </w:rPr>
        <w:t xml:space="preserve"> TCA, traumatic cardiac arrest; ROSC, return of spontaneous circulation; OHCA, out-of-hospital cardiac arrest; RTA, road traffic accident; FFH, fall from height; ED, emergency department; EMS, emergency medical services; ISS, Injury Severity Score; </w:t>
      </w:r>
      <w:r>
        <w:rPr>
          <w:rFonts w:hint="eastAsia" w:ascii="Times New Roman Regular" w:hAnsi="Times New Roman Regular" w:cs="Times New Roman Regular"/>
          <w:sz w:val="24"/>
          <w:szCs w:val="24"/>
          <w:lang w:val="en-US" w:eastAsia="zh-CN"/>
        </w:rPr>
        <w:t>SD</w:t>
      </w:r>
      <w:r>
        <w:rPr>
          <w:rFonts w:hint="default" w:ascii="Times New Roman Regular" w:hAnsi="Times New Roman Regular" w:cs="Times New Roman Regular"/>
          <w:sz w:val="24"/>
          <w:szCs w:val="24"/>
          <w:lang w:val="en-US" w:eastAsia="zh-CN"/>
        </w:rPr>
        <w:t>, standard d</w:t>
      </w:r>
      <w:r>
        <w:rPr>
          <w:rFonts w:hint="eastAsia" w:ascii="Times New Roman Regular" w:hAnsi="Times New Roman Regular" w:cs="Times New Roman Regular"/>
          <w:sz w:val="24"/>
          <w:szCs w:val="24"/>
          <w:lang w:val="en-US" w:eastAsia="zh-CN"/>
        </w:rPr>
        <w:t>eviation</w:t>
      </w:r>
      <w:r>
        <w:rPr>
          <w:rFonts w:hint="default" w:ascii="Times New Roman Regular" w:hAnsi="Times New Roman Regular" w:cs="Times New Roman Regular"/>
          <w:sz w:val="24"/>
          <w:szCs w:val="24"/>
          <w:lang w:val="en-US" w:eastAsia="zh-CN"/>
        </w:rPr>
        <w:t>; CPC, cerebral performance category; GOS, Glasgow Outcome Scale; MTC, major trauma center; PEA, pulseless electrical activity; SOL, signs of life; IQR, interquartile range; SD, standard deviation.</w:t>
      </w:r>
    </w:p>
    <w:p w14:paraId="33329D68">
      <w:pPr>
        <w:rPr>
          <w:rFonts w:hint="default" w:ascii="Times New Roman Regular" w:hAnsi="Times New Roman Regular" w:eastAsia="DengXian" w:cs="Times New Roman Regular"/>
          <w:b/>
          <w:bCs/>
          <w:sz w:val="24"/>
          <w:szCs w:val="24"/>
          <w:lang w:val="en-US" w:eastAsia="zh-CN" w:bidi="ar-SA"/>
        </w:rPr>
      </w:pPr>
    </w:p>
    <w:p w14:paraId="750D2607">
      <w:pPr>
        <w:rPr>
          <w:rFonts w:hint="default" w:ascii="Times New Roman Regular" w:hAnsi="Times New Roman Regular" w:eastAsia="DengXian" w:cs="Times New Roman Regular"/>
          <w:b/>
          <w:bCs/>
          <w:sz w:val="24"/>
          <w:szCs w:val="24"/>
          <w:lang w:val="en-US" w:eastAsia="zh-CN" w:bidi="ar-SA"/>
        </w:rPr>
      </w:pPr>
    </w:p>
    <w:p w14:paraId="483219C3">
      <w:pPr>
        <w:rPr>
          <w:rFonts w:hint="default" w:ascii="Times New Roman Regular" w:hAnsi="Times New Roman Regular" w:eastAsia="DengXian" w:cs="Times New Roman Regular"/>
          <w:b/>
          <w:bCs/>
          <w:sz w:val="24"/>
          <w:szCs w:val="24"/>
          <w:lang w:val="en-US" w:eastAsia="zh-CN" w:bidi="ar-SA"/>
        </w:rPr>
      </w:pPr>
    </w:p>
    <w:p w14:paraId="42650DEB">
      <w:pPr>
        <w:rPr>
          <w:rFonts w:hint="default" w:ascii="Times New Roman Regular" w:hAnsi="Times New Roman Regular" w:eastAsia="DengXian" w:cs="Times New Roman Regular"/>
          <w:b/>
          <w:bCs/>
          <w:sz w:val="24"/>
          <w:szCs w:val="24"/>
          <w:lang w:val="en-US" w:eastAsia="zh-CN" w:bidi="ar-SA"/>
        </w:rPr>
      </w:pPr>
    </w:p>
    <w:p w14:paraId="2EB3CE21">
      <w:pPr>
        <w:pStyle w:val="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e</w:t>
      </w:r>
      <w:r>
        <w:rPr>
          <w:rFonts w:hint="default" w:ascii="Times New Roman Regular" w:hAnsi="Times New Roman Regular" w:cs="Times New Roman Regular"/>
          <w:sz w:val="24"/>
          <w:szCs w:val="24"/>
        </w:rPr>
        <w:t xml:space="preserve">Table </w:t>
      </w:r>
      <w:r>
        <w:rPr>
          <w:rFonts w:hint="default" w:ascii="Times New Roman Regular" w:hAnsi="Times New Roman Regular" w:cs="Times New Roman Regular"/>
          <w:sz w:val="24"/>
          <w:szCs w:val="24"/>
          <w:lang w:val="en-US" w:eastAsia="zh-CN"/>
        </w:rPr>
        <w:t>2</w:t>
      </w:r>
      <w:r>
        <w:rPr>
          <w:rFonts w:hint="default" w:ascii="Times New Roman Regular" w:hAnsi="Times New Roman Regular" w:cs="Times New Roman Regular"/>
          <w:sz w:val="24"/>
          <w:szCs w:val="24"/>
        </w:rPr>
        <w:t>: Rates of return of spontaneous circulation (ROSC) and survival from clinical studies on traumatic cardiac arrest</w:t>
      </w:r>
    </w:p>
    <w:tbl>
      <w:tblPr>
        <w:tblStyle w:val="8"/>
        <w:tblW w:w="0" w:type="auto"/>
        <w:tblInd w:w="0" w:type="dxa"/>
        <w:tblLayout w:type="fixed"/>
        <w:tblCellMar>
          <w:top w:w="0" w:type="dxa"/>
          <w:left w:w="10" w:type="dxa"/>
          <w:bottom w:w="0" w:type="dxa"/>
          <w:right w:w="10" w:type="dxa"/>
        </w:tblCellMar>
      </w:tblPr>
      <w:tblGrid>
        <w:gridCol w:w="3032"/>
        <w:gridCol w:w="1811"/>
        <w:gridCol w:w="2216"/>
        <w:gridCol w:w="4433"/>
        <w:gridCol w:w="2595"/>
      </w:tblGrid>
      <w:tr w14:paraId="6A66F199">
        <w:tc>
          <w:tcPr>
            <w:tcW w:w="3032" w:type="dxa"/>
            <w:tcBorders>
              <w:top w:val="single" w:color="auto" w:sz="4" w:space="0"/>
              <w:bottom w:val="single" w:color="auto" w:sz="4" w:space="0"/>
            </w:tcBorders>
            <w:tcMar>
              <w:top w:w="60" w:type="dxa"/>
              <w:left w:w="120" w:type="dxa"/>
              <w:bottom w:w="30" w:type="dxa"/>
              <w:right w:w="120" w:type="dxa"/>
            </w:tcMar>
          </w:tcPr>
          <w:p w14:paraId="109F7D8E">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Author (doi)</w:t>
            </w:r>
          </w:p>
        </w:tc>
        <w:tc>
          <w:tcPr>
            <w:tcW w:w="1811" w:type="dxa"/>
            <w:tcBorders>
              <w:top w:val="single" w:color="auto" w:sz="4" w:space="0"/>
              <w:bottom w:val="single" w:color="auto" w:sz="4" w:space="0"/>
            </w:tcBorders>
            <w:tcMar>
              <w:top w:w="60" w:type="dxa"/>
              <w:left w:w="120" w:type="dxa"/>
              <w:bottom w:w="30" w:type="dxa"/>
              <w:right w:w="120" w:type="dxa"/>
            </w:tcMar>
          </w:tcPr>
          <w:p w14:paraId="6ED057B9">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Sample size</w:t>
            </w:r>
          </w:p>
        </w:tc>
        <w:tc>
          <w:tcPr>
            <w:tcW w:w="2216" w:type="dxa"/>
            <w:tcBorders>
              <w:top w:val="single" w:color="auto" w:sz="4" w:space="0"/>
              <w:bottom w:val="single" w:color="auto" w:sz="4" w:space="0"/>
            </w:tcBorders>
            <w:tcMar>
              <w:top w:w="60" w:type="dxa"/>
              <w:left w:w="120" w:type="dxa"/>
              <w:bottom w:w="30" w:type="dxa"/>
              <w:right w:w="120" w:type="dxa"/>
            </w:tcMar>
          </w:tcPr>
          <w:p w14:paraId="3E88CC6A">
            <w:pPr>
              <w:pStyle w:val="12"/>
              <w:rPr>
                <w:rFonts w:hint="default" w:ascii="Times New Roman Regular" w:hAnsi="Times New Roman Regular" w:cs="Times New Roman Regular"/>
                <w:b/>
                <w:bCs/>
                <w:sz w:val="24"/>
                <w:szCs w:val="24"/>
              </w:rPr>
            </w:pPr>
            <w:r>
              <w:rPr>
                <w:rFonts w:hint="eastAsia" w:ascii="Times New Roman Regular" w:hAnsi="Times New Roman Regular" w:cs="Times New Roman Regular"/>
                <w:b/>
                <w:bCs/>
                <w:sz w:val="24"/>
                <w:szCs w:val="24"/>
                <w:lang w:val="en-US" w:eastAsia="zh-CN"/>
              </w:rPr>
              <w:t>Country/</w:t>
            </w:r>
            <w:r>
              <w:rPr>
                <w:rFonts w:hint="default" w:ascii="Times New Roman Regular" w:hAnsi="Times New Roman Regular" w:cs="Times New Roman Regular"/>
                <w:b/>
                <w:bCs/>
                <w:sz w:val="24"/>
                <w:szCs w:val="24"/>
              </w:rPr>
              <w:t>Region</w:t>
            </w:r>
          </w:p>
        </w:tc>
        <w:tc>
          <w:tcPr>
            <w:tcW w:w="4433" w:type="dxa"/>
            <w:tcBorders>
              <w:top w:val="single" w:color="auto" w:sz="4" w:space="0"/>
              <w:bottom w:val="single" w:color="auto" w:sz="4" w:space="0"/>
            </w:tcBorders>
            <w:tcMar>
              <w:top w:w="60" w:type="dxa"/>
              <w:left w:w="120" w:type="dxa"/>
              <w:bottom w:w="30" w:type="dxa"/>
              <w:right w:w="120" w:type="dxa"/>
            </w:tcMar>
          </w:tcPr>
          <w:p w14:paraId="0C9FEB41">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 xml:space="preserve">ROSC and/or </w:t>
            </w:r>
            <w:r>
              <w:rPr>
                <w:rFonts w:hint="default" w:ascii="Times New Roman Regular" w:hAnsi="Times New Roman Regular" w:cs="Times New Roman Regular"/>
                <w:b/>
                <w:bCs/>
                <w:sz w:val="24"/>
                <w:szCs w:val="24"/>
                <w:lang w:val="en-US" w:eastAsia="zh-CN"/>
              </w:rPr>
              <w:t>s</w:t>
            </w:r>
            <w:r>
              <w:rPr>
                <w:rFonts w:hint="default" w:ascii="Times New Roman Regular" w:hAnsi="Times New Roman Regular" w:cs="Times New Roman Regular"/>
                <w:b/>
                <w:bCs/>
                <w:sz w:val="24"/>
                <w:szCs w:val="24"/>
              </w:rPr>
              <w:t>urvival</w:t>
            </w:r>
          </w:p>
        </w:tc>
        <w:tc>
          <w:tcPr>
            <w:tcW w:w="2595" w:type="dxa"/>
            <w:tcBorders>
              <w:top w:val="single" w:color="auto" w:sz="4" w:space="0"/>
              <w:bottom w:val="single" w:color="auto" w:sz="4" w:space="0"/>
            </w:tcBorders>
            <w:tcMar>
              <w:top w:w="60" w:type="dxa"/>
              <w:left w:w="120" w:type="dxa"/>
              <w:bottom w:w="30" w:type="dxa"/>
              <w:right w:w="120" w:type="dxa"/>
            </w:tcMar>
          </w:tcPr>
          <w:p w14:paraId="78B32159">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Study type</w:t>
            </w:r>
          </w:p>
        </w:tc>
      </w:tr>
      <w:tr w14:paraId="043D8B4D">
        <w:tc>
          <w:tcPr>
            <w:tcW w:w="3032" w:type="dxa"/>
            <w:tcBorders>
              <w:top w:val="single" w:color="auto" w:sz="4" w:space="0"/>
            </w:tcBorders>
            <w:tcMar>
              <w:top w:w="60" w:type="dxa"/>
              <w:left w:w="120" w:type="dxa"/>
              <w:bottom w:w="30" w:type="dxa"/>
              <w:right w:w="120" w:type="dxa"/>
            </w:tcMar>
          </w:tcPr>
          <w:p w14:paraId="236F8A0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Benhamed 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"https://doi.org/10.1016/j.resuscitation.2023.109763"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10.1016/j.resuscitation.2023.109763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Borders>
              <w:top w:val="single" w:color="auto" w:sz="4" w:space="0"/>
            </w:tcBorders>
            <w:tcMar>
              <w:top w:w="60" w:type="dxa"/>
              <w:left w:w="120" w:type="dxa"/>
              <w:bottom w:w="30" w:type="dxa"/>
              <w:right w:w="120" w:type="dxa"/>
            </w:tcMar>
          </w:tcPr>
          <w:p w14:paraId="437298E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4,980</w:t>
            </w:r>
          </w:p>
        </w:tc>
        <w:tc>
          <w:tcPr>
            <w:tcW w:w="2216" w:type="dxa"/>
            <w:tcBorders>
              <w:top w:val="single" w:color="auto" w:sz="4" w:space="0"/>
            </w:tcBorders>
            <w:tcMar>
              <w:top w:w="60" w:type="dxa"/>
              <w:left w:w="120" w:type="dxa"/>
              <w:bottom w:w="30" w:type="dxa"/>
              <w:right w:w="120" w:type="dxa"/>
            </w:tcMar>
          </w:tcPr>
          <w:p w14:paraId="6541BBA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4433" w:type="dxa"/>
            <w:tcBorders>
              <w:top w:val="single" w:color="auto" w:sz="4" w:space="0"/>
            </w:tcBorders>
            <w:tcMar>
              <w:top w:w="60" w:type="dxa"/>
              <w:left w:w="120" w:type="dxa"/>
              <w:bottom w:w="30" w:type="dxa"/>
              <w:right w:w="120" w:type="dxa"/>
            </w:tcMar>
          </w:tcPr>
          <w:p w14:paraId="3F37532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ROSC: 22.4% (pre-guideline) vs. 20.2% (post-guideline), p=0.07</w:t>
            </w:r>
          </w:p>
          <w:p w14:paraId="3391569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1.4% (pre-guideline) vs. 1.4% (post-guideline), p=0.87</w:t>
            </w:r>
          </w:p>
          <w:p w14:paraId="26DD617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Good neurological outcome (CPC 1-2): 71.4% (pre-guideline) vs. 66.7% (post-guideline), p=0.93</w:t>
            </w:r>
          </w:p>
        </w:tc>
        <w:tc>
          <w:tcPr>
            <w:tcW w:w="2595" w:type="dxa"/>
            <w:tcBorders>
              <w:top w:val="single" w:color="auto" w:sz="4" w:space="0"/>
            </w:tcBorders>
            <w:tcMar>
              <w:top w:w="60" w:type="dxa"/>
              <w:left w:w="120" w:type="dxa"/>
              <w:bottom w:w="30" w:type="dxa"/>
              <w:right w:w="120" w:type="dxa"/>
            </w:tcMar>
          </w:tcPr>
          <w:p w14:paraId="7A0232B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 (interrupted time-series analysis)</w:t>
            </w:r>
          </w:p>
        </w:tc>
      </w:tr>
      <w:tr w14:paraId="2A4F4F99">
        <w:tc>
          <w:tcPr>
            <w:tcW w:w="3032" w:type="dxa"/>
            <w:tcMar>
              <w:top w:w="60" w:type="dxa"/>
              <w:left w:w="120" w:type="dxa"/>
              <w:bottom w:w="30" w:type="dxa"/>
              <w:right w:w="120" w:type="dxa"/>
            </w:tcMar>
          </w:tcPr>
          <w:p w14:paraId="7F06DEA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Seewald 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"https://doi.org/10.1186/s12873-022-00714-5"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10.1186/s12873-022-00714-5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6A344AF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1,049</w:t>
            </w:r>
          </w:p>
        </w:tc>
        <w:tc>
          <w:tcPr>
            <w:tcW w:w="2216" w:type="dxa"/>
            <w:tcMar>
              <w:top w:w="60" w:type="dxa"/>
              <w:left w:w="120" w:type="dxa"/>
              <w:bottom w:w="30" w:type="dxa"/>
              <w:right w:w="120" w:type="dxa"/>
            </w:tcMar>
          </w:tcPr>
          <w:p w14:paraId="78F89A1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Germany</w:t>
            </w:r>
          </w:p>
        </w:tc>
        <w:tc>
          <w:tcPr>
            <w:tcW w:w="4433" w:type="dxa"/>
            <w:tcMar>
              <w:top w:w="60" w:type="dxa"/>
              <w:left w:w="120" w:type="dxa"/>
              <w:bottom w:w="30" w:type="dxa"/>
              <w:right w:w="120" w:type="dxa"/>
            </w:tcMar>
          </w:tcPr>
          <w:p w14:paraId="5A48F72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28.7%</w:t>
            </w:r>
          </w:p>
          <w:p w14:paraId="1757AD5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Hospital admission with ROSC: 22.9%</w:t>
            </w:r>
          </w:p>
          <w:p w14:paraId="43D6E99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5.0%</w:t>
            </w:r>
          </w:p>
          <w:p w14:paraId="27F49B6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Good neurological outcome (CPC 1-2) among survivors: 78.1%</w:t>
            </w:r>
          </w:p>
        </w:tc>
        <w:tc>
          <w:tcPr>
            <w:tcW w:w="2595" w:type="dxa"/>
            <w:tcMar>
              <w:top w:w="60" w:type="dxa"/>
              <w:left w:w="120" w:type="dxa"/>
              <w:bottom w:w="30" w:type="dxa"/>
              <w:right w:w="120" w:type="dxa"/>
            </w:tcMar>
          </w:tcPr>
          <w:p w14:paraId="33AD32D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05FA9F45">
        <w:tc>
          <w:tcPr>
            <w:tcW w:w="3032" w:type="dxa"/>
            <w:tcMar>
              <w:top w:w="60" w:type="dxa"/>
              <w:left w:w="120" w:type="dxa"/>
              <w:bottom w:w="30" w:type="dxa"/>
              <w:right w:w="120" w:type="dxa"/>
            </w:tcMar>
          </w:tcPr>
          <w:p w14:paraId="337A01B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Khalifa 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"https://doi.org/10.1016/j.ajem.2021.01.020"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10.1016/j.ajem.2021.01.020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2E862AC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24,191</w:t>
            </w:r>
          </w:p>
        </w:tc>
        <w:tc>
          <w:tcPr>
            <w:tcW w:w="2216" w:type="dxa"/>
            <w:tcMar>
              <w:top w:w="60" w:type="dxa"/>
              <w:left w:w="120" w:type="dxa"/>
              <w:bottom w:w="30" w:type="dxa"/>
              <w:right w:w="120" w:type="dxa"/>
            </w:tcMar>
          </w:tcPr>
          <w:p w14:paraId="18B56E1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United States</w:t>
            </w:r>
          </w:p>
        </w:tc>
        <w:tc>
          <w:tcPr>
            <w:tcW w:w="4433" w:type="dxa"/>
            <w:tcMar>
              <w:top w:w="60" w:type="dxa"/>
              <w:left w:w="120" w:type="dxa"/>
              <w:bottom w:w="30" w:type="dxa"/>
              <w:right w:w="120" w:type="dxa"/>
            </w:tcMar>
          </w:tcPr>
          <w:p w14:paraId="420F287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survival: 1.0%</w:t>
            </w:r>
          </w:p>
          <w:p w14:paraId="617E773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home discharge: 0.3%</w:t>
            </w:r>
          </w:p>
          <w:p w14:paraId="57CBED7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among resuscitation responders: 30.3%</w:t>
            </w:r>
          </w:p>
          <w:p w14:paraId="3313C71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Not separately reported</w:t>
            </w:r>
          </w:p>
        </w:tc>
        <w:tc>
          <w:tcPr>
            <w:tcW w:w="2595" w:type="dxa"/>
            <w:tcMar>
              <w:top w:w="60" w:type="dxa"/>
              <w:left w:w="120" w:type="dxa"/>
              <w:bottom w:w="30" w:type="dxa"/>
              <w:right w:w="120" w:type="dxa"/>
            </w:tcMar>
          </w:tcPr>
          <w:p w14:paraId="0111CD1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44D32787">
        <w:tc>
          <w:tcPr>
            <w:tcW w:w="3032" w:type="dxa"/>
            <w:tcMar>
              <w:top w:w="60" w:type="dxa"/>
              <w:left w:w="120" w:type="dxa"/>
              <w:bottom w:w="30" w:type="dxa"/>
              <w:right w:w="120" w:type="dxa"/>
            </w:tcMar>
          </w:tcPr>
          <w:p w14:paraId="366C7DC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Irfan FB et al. (10.1016/j.ijcard.2017.03.134)</w:t>
            </w:r>
          </w:p>
        </w:tc>
        <w:tc>
          <w:tcPr>
            <w:tcW w:w="1811" w:type="dxa"/>
            <w:tcMar>
              <w:top w:w="60" w:type="dxa"/>
              <w:left w:w="120" w:type="dxa"/>
              <w:bottom w:w="30" w:type="dxa"/>
              <w:right w:w="120" w:type="dxa"/>
            </w:tcMar>
          </w:tcPr>
          <w:p w14:paraId="07F7375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410</w:t>
            </w:r>
          </w:p>
        </w:tc>
        <w:tc>
          <w:tcPr>
            <w:tcW w:w="2216" w:type="dxa"/>
            <w:tcMar>
              <w:top w:w="60" w:type="dxa"/>
              <w:left w:w="120" w:type="dxa"/>
              <w:bottom w:w="30" w:type="dxa"/>
              <w:right w:w="120" w:type="dxa"/>
            </w:tcMar>
          </w:tcPr>
          <w:p w14:paraId="1D0D4A4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Qatar</w:t>
            </w:r>
          </w:p>
        </w:tc>
        <w:tc>
          <w:tcPr>
            <w:tcW w:w="4433" w:type="dxa"/>
            <w:tcMar>
              <w:top w:w="60" w:type="dxa"/>
              <w:left w:w="120" w:type="dxa"/>
              <w:bottom w:w="30" w:type="dxa"/>
              <w:right w:w="120" w:type="dxa"/>
            </w:tcMar>
          </w:tcPr>
          <w:p w14:paraId="157F0CE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at ED admission: 14.9%</w:t>
            </w:r>
          </w:p>
          <w:p w14:paraId="561C830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2.4%</w:t>
            </w:r>
          </w:p>
        </w:tc>
        <w:tc>
          <w:tcPr>
            <w:tcW w:w="2595" w:type="dxa"/>
            <w:tcMar>
              <w:top w:w="60" w:type="dxa"/>
              <w:left w:w="120" w:type="dxa"/>
              <w:bottom w:w="30" w:type="dxa"/>
              <w:right w:w="120" w:type="dxa"/>
            </w:tcMar>
          </w:tcPr>
          <w:p w14:paraId="669AF9B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4003FF28">
        <w:tc>
          <w:tcPr>
            <w:tcW w:w="3032" w:type="dxa"/>
            <w:tcMar>
              <w:top w:w="60" w:type="dxa"/>
              <w:left w:w="120" w:type="dxa"/>
              <w:bottom w:w="30" w:type="dxa"/>
              <w:right w:w="120" w:type="dxa"/>
            </w:tcMar>
          </w:tcPr>
          <w:p w14:paraId="48D501D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Yamamoto R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"https://doi.org/10.1186/s13049-019-0657-8"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10.1186/s13049-019-0657-8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51A7D23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1,030</w:t>
            </w:r>
          </w:p>
        </w:tc>
        <w:tc>
          <w:tcPr>
            <w:tcW w:w="2216" w:type="dxa"/>
            <w:tcMar>
              <w:top w:w="60" w:type="dxa"/>
              <w:left w:w="120" w:type="dxa"/>
              <w:bottom w:w="30" w:type="dxa"/>
              <w:right w:w="120" w:type="dxa"/>
            </w:tcMar>
          </w:tcPr>
          <w:p w14:paraId="6B5991B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Mar>
              <w:top w:w="60" w:type="dxa"/>
              <w:left w:w="120" w:type="dxa"/>
              <w:bottom w:w="30" w:type="dxa"/>
              <w:right w:w="120" w:type="dxa"/>
            </w:tcMar>
          </w:tcPr>
          <w:p w14:paraId="454B1D4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- 7-day survival: 1.1% (epinephrine group) vs. 5.3% (no-epinephrine group), p&lt;0.01</w:t>
            </w:r>
          </w:p>
          <w:p w14:paraId="685250E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in hospital: 17.5% (epinephrine group) vs. 11.6% (no-epinephrine group), p=0.04</w:t>
            </w:r>
          </w:p>
        </w:tc>
        <w:tc>
          <w:tcPr>
            <w:tcW w:w="2595" w:type="dxa"/>
            <w:tcMar>
              <w:top w:w="60" w:type="dxa"/>
              <w:left w:w="120" w:type="dxa"/>
              <w:bottom w:w="30" w:type="dxa"/>
              <w:right w:w="120" w:type="dxa"/>
            </w:tcMar>
          </w:tcPr>
          <w:p w14:paraId="7EB6D87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Post-hoc analysis of prospective observational study</w:t>
            </w:r>
          </w:p>
        </w:tc>
      </w:tr>
      <w:tr w14:paraId="4D7C55F2">
        <w:tc>
          <w:tcPr>
            <w:tcW w:w="3032" w:type="dxa"/>
            <w:tcMar>
              <w:top w:w="60" w:type="dxa"/>
              <w:left w:w="120" w:type="dxa"/>
              <w:bottom w:w="30" w:type="dxa"/>
              <w:right w:w="120" w:type="dxa"/>
            </w:tcMar>
          </w:tcPr>
          <w:p w14:paraId="5DD8514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Morcel B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"https://doi.org/10.1016/j.resplu.2025.100981"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10.1016/j.resplu.2025.100981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6CDBC15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5,030</w:t>
            </w:r>
          </w:p>
        </w:tc>
        <w:tc>
          <w:tcPr>
            <w:tcW w:w="2216" w:type="dxa"/>
            <w:tcMar>
              <w:top w:w="60" w:type="dxa"/>
              <w:left w:w="120" w:type="dxa"/>
              <w:bottom w:w="30" w:type="dxa"/>
              <w:right w:w="120" w:type="dxa"/>
            </w:tcMar>
          </w:tcPr>
          <w:p w14:paraId="2D8A9C8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4433" w:type="dxa"/>
            <w:tcMar>
              <w:top w:w="60" w:type="dxa"/>
              <w:left w:w="120" w:type="dxa"/>
              <w:bottom w:w="30" w:type="dxa"/>
              <w:right w:w="120" w:type="dxa"/>
            </w:tcMar>
          </w:tcPr>
          <w:p w14:paraId="47CAC87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25.5% (children) vs. 20.6% (adults), p=0.02</w:t>
            </w:r>
          </w:p>
          <w:p w14:paraId="27C73DC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admission: 21.2% (children) vs. 14.7% (adults), p&lt;0.001</w:t>
            </w:r>
          </w:p>
          <w:p w14:paraId="41201D1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3.5% (children) vs. 1.6% (adults), p&lt;0.01</w:t>
            </w:r>
          </w:p>
          <w:p w14:paraId="7959A83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Good neurological outcome (CPC 1-2): 0.8% (children) vs. 0.9% (adults), p=0.80</w:t>
            </w:r>
          </w:p>
        </w:tc>
        <w:tc>
          <w:tcPr>
            <w:tcW w:w="2595" w:type="dxa"/>
            <w:tcMar>
              <w:top w:w="60" w:type="dxa"/>
              <w:left w:w="120" w:type="dxa"/>
              <w:bottom w:w="30" w:type="dxa"/>
              <w:right w:w="120" w:type="dxa"/>
            </w:tcMar>
          </w:tcPr>
          <w:p w14:paraId="196BE4B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1E034A9F">
        <w:tc>
          <w:tcPr>
            <w:tcW w:w="3032" w:type="dxa"/>
            <w:tcMar>
              <w:top w:w="60" w:type="dxa"/>
              <w:left w:w="120" w:type="dxa"/>
              <w:bottom w:w="30" w:type="dxa"/>
              <w:right w:w="120" w:type="dxa"/>
            </w:tcMar>
          </w:tcPr>
          <w:p w14:paraId="0583B07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Savary 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"https://doi.org/10.1016/j.resuscitation.2021.05.012"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10.1016/j.resuscitation.2021.05.012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0217B1B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287</w:t>
            </w:r>
          </w:p>
        </w:tc>
        <w:tc>
          <w:tcPr>
            <w:tcW w:w="2216" w:type="dxa"/>
            <w:tcMar>
              <w:top w:w="60" w:type="dxa"/>
              <w:left w:w="120" w:type="dxa"/>
              <w:bottom w:w="30" w:type="dxa"/>
              <w:right w:w="120" w:type="dxa"/>
            </w:tcMar>
          </w:tcPr>
          <w:p w14:paraId="226B878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4433" w:type="dxa"/>
            <w:tcMar>
              <w:top w:w="60" w:type="dxa"/>
              <w:left w:w="120" w:type="dxa"/>
              <w:bottom w:w="30" w:type="dxa"/>
              <w:right w:w="120" w:type="dxa"/>
            </w:tcMar>
          </w:tcPr>
          <w:p w14:paraId="3928EC9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28.95% (pre-guideline) vs. 28.09% (guideline period) vs. 24.59% (post-guideline)</w:t>
            </w:r>
          </w:p>
          <w:p w14:paraId="560312E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5.26% (pre-guideline) vs. 0% (guideline period) vs. 3.28% (post-guideline)</w:t>
            </w:r>
          </w:p>
          <w:p w14:paraId="22A4040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with good neurological status: 5.26% (pre-guideline) vs. 0% (guideline period) vs. 3.28% (post-guideline)</w:t>
            </w:r>
          </w:p>
        </w:tc>
        <w:tc>
          <w:tcPr>
            <w:tcW w:w="2595" w:type="dxa"/>
            <w:tcMar>
              <w:top w:w="60" w:type="dxa"/>
              <w:left w:w="120" w:type="dxa"/>
              <w:bottom w:w="30" w:type="dxa"/>
              <w:right w:w="120" w:type="dxa"/>
            </w:tcMar>
          </w:tcPr>
          <w:p w14:paraId="21DB969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152ECB86">
        <w:tc>
          <w:tcPr>
            <w:tcW w:w="3032" w:type="dxa"/>
            <w:tcMar>
              <w:top w:w="60" w:type="dxa"/>
              <w:left w:w="120" w:type="dxa"/>
              <w:bottom w:w="30" w:type="dxa"/>
              <w:right w:w="120" w:type="dxa"/>
            </w:tcMar>
          </w:tcPr>
          <w:p w14:paraId="570393B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Vianen NJ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"https://doi.org/10.1007/s00068-022-01941-y"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10.1007/s00068-022-01941-y</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2EF3DB1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51,722</w:t>
            </w:r>
          </w:p>
        </w:tc>
        <w:tc>
          <w:tcPr>
            <w:tcW w:w="2216" w:type="dxa"/>
            <w:tcMar>
              <w:top w:w="60" w:type="dxa"/>
              <w:left w:w="120" w:type="dxa"/>
              <w:bottom w:w="30" w:type="dxa"/>
              <w:right w:w="120" w:type="dxa"/>
            </w:tcMar>
          </w:tcPr>
          <w:p w14:paraId="32FCC84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Multinational (Europe, Asia, USA, Australia, etc.)</w:t>
            </w:r>
          </w:p>
        </w:tc>
        <w:tc>
          <w:tcPr>
            <w:tcW w:w="4433" w:type="dxa"/>
            <w:tcMar>
              <w:top w:w="60" w:type="dxa"/>
              <w:left w:w="120" w:type="dxa"/>
              <w:bottom w:w="30" w:type="dxa"/>
              <w:right w:w="120" w:type="dxa"/>
            </w:tcMar>
          </w:tcPr>
          <w:p w14:paraId="6ABA1C4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mortality: 96.2%</w:t>
            </w:r>
          </w:p>
          <w:p w14:paraId="283A6CE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 among survivors: 43.5%</w:t>
            </w:r>
          </w:p>
          <w:p w14:paraId="1CCA9B4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Mortality (including prehospital deaths): 97.2%; (excluding prehospital deaths): 92.3%</w:t>
            </w:r>
          </w:p>
          <w:p w14:paraId="4F7ED7A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Mortality (physician on-scene): 93.9%; (no physician on-scene): 97.6%</w:t>
            </w:r>
          </w:p>
        </w:tc>
        <w:tc>
          <w:tcPr>
            <w:tcW w:w="2595" w:type="dxa"/>
            <w:tcMar>
              <w:top w:w="60" w:type="dxa"/>
              <w:left w:w="120" w:type="dxa"/>
              <w:bottom w:w="30" w:type="dxa"/>
              <w:right w:w="120" w:type="dxa"/>
            </w:tcMar>
          </w:tcPr>
          <w:p w14:paraId="5C7CCAB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Systematic review and meta-analysis</w:t>
            </w:r>
          </w:p>
        </w:tc>
      </w:tr>
      <w:tr w14:paraId="5E16F0C2">
        <w:tc>
          <w:tcPr>
            <w:tcW w:w="3032" w:type="dxa"/>
            <w:tcMar>
              <w:top w:w="60" w:type="dxa"/>
              <w:left w:w="120" w:type="dxa"/>
              <w:bottom w:w="30" w:type="dxa"/>
              <w:right w:w="120" w:type="dxa"/>
            </w:tcMar>
          </w:tcPr>
          <w:p w14:paraId="67B737D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Irfan F B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"https://doi.org/10.1186/s12245-022-00454-0"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10.1186/s12245-022-00454-0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1C508AC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609 (410 OHTCA, 199 IHCAT)</w:t>
            </w:r>
          </w:p>
        </w:tc>
        <w:tc>
          <w:tcPr>
            <w:tcW w:w="2216" w:type="dxa"/>
            <w:tcMar>
              <w:top w:w="60" w:type="dxa"/>
              <w:left w:w="120" w:type="dxa"/>
              <w:bottom w:w="30" w:type="dxa"/>
              <w:right w:w="120" w:type="dxa"/>
            </w:tcMar>
          </w:tcPr>
          <w:p w14:paraId="29629D8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Qatar</w:t>
            </w:r>
          </w:p>
        </w:tc>
        <w:tc>
          <w:tcPr>
            <w:tcW w:w="4433" w:type="dxa"/>
            <w:tcMar>
              <w:top w:w="60" w:type="dxa"/>
              <w:left w:w="120" w:type="dxa"/>
              <w:bottom w:w="30" w:type="dxa"/>
              <w:right w:w="120" w:type="dxa"/>
            </w:tcMar>
          </w:tcPr>
          <w:p w14:paraId="54E1FF4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Not specified</w:t>
            </w:r>
          </w:p>
          <w:p w14:paraId="5266ADC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IHCAT 7.5%, OHTCA 2.4%</w:t>
            </w:r>
          </w:p>
        </w:tc>
        <w:tc>
          <w:tcPr>
            <w:tcW w:w="2595" w:type="dxa"/>
            <w:tcMar>
              <w:top w:w="60" w:type="dxa"/>
              <w:left w:w="120" w:type="dxa"/>
              <w:bottom w:w="30" w:type="dxa"/>
              <w:right w:w="120" w:type="dxa"/>
            </w:tcMar>
          </w:tcPr>
          <w:p w14:paraId="2A78440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331C1403">
        <w:tc>
          <w:tcPr>
            <w:tcW w:w="3032" w:type="dxa"/>
          </w:tcPr>
          <w:p w14:paraId="64C80D7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Wolthers S 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"https://doi.org/10.1097/MEJ.0000000000001108"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10.1097/MEJ.0000000000001108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3DC1429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223</w:t>
            </w:r>
          </w:p>
        </w:tc>
        <w:tc>
          <w:tcPr>
            <w:tcW w:w="2216" w:type="dxa"/>
          </w:tcPr>
          <w:p w14:paraId="120D54B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Denmark</w:t>
            </w:r>
          </w:p>
        </w:tc>
        <w:tc>
          <w:tcPr>
            <w:tcW w:w="4433" w:type="dxa"/>
          </w:tcPr>
          <w:p w14:paraId="66B26A8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ROSC: 23%</w:t>
            </w:r>
          </w:p>
          <w:p w14:paraId="78E30BC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rate: 4%</w:t>
            </w:r>
          </w:p>
        </w:tc>
        <w:tc>
          <w:tcPr>
            <w:tcW w:w="2595" w:type="dxa"/>
          </w:tcPr>
          <w:p w14:paraId="1520AB3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Population-based cohort study</w:t>
            </w:r>
          </w:p>
        </w:tc>
      </w:tr>
      <w:tr w14:paraId="41433862">
        <w:tc>
          <w:tcPr>
            <w:tcW w:w="3032" w:type="dxa"/>
          </w:tcPr>
          <w:p w14:paraId="06971A6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McWilliam S E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"https://doi.org/10.1016/j.jemermed.2025.03.002"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10.1016/j.jemermed.2025.03.002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2E1CE28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244</w:t>
            </w:r>
          </w:p>
        </w:tc>
        <w:tc>
          <w:tcPr>
            <w:tcW w:w="2216" w:type="dxa"/>
          </w:tcPr>
          <w:p w14:paraId="5C970DE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w:t>
            </w:r>
          </w:p>
        </w:tc>
        <w:tc>
          <w:tcPr>
            <w:tcW w:w="4433" w:type="dxa"/>
          </w:tcPr>
          <w:p w14:paraId="4D7CF9A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Pulse on ED arrival (after prehospital CPR): 30%</w:t>
            </w:r>
          </w:p>
          <w:p w14:paraId="32D3C63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10%</w:t>
            </w:r>
          </w:p>
        </w:tc>
        <w:tc>
          <w:tcPr>
            <w:tcW w:w="2595" w:type="dxa"/>
          </w:tcPr>
          <w:p w14:paraId="252E2F2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6D686C18">
        <w:tc>
          <w:tcPr>
            <w:tcW w:w="3032" w:type="dxa"/>
          </w:tcPr>
          <w:p w14:paraId="2DCF211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von Vopelius-Feldt J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"https://doi.org/10.1016/j.resplu.2025.101012"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10.1016/j.resplu.2025.101012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1376562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172</w:t>
            </w:r>
          </w:p>
        </w:tc>
        <w:tc>
          <w:tcPr>
            <w:tcW w:w="2216" w:type="dxa"/>
          </w:tcPr>
          <w:p w14:paraId="1FFACA3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Ontario, Canada</w:t>
            </w:r>
          </w:p>
        </w:tc>
        <w:tc>
          <w:tcPr>
            <w:tcW w:w="4433" w:type="dxa"/>
          </w:tcPr>
          <w:p w14:paraId="16B2536E">
            <w:pPr>
              <w:pStyle w:val="12"/>
              <w:rPr>
                <w:rFonts w:hint="default" w:ascii="Times New Roman Regular" w:hAnsi="Times New Roman Regular" w:cs="Times New Roman Regular" w:eastAsiaTheme="minorEastAsia"/>
                <w:sz w:val="24"/>
                <w:szCs w:val="24"/>
                <w:lang w:val="en-US" w:eastAsia="zh-CN" w:bidi="ar-SA"/>
              </w:rPr>
            </w:pPr>
            <w:r>
              <w:rPr>
                <w:rFonts w:hint="default" w:ascii="Times New Roman Regular" w:hAnsi="Times New Roman Regular" w:cs="Times New Roman Regular" w:eastAsiaTheme="minorEastAsia"/>
                <w:sz w:val="24"/>
                <w:szCs w:val="24"/>
                <w:lang w:val="en-US" w:eastAsia="zh-CN" w:bidi="ar-SA"/>
              </w:rPr>
              <w:t>- ROSC: 1%</w:t>
            </w:r>
          </w:p>
        </w:tc>
        <w:tc>
          <w:tcPr>
            <w:tcW w:w="2595" w:type="dxa"/>
          </w:tcPr>
          <w:p w14:paraId="06018962">
            <w:pPr>
              <w:keepNext w:val="0"/>
              <w:keepLines w:val="0"/>
              <w:widowControl/>
              <w:suppressLineNumbers w:val="0"/>
              <w:jc w:val="left"/>
              <w:rPr>
                <w:rFonts w:hint="default" w:ascii="Times New Roman Regular" w:hAnsi="Times New Roman Regular" w:cs="Times New Roman Regular" w:eastAsiaTheme="minorEastAsia"/>
                <w:sz w:val="24"/>
                <w:szCs w:val="24"/>
                <w:lang w:val="en-US" w:eastAsia="zh-CN" w:bidi="ar-SA"/>
              </w:rPr>
            </w:pPr>
            <w:r>
              <w:rPr>
                <w:rFonts w:hint="default" w:ascii="Times New Roman Regular" w:hAnsi="Times New Roman Regular" w:cs="Times New Roman Regular" w:eastAsiaTheme="minorEastAsia"/>
                <w:sz w:val="24"/>
                <w:szCs w:val="24"/>
                <w:lang w:val="en-US" w:eastAsia="zh-CN" w:bidi="ar-SA"/>
              </w:rPr>
              <w:t>Retrospective case series</w:t>
            </w:r>
            <w:r>
              <w:rPr>
                <w:rFonts w:hint="eastAsia" w:ascii="Times New Roman Regular" w:hAnsi="Times New Roman Regular" w:cs="Times New Roman Regular" w:eastAsiaTheme="minorEastAsia"/>
                <w:sz w:val="24"/>
                <w:szCs w:val="24"/>
                <w:lang w:val="en-US" w:eastAsia="zh-CN" w:bidi="ar-SA"/>
              </w:rPr>
              <w:t xml:space="preserve"> </w:t>
            </w:r>
            <w:r>
              <w:rPr>
                <w:rFonts w:hint="default" w:ascii="Times New Roman Regular" w:hAnsi="Times New Roman Regular" w:cs="Times New Roman Regular" w:eastAsiaTheme="minorEastAsia"/>
                <w:sz w:val="24"/>
                <w:szCs w:val="24"/>
                <w:lang w:val="en-US" w:eastAsia="zh-CN" w:bidi="ar-SA"/>
              </w:rPr>
              <w:t>(autopsy)</w:t>
            </w:r>
          </w:p>
        </w:tc>
      </w:tr>
      <w:tr w14:paraId="6E670FC5">
        <w:tc>
          <w:tcPr>
            <w:tcW w:w="3032" w:type="dxa"/>
          </w:tcPr>
          <w:p w14:paraId="641E3B4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Perkins Z B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"https://doi.org/10.1001/jamasurg.2024.7245"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10.1001/jamasurg.2024.7245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16133E6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601</w:t>
            </w:r>
          </w:p>
        </w:tc>
        <w:tc>
          <w:tcPr>
            <w:tcW w:w="2216" w:type="dxa"/>
          </w:tcPr>
          <w:p w14:paraId="61A1A82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London, UK</w:t>
            </w:r>
          </w:p>
        </w:tc>
        <w:tc>
          <w:tcPr>
            <w:tcW w:w="4433" w:type="dxa"/>
          </w:tcPr>
          <w:p w14:paraId="584E125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5.0%; 21% for cardiac tamponade, 1.9% for exsanguination, 0% for combined causes</w:t>
            </w:r>
          </w:p>
          <w:p w14:paraId="1559BA2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 in 76.6% of survivors</w:t>
            </w:r>
          </w:p>
        </w:tc>
        <w:tc>
          <w:tcPr>
            <w:tcW w:w="2595" w:type="dxa"/>
          </w:tcPr>
          <w:p w14:paraId="0BF4EE0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7ED93B19">
        <w:tc>
          <w:tcPr>
            <w:tcW w:w="3032" w:type="dxa"/>
          </w:tcPr>
          <w:p w14:paraId="708EA0D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Vassallo J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"https://doi.org/10.1136/archdischild-2018-314985"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10.1136/archdischild-2018-314985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61E6757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129</w:t>
            </w:r>
          </w:p>
        </w:tc>
        <w:tc>
          <w:tcPr>
            <w:tcW w:w="2216" w:type="dxa"/>
          </w:tcPr>
          <w:p w14:paraId="2BC90B3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England and Wales</w:t>
            </w:r>
          </w:p>
        </w:tc>
        <w:tc>
          <w:tcPr>
            <w:tcW w:w="4433" w:type="dxa"/>
          </w:tcPr>
          <w:p w14:paraId="52F69E9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rate: 5.4%; 13.0% for "prehospital only" TCA, 1.2% for "prehospital and in-hospital" TCA, 0% for "in-hospital only" TCA</w:t>
            </w:r>
          </w:p>
        </w:tc>
        <w:tc>
          <w:tcPr>
            <w:tcW w:w="2595" w:type="dxa"/>
          </w:tcPr>
          <w:p w14:paraId="0194694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Population-based analysis (retrospective)</w:t>
            </w:r>
          </w:p>
        </w:tc>
      </w:tr>
      <w:tr w14:paraId="563CAC5F">
        <w:tc>
          <w:tcPr>
            <w:tcW w:w="3032" w:type="dxa"/>
          </w:tcPr>
          <w:p w14:paraId="611EE59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Barnard E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"https://doi.org/10.1016/j.resuscitation.2016.11.001"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10.1016/j.resuscitation.2016.11.001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7CA60A3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705</w:t>
            </w:r>
          </w:p>
        </w:tc>
        <w:tc>
          <w:tcPr>
            <w:tcW w:w="2216" w:type="dxa"/>
          </w:tcPr>
          <w:p w14:paraId="4E18C22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England and Wales</w:t>
            </w:r>
          </w:p>
        </w:tc>
        <w:tc>
          <w:tcPr>
            <w:tcW w:w="4433" w:type="dxa"/>
          </w:tcPr>
          <w:p w14:paraId="22CC24A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rate: 7.5%; 11.5% for "prehospital only" TCA, 3.9% for "ED only" TCA, 0% for TCA in both locations</w:t>
            </w:r>
          </w:p>
        </w:tc>
        <w:tc>
          <w:tcPr>
            <w:tcW w:w="2595" w:type="dxa"/>
          </w:tcPr>
          <w:p w14:paraId="50BBC92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Population-based analysis (retrospective)</w:t>
            </w:r>
          </w:p>
        </w:tc>
      </w:tr>
      <w:tr w14:paraId="5A047D94">
        <w:tc>
          <w:tcPr>
            <w:tcW w:w="3032" w:type="dxa"/>
          </w:tcPr>
          <w:p w14:paraId="1E665ED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Djarv T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"https://doi.org/10.1186/s13049-018-0500-7"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10.1186/s13049-018-0500-7</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1A21FB5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1774</w:t>
            </w:r>
          </w:p>
        </w:tc>
        <w:tc>
          <w:tcPr>
            <w:tcW w:w="2216" w:type="dxa"/>
          </w:tcPr>
          <w:p w14:paraId="5E5C652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Sweden</w:t>
            </w:r>
          </w:p>
        </w:tc>
        <w:tc>
          <w:tcPr>
            <w:tcW w:w="4433" w:type="dxa"/>
          </w:tcPr>
          <w:p w14:paraId="7DEBC6E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rate: 3.7%</w:t>
            </w:r>
          </w:p>
          <w:p w14:paraId="19CE48D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Good neurological outcome (CPC 1-2) in 79% of survivors</w:t>
            </w:r>
          </w:p>
        </w:tc>
        <w:tc>
          <w:tcPr>
            <w:tcW w:w="2595" w:type="dxa"/>
          </w:tcPr>
          <w:p w14:paraId="6C728CF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Population-based cohort study</w:t>
            </w:r>
          </w:p>
        </w:tc>
      </w:tr>
      <w:tr w14:paraId="720F03A8">
        <w:tc>
          <w:tcPr>
            <w:tcW w:w="3032" w:type="dxa"/>
            <w:tcMar>
              <w:top w:w="60" w:type="dxa"/>
              <w:left w:w="120" w:type="dxa"/>
              <w:bottom w:w="30" w:type="dxa"/>
              <w:right w:w="120" w:type="dxa"/>
            </w:tcMar>
          </w:tcPr>
          <w:p w14:paraId="5791343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Beck B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"https://doi.org/10.1016/j.resuscitation.2016.11.011"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10.1016/j.resuscitation.2016.11.011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2E41BC5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2334</w:t>
            </w:r>
          </w:p>
        </w:tc>
        <w:tc>
          <w:tcPr>
            <w:tcW w:w="2216" w:type="dxa"/>
            <w:tcMar>
              <w:top w:w="60" w:type="dxa"/>
              <w:left w:w="120" w:type="dxa"/>
              <w:bottom w:w="30" w:type="dxa"/>
              <w:right w:w="120" w:type="dxa"/>
            </w:tcMar>
          </w:tcPr>
          <w:p w14:paraId="0907045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Victoria, Australia</w:t>
            </w:r>
          </w:p>
        </w:tc>
        <w:tc>
          <w:tcPr>
            <w:tcW w:w="4433" w:type="dxa"/>
            <w:tcMar>
              <w:top w:w="60" w:type="dxa"/>
              <w:left w:w="120" w:type="dxa"/>
              <w:bottom w:w="30" w:type="dxa"/>
              <w:right w:w="120" w:type="dxa"/>
            </w:tcMar>
          </w:tcPr>
          <w:p w14:paraId="2367E29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Not explicitly reported.</w:t>
            </w:r>
          </w:p>
          <w:p w14:paraId="09A4EC8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3.8% (overall EMS-treated population); 5.0% when excluding resuscitation attempts ≤10 min (non-significant, p=0.314).</w:t>
            </w:r>
          </w:p>
        </w:tc>
        <w:tc>
          <w:tcPr>
            <w:tcW w:w="2595" w:type="dxa"/>
            <w:tcMar>
              <w:top w:w="60" w:type="dxa"/>
              <w:left w:w="120" w:type="dxa"/>
              <w:bottom w:w="30" w:type="dxa"/>
              <w:right w:w="120" w:type="dxa"/>
            </w:tcMar>
          </w:tcPr>
          <w:p w14:paraId="0F411AE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771BFFB3">
        <w:tc>
          <w:tcPr>
            <w:tcW w:w="3032" w:type="dxa"/>
            <w:tcMar>
              <w:top w:w="60" w:type="dxa"/>
              <w:left w:w="120" w:type="dxa"/>
              <w:bottom w:w="30" w:type="dxa"/>
              <w:right w:w="120" w:type="dxa"/>
            </w:tcMar>
          </w:tcPr>
          <w:p w14:paraId="0FA179F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Wang M-F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"https://doi.org/10.1186/s13049-025-01335-0"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10.1186/s13049-025-01335-0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2120279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557</w:t>
            </w:r>
          </w:p>
        </w:tc>
        <w:tc>
          <w:tcPr>
            <w:tcW w:w="2216" w:type="dxa"/>
            <w:tcMar>
              <w:top w:w="60" w:type="dxa"/>
              <w:left w:w="120" w:type="dxa"/>
              <w:bottom w:w="30" w:type="dxa"/>
              <w:right w:w="120" w:type="dxa"/>
            </w:tcMar>
          </w:tcPr>
          <w:p w14:paraId="22C9F7E5">
            <w:pPr>
              <w:pStyle w:val="12"/>
              <w:rPr>
                <w:rFonts w:hint="eastAsia" w:ascii="Times New Roman Regular" w:hAnsi="Times New Roman Regular" w:eastAsia="DengXian" w:cs="Times New Roman Regular"/>
                <w:sz w:val="24"/>
                <w:szCs w:val="24"/>
                <w:lang w:val="en-US" w:eastAsia="zh-CN"/>
              </w:rPr>
            </w:pPr>
            <w:r>
              <w:rPr>
                <w:rFonts w:hint="eastAsia" w:ascii="Times New Roman Regular" w:hAnsi="Times New Roman Regular" w:cs="Times New Roman Regular"/>
                <w:sz w:val="24"/>
                <w:szCs w:val="24"/>
                <w:lang w:val="en-US" w:eastAsia="zh-CN"/>
              </w:rPr>
              <w:t>Chinese Taiwan</w:t>
            </w:r>
          </w:p>
        </w:tc>
        <w:tc>
          <w:tcPr>
            <w:tcW w:w="4433" w:type="dxa"/>
            <w:tcMar>
              <w:top w:w="60" w:type="dxa"/>
              <w:left w:w="120" w:type="dxa"/>
              <w:bottom w:w="30" w:type="dxa"/>
              <w:right w:w="120" w:type="dxa"/>
            </w:tcMar>
          </w:tcPr>
          <w:p w14:paraId="748B952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rate: 30.6% (TC group), 30.5% (cross-region TC group), 12.0% (non-TC group).</w:t>
            </w:r>
          </w:p>
          <w:p w14:paraId="0AF596C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admission: 29.2% (TC group), 18.6% (cross-region TC group), 9.5% (non-TC group).</w:t>
            </w:r>
          </w:p>
          <w:p w14:paraId="620FBBD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- 24-h survival: 19.4% (TC group), 11.9% (cross-region TC group), 6.8% (non-TC group).</w:t>
            </w:r>
          </w:p>
          <w:p w14:paraId="15D9AB1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9.7% (TC group), 4.2% (cross-region TC group), 1.1% (non-TC group).</w:t>
            </w:r>
          </w:p>
        </w:tc>
        <w:tc>
          <w:tcPr>
            <w:tcW w:w="2595" w:type="dxa"/>
            <w:tcMar>
              <w:top w:w="60" w:type="dxa"/>
              <w:left w:w="120" w:type="dxa"/>
              <w:bottom w:w="30" w:type="dxa"/>
              <w:right w:w="120" w:type="dxa"/>
            </w:tcMar>
          </w:tcPr>
          <w:p w14:paraId="56EEAAD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604D48FC">
        <w:tc>
          <w:tcPr>
            <w:tcW w:w="3032" w:type="dxa"/>
            <w:tcMar>
              <w:top w:w="60" w:type="dxa"/>
              <w:left w:w="120" w:type="dxa"/>
              <w:bottom w:w="30" w:type="dxa"/>
              <w:right w:w="120" w:type="dxa"/>
            </w:tcMar>
          </w:tcPr>
          <w:p w14:paraId="3EC8CEE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Ji C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"https://doi.org/10.1016/j.resplu.2025.100890"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10.1016/j.resplu.2025.100890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79BB3E3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123</w:t>
            </w:r>
          </w:p>
        </w:tc>
        <w:tc>
          <w:tcPr>
            <w:tcW w:w="2216" w:type="dxa"/>
            <w:tcMar>
              <w:top w:w="60" w:type="dxa"/>
              <w:left w:w="120" w:type="dxa"/>
              <w:bottom w:w="30" w:type="dxa"/>
              <w:right w:w="120" w:type="dxa"/>
            </w:tcMar>
          </w:tcPr>
          <w:p w14:paraId="298FC66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UK</w:t>
            </w:r>
          </w:p>
        </w:tc>
        <w:tc>
          <w:tcPr>
            <w:tcW w:w="4433" w:type="dxa"/>
            <w:tcMar>
              <w:top w:w="60" w:type="dxa"/>
              <w:left w:w="120" w:type="dxa"/>
              <w:bottom w:w="30" w:type="dxa"/>
              <w:right w:w="120" w:type="dxa"/>
            </w:tcMar>
          </w:tcPr>
          <w:p w14:paraId="765C271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Sustained ROSC to hospital admission: 24.2% (adrenaline arm), 8.9% (placebo arm).</w:t>
            </w:r>
          </w:p>
          <w:p w14:paraId="7D7AA48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1.5% (adrenaline arm), 0% (placebo arm).</w:t>
            </w:r>
          </w:p>
          <w:p w14:paraId="11BF41D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1.5% (adrenaline arm), 0% (placebo arm).</w:t>
            </w:r>
          </w:p>
        </w:tc>
        <w:tc>
          <w:tcPr>
            <w:tcW w:w="2595" w:type="dxa"/>
            <w:tcMar>
              <w:top w:w="60" w:type="dxa"/>
              <w:left w:w="120" w:type="dxa"/>
              <w:bottom w:w="30" w:type="dxa"/>
              <w:right w:w="120" w:type="dxa"/>
            </w:tcMar>
          </w:tcPr>
          <w:p w14:paraId="42AFE71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Post-hoc subgroup analysis of randomized controlled trial</w:t>
            </w:r>
          </w:p>
        </w:tc>
      </w:tr>
      <w:tr w14:paraId="01ED38EE">
        <w:tc>
          <w:tcPr>
            <w:tcW w:w="3032" w:type="dxa"/>
            <w:tcMar>
              <w:top w:w="60" w:type="dxa"/>
              <w:left w:w="120" w:type="dxa"/>
              <w:bottom w:w="30" w:type="dxa"/>
              <w:right w:w="120" w:type="dxa"/>
            </w:tcMar>
          </w:tcPr>
          <w:p w14:paraId="6BFA580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Cheng H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"https://doi.org/10.1016/j.injury.2025.112262"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10.1016/j.injury.2025.112262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112C279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136</w:t>
            </w:r>
          </w:p>
        </w:tc>
        <w:tc>
          <w:tcPr>
            <w:tcW w:w="2216" w:type="dxa"/>
            <w:tcMar>
              <w:top w:w="60" w:type="dxa"/>
              <w:left w:w="120" w:type="dxa"/>
              <w:bottom w:w="30" w:type="dxa"/>
              <w:right w:w="120" w:type="dxa"/>
            </w:tcMar>
          </w:tcPr>
          <w:p w14:paraId="53DAB645">
            <w:pPr>
              <w:pStyle w:val="12"/>
              <w:rPr>
                <w:rFonts w:hint="eastAsia" w:ascii="Times New Roman Regular" w:hAnsi="Times New Roman Regular" w:eastAsia="DengXian" w:cs="Times New Roman Regular"/>
                <w:sz w:val="24"/>
                <w:szCs w:val="24"/>
                <w:lang w:eastAsia="zh-CN"/>
              </w:rPr>
            </w:pPr>
            <w:r>
              <w:rPr>
                <w:rFonts w:hint="eastAsia" w:ascii="Times New Roman Regular" w:hAnsi="Times New Roman Regular" w:cs="Times New Roman Regular"/>
                <w:sz w:val="24"/>
                <w:szCs w:val="24"/>
                <w:lang w:val="en-US" w:eastAsia="zh-CN"/>
              </w:rPr>
              <w:t>Chinese Taiwan</w:t>
            </w:r>
          </w:p>
        </w:tc>
        <w:tc>
          <w:tcPr>
            <w:tcW w:w="4433" w:type="dxa"/>
            <w:tcMar>
              <w:top w:w="60" w:type="dxa"/>
              <w:left w:w="120" w:type="dxa"/>
              <w:bottom w:w="30" w:type="dxa"/>
              <w:right w:w="120" w:type="dxa"/>
            </w:tcMar>
          </w:tcPr>
          <w:p w14:paraId="7BAC7FC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Ever ROSC: 49% (PEA group), 26% (asystole group).</w:t>
            </w:r>
          </w:p>
          <w:p w14:paraId="35AD36B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Sustained ROSC: 36% (PEA group), 22% (asystole group).</w:t>
            </w:r>
          </w:p>
          <w:p w14:paraId="311085A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admission: 28% (PEA group), 19% (asystole group).</w:t>
            </w:r>
          </w:p>
          <w:p w14:paraId="6E7440B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discharge: 3% (PEA group), 0% (asystole group).</w:t>
            </w:r>
          </w:p>
        </w:tc>
        <w:tc>
          <w:tcPr>
            <w:tcW w:w="2595" w:type="dxa"/>
            <w:tcMar>
              <w:top w:w="60" w:type="dxa"/>
              <w:left w:w="120" w:type="dxa"/>
              <w:bottom w:w="30" w:type="dxa"/>
              <w:right w:w="120" w:type="dxa"/>
            </w:tcMar>
          </w:tcPr>
          <w:p w14:paraId="2F5A189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13C661E4">
        <w:tc>
          <w:tcPr>
            <w:tcW w:w="3032" w:type="dxa"/>
            <w:tcMar>
              <w:top w:w="60" w:type="dxa"/>
              <w:left w:w="120" w:type="dxa"/>
              <w:bottom w:w="30" w:type="dxa"/>
              <w:right w:w="120" w:type="dxa"/>
            </w:tcMar>
          </w:tcPr>
          <w:p w14:paraId="4CDD9525">
            <w:pPr>
              <w:pStyle w:val="13"/>
              <w:keepNext w:val="0"/>
              <w:keepLines w:val="0"/>
              <w:widowControl/>
              <w:suppressLineNumbers w:val="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rPr>
              <w:t>Doan TN et al.</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color w:val="000000"/>
                <w:sz w:val="24"/>
                <w:szCs w:val="24"/>
                <w:lang w:val="en-US"/>
              </w:rPr>
              <w:t>(</w:t>
            </w:r>
            <w:r>
              <w:rPr>
                <w:rFonts w:hint="default" w:ascii="Times New Roman Regular" w:hAnsi="Times New Roman Regular" w:cs="Times New Roman Regular"/>
                <w:color w:val="000000"/>
                <w:sz w:val="24"/>
                <w:szCs w:val="24"/>
              </w:rPr>
              <w:t>10.1136/emermed-2021-211723</w:t>
            </w:r>
            <w:r>
              <w:rPr>
                <w:rFonts w:hint="default" w:ascii="Times New Roman Regular" w:hAnsi="Times New Roman Regular" w:cs="Times New Roman Regular"/>
                <w:color w:val="000000"/>
                <w:sz w:val="24"/>
                <w:szCs w:val="24"/>
                <w:lang w:val="en-US"/>
              </w:rPr>
              <w:t>)</w:t>
            </w:r>
          </w:p>
        </w:tc>
        <w:tc>
          <w:tcPr>
            <w:tcW w:w="1811" w:type="dxa"/>
            <w:tcMar>
              <w:top w:w="60" w:type="dxa"/>
              <w:left w:w="120" w:type="dxa"/>
              <w:bottom w:w="30" w:type="dxa"/>
              <w:right w:w="120" w:type="dxa"/>
            </w:tcMar>
          </w:tcPr>
          <w:p w14:paraId="376575C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3891</w:t>
            </w:r>
          </w:p>
        </w:tc>
        <w:tc>
          <w:tcPr>
            <w:tcW w:w="2216" w:type="dxa"/>
            <w:tcMar>
              <w:top w:w="60" w:type="dxa"/>
              <w:left w:w="120" w:type="dxa"/>
              <w:bottom w:w="30" w:type="dxa"/>
              <w:right w:w="120" w:type="dxa"/>
            </w:tcMar>
          </w:tcPr>
          <w:p w14:paraId="48878B0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Queensland, Australia</w:t>
            </w:r>
          </w:p>
        </w:tc>
        <w:tc>
          <w:tcPr>
            <w:tcW w:w="4433" w:type="dxa"/>
            <w:tcMar>
              <w:top w:w="60" w:type="dxa"/>
              <w:left w:w="120" w:type="dxa"/>
              <w:bottom w:w="30" w:type="dxa"/>
              <w:right w:w="120" w:type="dxa"/>
            </w:tcMar>
          </w:tcPr>
          <w:p w14:paraId="722223C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handover: 15.3% (resuscitation-attempted group).</w:t>
            </w:r>
          </w:p>
          <w:p w14:paraId="046594E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9.8% (resuscitation-attempted group).</w:t>
            </w:r>
          </w:p>
          <w:p w14:paraId="2B95C93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- 6-month survival: 9.8% (resuscitation-attempted group).</w:t>
            </w:r>
          </w:p>
        </w:tc>
        <w:tc>
          <w:tcPr>
            <w:tcW w:w="2595" w:type="dxa"/>
            <w:tcMar>
              <w:top w:w="60" w:type="dxa"/>
              <w:left w:w="120" w:type="dxa"/>
              <w:bottom w:w="30" w:type="dxa"/>
              <w:right w:w="120" w:type="dxa"/>
            </w:tcMar>
          </w:tcPr>
          <w:p w14:paraId="1B272AF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5274B3B1">
        <w:tc>
          <w:tcPr>
            <w:tcW w:w="3032" w:type="dxa"/>
            <w:tcMar>
              <w:top w:w="60" w:type="dxa"/>
              <w:left w:w="120" w:type="dxa"/>
              <w:bottom w:w="30" w:type="dxa"/>
              <w:right w:w="120" w:type="dxa"/>
            </w:tcMar>
          </w:tcPr>
          <w:p w14:paraId="713CBD0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Lee MHM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"https://doi.org/10.1080/10903127.2022.2113941"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10.1080/10903127.2022.2113941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0E162E1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13631</w:t>
            </w:r>
          </w:p>
        </w:tc>
        <w:tc>
          <w:tcPr>
            <w:tcW w:w="2216" w:type="dxa"/>
            <w:tcMar>
              <w:top w:w="60" w:type="dxa"/>
              <w:left w:w="120" w:type="dxa"/>
              <w:bottom w:w="30" w:type="dxa"/>
              <w:right w:w="120" w:type="dxa"/>
            </w:tcMar>
          </w:tcPr>
          <w:p w14:paraId="57254B0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13 Asian countries</w:t>
            </w:r>
            <w:r>
              <w:rPr>
                <w:rFonts w:hint="default" w:ascii="Times New Roman Regular" w:hAnsi="Times New Roman Regular" w:cs="Times New Roman Regular"/>
                <w:sz w:val="24"/>
                <w:szCs w:val="24"/>
                <w:lang w:val="en-US"/>
              </w:rPr>
              <w:t>/regions</w:t>
            </w:r>
            <w:r>
              <w:rPr>
                <w:rFonts w:hint="default" w:ascii="Times New Roman Regular" w:hAnsi="Times New Roman Regular" w:cs="Times New Roman Regular"/>
                <w:sz w:val="24"/>
                <w:szCs w:val="24"/>
              </w:rPr>
              <w:t xml:space="preserve"> (Japan, Korea,  Singapore, etc.)</w:t>
            </w:r>
          </w:p>
        </w:tc>
        <w:tc>
          <w:tcPr>
            <w:tcW w:w="4433" w:type="dxa"/>
            <w:tcMar>
              <w:top w:w="60" w:type="dxa"/>
              <w:left w:w="120" w:type="dxa"/>
              <w:bottom w:w="30" w:type="dxa"/>
              <w:right w:w="120" w:type="dxa"/>
            </w:tcMar>
          </w:tcPr>
          <w:p w14:paraId="5BF2296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rate: 12.8%.</w:t>
            </w:r>
          </w:p>
          <w:p w14:paraId="7BF0B48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3.4%.</w:t>
            </w:r>
          </w:p>
          <w:p w14:paraId="57E728C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 (CPC 1-2) at discharge: 1.0%.</w:t>
            </w:r>
          </w:p>
        </w:tc>
        <w:tc>
          <w:tcPr>
            <w:tcW w:w="2595" w:type="dxa"/>
            <w:tcMar>
              <w:top w:w="60" w:type="dxa"/>
              <w:left w:w="120" w:type="dxa"/>
              <w:bottom w:w="30" w:type="dxa"/>
              <w:right w:w="120" w:type="dxa"/>
            </w:tcMar>
          </w:tcPr>
          <w:p w14:paraId="31FACB6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Observational retrospective international cohort study</w:t>
            </w:r>
          </w:p>
        </w:tc>
      </w:tr>
      <w:tr w14:paraId="5E888AA0">
        <w:tc>
          <w:tcPr>
            <w:tcW w:w="3032" w:type="dxa"/>
            <w:tcMar>
              <w:top w:w="60" w:type="dxa"/>
              <w:left w:w="120" w:type="dxa"/>
              <w:bottom w:w="30" w:type="dxa"/>
              <w:right w:w="120" w:type="dxa"/>
            </w:tcMar>
          </w:tcPr>
          <w:p w14:paraId="71CFC62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Escutnaire J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"https://doi.org/10.1016/j.resuscitation.2018.07.032"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10.1016/j.resuscitation.2018.07.032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4878DC7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44087 (3209 traumatic, 40878 medical)</w:t>
            </w:r>
          </w:p>
        </w:tc>
        <w:tc>
          <w:tcPr>
            <w:tcW w:w="2216" w:type="dxa"/>
            <w:tcMar>
              <w:top w:w="60" w:type="dxa"/>
              <w:left w:w="120" w:type="dxa"/>
              <w:bottom w:w="30" w:type="dxa"/>
              <w:right w:w="120" w:type="dxa"/>
            </w:tcMar>
          </w:tcPr>
          <w:p w14:paraId="0DDCE98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4433" w:type="dxa"/>
            <w:tcMar>
              <w:top w:w="60" w:type="dxa"/>
              <w:left w:w="120" w:type="dxa"/>
              <w:bottom w:w="30" w:type="dxa"/>
              <w:right w:w="120" w:type="dxa"/>
            </w:tcMar>
          </w:tcPr>
          <w:p w14:paraId="10BDA62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at hospital admission: 14.0% (traumatic), 20.4% (medical).</w:t>
            </w:r>
          </w:p>
          <w:p w14:paraId="50F902E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1.5% (traumatic), 5.9% (medical).</w:t>
            </w:r>
          </w:p>
          <w:p w14:paraId="52DFEDB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After propensity matching: Survival at hospital admission 14.2% (traumatic) vs. 29.3% (medical); 30-day survival 1.6% (traumatic) vs. 9.0% (medical).</w:t>
            </w:r>
          </w:p>
        </w:tc>
        <w:tc>
          <w:tcPr>
            <w:tcW w:w="2595" w:type="dxa"/>
            <w:tcMar>
              <w:top w:w="60" w:type="dxa"/>
              <w:left w:w="120" w:type="dxa"/>
              <w:bottom w:w="30" w:type="dxa"/>
              <w:right w:w="120" w:type="dxa"/>
            </w:tcMar>
          </w:tcPr>
          <w:p w14:paraId="1AF6B6D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National case-control multicenter study</w:t>
            </w:r>
          </w:p>
        </w:tc>
      </w:tr>
      <w:tr w14:paraId="75D67E73">
        <w:tc>
          <w:tcPr>
            <w:tcW w:w="3032" w:type="dxa"/>
            <w:tcMar>
              <w:top w:w="60" w:type="dxa"/>
              <w:left w:w="120" w:type="dxa"/>
              <w:bottom w:w="30" w:type="dxa"/>
              <w:right w:w="120" w:type="dxa"/>
            </w:tcMar>
          </w:tcPr>
          <w:p w14:paraId="3E8D543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Evans CCD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"https://doi.org/10.1097/TA.0000000000001070"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10.1097/TA.0000000000001070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0A7EC0C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2300 (1292 from Epistry-Trauma, 1008 from PROPHET)</w:t>
            </w:r>
          </w:p>
        </w:tc>
        <w:tc>
          <w:tcPr>
            <w:tcW w:w="2216" w:type="dxa"/>
            <w:tcMar>
              <w:top w:w="60" w:type="dxa"/>
              <w:left w:w="120" w:type="dxa"/>
              <w:bottom w:w="30" w:type="dxa"/>
              <w:right w:w="120" w:type="dxa"/>
            </w:tcMar>
          </w:tcPr>
          <w:p w14:paraId="404289E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North America (9 US regions, 3 Canadian regions)</w:t>
            </w:r>
          </w:p>
        </w:tc>
        <w:tc>
          <w:tcPr>
            <w:tcW w:w="4433" w:type="dxa"/>
            <w:tcMar>
              <w:top w:w="60" w:type="dxa"/>
              <w:left w:w="120" w:type="dxa"/>
              <w:bottom w:w="30" w:type="dxa"/>
              <w:right w:w="120" w:type="dxa"/>
            </w:tcMar>
          </w:tcPr>
          <w:p w14:paraId="4D202DF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survival to hospital discharge: 6.3%.</w:t>
            </w:r>
          </w:p>
          <w:p w14:paraId="513F8CB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By registry: 7.1% (Epistry-Trauma), 5.3% (PROPHET).</w:t>
            </w:r>
          </w:p>
          <w:p w14:paraId="7192295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By injury type: Blunt (8.3% Epistry, 6.5% PROPHET), Penetrating (4.6% Epistry, 2.7% PROPHET).</w:t>
            </w:r>
          </w:p>
        </w:tc>
        <w:tc>
          <w:tcPr>
            <w:tcW w:w="2595" w:type="dxa"/>
            <w:tcMar>
              <w:top w:w="60" w:type="dxa"/>
              <w:left w:w="120" w:type="dxa"/>
              <w:bottom w:w="30" w:type="dxa"/>
              <w:right w:w="120" w:type="dxa"/>
            </w:tcMar>
          </w:tcPr>
          <w:p w14:paraId="40A6D26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Secondary analysis of prospective registries</w:t>
            </w:r>
          </w:p>
        </w:tc>
      </w:tr>
      <w:tr w14:paraId="4794E117">
        <w:tc>
          <w:tcPr>
            <w:tcW w:w="3032" w:type="dxa"/>
            <w:tcMar>
              <w:top w:w="60" w:type="dxa"/>
              <w:left w:w="120" w:type="dxa"/>
              <w:bottom w:w="30" w:type="dxa"/>
              <w:right w:w="120" w:type="dxa"/>
            </w:tcMar>
          </w:tcPr>
          <w:p w14:paraId="02C1542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Kitano 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"https://doi.org/10.1016/j.resuscitation.2021.12.023"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10.1016/j.resuscitation.2021.12.023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5186216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3883</w:t>
            </w:r>
          </w:p>
        </w:tc>
        <w:tc>
          <w:tcPr>
            <w:tcW w:w="2216" w:type="dxa"/>
            <w:tcMar>
              <w:top w:w="60" w:type="dxa"/>
              <w:left w:w="120" w:type="dxa"/>
              <w:bottom w:w="30" w:type="dxa"/>
              <w:right w:w="120" w:type="dxa"/>
            </w:tcMar>
          </w:tcPr>
          <w:p w14:paraId="555056A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Mar>
              <w:top w:w="60" w:type="dxa"/>
              <w:left w:w="120" w:type="dxa"/>
              <w:bottom w:w="30" w:type="dxa"/>
              <w:right w:w="120" w:type="dxa"/>
            </w:tcMar>
          </w:tcPr>
          <w:p w14:paraId="6CA47F2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- 1-month survival: 5.6% (unwitnessed), 7.2% (bystander-witnessed), 10.9% (EMS-witnessed).</w:t>
            </w:r>
          </w:p>
          <w:p w14:paraId="1722C01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ROSC: 7.9% (unwitnessed), 10.2% (bystander-witnessed), 14.4% (EMS-witnessed).</w:t>
            </w:r>
          </w:p>
          <w:p w14:paraId="4E9544A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 (CPC 1-2): 1.8% (unwitnessed), 2.6% (bystander-witnessed), 3.4% (EMS-witnessed) (non-significant, p=0.78).</w:t>
            </w:r>
          </w:p>
        </w:tc>
        <w:tc>
          <w:tcPr>
            <w:tcW w:w="2595" w:type="dxa"/>
            <w:tcMar>
              <w:top w:w="60" w:type="dxa"/>
              <w:left w:w="120" w:type="dxa"/>
              <w:bottom w:w="30" w:type="dxa"/>
              <w:right w:w="120" w:type="dxa"/>
            </w:tcMar>
          </w:tcPr>
          <w:p w14:paraId="48B54DA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76DD560E">
        <w:tc>
          <w:tcPr>
            <w:tcW w:w="3032" w:type="dxa"/>
          </w:tcPr>
          <w:p w14:paraId="5B8EF9C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Faulkner J et al. (10.1177/00031348221091937)</w:t>
            </w:r>
          </w:p>
        </w:tc>
        <w:tc>
          <w:tcPr>
            <w:tcW w:w="1811" w:type="dxa"/>
          </w:tcPr>
          <w:p w14:paraId="0E0D72C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7503</w:t>
            </w:r>
          </w:p>
        </w:tc>
        <w:tc>
          <w:tcPr>
            <w:tcW w:w="2216" w:type="dxa"/>
          </w:tcPr>
          <w:p w14:paraId="07590C3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w:t>
            </w:r>
          </w:p>
        </w:tc>
        <w:tc>
          <w:tcPr>
            <w:tcW w:w="4433" w:type="dxa"/>
          </w:tcPr>
          <w:p w14:paraId="370CF8B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in-hospital mortality: 95.7%</w:t>
            </w:r>
          </w:p>
          <w:p w14:paraId="0ECC675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Discharge home rate: 1.3%</w:t>
            </w:r>
          </w:p>
        </w:tc>
        <w:tc>
          <w:tcPr>
            <w:tcW w:w="2595" w:type="dxa"/>
          </w:tcPr>
          <w:p w14:paraId="26C59B9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 (National Trauma Database analysis)</w:t>
            </w:r>
          </w:p>
        </w:tc>
      </w:tr>
      <w:tr w14:paraId="0748F36F">
        <w:tc>
          <w:tcPr>
            <w:tcW w:w="3032" w:type="dxa"/>
          </w:tcPr>
          <w:p w14:paraId="5DB8015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Talmy T et al. (10.1080/10903127.2023.2241542)</w:t>
            </w:r>
          </w:p>
        </w:tc>
        <w:tc>
          <w:tcPr>
            <w:tcW w:w="1811" w:type="dxa"/>
          </w:tcPr>
          <w:p w14:paraId="392F173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149</w:t>
            </w:r>
          </w:p>
        </w:tc>
        <w:tc>
          <w:tcPr>
            <w:tcW w:w="2216" w:type="dxa"/>
          </w:tcPr>
          <w:p w14:paraId="67A1C19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Israel (military: 56.4%; civilian: 43.6%)</w:t>
            </w:r>
          </w:p>
        </w:tc>
        <w:tc>
          <w:tcPr>
            <w:tcW w:w="4433" w:type="dxa"/>
          </w:tcPr>
          <w:p w14:paraId="113C78D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ROSC rate: 3.4%</w:t>
            </w:r>
          </w:p>
          <w:p w14:paraId="22F1EB4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admission: 0%</w:t>
            </w:r>
          </w:p>
        </w:tc>
        <w:tc>
          <w:tcPr>
            <w:tcW w:w="2595" w:type="dxa"/>
          </w:tcPr>
          <w:p w14:paraId="395CD73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 (IDF Trauma Registry analysis)</w:t>
            </w:r>
          </w:p>
        </w:tc>
      </w:tr>
      <w:tr w14:paraId="097327EC">
        <w:tc>
          <w:tcPr>
            <w:tcW w:w="3032" w:type="dxa"/>
          </w:tcPr>
          <w:p w14:paraId="227DB55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Shi D et al. (10.1136/tsaco-2021-000817)</w:t>
            </w:r>
          </w:p>
        </w:tc>
        <w:tc>
          <w:tcPr>
            <w:tcW w:w="1811" w:type="dxa"/>
          </w:tcPr>
          <w:p w14:paraId="5F82312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23644</w:t>
            </w:r>
          </w:p>
        </w:tc>
        <w:tc>
          <w:tcPr>
            <w:tcW w:w="2216" w:type="dxa"/>
          </w:tcPr>
          <w:p w14:paraId="24DF45F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Multinational (not specified)</w:t>
            </w:r>
          </w:p>
        </w:tc>
        <w:tc>
          <w:tcPr>
            <w:tcW w:w="4433" w:type="dxa"/>
          </w:tcPr>
          <w:p w14:paraId="0D5F325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survival to discharge: 9.2%</w:t>
            </w:r>
          </w:p>
          <w:p w14:paraId="42AF6D9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outcomes (good/moderate): 45.8%</w:t>
            </w:r>
          </w:p>
          <w:p w14:paraId="3141DDE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Unfavorable neurological outcomes (severe/vegetative): 29.0%</w:t>
            </w:r>
          </w:p>
          <w:p w14:paraId="4221A30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Pediatric subgroup favorable neurological outcomes: 64.4%</w:t>
            </w:r>
          </w:p>
          <w:p w14:paraId="73435BD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Adult subgroup favorable neurological outcomes: 72.6%</w:t>
            </w:r>
          </w:p>
        </w:tc>
        <w:tc>
          <w:tcPr>
            <w:tcW w:w="2595" w:type="dxa"/>
          </w:tcPr>
          <w:p w14:paraId="638C81A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Systematic review (observational cohort studies included)</w:t>
            </w:r>
          </w:p>
        </w:tc>
      </w:tr>
      <w:tr w14:paraId="439C172E">
        <w:tc>
          <w:tcPr>
            <w:tcW w:w="3032" w:type="dxa"/>
          </w:tcPr>
          <w:p w14:paraId="57BD4EB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Yamamoto R et al. (10.1136/emermed-2024-214337)</w:t>
            </w:r>
          </w:p>
        </w:tc>
        <w:tc>
          <w:tcPr>
            <w:tcW w:w="1811" w:type="dxa"/>
          </w:tcPr>
          <w:p w14:paraId="4B55A6A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1524</w:t>
            </w:r>
          </w:p>
        </w:tc>
        <w:tc>
          <w:tcPr>
            <w:tcW w:w="2216" w:type="dxa"/>
          </w:tcPr>
          <w:p w14:paraId="2CCF505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Pr>
          <w:p w14:paraId="466C4E2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intubation group: favorable neurological outcome (GOS≥4): 2.4%; survival to discharge: 8.1%; ROSC on hospital arrival: 17.2%</w:t>
            </w:r>
          </w:p>
          <w:p w14:paraId="6AFDE6D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prehospital intubation group: favorable neurological outcome: 1.2%; survival to discharge: 5.8%; ROSC on hospital arrival: 15.9%</w:t>
            </w:r>
          </w:p>
        </w:tc>
        <w:tc>
          <w:tcPr>
            <w:tcW w:w="2595" w:type="dxa"/>
          </w:tcPr>
          <w:p w14:paraId="0F6E2CB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 (Japan Trauma Data Bank analysis)</w:t>
            </w:r>
          </w:p>
        </w:tc>
      </w:tr>
      <w:tr w14:paraId="40259ADA">
        <w:tc>
          <w:tcPr>
            <w:tcW w:w="3032" w:type="dxa"/>
          </w:tcPr>
          <w:p w14:paraId="613DEB4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Nishimura T et al. (10.1002/ams2.786)</w:t>
            </w:r>
          </w:p>
        </w:tc>
        <w:tc>
          <w:tcPr>
            <w:tcW w:w="1811" w:type="dxa"/>
          </w:tcPr>
          <w:p w14:paraId="74CBE2A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1346 (after propensity score matching)</w:t>
            </w:r>
          </w:p>
        </w:tc>
        <w:tc>
          <w:tcPr>
            <w:tcW w:w="2216" w:type="dxa"/>
          </w:tcPr>
          <w:p w14:paraId="45B8687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Pr>
          <w:p w14:paraId="39A5C86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AAM group: ROSC on admission: 21.0%; survival to discharge: 6.5%</w:t>
            </w:r>
          </w:p>
          <w:p w14:paraId="73D3BF7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Non-AAM group: ROSC on admission: 11.4%; survival to discharge: 5.8%</w:t>
            </w:r>
          </w:p>
        </w:tc>
        <w:tc>
          <w:tcPr>
            <w:tcW w:w="2595" w:type="dxa"/>
          </w:tcPr>
          <w:p w14:paraId="4B4D6F1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 (Japan Trauma Data Bank analysis)</w:t>
            </w:r>
          </w:p>
        </w:tc>
      </w:tr>
      <w:tr w14:paraId="344DA281">
        <w:tc>
          <w:tcPr>
            <w:tcW w:w="3032" w:type="dxa"/>
          </w:tcPr>
          <w:p w14:paraId="07D5116B">
            <w:pPr>
              <w:pStyle w:val="1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Peters J et al. (10.1097/MEJ.0000000000000337)</w:t>
            </w:r>
          </w:p>
        </w:tc>
        <w:tc>
          <w:tcPr>
            <w:tcW w:w="1811" w:type="dxa"/>
          </w:tcPr>
          <w:p w14:paraId="52617B30">
            <w:pPr>
              <w:pStyle w:val="1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144 </w:t>
            </w:r>
            <w:r>
              <w:rPr>
                <w:rFonts w:hint="eastAsia" w:ascii="Times New Roman Regular" w:hAnsi="Times New Roman Regular" w:cs="Times New Roman Regular"/>
                <w:color w:val="auto"/>
                <w:sz w:val="24"/>
                <w:szCs w:val="24"/>
                <w:lang w:val="en-US" w:eastAsia="zh-CN"/>
              </w:rPr>
              <w:t>T</w:t>
            </w:r>
            <w:r>
              <w:rPr>
                <w:rFonts w:hint="default" w:ascii="Times New Roman Regular" w:hAnsi="Times New Roman Regular" w:cs="Times New Roman Regular"/>
                <w:color w:val="auto"/>
                <w:sz w:val="24"/>
                <w:szCs w:val="24"/>
              </w:rPr>
              <w:t>CA patients (267 thoracostomies)</w:t>
            </w:r>
          </w:p>
        </w:tc>
        <w:tc>
          <w:tcPr>
            <w:tcW w:w="2216" w:type="dxa"/>
          </w:tcPr>
          <w:p w14:paraId="4972A9CD">
            <w:pPr>
              <w:pStyle w:val="1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Netherlands</w:t>
            </w:r>
          </w:p>
        </w:tc>
        <w:tc>
          <w:tcPr>
            <w:tcW w:w="4433" w:type="dxa"/>
          </w:tcPr>
          <w:p w14:paraId="7AF4BFED">
            <w:pPr>
              <w:pStyle w:val="1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ROSC: 15.3%</w:t>
            </w:r>
          </w:p>
          <w:p w14:paraId="3EC621BE">
            <w:pPr>
              <w:pStyle w:val="1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Survival to hospital discharge: 1.4%</w:t>
            </w:r>
          </w:p>
        </w:tc>
        <w:tc>
          <w:tcPr>
            <w:tcW w:w="2595" w:type="dxa"/>
          </w:tcPr>
          <w:p w14:paraId="1870752D">
            <w:pPr>
              <w:pStyle w:val="1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Retrospective cohort study</w:t>
            </w:r>
          </w:p>
        </w:tc>
      </w:tr>
      <w:tr w14:paraId="598C2647">
        <w:tc>
          <w:tcPr>
            <w:tcW w:w="3032" w:type="dxa"/>
          </w:tcPr>
          <w:p w14:paraId="5F90759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Beysard N et al. (10.1016/j.resplu.2025.100870)</w:t>
            </w:r>
          </w:p>
        </w:tc>
        <w:tc>
          <w:tcPr>
            <w:tcW w:w="1811" w:type="dxa"/>
          </w:tcPr>
          <w:p w14:paraId="3304AF9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473 TCAs (247 with resuscitation attempts)</w:t>
            </w:r>
          </w:p>
        </w:tc>
        <w:tc>
          <w:tcPr>
            <w:tcW w:w="2216" w:type="dxa"/>
          </w:tcPr>
          <w:p w14:paraId="25B4C5F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Switzerland</w:t>
            </w:r>
          </w:p>
        </w:tc>
        <w:tc>
          <w:tcPr>
            <w:tcW w:w="4433" w:type="dxa"/>
          </w:tcPr>
          <w:p w14:paraId="7B0BA5B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Alive on hospital arrival: 27/148 (18.2%)</w:t>
            </w:r>
          </w:p>
          <w:p w14:paraId="63CE164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- 48-hour survival: 9/148 (6.1%)</w:t>
            </w:r>
          </w:p>
        </w:tc>
        <w:tc>
          <w:tcPr>
            <w:tcW w:w="2595" w:type="dxa"/>
          </w:tcPr>
          <w:p w14:paraId="379B107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observational study</w:t>
            </w:r>
          </w:p>
        </w:tc>
      </w:tr>
      <w:tr w14:paraId="211F09FF">
        <w:tc>
          <w:tcPr>
            <w:tcW w:w="3032" w:type="dxa"/>
          </w:tcPr>
          <w:p w14:paraId="30EEFB6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Nevins EJ et al. (10.1007/s00068-018-0982-z)</w:t>
            </w:r>
          </w:p>
        </w:tc>
        <w:tc>
          <w:tcPr>
            <w:tcW w:w="1811" w:type="dxa"/>
          </w:tcPr>
          <w:p w14:paraId="0EFAFA4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3251 patients</w:t>
            </w:r>
          </w:p>
        </w:tc>
        <w:tc>
          <w:tcPr>
            <w:tcW w:w="2216" w:type="dxa"/>
          </w:tcPr>
          <w:p w14:paraId="374FF5F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Worldwide (USA, non-USA)</w:t>
            </w:r>
          </w:p>
        </w:tc>
        <w:tc>
          <w:tcPr>
            <w:tcW w:w="4433" w:type="dxa"/>
          </w:tcPr>
          <w:p w14:paraId="1950CB7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survival: 277/3251 (8.5%)</w:t>
            </w:r>
          </w:p>
          <w:p w14:paraId="227DF7A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Penetrating trauma survival: 178/1721 (10.3%)</w:t>
            </w:r>
          </w:p>
          <w:p w14:paraId="6BBB984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Blunt trauma survival</w:t>
            </w:r>
            <w:r>
              <w:rPr>
                <w:rFonts w:hint="eastAsia" w:ascii="Times New Roman Regular" w:hAnsi="Times New Roman Regular" w:cs="Times New Roman Regular"/>
                <w:sz w:val="24"/>
                <w:szCs w:val="24"/>
                <w:lang w:val="en-US" w:eastAsia="zh-CN"/>
              </w:rPr>
              <w:t>10.</w:t>
            </w:r>
            <w:r>
              <w:rPr>
                <w:rFonts w:hint="default" w:ascii="Times New Roman Regular" w:hAnsi="Times New Roman Regular" w:cs="Times New Roman Regular"/>
                <w:sz w:val="24"/>
                <w:szCs w:val="24"/>
              </w:rPr>
              <w:t>: 19/365 (5.2%)</w:t>
            </w:r>
          </w:p>
          <w:p w14:paraId="631B56D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Stab wound survival: 59/250 (23.6%)</w:t>
            </w:r>
          </w:p>
          <w:p w14:paraId="22323B6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Gun-shot wound survival: 45/839 (5.4%)</w:t>
            </w:r>
          </w:p>
          <w:p w14:paraId="7E307B2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SOL on admission survival: 82/561 (14.6%)</w:t>
            </w:r>
          </w:p>
          <w:p w14:paraId="0071F84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SOL on admission survival: 16/517 (3.1%)</w:t>
            </w:r>
          </w:p>
          <w:p w14:paraId="65C0D83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SOL in field survival: 52/288 (18.1%)</w:t>
            </w:r>
          </w:p>
          <w:p w14:paraId="5434A8B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SOL in field survival: 1/89 (1.1%)</w:t>
            </w:r>
          </w:p>
          <w:p w14:paraId="59A96E0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USA survival: 199/2585 (7.7%)</w:t>
            </w:r>
          </w:p>
          <w:p w14:paraId="4F9CF8E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Non-USA survival: 78/666 (11.7%)</w:t>
            </w:r>
          </w:p>
        </w:tc>
        <w:tc>
          <w:tcPr>
            <w:tcW w:w="2595" w:type="dxa"/>
          </w:tcPr>
          <w:p w14:paraId="7531C3F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Systematic review</w:t>
            </w:r>
          </w:p>
        </w:tc>
      </w:tr>
      <w:tr w14:paraId="67DCDCAA">
        <w:tc>
          <w:tcPr>
            <w:tcW w:w="3032" w:type="dxa"/>
          </w:tcPr>
          <w:p w14:paraId="1E5884E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Atkins K et al. (10.1016/j.injury.2023.111033)</w:t>
            </w:r>
          </w:p>
        </w:tc>
        <w:tc>
          <w:tcPr>
            <w:tcW w:w="1811" w:type="dxa"/>
          </w:tcPr>
          <w:p w14:paraId="6930F8E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13115 patients</w:t>
            </w:r>
          </w:p>
        </w:tc>
        <w:tc>
          <w:tcPr>
            <w:tcW w:w="2216" w:type="dxa"/>
          </w:tcPr>
          <w:p w14:paraId="0740092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w:t>
            </w:r>
          </w:p>
        </w:tc>
        <w:tc>
          <w:tcPr>
            <w:tcW w:w="4433" w:type="dxa"/>
          </w:tcPr>
          <w:p w14:paraId="5D1DB29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Crude mortality (RT vs non-RT): 1590/1664 (95.6%) vs 10818/11451 (94.5%)</w:t>
            </w:r>
          </w:p>
        </w:tc>
        <w:tc>
          <w:tcPr>
            <w:tcW w:w="2595" w:type="dxa"/>
          </w:tcPr>
          <w:p w14:paraId="18431C8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4D5B6FE5">
        <w:tc>
          <w:tcPr>
            <w:tcW w:w="3032" w:type="dxa"/>
          </w:tcPr>
          <w:p w14:paraId="726A3FF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Yamamoto R et al. (10.1002/emp2.12177)</w:t>
            </w:r>
          </w:p>
        </w:tc>
        <w:tc>
          <w:tcPr>
            <w:tcW w:w="1811" w:type="dxa"/>
          </w:tcPr>
          <w:p w14:paraId="3B01055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1483 patients</w:t>
            </w:r>
          </w:p>
        </w:tc>
        <w:tc>
          <w:tcPr>
            <w:tcW w:w="2216" w:type="dxa"/>
          </w:tcPr>
          <w:p w14:paraId="3F7E656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Pr>
          <w:p w14:paraId="24DD473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REBOA group survival to discharge: 5/144 (3.5%)</w:t>
            </w:r>
          </w:p>
          <w:p w14:paraId="6B4FE30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RT group survival to discharge: 10/1339 (0.7%)</w:t>
            </w:r>
          </w:p>
        </w:tc>
        <w:tc>
          <w:tcPr>
            <w:tcW w:w="2595" w:type="dxa"/>
          </w:tcPr>
          <w:p w14:paraId="0840782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0FE103C9">
        <w:tc>
          <w:tcPr>
            <w:tcW w:w="3032" w:type="dxa"/>
            <w:tcMar>
              <w:top w:w="60" w:type="dxa"/>
              <w:left w:w="120" w:type="dxa"/>
              <w:bottom w:w="30" w:type="dxa"/>
              <w:right w:w="120" w:type="dxa"/>
            </w:tcMar>
          </w:tcPr>
          <w:p w14:paraId="65F41FE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Nakashima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"https://doi.org/10.1016/j.jss.2023.11.063"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10.1016/j.jss.2023.11.063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6675175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445 receiving resuscitative thoracotomy</w:t>
            </w:r>
          </w:p>
        </w:tc>
        <w:tc>
          <w:tcPr>
            <w:tcW w:w="2216" w:type="dxa"/>
            <w:tcMar>
              <w:top w:w="60" w:type="dxa"/>
              <w:left w:w="120" w:type="dxa"/>
              <w:bottom w:w="30" w:type="dxa"/>
              <w:right w:w="120" w:type="dxa"/>
            </w:tcMar>
          </w:tcPr>
          <w:p w14:paraId="3A33AE6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Los Angeles, California, USA</w:t>
            </w:r>
          </w:p>
        </w:tc>
        <w:tc>
          <w:tcPr>
            <w:tcW w:w="4433" w:type="dxa"/>
            <w:tcMar>
              <w:top w:w="60" w:type="dxa"/>
              <w:left w:w="120" w:type="dxa"/>
              <w:bottom w:w="30" w:type="dxa"/>
              <w:right w:w="120" w:type="dxa"/>
            </w:tcMar>
          </w:tcPr>
          <w:p w14:paraId="19B7786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Survival to discharge: Pre-COVID (11%, 22/209); COVID (9%, 21/236). </w:t>
            </w:r>
          </w:p>
          <w:p w14:paraId="7B62CEA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ED survival: Pre-COVID (51%, 107/209); COVID (43%, 101/236)</w:t>
            </w:r>
          </w:p>
        </w:tc>
        <w:tc>
          <w:tcPr>
            <w:tcW w:w="2595" w:type="dxa"/>
            <w:tcMar>
              <w:top w:w="60" w:type="dxa"/>
              <w:left w:w="120" w:type="dxa"/>
              <w:bottom w:w="30" w:type="dxa"/>
              <w:right w:w="120" w:type="dxa"/>
            </w:tcMar>
          </w:tcPr>
          <w:p w14:paraId="25A07A2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observational study</w:t>
            </w:r>
          </w:p>
        </w:tc>
      </w:tr>
      <w:tr w14:paraId="1C1BA56C">
        <w:tc>
          <w:tcPr>
            <w:tcW w:w="3032" w:type="dxa"/>
            <w:tcMar>
              <w:top w:w="60" w:type="dxa"/>
              <w:left w:w="120" w:type="dxa"/>
              <w:bottom w:w="30" w:type="dxa"/>
              <w:right w:w="120" w:type="dxa"/>
            </w:tcMar>
          </w:tcPr>
          <w:p w14:paraId="4802E513">
            <w:pPr>
              <w:pStyle w:val="12"/>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Selesner et al. (</w:t>
            </w:r>
            <w:r>
              <w:rPr>
                <w:rFonts w:hint="default" w:ascii="Times New Roman Regular" w:hAnsi="Times New Roman Regular" w:cs="Times New Roman Regular"/>
                <w:sz w:val="24"/>
                <w:szCs w:val="24"/>
                <w:highlight w:val="none"/>
              </w:rPr>
              <w:fldChar w:fldCharType="begin"/>
            </w:r>
            <w:r>
              <w:rPr>
                <w:rFonts w:hint="default" w:ascii="Times New Roman Regular" w:hAnsi="Times New Roman Regular" w:cs="Times New Roman Regular"/>
                <w:sz w:val="24"/>
                <w:szCs w:val="24"/>
                <w:highlight w:val="none"/>
              </w:rPr>
              <w:instrText xml:space="preserve"> HYPERLINK "https://doi.org/10.1097/TA.0000000000003879" </w:instrText>
            </w:r>
            <w:r>
              <w:rPr>
                <w:rFonts w:hint="default" w:ascii="Times New Roman Regular" w:hAnsi="Times New Roman Regular" w:cs="Times New Roman Regular"/>
                <w:sz w:val="24"/>
                <w:szCs w:val="24"/>
                <w:highlight w:val="none"/>
              </w:rPr>
              <w:fldChar w:fldCharType="separate"/>
            </w:r>
            <w:r>
              <w:rPr>
                <w:rStyle w:val="10"/>
                <w:rFonts w:hint="default" w:ascii="Times New Roman Regular" w:hAnsi="Times New Roman Regular" w:cs="Times New Roman Regular"/>
                <w:sz w:val="24"/>
                <w:szCs w:val="24"/>
                <w:highlight w:val="none"/>
              </w:rPr>
              <w:t>10.1097/TA.0000000000003879</w:t>
            </w:r>
            <w:r>
              <w:rPr>
                <w:rStyle w:val="10"/>
                <w:rFonts w:hint="default" w:ascii="Times New Roman Regular" w:hAnsi="Times New Roman Regular" w:cs="Times New Roman Regular"/>
                <w:sz w:val="24"/>
                <w:szCs w:val="24"/>
                <w:highlight w:val="none"/>
              </w:rPr>
              <w:fldChar w:fldCharType="end"/>
            </w:r>
            <w:r>
              <w:rPr>
                <w:rFonts w:hint="default" w:ascii="Times New Roman Regular" w:hAnsi="Times New Roman Regular" w:cs="Times New Roman Regular"/>
                <w:sz w:val="24"/>
                <w:szCs w:val="24"/>
                <w:highlight w:val="none"/>
              </w:rPr>
              <w:t>)</w:t>
            </w:r>
          </w:p>
        </w:tc>
        <w:tc>
          <w:tcPr>
            <w:tcW w:w="1811" w:type="dxa"/>
            <w:tcMar>
              <w:top w:w="60" w:type="dxa"/>
              <w:left w:w="120" w:type="dxa"/>
              <w:bottom w:w="30" w:type="dxa"/>
              <w:right w:w="120" w:type="dxa"/>
            </w:tcMar>
          </w:tcPr>
          <w:p w14:paraId="6784156B">
            <w:pPr>
              <w:pStyle w:val="12"/>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319</w:t>
            </w:r>
          </w:p>
        </w:tc>
        <w:tc>
          <w:tcPr>
            <w:tcW w:w="2216" w:type="dxa"/>
            <w:tcMar>
              <w:top w:w="60" w:type="dxa"/>
              <w:left w:w="120" w:type="dxa"/>
              <w:bottom w:w="30" w:type="dxa"/>
              <w:right w:w="120" w:type="dxa"/>
            </w:tcMar>
          </w:tcPr>
          <w:p w14:paraId="3C5EAF76">
            <w:pPr>
              <w:pStyle w:val="12"/>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Multicenter (USA)</w:t>
            </w:r>
          </w:p>
        </w:tc>
        <w:tc>
          <w:tcPr>
            <w:tcW w:w="4433" w:type="dxa"/>
            <w:tcMar>
              <w:top w:w="60" w:type="dxa"/>
              <w:left w:w="120" w:type="dxa"/>
              <w:bottom w:w="30" w:type="dxa"/>
              <w:right w:w="120" w:type="dxa"/>
            </w:tcMar>
          </w:tcPr>
          <w:p w14:paraId="7A7D7304">
            <w:pPr>
              <w:pStyle w:val="12"/>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 xml:space="preserve">- Overall survival: 7.2% (23/319). </w:t>
            </w:r>
          </w:p>
          <w:p w14:paraId="66F6AC7A">
            <w:pPr>
              <w:pStyle w:val="12"/>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 Penetrating injury survival: 13.4% (19/142). - Blunt injury survival: 2.3% (4/177)</w:t>
            </w:r>
          </w:p>
        </w:tc>
        <w:tc>
          <w:tcPr>
            <w:tcW w:w="2595" w:type="dxa"/>
            <w:tcMar>
              <w:top w:w="60" w:type="dxa"/>
              <w:left w:w="120" w:type="dxa"/>
              <w:bottom w:w="30" w:type="dxa"/>
              <w:right w:w="120" w:type="dxa"/>
            </w:tcMar>
          </w:tcPr>
          <w:p w14:paraId="79232187">
            <w:pPr>
              <w:pStyle w:val="12"/>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Systematic review (retrospective case series)</w:t>
            </w:r>
          </w:p>
        </w:tc>
      </w:tr>
      <w:tr w14:paraId="602FB40D">
        <w:tc>
          <w:tcPr>
            <w:tcW w:w="3032" w:type="dxa"/>
            <w:tcMar>
              <w:top w:w="60" w:type="dxa"/>
              <w:left w:w="120" w:type="dxa"/>
              <w:bottom w:w="30" w:type="dxa"/>
              <w:right w:w="120" w:type="dxa"/>
            </w:tcMar>
          </w:tcPr>
          <w:p w14:paraId="553D2A3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Agostinucci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"https://doi.org/10.1111/ijn.13244"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10.1111/ijn.13244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6C31613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3964</w:t>
            </w:r>
          </w:p>
        </w:tc>
        <w:tc>
          <w:tcPr>
            <w:tcW w:w="2216" w:type="dxa"/>
            <w:tcMar>
              <w:top w:w="60" w:type="dxa"/>
              <w:left w:w="120" w:type="dxa"/>
              <w:bottom w:w="30" w:type="dxa"/>
              <w:right w:w="120" w:type="dxa"/>
            </w:tcMar>
          </w:tcPr>
          <w:p w14:paraId="68A3AB5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Seine-Saint-Denis, France</w:t>
            </w:r>
          </w:p>
        </w:tc>
        <w:tc>
          <w:tcPr>
            <w:tcW w:w="4433" w:type="dxa"/>
            <w:tcMar>
              <w:top w:w="60" w:type="dxa"/>
              <w:left w:w="120" w:type="dxa"/>
              <w:bottom w:w="30" w:type="dxa"/>
              <w:right w:w="120" w:type="dxa"/>
            </w:tcMar>
          </w:tcPr>
          <w:p w14:paraId="3ABF54F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ROSC: IO group (27%, 213/775); other access group (35%, 1122/3187). </w:t>
            </w:r>
          </w:p>
          <w:p w14:paraId="2A4A322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IO</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 group (1%, 10/775); other access group (7%, 209/3187)</w:t>
            </w:r>
          </w:p>
        </w:tc>
        <w:tc>
          <w:tcPr>
            <w:tcW w:w="2595" w:type="dxa"/>
            <w:tcMar>
              <w:top w:w="60" w:type="dxa"/>
              <w:left w:w="120" w:type="dxa"/>
              <w:bottom w:w="30" w:type="dxa"/>
              <w:right w:w="120" w:type="dxa"/>
            </w:tcMar>
          </w:tcPr>
          <w:p w14:paraId="70266B3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observational study</w:t>
            </w:r>
          </w:p>
        </w:tc>
      </w:tr>
      <w:tr w14:paraId="30B4DE8A">
        <w:tc>
          <w:tcPr>
            <w:tcW w:w="3032" w:type="dxa"/>
            <w:tcMar>
              <w:top w:w="60" w:type="dxa"/>
              <w:left w:w="120" w:type="dxa"/>
              <w:bottom w:w="30" w:type="dxa"/>
              <w:right w:w="120" w:type="dxa"/>
            </w:tcMar>
          </w:tcPr>
          <w:p w14:paraId="5900E09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Smida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"https://doi.org/10.1007/s00068-023-02279-9"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10.1007/s00068-023-02279-9</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60B3143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4942</w:t>
            </w:r>
          </w:p>
        </w:tc>
        <w:tc>
          <w:tcPr>
            <w:tcW w:w="2216" w:type="dxa"/>
            <w:tcMar>
              <w:top w:w="60" w:type="dxa"/>
              <w:left w:w="120" w:type="dxa"/>
              <w:bottom w:w="30" w:type="dxa"/>
              <w:right w:w="120" w:type="dxa"/>
            </w:tcMar>
          </w:tcPr>
          <w:p w14:paraId="7DD4066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 (2000 EMS agencies)</w:t>
            </w:r>
          </w:p>
        </w:tc>
        <w:tc>
          <w:tcPr>
            <w:tcW w:w="4433" w:type="dxa"/>
            <w:tcMar>
              <w:top w:w="60" w:type="dxa"/>
              <w:left w:w="120" w:type="dxa"/>
              <w:bottom w:w="30" w:type="dxa"/>
              <w:right w:w="120" w:type="dxa"/>
            </w:tcMar>
          </w:tcPr>
          <w:p w14:paraId="1BB554D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ROSC at ED arrival: 14.6%. </w:t>
            </w:r>
          </w:p>
          <w:p w14:paraId="637F2CA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hospital discharge: 3.2%</w:t>
            </w:r>
          </w:p>
        </w:tc>
        <w:tc>
          <w:tcPr>
            <w:tcW w:w="2595" w:type="dxa"/>
            <w:tcMar>
              <w:top w:w="60" w:type="dxa"/>
              <w:left w:w="120" w:type="dxa"/>
              <w:bottom w:w="30" w:type="dxa"/>
              <w:right w:w="120" w:type="dxa"/>
            </w:tcMar>
          </w:tcPr>
          <w:p w14:paraId="3DB6D3B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7C118829">
        <w:tc>
          <w:tcPr>
            <w:tcW w:w="3032" w:type="dxa"/>
            <w:tcMar>
              <w:top w:w="60" w:type="dxa"/>
              <w:left w:w="120" w:type="dxa"/>
              <w:bottom w:w="30" w:type="dxa"/>
              <w:right w:w="120" w:type="dxa"/>
            </w:tcMar>
          </w:tcPr>
          <w:p w14:paraId="027A429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Kim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"https://doi.org/10.22514/sv.2023.128"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10.22514/sv.2023.128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0877999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20247</w:t>
            </w:r>
          </w:p>
        </w:tc>
        <w:tc>
          <w:tcPr>
            <w:tcW w:w="2216" w:type="dxa"/>
            <w:tcMar>
              <w:top w:w="60" w:type="dxa"/>
              <w:left w:w="120" w:type="dxa"/>
              <w:bottom w:w="30" w:type="dxa"/>
              <w:right w:w="120" w:type="dxa"/>
            </w:tcMar>
          </w:tcPr>
          <w:p w14:paraId="118ED22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Republic of Korea</w:t>
            </w:r>
          </w:p>
        </w:tc>
        <w:tc>
          <w:tcPr>
            <w:tcW w:w="4433" w:type="dxa"/>
            <w:tcMar>
              <w:top w:w="60" w:type="dxa"/>
              <w:left w:w="120" w:type="dxa"/>
              <w:bottom w:w="30" w:type="dxa"/>
              <w:right w:w="120" w:type="dxa"/>
            </w:tcMar>
          </w:tcPr>
          <w:p w14:paraId="1A43A9D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discharge: Non-shockable (8.3%); shockable (16.7%); non-hydration (7.9%); hydration (10.0%)</w:t>
            </w:r>
          </w:p>
          <w:p w14:paraId="339A6B7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Good neurological status at discharge: Non-shockable (0.2%); shockable (3.0%); non-hydration (0.2%); hydration (0.3%). </w:t>
            </w:r>
          </w:p>
          <w:p w14:paraId="3F240CFA">
            <w:pPr>
              <w:pStyle w:val="12"/>
              <w:rPr>
                <w:rFonts w:hint="default" w:ascii="Times New Roman Regular" w:hAnsi="Times New Roman Regular" w:cs="Times New Roman Regular"/>
                <w:sz w:val="24"/>
                <w:szCs w:val="24"/>
              </w:rPr>
            </w:pPr>
          </w:p>
        </w:tc>
        <w:tc>
          <w:tcPr>
            <w:tcW w:w="2595" w:type="dxa"/>
            <w:tcMar>
              <w:top w:w="60" w:type="dxa"/>
              <w:left w:w="120" w:type="dxa"/>
              <w:bottom w:w="30" w:type="dxa"/>
              <w:right w:w="120" w:type="dxa"/>
            </w:tcMar>
          </w:tcPr>
          <w:p w14:paraId="58FCA6C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observational study</w:t>
            </w:r>
          </w:p>
        </w:tc>
      </w:tr>
      <w:tr w14:paraId="1E6FF69A">
        <w:tc>
          <w:tcPr>
            <w:tcW w:w="3032" w:type="dxa"/>
            <w:tcMar>
              <w:top w:w="60" w:type="dxa"/>
              <w:left w:w="120" w:type="dxa"/>
              <w:bottom w:w="30" w:type="dxa"/>
              <w:right w:w="120" w:type="dxa"/>
            </w:tcMar>
          </w:tcPr>
          <w:p w14:paraId="1802339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Benhamed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"https://doi.org/10.1097/TA.0000000000003474"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10.1097/TA.0000000000003474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78EC9FA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4922</w:t>
            </w:r>
          </w:p>
        </w:tc>
        <w:tc>
          <w:tcPr>
            <w:tcW w:w="2216" w:type="dxa"/>
            <w:tcMar>
              <w:top w:w="60" w:type="dxa"/>
              <w:left w:w="120" w:type="dxa"/>
              <w:bottom w:w="30" w:type="dxa"/>
              <w:right w:w="120" w:type="dxa"/>
            </w:tcMar>
          </w:tcPr>
          <w:p w14:paraId="1A2A945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4433" w:type="dxa"/>
            <w:tcMar>
              <w:top w:w="60" w:type="dxa"/>
              <w:left w:w="120" w:type="dxa"/>
              <w:bottom w:w="30" w:type="dxa"/>
              <w:right w:w="120" w:type="dxa"/>
            </w:tcMar>
          </w:tcPr>
          <w:p w14:paraId="1C53C0B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Sustained on-scene ROSC: 21.1% (1037/4922). </w:t>
            </w:r>
          </w:p>
          <w:p w14:paraId="69FAFE9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- 30-day survival: 1.4% (67/4922). </w:t>
            </w:r>
          </w:p>
          <w:p w14:paraId="40A8582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 (CPC 1-2): 72.2% (39/54)</w:t>
            </w:r>
          </w:p>
        </w:tc>
        <w:tc>
          <w:tcPr>
            <w:tcW w:w="2595" w:type="dxa"/>
            <w:tcMar>
              <w:top w:w="60" w:type="dxa"/>
              <w:left w:w="120" w:type="dxa"/>
              <w:bottom w:w="30" w:type="dxa"/>
              <w:right w:w="120" w:type="dxa"/>
            </w:tcMar>
          </w:tcPr>
          <w:p w14:paraId="4AC6223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695D5E8C">
        <w:tc>
          <w:tcPr>
            <w:tcW w:w="3032" w:type="dxa"/>
            <w:tcMar>
              <w:top w:w="60" w:type="dxa"/>
              <w:left w:w="120" w:type="dxa"/>
              <w:bottom w:w="30" w:type="dxa"/>
              <w:right w:w="120" w:type="dxa"/>
            </w:tcMar>
          </w:tcPr>
          <w:p w14:paraId="073E8C3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Witt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"https://doi.org/10.1080/10903127.2025.2461283"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10.1080/10903127.2025.2461283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Mar>
              <w:top w:w="60" w:type="dxa"/>
              <w:left w:w="120" w:type="dxa"/>
              <w:bottom w:w="30" w:type="dxa"/>
              <w:right w:w="120" w:type="dxa"/>
            </w:tcMar>
          </w:tcPr>
          <w:p w14:paraId="1FDCC0A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1631</w:t>
            </w:r>
          </w:p>
        </w:tc>
        <w:tc>
          <w:tcPr>
            <w:tcW w:w="2216" w:type="dxa"/>
            <w:tcMar>
              <w:top w:w="60" w:type="dxa"/>
              <w:left w:w="120" w:type="dxa"/>
              <w:bottom w:w="30" w:type="dxa"/>
              <w:right w:w="120" w:type="dxa"/>
            </w:tcMar>
          </w:tcPr>
          <w:p w14:paraId="03123CA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 (7 trauma centers)</w:t>
            </w:r>
          </w:p>
        </w:tc>
        <w:tc>
          <w:tcPr>
            <w:tcW w:w="4433" w:type="dxa"/>
            <w:tcMar>
              <w:top w:w="60" w:type="dxa"/>
              <w:left w:w="120" w:type="dxa"/>
              <w:bottom w:w="30" w:type="dxa"/>
              <w:right w:w="120" w:type="dxa"/>
            </w:tcMar>
          </w:tcPr>
          <w:p w14:paraId="31B1AAD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Survival to hospital discharge: Prehospital epinephrine group (5%, 43/844); no epinephrine group (16%, 125/787). </w:t>
            </w:r>
          </w:p>
          <w:p w14:paraId="4A19D9C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Blunt injury survival: Epinephrine (3%, 12/382); no epinephrine (16%, 54/330). </w:t>
            </w:r>
          </w:p>
          <w:p w14:paraId="294D13E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Penetrating injury survival: Epinephrine (4%, 10/276); no epinephrine (6%, 22/374)</w:t>
            </w:r>
          </w:p>
        </w:tc>
        <w:tc>
          <w:tcPr>
            <w:tcW w:w="2595" w:type="dxa"/>
            <w:tcMar>
              <w:top w:w="60" w:type="dxa"/>
              <w:left w:w="120" w:type="dxa"/>
              <w:bottom w:w="30" w:type="dxa"/>
              <w:right w:w="120" w:type="dxa"/>
            </w:tcMar>
          </w:tcPr>
          <w:p w14:paraId="62CE6D0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2D69F4BC">
        <w:tc>
          <w:tcPr>
            <w:tcW w:w="3032" w:type="dxa"/>
          </w:tcPr>
          <w:p w14:paraId="7D847BA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Aoki M,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"https://doi.org/10.1038/s41598-019-46460-w"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10.1038/s41598-019-46460-w</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22BE03F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5,204</w:t>
            </w:r>
          </w:p>
        </w:tc>
        <w:tc>
          <w:tcPr>
            <w:tcW w:w="2216" w:type="dxa"/>
          </w:tcPr>
          <w:p w14:paraId="16B5DB6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Pr>
          <w:p w14:paraId="4A17181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- 1-month survival: Epinephrine group 1.5% (11/758), No epinephrine group 0.9% (41/4,446)</w:t>
            </w:r>
          </w:p>
          <w:p w14:paraId="7866775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ROSC: Epinephrine group 9.8% (74/758), No epinephrine group 0.9% (40/4,446)</w:t>
            </w:r>
          </w:p>
          <w:p w14:paraId="52F38D1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eastAsia" w:ascii="Times New Roman Regular" w:hAnsi="Times New Roman Regular" w:cs="Times New Roman Regular"/>
                <w:sz w:val="24"/>
                <w:szCs w:val="24"/>
                <w:lang w:val="en-US" w:eastAsia="zh-CN"/>
              </w:rPr>
              <w:t>P</w:t>
            </w:r>
            <w:r>
              <w:rPr>
                <w:rFonts w:hint="default" w:ascii="Times New Roman Regular" w:hAnsi="Times New Roman Regular" w:cs="Times New Roman Regular"/>
                <w:sz w:val="24"/>
                <w:szCs w:val="24"/>
              </w:rPr>
              <w:t>ropensity score-matched 1-month survival: Epinephrine group 2.2% (7/317), No epinephrine group 0.9% (3/317)</w:t>
            </w:r>
          </w:p>
          <w:p w14:paraId="2739310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eastAsia" w:ascii="Times New Roman Regular" w:hAnsi="Times New Roman Regular" w:cs="Times New Roman Regular"/>
                <w:sz w:val="24"/>
                <w:szCs w:val="24"/>
                <w:lang w:val="en-US" w:eastAsia="zh-CN"/>
              </w:rPr>
              <w:t>P</w:t>
            </w:r>
            <w:r>
              <w:rPr>
                <w:rFonts w:hint="default" w:ascii="Times New Roman Regular" w:hAnsi="Times New Roman Regular" w:cs="Times New Roman Regular"/>
                <w:sz w:val="24"/>
                <w:szCs w:val="24"/>
              </w:rPr>
              <w:t>ropensity score-matched prehospital ROSC: Epinephrine group 16.7% (53/317), No epinephrine group 2.8% (9/317)</w:t>
            </w:r>
          </w:p>
        </w:tc>
        <w:tc>
          <w:tcPr>
            <w:tcW w:w="2595" w:type="dxa"/>
          </w:tcPr>
          <w:p w14:paraId="77B5146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Nationwide, prospective, population-based observational study</w:t>
            </w:r>
          </w:p>
        </w:tc>
      </w:tr>
      <w:tr w14:paraId="171EFCE0">
        <w:tc>
          <w:tcPr>
            <w:tcW w:w="3032" w:type="dxa"/>
          </w:tcPr>
          <w:p w14:paraId="2CA46F5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Ahmed N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"https://doi.org/10.14423/SMJ.0000000000000434"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10.14423/SMJ.0000000000000434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4B51CF0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1,269</w:t>
            </w:r>
          </w:p>
        </w:tc>
        <w:tc>
          <w:tcPr>
            <w:tcW w:w="2216" w:type="dxa"/>
          </w:tcPr>
          <w:p w14:paraId="631927B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w:t>
            </w:r>
          </w:p>
        </w:tc>
        <w:tc>
          <w:tcPr>
            <w:tcW w:w="4433" w:type="dxa"/>
          </w:tcPr>
          <w:p w14:paraId="1ABD229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Survival before </w:t>
            </w:r>
            <w:r>
              <w:rPr>
                <w:rFonts w:hint="eastAsia" w:ascii="Times New Roman Regular" w:hAnsi="Times New Roman Regular" w:cs="Times New Roman Regular"/>
                <w:sz w:val="24"/>
                <w:szCs w:val="24"/>
                <w:lang w:val="en-US" w:eastAsia="zh-CN"/>
              </w:rPr>
              <w:t>p</w:t>
            </w:r>
            <w:r>
              <w:rPr>
                <w:rFonts w:hint="default" w:ascii="Times New Roman Regular" w:hAnsi="Times New Roman Regular" w:cs="Times New Roman Regular"/>
                <w:sz w:val="24"/>
                <w:szCs w:val="24"/>
              </w:rPr>
              <w:t>ropensity score</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matching: Helicopter group 16.9% (53/314), Ground group 11.7% (112/955)</w:t>
            </w:r>
          </w:p>
          <w:p w14:paraId="69D7DE3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Survival after </w:t>
            </w:r>
            <w:r>
              <w:rPr>
                <w:rFonts w:hint="eastAsia" w:ascii="Times New Roman Regular" w:hAnsi="Times New Roman Regular" w:cs="Times New Roman Regular"/>
                <w:sz w:val="24"/>
                <w:szCs w:val="24"/>
                <w:lang w:val="en-US" w:eastAsia="zh-CN"/>
              </w:rPr>
              <w:t>p</w:t>
            </w:r>
            <w:r>
              <w:rPr>
                <w:rFonts w:hint="default" w:ascii="Times New Roman Regular" w:hAnsi="Times New Roman Regular" w:cs="Times New Roman Regular"/>
                <w:sz w:val="24"/>
                <w:szCs w:val="24"/>
              </w:rPr>
              <w:t>ropensity score matching: Helicopter group 16.9% (53/314), Ground group 10.2% (32/314)</w:t>
            </w:r>
          </w:p>
        </w:tc>
        <w:tc>
          <w:tcPr>
            <w:tcW w:w="2595" w:type="dxa"/>
          </w:tcPr>
          <w:p w14:paraId="1109337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1AA2556D">
        <w:tc>
          <w:tcPr>
            <w:tcW w:w="3032" w:type="dxa"/>
          </w:tcPr>
          <w:p w14:paraId="74B36A8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Ordoobadi AJ,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"https://doi.org/10.1016/j.resuscitation.2022.08.005"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10.1016/j.resuscitation.2022.08.005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3F44EC9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9,565</w:t>
            </w:r>
          </w:p>
        </w:tc>
        <w:tc>
          <w:tcPr>
            <w:tcW w:w="2216" w:type="dxa"/>
          </w:tcPr>
          <w:p w14:paraId="09E198B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w:t>
            </w:r>
          </w:p>
        </w:tc>
        <w:tc>
          <w:tcPr>
            <w:tcW w:w="4433" w:type="dxa"/>
          </w:tcPr>
          <w:p w14:paraId="6B884C9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ROSC: 25.5%</w:t>
            </w:r>
          </w:p>
          <w:p w14:paraId="6B1076F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(blunt trauma): 28.4%</w:t>
            </w:r>
          </w:p>
          <w:p w14:paraId="71B7303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(penetrating trauma): 11.7%</w:t>
            </w:r>
          </w:p>
          <w:p w14:paraId="25207EB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Presumptively dead at end of incident: 77.7%</w:t>
            </w:r>
          </w:p>
          <w:p w14:paraId="1791D20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Presumptively dead (penetrating trauma): 89.3%</w:t>
            </w:r>
          </w:p>
          <w:p w14:paraId="78BAEBF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Presumptively dead (blunt trauma): 76.3%</w:t>
            </w:r>
          </w:p>
        </w:tc>
        <w:tc>
          <w:tcPr>
            <w:tcW w:w="2595" w:type="dxa"/>
          </w:tcPr>
          <w:p w14:paraId="38F5926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Cross-sectional analysis</w:t>
            </w:r>
          </w:p>
        </w:tc>
      </w:tr>
      <w:tr w14:paraId="59728796">
        <w:tc>
          <w:tcPr>
            <w:tcW w:w="3032" w:type="dxa"/>
          </w:tcPr>
          <w:p w14:paraId="1308965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Chen Y-C,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"https://doi.org/10.1016/j.injury.2018.07.010"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10.1016/j.injury.2018.07.010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554ACC6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463</w:t>
            </w:r>
          </w:p>
        </w:tc>
        <w:tc>
          <w:tcPr>
            <w:tcW w:w="2216" w:type="dxa"/>
          </w:tcPr>
          <w:p w14:paraId="695A8C3B">
            <w:pPr>
              <w:pStyle w:val="12"/>
              <w:rPr>
                <w:rFonts w:hint="eastAsia" w:ascii="Times New Roman Regular" w:hAnsi="Times New Roman Regular" w:eastAsia="DengXian" w:cs="Times New Roman Regular"/>
                <w:sz w:val="24"/>
                <w:szCs w:val="24"/>
                <w:lang w:eastAsia="zh-CN"/>
              </w:rPr>
            </w:pPr>
            <w:r>
              <w:rPr>
                <w:rFonts w:hint="eastAsia" w:ascii="Times New Roman Regular" w:hAnsi="Times New Roman Regular" w:cs="Times New Roman Regular"/>
                <w:sz w:val="24"/>
                <w:szCs w:val="24"/>
                <w:lang w:val="en-US" w:eastAsia="zh-CN"/>
              </w:rPr>
              <w:t>Chinese Taiwan</w:t>
            </w:r>
          </w:p>
        </w:tc>
        <w:tc>
          <w:tcPr>
            <w:tcW w:w="4433" w:type="dxa"/>
          </w:tcPr>
          <w:p w14:paraId="0A4910F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ED ROSC: 16% (73/463)</w:t>
            </w:r>
          </w:p>
          <w:p w14:paraId="3B7C2C2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- 30-day survival: 2% (10/463)</w:t>
            </w:r>
          </w:p>
        </w:tc>
        <w:tc>
          <w:tcPr>
            <w:tcW w:w="2595" w:type="dxa"/>
          </w:tcPr>
          <w:p w14:paraId="2D23CD0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6BC5DABD">
        <w:tc>
          <w:tcPr>
            <w:tcW w:w="3032" w:type="dxa"/>
          </w:tcPr>
          <w:p w14:paraId="66194AF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Tsutsumi Y,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"https://doi.org/10.1016/j.injury.2017.09.005"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10.1016/j.injury.2017.09.005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Pr>
          <w:p w14:paraId="22D33CD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4,313</w:t>
            </w:r>
          </w:p>
        </w:tc>
        <w:tc>
          <w:tcPr>
            <w:tcW w:w="2216" w:type="dxa"/>
          </w:tcPr>
          <w:p w14:paraId="6F116CB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Pr>
          <w:p w14:paraId="5A82B4A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at discharge: Immobilized group 1.8% (57/3307), Non-immobilized group 3.7% (36/1006)</w:t>
            </w:r>
          </w:p>
          <w:p w14:paraId="0BD7662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by admission: Immobilized group 25.0% (788/3307), Non-immobilized group 41.9% (395/1006)</w:t>
            </w:r>
          </w:p>
        </w:tc>
        <w:tc>
          <w:tcPr>
            <w:tcW w:w="2595" w:type="dxa"/>
          </w:tcPr>
          <w:p w14:paraId="6FC6F2E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727A4C76">
        <w:tc>
          <w:tcPr>
            <w:tcW w:w="3032" w:type="dxa"/>
            <w:tcBorders>
              <w:bottom w:val="nil"/>
            </w:tcBorders>
          </w:tcPr>
          <w:p w14:paraId="680D16A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Obara T,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"https://doi.org/10.1016/j.resplu.2024.100701"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10.1016/j.resplu.2024.100701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Borders>
              <w:bottom w:val="nil"/>
            </w:tcBorders>
          </w:tcPr>
          <w:p w14:paraId="356C3F6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1,981</w:t>
            </w:r>
          </w:p>
        </w:tc>
        <w:tc>
          <w:tcPr>
            <w:tcW w:w="2216" w:type="dxa"/>
            <w:tcBorders>
              <w:bottom w:val="nil"/>
            </w:tcBorders>
          </w:tcPr>
          <w:p w14:paraId="7267756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Borders>
              <w:bottom w:val="nil"/>
            </w:tcBorders>
          </w:tcPr>
          <w:p w14:paraId="450ECA8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at discharge: With SOLs group 8.8% (10/114), Without SOLs group 1.3% (25/1867)</w:t>
            </w:r>
          </w:p>
          <w:p w14:paraId="783316D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Favorable neurological outcome (GOS 4-5): With SOLs group 3.5% (4/110), Without SOLs group 0.3% (6/1865)</w:t>
            </w:r>
          </w:p>
        </w:tc>
        <w:tc>
          <w:tcPr>
            <w:tcW w:w="2595" w:type="dxa"/>
            <w:tcBorders>
              <w:bottom w:val="nil"/>
            </w:tcBorders>
          </w:tcPr>
          <w:p w14:paraId="5E617B9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r>
      <w:tr w14:paraId="7C8A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2" w:type="dxa"/>
            <w:tcBorders>
              <w:top w:val="nil"/>
              <w:left w:val="nil"/>
              <w:bottom w:val="nil"/>
              <w:right w:val="nil"/>
            </w:tcBorders>
            <w:tcMar>
              <w:top w:w="60" w:type="dxa"/>
              <w:left w:w="120" w:type="dxa"/>
              <w:bottom w:w="30" w:type="dxa"/>
              <w:right w:w="120" w:type="dxa"/>
            </w:tcMar>
          </w:tcPr>
          <w:p w14:paraId="48565EB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Naito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"https://doi.org/10.1186/s12873-021-00499-z"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10.1186/s12873-021-00499-z</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11" w:type="dxa"/>
            <w:tcBorders>
              <w:top w:val="nil"/>
              <w:left w:val="nil"/>
              <w:bottom w:val="nil"/>
              <w:right w:val="nil"/>
            </w:tcBorders>
            <w:tcMar>
              <w:top w:w="60" w:type="dxa"/>
              <w:left w:w="120" w:type="dxa"/>
              <w:bottom w:w="30" w:type="dxa"/>
              <w:right w:w="120" w:type="dxa"/>
            </w:tcMar>
          </w:tcPr>
          <w:p w14:paraId="008DD00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5336 (4141 with sustained TCA)</w:t>
            </w:r>
          </w:p>
        </w:tc>
        <w:tc>
          <w:tcPr>
            <w:tcW w:w="2216" w:type="dxa"/>
            <w:tcBorders>
              <w:top w:val="nil"/>
              <w:left w:val="nil"/>
              <w:bottom w:val="nil"/>
              <w:right w:val="nil"/>
            </w:tcBorders>
            <w:tcMar>
              <w:top w:w="60" w:type="dxa"/>
              <w:left w:w="120" w:type="dxa"/>
              <w:bottom w:w="30" w:type="dxa"/>
              <w:right w:w="120" w:type="dxa"/>
            </w:tcMar>
          </w:tcPr>
          <w:p w14:paraId="5B5362E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4433" w:type="dxa"/>
            <w:tcBorders>
              <w:top w:val="nil"/>
              <w:left w:val="nil"/>
              <w:bottom w:val="nil"/>
              <w:right w:val="nil"/>
            </w:tcBorders>
            <w:tcMar>
              <w:top w:w="60" w:type="dxa"/>
              <w:left w:w="120" w:type="dxa"/>
              <w:bottom w:w="30" w:type="dxa"/>
              <w:right w:w="120" w:type="dxa"/>
            </w:tcMar>
          </w:tcPr>
          <w:p w14:paraId="7F50431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survival to discharge: 4.5% (239/5336).</w:t>
            </w:r>
          </w:p>
          <w:p w14:paraId="2E0A7FA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discharge for sustained TCA: 1.2% (48/4141).</w:t>
            </w:r>
          </w:p>
          <w:p w14:paraId="0E503C1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discharge</w:t>
            </w:r>
            <w:r>
              <w:rPr>
                <w:rFonts w:hint="eastAsia" w:ascii="Times New Roman Regular" w:hAnsi="Times New Roman Regular" w:cs="Times New Roman Regular"/>
                <w:sz w:val="24"/>
                <w:szCs w:val="24"/>
                <w:lang w:val="en-US" w:eastAsia="zh-CN"/>
              </w:rPr>
              <w:t xml:space="preserve"> for </w:t>
            </w:r>
            <w:r>
              <w:rPr>
                <w:rFonts w:hint="default" w:ascii="Times New Roman Regular" w:hAnsi="Times New Roman Regular" w:cs="Times New Roman Regular"/>
                <w:sz w:val="24"/>
                <w:szCs w:val="24"/>
              </w:rPr>
              <w:t xml:space="preserve">ROSC </w:t>
            </w:r>
            <w:r>
              <w:rPr>
                <w:rFonts w:hint="eastAsia" w:ascii="Times New Roman Regular" w:hAnsi="Times New Roman Regular" w:cs="Times New Roman Regular"/>
                <w:sz w:val="24"/>
                <w:szCs w:val="24"/>
                <w:lang w:val="en-US" w:eastAsia="zh-CN"/>
              </w:rPr>
              <w:t xml:space="preserve">on </w:t>
            </w:r>
            <w:r>
              <w:rPr>
                <w:rFonts w:hint="default" w:ascii="Times New Roman Regular" w:hAnsi="Times New Roman Regular" w:cs="Times New Roman Regular"/>
                <w:sz w:val="24"/>
                <w:szCs w:val="24"/>
              </w:rPr>
              <w:t>arrival: 28.0% (151/539)</w:t>
            </w:r>
          </w:p>
        </w:tc>
        <w:tc>
          <w:tcPr>
            <w:tcW w:w="2595" w:type="dxa"/>
            <w:tcBorders>
              <w:top w:val="nil"/>
              <w:left w:val="nil"/>
              <w:bottom w:val="nil"/>
              <w:right w:val="nil"/>
            </w:tcBorders>
            <w:tcMar>
              <w:top w:w="60" w:type="dxa"/>
              <w:left w:w="120" w:type="dxa"/>
              <w:bottom w:w="30" w:type="dxa"/>
              <w:right w:w="120" w:type="dxa"/>
            </w:tcMar>
          </w:tcPr>
          <w:p w14:paraId="5B78C7F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observational study</w:t>
            </w:r>
          </w:p>
        </w:tc>
      </w:tr>
    </w:tbl>
    <w:p w14:paraId="03BB9D88">
      <w:pP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ROSC rates refer to the proportion of patients achieving successful return of spontaneous circulation at any point during the prehospital or in-hospital resuscitation phases, as defined in each original study. Survival rates are reported as survival to hospital admission, survival to hospital discharge, or longer-term survival, and may include favorable neurological outcomes (such as CPC 1-2 or GOS 4-5) when available. Where available, data are stratified by age group, injury mechanism (blunt vs. penetrating), setting (prehospital vs. in-hospital), or other relevant clinical subgroups. Only original clinical studies reporting quantitative ROSC and/or survival data for human patients with TCA were included in this summary. Studies not specifying clinical outcomes or based on animal/basic science data were excluded. ROSC, return of spontaneous circulation; TCA, traumatic cardiac arrest; OHCA, out-of-hospital cardiac arrest; ED, emergency department; EMS, emergency medical services; CPC, cerebral performance category; GOS, Glasgow Outcome Scale; REBOA, resuscitative endovascular balloon occlusion of the aorta; RT, resuscitative thoracotomy; ALS, advanced life support; MTC, major trauma center; PEA, pulseless electrical activity; SOL, signs of life; AAM, advanced airway management.</w:t>
      </w:r>
    </w:p>
    <w:p w14:paraId="16461838">
      <w:pPr>
        <w:rPr>
          <w:rFonts w:hint="default" w:ascii="Times New Roman Regular" w:hAnsi="Times New Roman Regular" w:cs="Times New Roman Regular"/>
          <w:sz w:val="24"/>
          <w:szCs w:val="24"/>
          <w:lang w:val="en-US" w:eastAsia="zh-CN"/>
        </w:rPr>
      </w:pPr>
    </w:p>
    <w:p w14:paraId="3033C8D0">
      <w:pPr>
        <w:rPr>
          <w:rFonts w:hint="default" w:ascii="Times New Roman Regular" w:hAnsi="Times New Roman Regular" w:cs="Times New Roman Regular"/>
          <w:sz w:val="24"/>
          <w:szCs w:val="24"/>
          <w:lang w:val="en-US" w:eastAsia="zh-CN"/>
        </w:rPr>
      </w:pPr>
    </w:p>
    <w:p w14:paraId="411969E7">
      <w:pPr>
        <w:rPr>
          <w:rFonts w:hint="default" w:ascii="Times New Roman Regular" w:hAnsi="Times New Roman Regular" w:cs="Times New Roman Regular"/>
          <w:sz w:val="24"/>
          <w:szCs w:val="24"/>
          <w:lang w:val="en-US" w:eastAsia="zh-CN"/>
        </w:rPr>
      </w:pPr>
    </w:p>
    <w:p w14:paraId="2228A409">
      <w:pPr>
        <w:rPr>
          <w:rFonts w:hint="default" w:ascii="Times New Roman Regular" w:hAnsi="Times New Roman Regular" w:cs="Times New Roman Regular"/>
          <w:sz w:val="24"/>
          <w:szCs w:val="24"/>
          <w:lang w:val="en-US" w:eastAsia="zh-CN"/>
        </w:rPr>
      </w:pPr>
    </w:p>
    <w:p w14:paraId="213BDD3B">
      <w:pPr>
        <w:rPr>
          <w:rFonts w:hint="default" w:ascii="Times New Roman Regular" w:hAnsi="Times New Roman Regular" w:cs="Times New Roman Regular"/>
          <w:sz w:val="24"/>
          <w:szCs w:val="24"/>
          <w:lang w:val="en-US" w:eastAsia="zh-CN"/>
        </w:rPr>
      </w:pPr>
    </w:p>
    <w:p w14:paraId="3CFC86A0">
      <w:pPr>
        <w:rPr>
          <w:rFonts w:hint="default" w:ascii="Times New Roman Regular" w:hAnsi="Times New Roman Regular" w:cs="Times New Roman Regular"/>
          <w:sz w:val="24"/>
          <w:szCs w:val="24"/>
          <w:lang w:val="en-US" w:eastAsia="zh-CN"/>
        </w:rPr>
      </w:pPr>
    </w:p>
    <w:p w14:paraId="298EAA2F">
      <w:pPr>
        <w:rPr>
          <w:rFonts w:hint="default" w:ascii="Times New Roman Regular" w:hAnsi="Times New Roman Regular" w:cs="Times New Roman Regular"/>
          <w:sz w:val="24"/>
          <w:szCs w:val="24"/>
          <w:lang w:val="en-US" w:eastAsia="zh-CN"/>
        </w:rPr>
      </w:pPr>
    </w:p>
    <w:p w14:paraId="1522BDBC">
      <w:pPr>
        <w:rPr>
          <w:rFonts w:hint="default" w:ascii="Times New Roman Regular" w:hAnsi="Times New Roman Regular" w:cs="Times New Roman Regular"/>
          <w:sz w:val="24"/>
          <w:szCs w:val="24"/>
          <w:lang w:val="en-US" w:eastAsia="zh-CN"/>
        </w:rPr>
      </w:pPr>
    </w:p>
    <w:p w14:paraId="37EA7035">
      <w:pPr>
        <w:pStyle w:val="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 xml:space="preserve">eTable 3. </w:t>
      </w:r>
      <w:r>
        <w:rPr>
          <w:rFonts w:hint="default" w:ascii="Times New Roman Regular" w:hAnsi="Times New Roman Regular" w:cs="Times New Roman Regular"/>
          <w:sz w:val="24"/>
          <w:szCs w:val="24"/>
        </w:rPr>
        <w:t>Summary of intervention-related studies in traumatic cardiac arrest</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140"/>
        <w:gridCol w:w="1284"/>
        <w:gridCol w:w="1214"/>
        <w:gridCol w:w="1931"/>
        <w:gridCol w:w="992"/>
        <w:gridCol w:w="2228"/>
        <w:gridCol w:w="1423"/>
        <w:gridCol w:w="1695"/>
        <w:gridCol w:w="1291"/>
      </w:tblGrid>
      <w:tr w14:paraId="1163748B">
        <w:tc>
          <w:tcPr>
            <w:tcW w:w="2140" w:type="dxa"/>
            <w:tcBorders>
              <w:top w:val="single" w:color="auto" w:sz="4" w:space="0"/>
              <w:bottom w:val="single" w:color="auto" w:sz="4" w:space="0"/>
            </w:tcBorders>
            <w:tcMar>
              <w:top w:w="60" w:type="dxa"/>
              <w:left w:w="120" w:type="dxa"/>
              <w:bottom w:w="30" w:type="dxa"/>
              <w:right w:w="120" w:type="dxa"/>
            </w:tcMar>
          </w:tcPr>
          <w:p w14:paraId="3E07A5B7">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Author (doi)</w:t>
            </w:r>
          </w:p>
        </w:tc>
        <w:tc>
          <w:tcPr>
            <w:tcW w:w="1284" w:type="dxa"/>
            <w:tcBorders>
              <w:top w:val="single" w:color="auto" w:sz="4" w:space="0"/>
              <w:bottom w:val="single" w:color="auto" w:sz="4" w:space="0"/>
            </w:tcBorders>
            <w:tcMar>
              <w:top w:w="60" w:type="dxa"/>
              <w:left w:w="120" w:type="dxa"/>
              <w:bottom w:w="30" w:type="dxa"/>
              <w:right w:w="120" w:type="dxa"/>
            </w:tcMar>
          </w:tcPr>
          <w:p w14:paraId="7C36616F">
            <w:pPr>
              <w:pStyle w:val="12"/>
              <w:rPr>
                <w:rFonts w:hint="eastAsia" w:ascii="Times New Roman Bold" w:hAnsi="Times New Roman Bold" w:eastAsia="DengXian" w:cs="Times New Roman Bold"/>
                <w:b/>
                <w:bCs/>
                <w:sz w:val="24"/>
                <w:szCs w:val="24"/>
                <w:lang w:eastAsia="zh-CN"/>
              </w:rPr>
            </w:pPr>
            <w:r>
              <w:rPr>
                <w:rFonts w:hint="default" w:ascii="Times New Roman Bold" w:hAnsi="Times New Roman Bold" w:cs="Times New Roman Bold"/>
                <w:b/>
                <w:bCs/>
                <w:sz w:val="24"/>
                <w:szCs w:val="24"/>
              </w:rPr>
              <w:t xml:space="preserve">Year </w:t>
            </w:r>
            <w:r>
              <w:rPr>
                <w:rFonts w:hint="eastAsia" w:ascii="Times New Roman Bold" w:hAnsi="Times New Roman Bold" w:cs="Times New Roman Bold"/>
                <w:b/>
                <w:bCs/>
                <w:sz w:val="24"/>
                <w:szCs w:val="24"/>
                <w:lang w:val="en-US" w:eastAsia="zh-CN"/>
              </w:rPr>
              <w:t>range</w:t>
            </w:r>
          </w:p>
        </w:tc>
        <w:tc>
          <w:tcPr>
            <w:tcW w:w="1214" w:type="dxa"/>
            <w:tcBorders>
              <w:top w:val="single" w:color="auto" w:sz="4" w:space="0"/>
              <w:bottom w:val="single" w:color="auto" w:sz="4" w:space="0"/>
            </w:tcBorders>
            <w:tcMar>
              <w:top w:w="60" w:type="dxa"/>
              <w:left w:w="120" w:type="dxa"/>
              <w:bottom w:w="30" w:type="dxa"/>
              <w:right w:w="120" w:type="dxa"/>
            </w:tcMar>
          </w:tcPr>
          <w:p w14:paraId="58F72501">
            <w:pPr>
              <w:pStyle w:val="12"/>
              <w:rPr>
                <w:rFonts w:hint="default" w:ascii="Times New Roman Bold" w:hAnsi="Times New Roman Bold" w:cs="Times New Roman Bold"/>
                <w:b/>
                <w:bCs/>
                <w:sz w:val="24"/>
                <w:szCs w:val="24"/>
              </w:rPr>
            </w:pPr>
            <w:r>
              <w:rPr>
                <w:rFonts w:hint="eastAsia" w:ascii="Times New Roman Bold" w:hAnsi="Times New Roman Bold" w:cs="Times New Roman Bold"/>
                <w:b/>
                <w:bCs/>
                <w:sz w:val="24"/>
                <w:szCs w:val="24"/>
                <w:lang w:val="en-US" w:eastAsia="zh-CN"/>
              </w:rPr>
              <w:t>Country/</w:t>
            </w:r>
            <w:r>
              <w:rPr>
                <w:rFonts w:hint="default" w:ascii="Times New Roman Bold" w:hAnsi="Times New Roman Bold" w:cs="Times New Roman Bold"/>
                <w:b/>
                <w:bCs/>
                <w:sz w:val="24"/>
                <w:szCs w:val="24"/>
                <w:lang w:val="en-US" w:eastAsia="zh-CN"/>
              </w:rPr>
              <w:t>R</w:t>
            </w:r>
            <w:r>
              <w:rPr>
                <w:rFonts w:hint="default" w:ascii="Times New Roman Bold" w:hAnsi="Times New Roman Bold" w:cs="Times New Roman Bold"/>
                <w:b/>
                <w:bCs/>
                <w:sz w:val="24"/>
                <w:szCs w:val="24"/>
              </w:rPr>
              <w:t>egion</w:t>
            </w:r>
          </w:p>
        </w:tc>
        <w:tc>
          <w:tcPr>
            <w:tcW w:w="1931" w:type="dxa"/>
            <w:tcBorders>
              <w:top w:val="single" w:color="auto" w:sz="4" w:space="0"/>
              <w:bottom w:val="single" w:color="auto" w:sz="4" w:space="0"/>
            </w:tcBorders>
            <w:tcMar>
              <w:top w:w="60" w:type="dxa"/>
              <w:left w:w="120" w:type="dxa"/>
              <w:bottom w:w="30" w:type="dxa"/>
              <w:right w:w="120" w:type="dxa"/>
            </w:tcMar>
          </w:tcPr>
          <w:p w14:paraId="4B0E1550">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 xml:space="preserve">Study </w:t>
            </w:r>
            <w:r>
              <w:rPr>
                <w:rFonts w:hint="default" w:ascii="Times New Roman Bold" w:hAnsi="Times New Roman Bold" w:cs="Times New Roman Bold"/>
                <w:b/>
                <w:bCs/>
                <w:sz w:val="24"/>
                <w:szCs w:val="24"/>
                <w:lang w:val="en-US"/>
              </w:rPr>
              <w:t>d</w:t>
            </w:r>
            <w:r>
              <w:rPr>
                <w:rFonts w:hint="default" w:ascii="Times New Roman Bold" w:hAnsi="Times New Roman Bold" w:cs="Times New Roman Bold"/>
                <w:b/>
                <w:bCs/>
                <w:sz w:val="24"/>
                <w:szCs w:val="24"/>
              </w:rPr>
              <w:t>esign</w:t>
            </w:r>
          </w:p>
        </w:tc>
        <w:tc>
          <w:tcPr>
            <w:tcW w:w="992" w:type="dxa"/>
            <w:tcBorders>
              <w:top w:val="single" w:color="auto" w:sz="4" w:space="0"/>
              <w:bottom w:val="single" w:color="auto" w:sz="4" w:space="0"/>
            </w:tcBorders>
            <w:tcMar>
              <w:top w:w="60" w:type="dxa"/>
              <w:left w:w="120" w:type="dxa"/>
              <w:bottom w:w="30" w:type="dxa"/>
              <w:right w:w="120" w:type="dxa"/>
            </w:tcMar>
          </w:tcPr>
          <w:p w14:paraId="533794EA">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Sample size</w:t>
            </w:r>
          </w:p>
        </w:tc>
        <w:tc>
          <w:tcPr>
            <w:tcW w:w="2228" w:type="dxa"/>
            <w:tcBorders>
              <w:top w:val="single" w:color="auto" w:sz="4" w:space="0"/>
              <w:bottom w:val="single" w:color="auto" w:sz="4" w:space="0"/>
            </w:tcBorders>
            <w:tcMar>
              <w:top w:w="60" w:type="dxa"/>
              <w:left w:w="120" w:type="dxa"/>
              <w:bottom w:w="30" w:type="dxa"/>
              <w:right w:w="120" w:type="dxa"/>
            </w:tcMar>
          </w:tcPr>
          <w:p w14:paraId="6F8C258B">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 xml:space="preserve">Intervention(s) </w:t>
            </w:r>
            <w:r>
              <w:rPr>
                <w:rFonts w:hint="default" w:ascii="Times New Roman Bold" w:hAnsi="Times New Roman Bold" w:cs="Times New Roman Bold"/>
                <w:b/>
                <w:bCs/>
                <w:sz w:val="24"/>
                <w:szCs w:val="24"/>
                <w:lang w:val="en-US"/>
              </w:rPr>
              <w:t>e</w:t>
            </w:r>
            <w:r>
              <w:rPr>
                <w:rFonts w:hint="default" w:ascii="Times New Roman Bold" w:hAnsi="Times New Roman Bold" w:cs="Times New Roman Bold"/>
                <w:b/>
                <w:bCs/>
                <w:sz w:val="24"/>
                <w:szCs w:val="24"/>
              </w:rPr>
              <w:t>valuated</w:t>
            </w:r>
          </w:p>
        </w:tc>
        <w:tc>
          <w:tcPr>
            <w:tcW w:w="1423" w:type="dxa"/>
            <w:tcBorders>
              <w:top w:val="single" w:color="auto" w:sz="4" w:space="0"/>
              <w:bottom w:val="single" w:color="auto" w:sz="4" w:space="0"/>
            </w:tcBorders>
            <w:tcMar>
              <w:top w:w="60" w:type="dxa"/>
              <w:left w:w="120" w:type="dxa"/>
              <w:bottom w:w="30" w:type="dxa"/>
              <w:right w:w="120" w:type="dxa"/>
            </w:tcMar>
          </w:tcPr>
          <w:p w14:paraId="35B0287C">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 xml:space="preserve">Comparison </w:t>
            </w:r>
            <w:r>
              <w:rPr>
                <w:rFonts w:hint="default" w:ascii="Times New Roman Bold" w:hAnsi="Times New Roman Bold" w:cs="Times New Roman Bold"/>
                <w:b/>
                <w:bCs/>
                <w:sz w:val="24"/>
                <w:szCs w:val="24"/>
                <w:lang w:val="en-US"/>
              </w:rPr>
              <w:t>g</w:t>
            </w:r>
            <w:r>
              <w:rPr>
                <w:rFonts w:hint="default" w:ascii="Times New Roman Bold" w:hAnsi="Times New Roman Bold" w:cs="Times New Roman Bold"/>
                <w:b/>
                <w:bCs/>
                <w:sz w:val="24"/>
                <w:szCs w:val="24"/>
              </w:rPr>
              <w:t>roup</w:t>
            </w:r>
          </w:p>
        </w:tc>
        <w:tc>
          <w:tcPr>
            <w:tcW w:w="1695" w:type="dxa"/>
            <w:tcBorders>
              <w:top w:val="single" w:color="auto" w:sz="4" w:space="0"/>
              <w:bottom w:val="single" w:color="auto" w:sz="4" w:space="0"/>
            </w:tcBorders>
            <w:tcMar>
              <w:top w:w="60" w:type="dxa"/>
              <w:left w:w="120" w:type="dxa"/>
              <w:bottom w:w="30" w:type="dxa"/>
              <w:right w:w="120" w:type="dxa"/>
            </w:tcMar>
          </w:tcPr>
          <w:p w14:paraId="67E2D957">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 xml:space="preserve">Key </w:t>
            </w:r>
            <w:r>
              <w:rPr>
                <w:rFonts w:hint="default" w:ascii="Times New Roman Bold" w:hAnsi="Times New Roman Bold" w:cs="Times New Roman Bold"/>
                <w:b/>
                <w:bCs/>
                <w:sz w:val="24"/>
                <w:szCs w:val="24"/>
                <w:lang w:val="en-US"/>
              </w:rPr>
              <w:t>o</w:t>
            </w:r>
            <w:r>
              <w:rPr>
                <w:rFonts w:hint="default" w:ascii="Times New Roman Bold" w:hAnsi="Times New Roman Bold" w:cs="Times New Roman Bold"/>
                <w:b/>
                <w:bCs/>
                <w:sz w:val="24"/>
                <w:szCs w:val="24"/>
              </w:rPr>
              <w:t>utcomes</w:t>
            </w:r>
          </w:p>
        </w:tc>
        <w:tc>
          <w:tcPr>
            <w:tcW w:w="1291" w:type="dxa"/>
            <w:tcBorders>
              <w:top w:val="single" w:color="auto" w:sz="4" w:space="0"/>
              <w:bottom w:val="single" w:color="auto" w:sz="4" w:space="0"/>
            </w:tcBorders>
            <w:tcMar>
              <w:top w:w="60" w:type="dxa"/>
              <w:left w:w="120" w:type="dxa"/>
              <w:bottom w:w="30" w:type="dxa"/>
              <w:right w:w="120" w:type="dxa"/>
            </w:tcMar>
          </w:tcPr>
          <w:p w14:paraId="0D7A9D82">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 xml:space="preserve">Main </w:t>
            </w:r>
            <w:r>
              <w:rPr>
                <w:rFonts w:hint="default" w:ascii="Times New Roman Bold" w:hAnsi="Times New Roman Bold" w:cs="Times New Roman Bold"/>
                <w:b/>
                <w:bCs/>
                <w:sz w:val="24"/>
                <w:szCs w:val="24"/>
                <w:lang w:val="en-US"/>
              </w:rPr>
              <w:t>c</w:t>
            </w:r>
            <w:r>
              <w:rPr>
                <w:rFonts w:hint="default" w:ascii="Times New Roman Bold" w:hAnsi="Times New Roman Bold" w:cs="Times New Roman Bold"/>
                <w:b/>
                <w:bCs/>
                <w:sz w:val="24"/>
                <w:szCs w:val="24"/>
              </w:rPr>
              <w:t>onclusion</w:t>
            </w:r>
          </w:p>
        </w:tc>
      </w:tr>
      <w:tr w14:paraId="6F8E6E19">
        <w:tc>
          <w:tcPr>
            <w:tcW w:w="2140" w:type="dxa"/>
            <w:tcBorders>
              <w:top w:val="single" w:color="auto" w:sz="4" w:space="0"/>
            </w:tcBorders>
            <w:tcMar>
              <w:top w:w="60" w:type="dxa"/>
              <w:left w:w="120" w:type="dxa"/>
              <w:bottom w:w="30" w:type="dxa"/>
              <w:right w:w="120" w:type="dxa"/>
            </w:tcMar>
          </w:tcPr>
          <w:p w14:paraId="71E7B6E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Benhamed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"https://doi.org/10.1016/j.resuscitation.2023.109763"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10.1016/j.resuscitation.2023.109763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tcBorders>
              <w:top w:val="single" w:color="auto" w:sz="4" w:space="0"/>
            </w:tcBorders>
            <w:tcMar>
              <w:top w:w="60" w:type="dxa"/>
              <w:left w:w="120" w:type="dxa"/>
              <w:bottom w:w="30" w:type="dxa"/>
              <w:right w:w="120" w:type="dxa"/>
            </w:tcMar>
          </w:tcPr>
          <w:p w14:paraId="6FAC1F7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2011</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2020</w:t>
            </w:r>
          </w:p>
        </w:tc>
        <w:tc>
          <w:tcPr>
            <w:tcW w:w="1214" w:type="dxa"/>
            <w:tcBorders>
              <w:top w:val="single" w:color="auto" w:sz="4" w:space="0"/>
            </w:tcBorders>
            <w:tcMar>
              <w:top w:w="60" w:type="dxa"/>
              <w:left w:w="120" w:type="dxa"/>
              <w:bottom w:w="30" w:type="dxa"/>
              <w:right w:w="120" w:type="dxa"/>
            </w:tcMar>
          </w:tcPr>
          <w:p w14:paraId="63B1C1B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1931" w:type="dxa"/>
            <w:tcBorders>
              <w:top w:val="single" w:color="auto" w:sz="4" w:space="0"/>
            </w:tcBorders>
            <w:tcMar>
              <w:top w:w="60" w:type="dxa"/>
              <w:left w:w="120" w:type="dxa"/>
              <w:bottom w:w="30" w:type="dxa"/>
              <w:right w:w="120" w:type="dxa"/>
            </w:tcMar>
          </w:tcPr>
          <w:p w14:paraId="0BA64F0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interrupted time-series analysis</w:t>
            </w:r>
          </w:p>
        </w:tc>
        <w:tc>
          <w:tcPr>
            <w:tcW w:w="992" w:type="dxa"/>
            <w:tcBorders>
              <w:top w:val="single" w:color="auto" w:sz="4" w:space="0"/>
            </w:tcBorders>
            <w:tcMar>
              <w:top w:w="60" w:type="dxa"/>
              <w:left w:w="120" w:type="dxa"/>
              <w:bottom w:w="30" w:type="dxa"/>
              <w:right w:w="120" w:type="dxa"/>
            </w:tcMar>
          </w:tcPr>
          <w:p w14:paraId="2D89EBD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4,980</w:t>
            </w:r>
          </w:p>
        </w:tc>
        <w:tc>
          <w:tcPr>
            <w:tcW w:w="2228" w:type="dxa"/>
            <w:tcBorders>
              <w:top w:val="single" w:color="auto" w:sz="4" w:space="0"/>
            </w:tcBorders>
            <w:tcMar>
              <w:top w:w="60" w:type="dxa"/>
              <w:left w:w="120" w:type="dxa"/>
              <w:bottom w:w="30" w:type="dxa"/>
              <w:right w:w="120" w:type="dxa"/>
            </w:tcMar>
          </w:tcPr>
          <w:p w14:paraId="07EF9B6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2015 ERC guidelines (specific TCA algorithm prioritizing reversible causes: intraosseous catheters, external haemorrhage control, bilateral chest decompression, packed red cell transfusion)</w:t>
            </w:r>
          </w:p>
        </w:tc>
        <w:tc>
          <w:tcPr>
            <w:tcW w:w="1423" w:type="dxa"/>
            <w:tcBorders>
              <w:top w:val="single" w:color="auto" w:sz="4" w:space="0"/>
            </w:tcBorders>
            <w:tcMar>
              <w:top w:w="60" w:type="dxa"/>
              <w:left w:w="120" w:type="dxa"/>
              <w:bottom w:w="30" w:type="dxa"/>
              <w:right w:w="120" w:type="dxa"/>
            </w:tcMar>
          </w:tcPr>
          <w:p w14:paraId="00797F0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Pre-2015 ERC guidelines (2010 guidelines without specific TCA algorithm)</w:t>
            </w:r>
          </w:p>
        </w:tc>
        <w:tc>
          <w:tcPr>
            <w:tcW w:w="1695" w:type="dxa"/>
            <w:tcBorders>
              <w:top w:val="single" w:color="auto" w:sz="4" w:space="0"/>
            </w:tcBorders>
            <w:tcMar>
              <w:top w:w="60" w:type="dxa"/>
              <w:left w:w="120" w:type="dxa"/>
              <w:bottom w:w="30" w:type="dxa"/>
              <w:right w:w="120" w:type="dxa"/>
            </w:tcMar>
          </w:tcPr>
          <w:p w14:paraId="29AE7F6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Increased use of intraosseous catheters (13.0% vs. 19.2%, p&lt;0.001), external haemorrhage control (23.9% vs. 64.8%, p&lt;0.001), bilateral chest decompression (13.7% vs. 16.5%, p=0.009), packed red cell transfusion (2.7% vs. 6.5%, p&lt;0.001) post-guidelines.</w:t>
            </w:r>
          </w:p>
          <w:p w14:paraId="600E3E3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significant changes in prehospital ROSC (22.4% vs. 20.2%, p=0.07), survival (1.4% vs. 1.4%, p=0.87), good neurological outcome (71.4% vs. 66.7%, p=0.93).</w:t>
            </w:r>
          </w:p>
        </w:tc>
        <w:tc>
          <w:tcPr>
            <w:tcW w:w="1291" w:type="dxa"/>
            <w:tcBorders>
              <w:top w:val="single" w:color="auto" w:sz="4" w:space="0"/>
            </w:tcBorders>
            <w:tcMar>
              <w:top w:w="60" w:type="dxa"/>
              <w:left w:w="120" w:type="dxa"/>
              <w:bottom w:w="30" w:type="dxa"/>
              <w:right w:w="120" w:type="dxa"/>
            </w:tcMar>
          </w:tcPr>
          <w:p w14:paraId="327D420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Despite increased trauma rescue interventions post-2015 ERC guidelines, no improvement in patient-centred outcomes was observed.</w:t>
            </w:r>
          </w:p>
        </w:tc>
      </w:tr>
      <w:tr w14:paraId="1232EC67">
        <w:tc>
          <w:tcPr>
            <w:tcW w:w="2140" w:type="dxa"/>
            <w:tcMar>
              <w:top w:w="60" w:type="dxa"/>
              <w:left w:w="120" w:type="dxa"/>
              <w:bottom w:w="30" w:type="dxa"/>
              <w:right w:w="120" w:type="dxa"/>
            </w:tcMar>
          </w:tcPr>
          <w:p w14:paraId="61149D3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Yamamoto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"https://doi.org/10.1186/s13049-019-0657-8"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10.1186/s13049-019-0657-8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tcMar>
              <w:top w:w="60" w:type="dxa"/>
              <w:left w:w="120" w:type="dxa"/>
              <w:bottom w:w="30" w:type="dxa"/>
              <w:right w:w="120" w:type="dxa"/>
            </w:tcMar>
          </w:tcPr>
          <w:p w14:paraId="4866334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2012</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2013</w:t>
            </w:r>
          </w:p>
        </w:tc>
        <w:tc>
          <w:tcPr>
            <w:tcW w:w="1214" w:type="dxa"/>
            <w:tcMar>
              <w:top w:w="60" w:type="dxa"/>
              <w:left w:w="120" w:type="dxa"/>
              <w:bottom w:w="30" w:type="dxa"/>
              <w:right w:w="120" w:type="dxa"/>
            </w:tcMar>
          </w:tcPr>
          <w:p w14:paraId="79AFBCF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1931" w:type="dxa"/>
            <w:tcMar>
              <w:top w:w="60" w:type="dxa"/>
              <w:left w:w="120" w:type="dxa"/>
              <w:bottom w:w="30" w:type="dxa"/>
              <w:right w:w="120" w:type="dxa"/>
            </w:tcMar>
          </w:tcPr>
          <w:p w14:paraId="2957373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Post-hoc analysis of prospective observational study</w:t>
            </w:r>
          </w:p>
        </w:tc>
        <w:tc>
          <w:tcPr>
            <w:tcW w:w="992" w:type="dxa"/>
            <w:tcMar>
              <w:top w:w="60" w:type="dxa"/>
              <w:left w:w="120" w:type="dxa"/>
              <w:bottom w:w="30" w:type="dxa"/>
              <w:right w:w="120" w:type="dxa"/>
            </w:tcMar>
          </w:tcPr>
          <w:p w14:paraId="04BFA94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1,030</w:t>
            </w:r>
          </w:p>
        </w:tc>
        <w:tc>
          <w:tcPr>
            <w:tcW w:w="2228" w:type="dxa"/>
            <w:tcMar>
              <w:top w:w="60" w:type="dxa"/>
              <w:left w:w="120" w:type="dxa"/>
              <w:bottom w:w="30" w:type="dxa"/>
              <w:right w:w="120" w:type="dxa"/>
            </w:tcMar>
          </w:tcPr>
          <w:p w14:paraId="0E0F4DF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In-hospital epinephrine administration</w:t>
            </w:r>
          </w:p>
        </w:tc>
        <w:tc>
          <w:tcPr>
            <w:tcW w:w="1423" w:type="dxa"/>
            <w:tcMar>
              <w:top w:w="60" w:type="dxa"/>
              <w:left w:w="120" w:type="dxa"/>
              <w:bottom w:w="30" w:type="dxa"/>
              <w:right w:w="120" w:type="dxa"/>
            </w:tcMar>
          </w:tcPr>
          <w:p w14:paraId="7305ABC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No epinephrine administration</w:t>
            </w:r>
          </w:p>
        </w:tc>
        <w:tc>
          <w:tcPr>
            <w:tcW w:w="1695" w:type="dxa"/>
            <w:tcMar>
              <w:top w:w="60" w:type="dxa"/>
              <w:left w:w="120" w:type="dxa"/>
              <w:bottom w:w="30" w:type="dxa"/>
              <w:right w:w="120" w:type="dxa"/>
            </w:tcMar>
          </w:tcPr>
          <w:p w14:paraId="5A25C89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- 7-day survival: 1.1% (epinephrine group) vs. 5.3% (no-epinephrine group), (OR 0.20, p&lt;0.01).</w:t>
            </w:r>
          </w:p>
          <w:p w14:paraId="035243C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Propensity score matching confirmed lower survival in epinephrine group (OR 0.11, p=0.02).</w:t>
            </w:r>
          </w:p>
        </w:tc>
        <w:tc>
          <w:tcPr>
            <w:tcW w:w="1291" w:type="dxa"/>
            <w:tcMar>
              <w:top w:w="60" w:type="dxa"/>
              <w:left w:w="120" w:type="dxa"/>
              <w:bottom w:w="30" w:type="dxa"/>
              <w:right w:w="120" w:type="dxa"/>
            </w:tcMar>
          </w:tcPr>
          <w:p w14:paraId="0AD0198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Epinephrine use during resuscitation is associated with decreased 7-day survival in traumatic OHCA.</w:t>
            </w:r>
          </w:p>
        </w:tc>
      </w:tr>
      <w:tr w14:paraId="745B313D">
        <w:tc>
          <w:tcPr>
            <w:tcW w:w="2140" w:type="dxa"/>
            <w:tcMar>
              <w:top w:w="60" w:type="dxa"/>
              <w:left w:w="120" w:type="dxa"/>
              <w:bottom w:w="30" w:type="dxa"/>
              <w:right w:w="120" w:type="dxa"/>
            </w:tcMar>
          </w:tcPr>
          <w:p w14:paraId="00CCBA6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Koh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"https://doi.org/10.1097/TA.0000000000004094"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10.1097/TA.0000000000004094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tcMar>
              <w:top w:w="60" w:type="dxa"/>
              <w:left w:w="120" w:type="dxa"/>
              <w:bottom w:w="30" w:type="dxa"/>
              <w:right w:w="120" w:type="dxa"/>
            </w:tcMar>
          </w:tcPr>
          <w:p w14:paraId="3390D97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2018</w:t>
            </w:r>
          </w:p>
        </w:tc>
        <w:tc>
          <w:tcPr>
            <w:tcW w:w="1214" w:type="dxa"/>
            <w:tcMar>
              <w:top w:w="60" w:type="dxa"/>
              <w:left w:w="120" w:type="dxa"/>
              <w:bottom w:w="30" w:type="dxa"/>
              <w:right w:w="120" w:type="dxa"/>
            </w:tcMar>
          </w:tcPr>
          <w:p w14:paraId="3D4B168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United States</w:t>
            </w:r>
          </w:p>
        </w:tc>
        <w:tc>
          <w:tcPr>
            <w:tcW w:w="1931" w:type="dxa"/>
            <w:tcMar>
              <w:top w:w="60" w:type="dxa"/>
              <w:left w:w="120" w:type="dxa"/>
              <w:bottom w:w="30" w:type="dxa"/>
              <w:right w:w="120" w:type="dxa"/>
            </w:tcMar>
          </w:tcPr>
          <w:p w14:paraId="7A6C179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Secondary analysis of prospective observational study</w:t>
            </w:r>
          </w:p>
        </w:tc>
        <w:tc>
          <w:tcPr>
            <w:tcW w:w="992" w:type="dxa"/>
            <w:tcMar>
              <w:top w:w="60" w:type="dxa"/>
              <w:left w:w="120" w:type="dxa"/>
              <w:bottom w:w="30" w:type="dxa"/>
              <w:right w:w="120" w:type="dxa"/>
            </w:tcMar>
          </w:tcPr>
          <w:p w14:paraId="04CBB4C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72</w:t>
            </w:r>
          </w:p>
        </w:tc>
        <w:tc>
          <w:tcPr>
            <w:tcW w:w="2228" w:type="dxa"/>
            <w:tcMar>
              <w:top w:w="60" w:type="dxa"/>
              <w:left w:w="120" w:type="dxa"/>
              <w:bottom w:w="30" w:type="dxa"/>
              <w:right w:w="120" w:type="dxa"/>
            </w:tcMar>
          </w:tcPr>
          <w:p w14:paraId="5784187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REBOA, resuscitative thoracotomy (RT)</w:t>
            </w:r>
          </w:p>
        </w:tc>
        <w:tc>
          <w:tcPr>
            <w:tcW w:w="1423" w:type="dxa"/>
            <w:tcMar>
              <w:top w:w="60" w:type="dxa"/>
              <w:left w:w="120" w:type="dxa"/>
              <w:bottom w:w="30" w:type="dxa"/>
              <w:right w:w="120" w:type="dxa"/>
            </w:tcMar>
          </w:tcPr>
          <w:p w14:paraId="59C1B1B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REBOA vs. RT</w:t>
            </w:r>
          </w:p>
        </w:tc>
        <w:tc>
          <w:tcPr>
            <w:tcW w:w="1695" w:type="dxa"/>
            <w:tcMar>
              <w:top w:w="60" w:type="dxa"/>
              <w:left w:w="120" w:type="dxa"/>
              <w:bottom w:w="30" w:type="dxa"/>
              <w:right w:w="120" w:type="dxa"/>
            </w:tcMar>
          </w:tcPr>
          <w:p w14:paraId="7966718D">
            <w:pPr>
              <w:pStyle w:val="12"/>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Mortality: 88% (REBOA) vs. 93% (RT), p=0.767.</w:t>
            </w:r>
          </w:p>
          <w:p w14:paraId="7DF059C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Time to aortic occlusion: 7 mins (REBOA) vs. 4 mins (RT), p=0.001.</w:t>
            </w:r>
          </w:p>
          <w:p w14:paraId="638535F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More blood transfusions in REBOA group (p&lt;0.05).</w:t>
            </w:r>
          </w:p>
        </w:tc>
        <w:tc>
          <w:tcPr>
            <w:tcW w:w="1291" w:type="dxa"/>
            <w:tcMar>
              <w:top w:w="60" w:type="dxa"/>
              <w:left w:w="120" w:type="dxa"/>
              <w:bottom w:w="30" w:type="dxa"/>
              <w:right w:w="120" w:type="dxa"/>
            </w:tcMar>
          </w:tcPr>
          <w:p w14:paraId="450B99A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REBOA and RT have similar survival; REBOA has longer time to aortic occlusion and higher transfusion needs.</w:t>
            </w:r>
          </w:p>
        </w:tc>
      </w:tr>
      <w:tr w14:paraId="759DAF30">
        <w:tc>
          <w:tcPr>
            <w:tcW w:w="2140" w:type="dxa"/>
            <w:tcMar>
              <w:top w:w="60" w:type="dxa"/>
              <w:left w:w="120" w:type="dxa"/>
              <w:bottom w:w="30" w:type="dxa"/>
              <w:right w:w="120" w:type="dxa"/>
            </w:tcMar>
          </w:tcPr>
          <w:p w14:paraId="4FA98D1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Savary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"https://doi.org/10.1016/j.resuscitation.2021.05.012"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10.1016/j.resuscitation.2021.05.012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tcMar>
              <w:top w:w="60" w:type="dxa"/>
              <w:left w:w="120" w:type="dxa"/>
              <w:bottom w:w="30" w:type="dxa"/>
              <w:right w:w="120" w:type="dxa"/>
            </w:tcMar>
          </w:tcPr>
          <w:p w14:paraId="097C375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2017</w:t>
            </w:r>
          </w:p>
        </w:tc>
        <w:tc>
          <w:tcPr>
            <w:tcW w:w="1214" w:type="dxa"/>
            <w:tcMar>
              <w:top w:w="60" w:type="dxa"/>
              <w:left w:w="120" w:type="dxa"/>
              <w:bottom w:w="30" w:type="dxa"/>
              <w:right w:w="120" w:type="dxa"/>
            </w:tcMar>
          </w:tcPr>
          <w:p w14:paraId="4FDD732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1931" w:type="dxa"/>
            <w:tcMar>
              <w:top w:w="60" w:type="dxa"/>
              <w:left w:w="120" w:type="dxa"/>
              <w:bottom w:w="30" w:type="dxa"/>
              <w:right w:w="120" w:type="dxa"/>
            </w:tcMar>
          </w:tcPr>
          <w:p w14:paraId="0B805FD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c>
          <w:tcPr>
            <w:tcW w:w="992" w:type="dxa"/>
            <w:tcMar>
              <w:top w:w="60" w:type="dxa"/>
              <w:left w:w="120" w:type="dxa"/>
              <w:bottom w:w="30" w:type="dxa"/>
              <w:right w:w="120" w:type="dxa"/>
            </w:tcMar>
          </w:tcPr>
          <w:p w14:paraId="2B1C00C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287</w:t>
            </w:r>
          </w:p>
        </w:tc>
        <w:tc>
          <w:tcPr>
            <w:tcW w:w="2228" w:type="dxa"/>
            <w:tcMar>
              <w:top w:w="60" w:type="dxa"/>
              <w:left w:w="120" w:type="dxa"/>
              <w:bottom w:w="30" w:type="dxa"/>
              <w:right w:w="120" w:type="dxa"/>
            </w:tcMar>
          </w:tcPr>
          <w:p w14:paraId="181E003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Local TCA guidelines (fluid expansion, bilateral thoracostomy, pelvic stabilisation)</w:t>
            </w:r>
          </w:p>
        </w:tc>
        <w:tc>
          <w:tcPr>
            <w:tcW w:w="1423" w:type="dxa"/>
            <w:tcMar>
              <w:top w:w="60" w:type="dxa"/>
              <w:left w:w="120" w:type="dxa"/>
              <w:bottom w:w="30" w:type="dxa"/>
              <w:right w:w="120" w:type="dxa"/>
            </w:tcMar>
          </w:tcPr>
          <w:p w14:paraId="506B5D0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Pre-guidelines, during-guidelines, post-guidelines periods</w:t>
            </w:r>
          </w:p>
        </w:tc>
        <w:tc>
          <w:tcPr>
            <w:tcW w:w="1695" w:type="dxa"/>
            <w:tcMar>
              <w:top w:w="60" w:type="dxa"/>
              <w:left w:w="120" w:type="dxa"/>
              <w:bottom w:w="30" w:type="dxa"/>
              <w:right w:w="120" w:type="dxa"/>
            </w:tcMar>
          </w:tcPr>
          <w:p w14:paraId="3C80E1BF">
            <w:pPr>
              <w:pStyle w:val="12"/>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Increased fluid expansions (+16%), bilateral thoracostomies (+75%), pelvic stabilisations (+25%) post-guidelines.</w:t>
            </w:r>
          </w:p>
          <w:p w14:paraId="3931B6B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improvement in 30-day survival (pre: 5.26%, post: 3.28%, p&gt;0.05).</w:t>
            </w:r>
          </w:p>
        </w:tc>
        <w:tc>
          <w:tcPr>
            <w:tcW w:w="1291" w:type="dxa"/>
            <w:tcMar>
              <w:top w:w="60" w:type="dxa"/>
              <w:left w:w="120" w:type="dxa"/>
              <w:bottom w:w="30" w:type="dxa"/>
              <w:right w:w="120" w:type="dxa"/>
            </w:tcMar>
          </w:tcPr>
          <w:p w14:paraId="6CC3B5F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Increased adherence to guidelines did not improve survival; reversible measures alone are insufficient.</w:t>
            </w:r>
          </w:p>
        </w:tc>
      </w:tr>
      <w:tr w14:paraId="7FBCC58C">
        <w:tc>
          <w:tcPr>
            <w:tcW w:w="2140" w:type="dxa"/>
            <w:vAlign w:val="top"/>
          </w:tcPr>
          <w:p w14:paraId="1749FD8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McWilliam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"https://doi.org/10.1016/j.jemermed.2025.03.002"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10.1016/j.jemermed.2025.03.002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076ECBA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2014</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2022</w:t>
            </w:r>
          </w:p>
        </w:tc>
        <w:tc>
          <w:tcPr>
            <w:tcW w:w="1214" w:type="dxa"/>
            <w:vAlign w:val="top"/>
          </w:tcPr>
          <w:p w14:paraId="1E21E58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5A83F8E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00C78B5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244</w:t>
            </w:r>
          </w:p>
        </w:tc>
        <w:tc>
          <w:tcPr>
            <w:tcW w:w="2228" w:type="dxa"/>
            <w:vAlign w:val="top"/>
          </w:tcPr>
          <w:p w14:paraId="504EBB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interventions: CPR, thoracostomy, tourniquet, defibrillation, advanced airway placement</w:t>
            </w:r>
          </w:p>
        </w:tc>
        <w:tc>
          <w:tcPr>
            <w:tcW w:w="1423" w:type="dxa"/>
            <w:vAlign w:val="top"/>
          </w:tcPr>
          <w:p w14:paraId="3D4201C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who arrived pulseless to ED</w:t>
            </w:r>
          </w:p>
        </w:tc>
        <w:tc>
          <w:tcPr>
            <w:tcW w:w="1695" w:type="dxa"/>
            <w:vAlign w:val="top"/>
          </w:tcPr>
          <w:p w14:paraId="1B72BFDC">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30% arrived with pulse; 35% of these survived to discharge.</w:t>
            </w:r>
          </w:p>
          <w:p w14:paraId="0183C612">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Penetrating trauma (OR 2.22) and prehospital thoracostomy (OR 2.18) independently associated with pulse on arrival.</w:t>
            </w:r>
          </w:p>
        </w:tc>
        <w:tc>
          <w:tcPr>
            <w:tcW w:w="1291" w:type="dxa"/>
            <w:vAlign w:val="top"/>
          </w:tcPr>
          <w:p w14:paraId="245855A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CPR is not futile; thoracostomy and penetrating trauma predict better pulse-on-arrival. 35% survival is possible for patients arriving with pulse.</w:t>
            </w:r>
          </w:p>
        </w:tc>
      </w:tr>
      <w:tr w14:paraId="3AE46A80">
        <w:tc>
          <w:tcPr>
            <w:tcW w:w="2140" w:type="dxa"/>
            <w:vAlign w:val="top"/>
          </w:tcPr>
          <w:p w14:paraId="372F5A1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von Vopelius-Feldt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"https://doi.org/10.1016/j.resplu.2025.101012"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10.1016/j.resplu.2025.101012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13434E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2018</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2022</w:t>
            </w:r>
          </w:p>
        </w:tc>
        <w:tc>
          <w:tcPr>
            <w:tcW w:w="1214" w:type="dxa"/>
            <w:vAlign w:val="top"/>
          </w:tcPr>
          <w:p w14:paraId="2604778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Canada</w:t>
            </w:r>
          </w:p>
        </w:tc>
        <w:tc>
          <w:tcPr>
            <w:tcW w:w="1931" w:type="dxa"/>
            <w:vAlign w:val="top"/>
          </w:tcPr>
          <w:p w14:paraId="2789C2A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autopsy series</w:t>
            </w:r>
          </w:p>
        </w:tc>
        <w:tc>
          <w:tcPr>
            <w:tcW w:w="992" w:type="dxa"/>
            <w:vAlign w:val="top"/>
          </w:tcPr>
          <w:p w14:paraId="0D6C3B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172</w:t>
            </w:r>
          </w:p>
        </w:tc>
        <w:tc>
          <w:tcPr>
            <w:tcW w:w="2228" w:type="dxa"/>
            <w:vAlign w:val="top"/>
          </w:tcPr>
          <w:p w14:paraId="1EA519D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needle thoracostomy</w:t>
            </w:r>
          </w:p>
        </w:tc>
        <w:tc>
          <w:tcPr>
            <w:tcW w:w="1423" w:type="dxa"/>
            <w:vAlign w:val="top"/>
          </w:tcPr>
          <w:p w14:paraId="182633A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Autopsy findings of residual hemothorax</w:t>
            </w:r>
          </w:p>
        </w:tc>
        <w:tc>
          <w:tcPr>
            <w:tcW w:w="1695" w:type="dxa"/>
            <w:vAlign w:val="top"/>
          </w:tcPr>
          <w:p w14:paraId="1A893D88">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70% had hemothorax; 23% underwent needle thoracostomy.</w:t>
            </w:r>
          </w:p>
          <w:p w14:paraId="388309B1">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42% of needle thoracostomies failed to decompress massive hemothorax.</w:t>
            </w:r>
          </w:p>
        </w:tc>
        <w:tc>
          <w:tcPr>
            <w:tcW w:w="1291" w:type="dxa"/>
            <w:vAlign w:val="top"/>
          </w:tcPr>
          <w:p w14:paraId="28592EA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Needle thoracostomy has high failure rate for massive hemothorax; finger thoracostomy feasibility needs investigation.</w:t>
            </w:r>
          </w:p>
        </w:tc>
      </w:tr>
      <w:tr w14:paraId="3416ACAA">
        <w:tc>
          <w:tcPr>
            <w:tcW w:w="2140" w:type="dxa"/>
            <w:vAlign w:val="top"/>
          </w:tcPr>
          <w:p w14:paraId="621B385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Perkins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"https://doi.org/10.1001/jamasurg.2024.7245"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10.1001/jamasurg.2024.7245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31FAA1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1999</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2019</w:t>
            </w:r>
          </w:p>
        </w:tc>
        <w:tc>
          <w:tcPr>
            <w:tcW w:w="1214" w:type="dxa"/>
            <w:vAlign w:val="top"/>
          </w:tcPr>
          <w:p w14:paraId="35C9D1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931" w:type="dxa"/>
            <w:vAlign w:val="top"/>
          </w:tcPr>
          <w:p w14:paraId="1864FB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1303174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601</w:t>
            </w:r>
          </w:p>
        </w:tc>
        <w:tc>
          <w:tcPr>
            <w:tcW w:w="2228" w:type="dxa"/>
            <w:vAlign w:val="top"/>
          </w:tcPr>
          <w:p w14:paraId="7B73399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resuscitative thoracotomy (RT), blood transfusion, aortic occlusion, internal cardiac massage</w:t>
            </w:r>
          </w:p>
        </w:tc>
        <w:tc>
          <w:tcPr>
            <w:tcW w:w="1423" w:type="dxa"/>
            <w:vAlign w:val="top"/>
          </w:tcPr>
          <w:p w14:paraId="00B5050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with different TCA causes (tamponade vs. exsanguination)</w:t>
            </w:r>
          </w:p>
        </w:tc>
        <w:tc>
          <w:tcPr>
            <w:tcW w:w="1695" w:type="dxa"/>
            <w:vAlign w:val="top"/>
          </w:tcPr>
          <w:p w14:paraId="01F366D9">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5% survived to discharge; 21% of cardiac tamponade patients survived vs. 1.9% of exsanguination patients.</w:t>
            </w:r>
          </w:p>
          <w:p w14:paraId="5E4385AD">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No survivors if TCA duration &gt;15 min (tamponade) or &gt;5 min (exsanguination).</w:t>
            </w:r>
          </w:p>
        </w:tc>
        <w:tc>
          <w:tcPr>
            <w:tcW w:w="1291" w:type="dxa"/>
            <w:vAlign w:val="top"/>
          </w:tcPr>
          <w:p w14:paraId="3647211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RT is feasible and improves survival for TCA due to cardiac tamponade if performed within minutes of arrest.</w:t>
            </w:r>
          </w:p>
        </w:tc>
      </w:tr>
      <w:tr w14:paraId="6E4032E5">
        <w:tc>
          <w:tcPr>
            <w:tcW w:w="2140" w:type="dxa"/>
            <w:vAlign w:val="top"/>
          </w:tcPr>
          <w:p w14:paraId="2F276F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Alhasan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"https://doi.org/10.1097/MD.0000000000020520"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10.1097/MD.0000000000020520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004968F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2017</w:t>
            </w:r>
          </w:p>
        </w:tc>
        <w:tc>
          <w:tcPr>
            <w:tcW w:w="1214" w:type="dxa"/>
            <w:vAlign w:val="top"/>
          </w:tcPr>
          <w:p w14:paraId="078CDBE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Kuwait</w:t>
            </w:r>
          </w:p>
        </w:tc>
        <w:tc>
          <w:tcPr>
            <w:tcW w:w="1931" w:type="dxa"/>
            <w:vAlign w:val="top"/>
          </w:tcPr>
          <w:p w14:paraId="6872977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study</w:t>
            </w:r>
          </w:p>
        </w:tc>
        <w:tc>
          <w:tcPr>
            <w:tcW w:w="992" w:type="dxa"/>
            <w:vAlign w:val="top"/>
          </w:tcPr>
          <w:p w14:paraId="45E65C0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140</w:t>
            </w:r>
          </w:p>
        </w:tc>
        <w:tc>
          <w:tcPr>
            <w:tcW w:w="2228" w:type="dxa"/>
            <w:vAlign w:val="top"/>
          </w:tcPr>
          <w:p w14:paraId="28F02D1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interventions: CPR, airway management, IV fluid resuscitation</w:t>
            </w:r>
          </w:p>
        </w:tc>
        <w:tc>
          <w:tcPr>
            <w:tcW w:w="1423" w:type="dxa"/>
            <w:vAlign w:val="top"/>
          </w:tcPr>
          <w:p w14:paraId="5A12E00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Subgroups by injury mechanism (RTA, FFH, slip/fall, assault)</w:t>
            </w:r>
          </w:p>
        </w:tc>
        <w:tc>
          <w:tcPr>
            <w:tcW w:w="1695" w:type="dxa"/>
            <w:vAlign w:val="top"/>
          </w:tcPr>
          <w:p w14:paraId="638FDE42">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FFH had 60% on-scene mortality; RTA had 24%.</w:t>
            </w:r>
          </w:p>
          <w:p w14:paraId="140F09F5">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CPR and airway management varied by subgroup (CPR: 70% in RTA, 39% in FFH).</w:t>
            </w:r>
          </w:p>
        </w:tc>
        <w:tc>
          <w:tcPr>
            <w:tcW w:w="1291" w:type="dxa"/>
            <w:vAlign w:val="top"/>
          </w:tcPr>
          <w:p w14:paraId="7C0867A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TCA mechanisms have distinct injury patterns; FFH has worst outcomes. EMS resuscitation plans should be mechanism-specific.</w:t>
            </w:r>
          </w:p>
        </w:tc>
      </w:tr>
      <w:tr w14:paraId="33B94CF3">
        <w:tc>
          <w:tcPr>
            <w:tcW w:w="2140" w:type="dxa"/>
            <w:vAlign w:val="top"/>
          </w:tcPr>
          <w:p w14:paraId="08E754F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Vassallo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"https://doi.org/10.1136/archdischild-2018-314985"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10.1136/archdischild-2018-314985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4FA7401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2006</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2015</w:t>
            </w:r>
          </w:p>
        </w:tc>
        <w:tc>
          <w:tcPr>
            <w:tcW w:w="1214" w:type="dxa"/>
            <w:vAlign w:val="top"/>
          </w:tcPr>
          <w:p w14:paraId="045754C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931" w:type="dxa"/>
            <w:vAlign w:val="top"/>
          </w:tcPr>
          <w:p w14:paraId="260C6FA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analysis</w:t>
            </w:r>
          </w:p>
        </w:tc>
        <w:tc>
          <w:tcPr>
            <w:tcW w:w="992" w:type="dxa"/>
            <w:vAlign w:val="top"/>
          </w:tcPr>
          <w:p w14:paraId="52C3FB6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129</w:t>
            </w:r>
          </w:p>
        </w:tc>
        <w:tc>
          <w:tcPr>
            <w:tcW w:w="2228" w:type="dxa"/>
            <w:vAlign w:val="top"/>
          </w:tcPr>
          <w:p w14:paraId="77E716B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Prehospital/in-hospital interventions: blood product transfusion, chest compressions, endotracheal intubation, resuscitative thoracotomy</w:t>
            </w:r>
          </w:p>
        </w:tc>
        <w:tc>
          <w:tcPr>
            <w:tcW w:w="1423" w:type="dxa"/>
            <w:vAlign w:val="top"/>
          </w:tcPr>
          <w:p w14:paraId="7E7F5D0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Subgroups by TCA location (prehospital only, in-hospital only, both)</w:t>
            </w:r>
          </w:p>
        </w:tc>
        <w:tc>
          <w:tcPr>
            <w:tcW w:w="1695" w:type="dxa"/>
            <w:vAlign w:val="top"/>
          </w:tcPr>
          <w:p w14:paraId="27A2B01E">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5.4% 30-day survival; 13% for prehospital-only TCA vs. 1.2% for combined TCA.</w:t>
            </w:r>
          </w:p>
          <w:p w14:paraId="3B1CF2CB">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Survival highest (10.3%) for patients transported to pediatric MTC.</w:t>
            </w:r>
          </w:p>
        </w:tc>
        <w:tc>
          <w:tcPr>
            <w:tcW w:w="1291" w:type="dxa"/>
            <w:vAlign w:val="top"/>
          </w:tcPr>
          <w:p w14:paraId="7933195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Survival is possible for pediatric TCA; transport to pediatric MTC improves outcomes. Standardized guidelines are needed.</w:t>
            </w:r>
          </w:p>
        </w:tc>
      </w:tr>
      <w:tr w14:paraId="1250EC5F">
        <w:tc>
          <w:tcPr>
            <w:tcW w:w="2140" w:type="dxa"/>
            <w:vAlign w:val="top"/>
          </w:tcPr>
          <w:p w14:paraId="70684B6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Barnard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"https://doi.org/10.1016/j.resuscitation.2016.11.001"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10.1016/j.resuscitation.2016.11.001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5508EF9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2009</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2015</w:t>
            </w:r>
          </w:p>
        </w:tc>
        <w:tc>
          <w:tcPr>
            <w:tcW w:w="1214" w:type="dxa"/>
            <w:vAlign w:val="top"/>
          </w:tcPr>
          <w:p w14:paraId="05F0DB9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931" w:type="dxa"/>
            <w:vAlign w:val="top"/>
          </w:tcPr>
          <w:p w14:paraId="1E13850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retrospective analysis</w:t>
            </w:r>
          </w:p>
        </w:tc>
        <w:tc>
          <w:tcPr>
            <w:tcW w:w="992" w:type="dxa"/>
            <w:vAlign w:val="top"/>
          </w:tcPr>
          <w:p w14:paraId="46F8189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705</w:t>
            </w:r>
          </w:p>
        </w:tc>
        <w:tc>
          <w:tcPr>
            <w:tcW w:w="2228" w:type="dxa"/>
            <w:vAlign w:val="top"/>
          </w:tcPr>
          <w:p w14:paraId="2314ABC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Prehospital/in-hospital interventions: chest compressions, endotracheal intubation, resuscitative thoracotomy, thoracocentesis</w:t>
            </w:r>
          </w:p>
        </w:tc>
        <w:tc>
          <w:tcPr>
            <w:tcW w:w="1423" w:type="dxa"/>
            <w:vAlign w:val="top"/>
          </w:tcPr>
          <w:p w14:paraId="16B8522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Subgroups by TCA location (prehospital only, ED only, both)</w:t>
            </w:r>
          </w:p>
        </w:tc>
        <w:tc>
          <w:tcPr>
            <w:tcW w:w="1695" w:type="dxa"/>
            <w:vAlign w:val="top"/>
          </w:tcPr>
          <w:p w14:paraId="53756E1A">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7.5% 30-day survival; 11.5% for prehospital-only TCA vs. 3.9% for ED-only TCA.</w:t>
            </w:r>
          </w:p>
          <w:p w14:paraId="4076FA20">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Resuscitative thoracotomy associated with lower survival (2%).</w:t>
            </w:r>
          </w:p>
        </w:tc>
        <w:tc>
          <w:tcPr>
            <w:tcW w:w="1291" w:type="dxa"/>
            <w:vAlign w:val="top"/>
          </w:tcPr>
          <w:p w14:paraId="3524FCE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Early, aggressive management targeting reversible TCA causes is effective; resuscitation is not futile.</w:t>
            </w:r>
          </w:p>
        </w:tc>
      </w:tr>
      <w:tr w14:paraId="47A17054">
        <w:tc>
          <w:tcPr>
            <w:tcW w:w="2140" w:type="dxa"/>
            <w:vAlign w:val="top"/>
          </w:tcPr>
          <w:p w14:paraId="7048238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Djarv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"https://doi.org/10.1186/s13049-018-0500-7"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10.1186/s13049-018-0500-7</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3EAB3E3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1990</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2016</w:t>
            </w:r>
          </w:p>
        </w:tc>
        <w:tc>
          <w:tcPr>
            <w:tcW w:w="1214" w:type="dxa"/>
            <w:vAlign w:val="top"/>
          </w:tcPr>
          <w:p w14:paraId="6375D45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Sweden</w:t>
            </w:r>
          </w:p>
        </w:tc>
        <w:tc>
          <w:tcPr>
            <w:tcW w:w="1931" w:type="dxa"/>
            <w:vAlign w:val="top"/>
          </w:tcPr>
          <w:p w14:paraId="37E186F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cohort study</w:t>
            </w:r>
          </w:p>
        </w:tc>
        <w:tc>
          <w:tcPr>
            <w:tcW w:w="992" w:type="dxa"/>
            <w:vAlign w:val="top"/>
          </w:tcPr>
          <w:p w14:paraId="4718255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1774</w:t>
            </w:r>
          </w:p>
        </w:tc>
        <w:tc>
          <w:tcPr>
            <w:tcW w:w="2228" w:type="dxa"/>
            <w:vAlign w:val="top"/>
          </w:tcPr>
          <w:p w14:paraId="38C63AE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interventions: bystander CPR, defibrillation, adrenaline administration, intubation</w:t>
            </w:r>
          </w:p>
        </w:tc>
        <w:tc>
          <w:tcPr>
            <w:tcW w:w="1423" w:type="dxa"/>
            <w:vAlign w:val="top"/>
          </w:tcPr>
          <w:p w14:paraId="03AA4B1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Medical out-of-hospital cardiac arrest (OHCA) patients</w:t>
            </w:r>
          </w:p>
        </w:tc>
        <w:tc>
          <w:tcPr>
            <w:tcW w:w="1695" w:type="dxa"/>
            <w:vAlign w:val="top"/>
          </w:tcPr>
          <w:p w14:paraId="740CE219">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3.7% 30-day survival for TCA vs. 8.1% for medical OHCA.</w:t>
            </w:r>
          </w:p>
          <w:p w14:paraId="3F9CB138">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Factors associated with TCA survival: bystander-witnessed (OR 2.67), shockable rhythm (OR 8.94).</w:t>
            </w:r>
          </w:p>
        </w:tc>
        <w:tc>
          <w:tcPr>
            <w:tcW w:w="1291" w:type="dxa"/>
            <w:vAlign w:val="top"/>
          </w:tcPr>
          <w:p w14:paraId="3AFCFEF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TCA survival has improved over time; resuscitation is not futile, especially for witnessed cases with shockable rhythms.</w:t>
            </w:r>
          </w:p>
        </w:tc>
      </w:tr>
      <w:tr w14:paraId="3065C803">
        <w:tc>
          <w:tcPr>
            <w:tcW w:w="2140" w:type="dxa"/>
            <w:vAlign w:val="top"/>
          </w:tcPr>
          <w:p w14:paraId="4275043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Wang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"https://doi.org/10.1186/s13049-025-01335-0"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10.1186/s13049-025-01335-0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0D617F3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2016</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2022</w:t>
            </w:r>
          </w:p>
        </w:tc>
        <w:tc>
          <w:tcPr>
            <w:tcW w:w="1214" w:type="dxa"/>
            <w:vAlign w:val="top"/>
          </w:tcPr>
          <w:p w14:paraId="75999A65">
            <w:pPr>
              <w:pStyle w:val="12"/>
              <w:ind w:left="0" w:leftChars="0"/>
              <w:rPr>
                <w:rFonts w:hint="eastAsia" w:ascii="Times New Roman Regular" w:hAnsi="Times New Roman Regular" w:eastAsia="等线" w:cs="Times New Roman Regular"/>
                <w:sz w:val="24"/>
                <w:szCs w:val="24"/>
                <w:lang w:val="en-US" w:eastAsia="zh-CN"/>
              </w:rPr>
            </w:pPr>
            <w:r>
              <w:rPr>
                <w:rFonts w:hint="eastAsia" w:ascii="Times New Roman Regular" w:hAnsi="Times New Roman Regular" w:eastAsia="等线" w:cs="Times New Roman Regular"/>
                <w:sz w:val="24"/>
                <w:szCs w:val="24"/>
                <w:lang w:val="en-US" w:eastAsia="zh-CN"/>
              </w:rPr>
              <w:t>Chinese Taiwan</w:t>
            </w:r>
          </w:p>
        </w:tc>
        <w:tc>
          <w:tcPr>
            <w:tcW w:w="1931" w:type="dxa"/>
            <w:vAlign w:val="top"/>
          </w:tcPr>
          <w:p w14:paraId="6356387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7AF863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557</w:t>
            </w:r>
          </w:p>
        </w:tc>
        <w:tc>
          <w:tcPr>
            <w:tcW w:w="2228" w:type="dxa"/>
            <w:vAlign w:val="top"/>
          </w:tcPr>
          <w:p w14:paraId="2F47573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Direct transport to trauma center (TC); Cross-region transport to TC</w:t>
            </w:r>
          </w:p>
        </w:tc>
        <w:tc>
          <w:tcPr>
            <w:tcW w:w="1423" w:type="dxa"/>
            <w:vAlign w:val="top"/>
          </w:tcPr>
          <w:p w14:paraId="340BCB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Transport to nearest non-TC</w:t>
            </w:r>
          </w:p>
        </w:tc>
        <w:tc>
          <w:tcPr>
            <w:tcW w:w="1695" w:type="dxa"/>
            <w:vAlign w:val="top"/>
          </w:tcPr>
          <w:p w14:paraId="4565A0FB">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TC group: ROSC 30.6%, 30-day survival higher; </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Cross-region TC group: ROSC 30.5%, 30-day survival higher;</w:t>
            </w:r>
          </w:p>
          <w:p w14:paraId="7A9ED594">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Non-TC group: ROSC 12.0%, mortality 99.5%</w:t>
            </w:r>
          </w:p>
        </w:tc>
        <w:tc>
          <w:tcPr>
            <w:tcW w:w="1291" w:type="dxa"/>
            <w:vAlign w:val="top"/>
          </w:tcPr>
          <w:p w14:paraId="4363AC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Direct or cross-region transport to TC is associated with better ROSC and survival outcomes in TCA patients compared to non-TC transport.</w:t>
            </w:r>
          </w:p>
        </w:tc>
      </w:tr>
      <w:tr w14:paraId="07AE65BD">
        <w:tc>
          <w:tcPr>
            <w:tcW w:w="2140" w:type="dxa"/>
            <w:vAlign w:val="top"/>
          </w:tcPr>
          <w:p w14:paraId="23F1DF3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"https://doi.org/10.1016/j.resplu.2025.100890"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10.1016/j.resplu.2025.100890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1A2470B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 (PARAMEDIC2 trial period)</w:t>
            </w:r>
          </w:p>
        </w:tc>
        <w:tc>
          <w:tcPr>
            <w:tcW w:w="1214" w:type="dxa"/>
            <w:vAlign w:val="top"/>
          </w:tcPr>
          <w:p w14:paraId="06E074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931" w:type="dxa"/>
            <w:vAlign w:val="top"/>
          </w:tcPr>
          <w:p w14:paraId="5A76ED7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Post-hoc subgroup analysis of RCT</w:t>
            </w:r>
          </w:p>
        </w:tc>
        <w:tc>
          <w:tcPr>
            <w:tcW w:w="992" w:type="dxa"/>
            <w:vAlign w:val="top"/>
          </w:tcPr>
          <w:p w14:paraId="6E2D67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123</w:t>
            </w:r>
          </w:p>
        </w:tc>
        <w:tc>
          <w:tcPr>
            <w:tcW w:w="2228" w:type="dxa"/>
            <w:vAlign w:val="top"/>
          </w:tcPr>
          <w:p w14:paraId="04EA037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Adrenaline (1mg every 3</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5min)</w:t>
            </w:r>
          </w:p>
        </w:tc>
        <w:tc>
          <w:tcPr>
            <w:tcW w:w="1423" w:type="dxa"/>
            <w:vAlign w:val="top"/>
          </w:tcPr>
          <w:p w14:paraId="5E8AF2B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Placebo (0.9% saline)</w:t>
            </w:r>
          </w:p>
        </w:tc>
        <w:tc>
          <w:tcPr>
            <w:tcW w:w="1695" w:type="dxa"/>
            <w:vAlign w:val="top"/>
          </w:tcPr>
          <w:p w14:paraId="096A38A2">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 xml:space="preserve">Adrenaline group: survival to hospital admission 24.2%, 30-day survival 1.5%; </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Placebo group: survival to hospital admission 8.9%, 30-day survival 0%</w:t>
            </w:r>
          </w:p>
        </w:tc>
        <w:tc>
          <w:tcPr>
            <w:tcW w:w="0" w:type="auto"/>
            <w:vAlign w:val="top"/>
          </w:tcPr>
          <w:p w14:paraId="1EAF94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Adrenaline is associated with increased survival to hospital admission in trauma-related OHCA.</w:t>
            </w:r>
          </w:p>
        </w:tc>
      </w:tr>
      <w:tr w14:paraId="46F95452">
        <w:tc>
          <w:tcPr>
            <w:tcW w:w="2140" w:type="dxa"/>
            <w:vAlign w:val="top"/>
          </w:tcPr>
          <w:p w14:paraId="30DACAF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Doan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"https://doi.org/10.1136/emermed-2021-211723"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10.1136/emermed-2021-211723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1716220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2019</w:t>
            </w:r>
          </w:p>
        </w:tc>
        <w:tc>
          <w:tcPr>
            <w:tcW w:w="1214" w:type="dxa"/>
            <w:vAlign w:val="top"/>
          </w:tcPr>
          <w:p w14:paraId="0870DDC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Queensland, Australia</w:t>
            </w:r>
          </w:p>
        </w:tc>
        <w:tc>
          <w:tcPr>
            <w:tcW w:w="1931" w:type="dxa"/>
            <w:vAlign w:val="top"/>
          </w:tcPr>
          <w:p w14:paraId="1824CE9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03F98E9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1497</w:t>
            </w:r>
          </w:p>
        </w:tc>
        <w:tc>
          <w:tcPr>
            <w:tcW w:w="2228" w:type="dxa"/>
            <w:vAlign w:val="top"/>
          </w:tcPr>
          <w:p w14:paraId="32C2F92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Advanced airway management; Intravenous access; Attendance of HARU</w:t>
            </w:r>
          </w:p>
        </w:tc>
        <w:tc>
          <w:tcPr>
            <w:tcW w:w="1423" w:type="dxa"/>
            <w:vAlign w:val="top"/>
          </w:tcPr>
          <w:p w14:paraId="05DF697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 (analysis of factors associated with survival)</w:t>
            </w:r>
          </w:p>
        </w:tc>
        <w:tc>
          <w:tcPr>
            <w:tcW w:w="1695" w:type="dxa"/>
            <w:vAlign w:val="top"/>
          </w:tcPr>
          <w:p w14:paraId="7A5528B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Advanced airway management (aOR=1.84), IV access (aOR=5.04), HARU attendance (aOR=2.54) associated with improved survival to hospital handover</w:t>
            </w:r>
          </w:p>
        </w:tc>
        <w:tc>
          <w:tcPr>
            <w:tcW w:w="0" w:type="auto"/>
            <w:vAlign w:val="top"/>
          </w:tcPr>
          <w:p w14:paraId="1D6151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Advanced airway management, IV access, and HARU attendance are associated with improved short-term survival in TCA patients.</w:t>
            </w:r>
          </w:p>
        </w:tc>
      </w:tr>
      <w:tr w14:paraId="30BE9650">
        <w:tc>
          <w:tcPr>
            <w:tcW w:w="2140" w:type="dxa"/>
            <w:vAlign w:val="top"/>
          </w:tcPr>
          <w:p w14:paraId="742504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Lee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"https://doi.org/10.1080/10903127.2022.2113941"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10.1080/10903127.2022.2113941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50578CC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2009</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2018</w:t>
            </w:r>
          </w:p>
        </w:tc>
        <w:tc>
          <w:tcPr>
            <w:tcW w:w="1214" w:type="dxa"/>
            <w:vAlign w:val="top"/>
          </w:tcPr>
          <w:p w14:paraId="3BDD8E7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 Asian countries (Japan, Korea, etc.)</w:t>
            </w:r>
          </w:p>
        </w:tc>
        <w:tc>
          <w:tcPr>
            <w:tcW w:w="1931" w:type="dxa"/>
            <w:vAlign w:val="top"/>
          </w:tcPr>
          <w:p w14:paraId="56FE504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19A235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13631</w:t>
            </w:r>
          </w:p>
        </w:tc>
        <w:tc>
          <w:tcPr>
            <w:tcW w:w="2228" w:type="dxa"/>
            <w:vAlign w:val="top"/>
          </w:tcPr>
          <w:p w14:paraId="59F0C0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Bystander CPR; Prehospital epinephrine; Advanced airway; Defibrillation</w:t>
            </w:r>
          </w:p>
        </w:tc>
        <w:tc>
          <w:tcPr>
            <w:tcW w:w="1423" w:type="dxa"/>
            <w:vAlign w:val="top"/>
          </w:tcPr>
          <w:p w14:paraId="3486179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 (analysis of factors associated with survival)</w:t>
            </w:r>
          </w:p>
        </w:tc>
        <w:tc>
          <w:tcPr>
            <w:tcW w:w="1695" w:type="dxa"/>
            <w:vAlign w:val="top"/>
          </w:tcPr>
          <w:p w14:paraId="2B90550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Bystander CPR (aOR=2.16), initial shockable rhythm (aOR=12.00), EMS-witnessed arrest (aOR=2.95) associated with higher survival to discharge</w:t>
            </w:r>
          </w:p>
        </w:tc>
        <w:tc>
          <w:tcPr>
            <w:tcW w:w="0" w:type="auto"/>
            <w:vAlign w:val="top"/>
          </w:tcPr>
          <w:p w14:paraId="2448CE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Utstein factors (witnessed arrest, bystander CPR, shockable rhythm) are associated with improved survival in Asian TCA patients.</w:t>
            </w:r>
          </w:p>
        </w:tc>
      </w:tr>
      <w:tr w14:paraId="767B45D3">
        <w:tc>
          <w:tcPr>
            <w:tcW w:w="2140" w:type="dxa"/>
            <w:vAlign w:val="top"/>
          </w:tcPr>
          <w:p w14:paraId="782D904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Evans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"https://doi.org/10.1097/TA.0000000000001070"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10.1097/TA.0000000000001070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68DA812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2005</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2007 (Epistry), 2010</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2011 (PROPHET)</w:t>
            </w:r>
          </w:p>
        </w:tc>
        <w:tc>
          <w:tcPr>
            <w:tcW w:w="1214" w:type="dxa"/>
            <w:vAlign w:val="top"/>
          </w:tcPr>
          <w:p w14:paraId="09B239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North America (US and Canada)</w:t>
            </w:r>
          </w:p>
        </w:tc>
        <w:tc>
          <w:tcPr>
            <w:tcW w:w="1931" w:type="dxa"/>
            <w:vAlign w:val="top"/>
          </w:tcPr>
          <w:p w14:paraId="73AA845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Secondary analysis of registry data</w:t>
            </w:r>
          </w:p>
        </w:tc>
        <w:tc>
          <w:tcPr>
            <w:tcW w:w="992" w:type="dxa"/>
            <w:vAlign w:val="top"/>
          </w:tcPr>
          <w:p w14:paraId="5F1A217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2300</w:t>
            </w:r>
          </w:p>
        </w:tc>
        <w:tc>
          <w:tcPr>
            <w:tcW w:w="2228" w:type="dxa"/>
            <w:vAlign w:val="top"/>
          </w:tcPr>
          <w:p w14:paraId="4A0A795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Supraglottic airway; Endotracheal intubation; Needle thoracostomy; IV/IO fluid administration</w:t>
            </w:r>
          </w:p>
        </w:tc>
        <w:tc>
          <w:tcPr>
            <w:tcW w:w="1423" w:type="dxa"/>
            <w:vAlign w:val="top"/>
          </w:tcPr>
          <w:p w14:paraId="031987B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Bag-mask ventilation; No intervention</w:t>
            </w:r>
          </w:p>
        </w:tc>
        <w:tc>
          <w:tcPr>
            <w:tcW w:w="1695" w:type="dxa"/>
            <w:vAlign w:val="top"/>
          </w:tcPr>
          <w:p w14:paraId="7E13C7B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Supraglottic airway (aOR=0.27) and intubation (aOR=0.37) associated with decreased survival; No ALS procedures associated with increased survival</w:t>
            </w:r>
          </w:p>
        </w:tc>
        <w:tc>
          <w:tcPr>
            <w:tcW w:w="0" w:type="auto"/>
            <w:vAlign w:val="top"/>
          </w:tcPr>
          <w:p w14:paraId="7FACC8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Survival from TCA is ~6%, with no ALS procedures showing increased survival benefit (confounding by indication possible).</w:t>
            </w:r>
          </w:p>
        </w:tc>
      </w:tr>
      <w:tr w14:paraId="3434BB18">
        <w:tc>
          <w:tcPr>
            <w:tcW w:w="2140" w:type="dxa"/>
            <w:vAlign w:val="top"/>
          </w:tcPr>
          <w:p w14:paraId="7E36CE9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Kitano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"https://doi.org/10.1016/j.resuscitation.2021.12.023"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10.1016/j.resuscitation.2021.12.023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7486EA2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2014</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2019</w:t>
            </w:r>
          </w:p>
        </w:tc>
        <w:tc>
          <w:tcPr>
            <w:tcW w:w="1214" w:type="dxa"/>
            <w:vAlign w:val="top"/>
          </w:tcPr>
          <w:p w14:paraId="16E67B3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931" w:type="dxa"/>
            <w:vAlign w:val="top"/>
          </w:tcPr>
          <w:p w14:paraId="117B7E8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56882C6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3883</w:t>
            </w:r>
          </w:p>
        </w:tc>
        <w:tc>
          <w:tcPr>
            <w:tcW w:w="2228" w:type="dxa"/>
            <w:vAlign w:val="top"/>
          </w:tcPr>
          <w:p w14:paraId="1ECF2D5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EMS-witnessed resuscitation; Bystander-witnessed resuscitation</w:t>
            </w:r>
          </w:p>
        </w:tc>
        <w:tc>
          <w:tcPr>
            <w:tcW w:w="1423" w:type="dxa"/>
            <w:vAlign w:val="top"/>
          </w:tcPr>
          <w:p w14:paraId="390FBBD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Unwitnessed arrest</w:t>
            </w:r>
          </w:p>
        </w:tc>
        <w:tc>
          <w:tcPr>
            <w:tcW w:w="1695" w:type="dxa"/>
            <w:vAlign w:val="top"/>
          </w:tcPr>
          <w:p w14:paraId="5F3C25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EMS-witnessed group: 10.9% 1-month survival, 14.4% ROSC; Bystander-witnessed group:7.2% 1-month survival; Unwitnessed group:5.6% 1-month survival</w:t>
            </w:r>
          </w:p>
        </w:tc>
        <w:tc>
          <w:tcPr>
            <w:tcW w:w="0" w:type="auto"/>
            <w:vAlign w:val="top"/>
          </w:tcPr>
          <w:p w14:paraId="2CEC114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EMS-witnessed TCA is associated with higher 1-month survival and ROSC rates compared to bystander-witnessed and unwitnessed TCA.</w:t>
            </w:r>
          </w:p>
        </w:tc>
      </w:tr>
      <w:tr w14:paraId="5E1724F4">
        <w:tc>
          <w:tcPr>
            <w:tcW w:w="2140" w:type="dxa"/>
            <w:vAlign w:val="top"/>
          </w:tcPr>
          <w:p w14:paraId="4AB1209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Faulkner J et al. (10.1177/00031348221091937)</w:t>
            </w:r>
          </w:p>
        </w:tc>
        <w:tc>
          <w:tcPr>
            <w:tcW w:w="1284" w:type="dxa"/>
            <w:vAlign w:val="top"/>
          </w:tcPr>
          <w:p w14:paraId="3DF2C53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2007-2016</w:t>
            </w:r>
          </w:p>
        </w:tc>
        <w:tc>
          <w:tcPr>
            <w:tcW w:w="1214" w:type="dxa"/>
            <w:vAlign w:val="top"/>
          </w:tcPr>
          <w:p w14:paraId="583ED5C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4AB4398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5705864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7503</w:t>
            </w:r>
          </w:p>
        </w:tc>
        <w:tc>
          <w:tcPr>
            <w:tcW w:w="2228" w:type="dxa"/>
            <w:vAlign w:val="top"/>
          </w:tcPr>
          <w:p w14:paraId="653C2FD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Emergency department (ED) thoracotomy</w:t>
            </w:r>
          </w:p>
        </w:tc>
        <w:tc>
          <w:tcPr>
            <w:tcW w:w="1423" w:type="dxa"/>
            <w:vAlign w:val="top"/>
          </w:tcPr>
          <w:p w14:paraId="236C922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who did not receive thoracotomy; "pediatric" (0-14) vs "older teenager" (15-18) cohorts</w:t>
            </w:r>
          </w:p>
        </w:tc>
        <w:tc>
          <w:tcPr>
            <w:tcW w:w="1695" w:type="dxa"/>
            <w:vAlign w:val="top"/>
          </w:tcPr>
          <w:p w14:paraId="4EF97E6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95.7% died in ED/hospital; 1.3% discharged home; ED thoracotomy performed in 9%, with 97% mortality post-thoracotomy; in-hospital mortality: 94.4% (pediatric) vs 97.7% (older teenagers)</w:t>
            </w:r>
          </w:p>
        </w:tc>
        <w:tc>
          <w:tcPr>
            <w:tcW w:w="0" w:type="auto"/>
            <w:vAlign w:val="top"/>
          </w:tcPr>
          <w:p w14:paraId="338F964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Arrival without signs of life has dismal prognosis; only a small subset may benefit from aggressive approaches like thoracotomy.</w:t>
            </w:r>
          </w:p>
        </w:tc>
      </w:tr>
      <w:tr w14:paraId="55E8C2AE">
        <w:tc>
          <w:tcPr>
            <w:tcW w:w="2140" w:type="dxa"/>
            <w:vAlign w:val="top"/>
          </w:tcPr>
          <w:p w14:paraId="414999F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Talmy T et al. (10.1080/10903127.2023.2241542)</w:t>
            </w:r>
          </w:p>
        </w:tc>
        <w:tc>
          <w:tcPr>
            <w:tcW w:w="1284" w:type="dxa"/>
            <w:vAlign w:val="top"/>
          </w:tcPr>
          <w:p w14:paraId="2CC6890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1997-2022</w:t>
            </w:r>
          </w:p>
        </w:tc>
        <w:tc>
          <w:tcPr>
            <w:tcW w:w="1214" w:type="dxa"/>
            <w:vAlign w:val="top"/>
          </w:tcPr>
          <w:p w14:paraId="66A3101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Israel</w:t>
            </w:r>
          </w:p>
        </w:tc>
        <w:tc>
          <w:tcPr>
            <w:tcW w:w="1931" w:type="dxa"/>
            <w:vAlign w:val="top"/>
          </w:tcPr>
          <w:p w14:paraId="6C8444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Military/civilian retrospective cohort study</w:t>
            </w:r>
          </w:p>
        </w:tc>
        <w:tc>
          <w:tcPr>
            <w:tcW w:w="992" w:type="dxa"/>
            <w:vAlign w:val="top"/>
          </w:tcPr>
          <w:p w14:paraId="6C7AA81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149</w:t>
            </w:r>
          </w:p>
        </w:tc>
        <w:tc>
          <w:tcPr>
            <w:tcW w:w="2228" w:type="dxa"/>
            <w:vAlign w:val="top"/>
          </w:tcPr>
          <w:p w14:paraId="694143A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TCA protocol (oxygenation, chest decompression, volume resuscitation)</w:t>
            </w:r>
          </w:p>
        </w:tc>
        <w:tc>
          <w:tcPr>
            <w:tcW w:w="1423" w:type="dxa"/>
            <w:vAlign w:val="top"/>
          </w:tcPr>
          <w:p w14:paraId="24E9F65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(evaluation of protocol effectiveness)</w:t>
            </w:r>
          </w:p>
        </w:tc>
        <w:tc>
          <w:tcPr>
            <w:tcW w:w="1695" w:type="dxa"/>
            <w:vAlign w:val="top"/>
          </w:tcPr>
          <w:p w14:paraId="69D4C58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3.4% had prehospital return of vital signs; 0% survived to hospital admission; 56.4% in military settings (gunshot/blast injuries most common); 37.8% completed full protocol</w:t>
            </w:r>
          </w:p>
        </w:tc>
        <w:tc>
          <w:tcPr>
            <w:tcW w:w="1291" w:type="dxa"/>
            <w:vAlign w:val="top"/>
          </w:tcPr>
          <w:p w14:paraId="634900C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TCA prognosis is poor; military settings with penetrating injuries show worse outcomes; protocol efforts often futile.</w:t>
            </w:r>
          </w:p>
        </w:tc>
      </w:tr>
      <w:tr w14:paraId="4DB85267">
        <w:tc>
          <w:tcPr>
            <w:tcW w:w="2140" w:type="dxa"/>
            <w:vAlign w:val="top"/>
          </w:tcPr>
          <w:p w14:paraId="486FAC1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Yamamoto R et al. (10.1136/emermed-2024-214337)</w:t>
            </w:r>
          </w:p>
        </w:tc>
        <w:tc>
          <w:tcPr>
            <w:tcW w:w="1284" w:type="dxa"/>
            <w:vAlign w:val="top"/>
          </w:tcPr>
          <w:p w14:paraId="2A71723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2019-2021</w:t>
            </w:r>
          </w:p>
        </w:tc>
        <w:tc>
          <w:tcPr>
            <w:tcW w:w="1214" w:type="dxa"/>
            <w:vAlign w:val="top"/>
          </w:tcPr>
          <w:p w14:paraId="50F83DC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931" w:type="dxa"/>
            <w:vAlign w:val="top"/>
          </w:tcPr>
          <w:p w14:paraId="1FBD62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3A7868F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1524</w:t>
            </w:r>
          </w:p>
        </w:tc>
        <w:tc>
          <w:tcPr>
            <w:tcW w:w="2228" w:type="dxa"/>
            <w:vAlign w:val="top"/>
          </w:tcPr>
          <w:p w14:paraId="2DCCEF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endotracheal intubation</w:t>
            </w:r>
          </w:p>
        </w:tc>
        <w:tc>
          <w:tcPr>
            <w:tcW w:w="1423" w:type="dxa"/>
            <w:vAlign w:val="top"/>
          </w:tcPr>
          <w:p w14:paraId="40AF54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Supraglottic airway or manual airway management</w:t>
            </w:r>
          </w:p>
        </w:tc>
        <w:tc>
          <w:tcPr>
            <w:tcW w:w="1695" w:type="dxa"/>
            <w:vAlign w:val="top"/>
          </w:tcPr>
          <w:p w14:paraId="72EAEAF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Intubation associated with favorable neurological outcomes (GOS≥4: 2.4% vs 1.2%; OR=1.99) and higher survival (8.1% vs 5.8%; OR=1.43); benefit seen in severe chest injury and transport time &gt;15 min</w:t>
            </w:r>
          </w:p>
        </w:tc>
        <w:tc>
          <w:tcPr>
            <w:tcW w:w="0" w:type="auto"/>
            <w:vAlign w:val="top"/>
          </w:tcPr>
          <w:p w14:paraId="4D6DB43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intubation benefits adult TCA patients with severe chest injury or prolonged transport.</w:t>
            </w:r>
          </w:p>
        </w:tc>
      </w:tr>
      <w:tr w14:paraId="785501D9">
        <w:tc>
          <w:tcPr>
            <w:tcW w:w="2140" w:type="dxa"/>
            <w:vAlign w:val="top"/>
          </w:tcPr>
          <w:p w14:paraId="0548B4F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Nishimura T et al. (10.1002/ams2.786)</w:t>
            </w:r>
          </w:p>
        </w:tc>
        <w:tc>
          <w:tcPr>
            <w:tcW w:w="1284" w:type="dxa"/>
            <w:vAlign w:val="top"/>
          </w:tcPr>
          <w:p w14:paraId="4D61B4D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2004-2017</w:t>
            </w:r>
          </w:p>
        </w:tc>
        <w:tc>
          <w:tcPr>
            <w:tcW w:w="1214" w:type="dxa"/>
            <w:vAlign w:val="top"/>
          </w:tcPr>
          <w:p w14:paraId="4D8EDAD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931" w:type="dxa"/>
            <w:vAlign w:val="top"/>
          </w:tcPr>
          <w:p w14:paraId="53D1A5E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 (propensity score matched)</w:t>
            </w:r>
          </w:p>
        </w:tc>
        <w:tc>
          <w:tcPr>
            <w:tcW w:w="992" w:type="dxa"/>
            <w:vAlign w:val="top"/>
          </w:tcPr>
          <w:p w14:paraId="4481505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1346 (673 AAM vs 673 non-AAM)</w:t>
            </w:r>
          </w:p>
        </w:tc>
        <w:tc>
          <w:tcPr>
            <w:tcW w:w="2228" w:type="dxa"/>
            <w:vAlign w:val="top"/>
          </w:tcPr>
          <w:p w14:paraId="33632D5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advanced airway management (AAM: endotracheal intubation, supraglottic devices)</w:t>
            </w:r>
          </w:p>
        </w:tc>
        <w:tc>
          <w:tcPr>
            <w:tcW w:w="1423" w:type="dxa"/>
            <w:vAlign w:val="top"/>
          </w:tcPr>
          <w:p w14:paraId="60C2578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Non-AAM (no advanced airway)</w:t>
            </w:r>
          </w:p>
        </w:tc>
        <w:tc>
          <w:tcPr>
            <w:tcW w:w="1695" w:type="dxa"/>
            <w:vAlign w:val="top"/>
          </w:tcPr>
          <w:p w14:paraId="277496B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AAM improved ROSC on admission (21.0% vs 11.4%; OR=2.05); no difference in survival to discharge (6.5% vs 5.8%; OR=1.12)</w:t>
            </w:r>
          </w:p>
        </w:tc>
        <w:tc>
          <w:tcPr>
            <w:tcW w:w="0" w:type="auto"/>
            <w:vAlign w:val="top"/>
          </w:tcPr>
          <w:p w14:paraId="2BDAB94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AAM improves ROSC but not survival in EMS-witnessed traumatic OHCA.</w:t>
            </w:r>
          </w:p>
        </w:tc>
      </w:tr>
      <w:tr w14:paraId="38B88C9F">
        <w:tc>
          <w:tcPr>
            <w:tcW w:w="2140" w:type="dxa"/>
            <w:vAlign w:val="top"/>
          </w:tcPr>
          <w:p w14:paraId="0CC4C6B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Aziz S et al. (10.1136/emermed-2020-210305)</w:t>
            </w:r>
          </w:p>
        </w:tc>
        <w:tc>
          <w:tcPr>
            <w:tcW w:w="1284" w:type="dxa"/>
            <w:vAlign w:val="top"/>
          </w:tcPr>
          <w:p w14:paraId="2559EDA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2000-2019</w:t>
            </w:r>
          </w:p>
        </w:tc>
        <w:tc>
          <w:tcPr>
            <w:tcW w:w="1214" w:type="dxa"/>
            <w:vAlign w:val="top"/>
          </w:tcPr>
          <w:p w14:paraId="14E60B7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931" w:type="dxa"/>
            <w:vAlign w:val="top"/>
          </w:tcPr>
          <w:p w14:paraId="3FC234D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992" w:type="dxa"/>
            <w:vAlign w:val="top"/>
          </w:tcPr>
          <w:p w14:paraId="07113C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72</w:t>
            </w:r>
          </w:p>
        </w:tc>
        <w:tc>
          <w:tcPr>
            <w:tcW w:w="2228" w:type="dxa"/>
            <w:vAlign w:val="top"/>
          </w:tcPr>
          <w:p w14:paraId="09787F9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scalpel cricothyroidotomy (primary and rescue)</w:t>
            </w:r>
          </w:p>
        </w:tc>
        <w:tc>
          <w:tcPr>
            <w:tcW w:w="1423" w:type="dxa"/>
            <w:vAlign w:val="top"/>
          </w:tcPr>
          <w:p w14:paraId="62FD82C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(evaluation of procedure effectiveness)</w:t>
            </w:r>
          </w:p>
        </w:tc>
        <w:tc>
          <w:tcPr>
            <w:tcW w:w="1695" w:type="dxa"/>
            <w:vAlign w:val="top"/>
          </w:tcPr>
          <w:p w14:paraId="23A1839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97% procedural success; 56.9% in traumatic cardiac arrest during procedure; 88.9% overall mortality; rescue cricothyroidotomy rate 0.46% after prehospital emergency anaesthesia</w:t>
            </w:r>
          </w:p>
        </w:tc>
        <w:tc>
          <w:tcPr>
            <w:tcW w:w="0" w:type="auto"/>
            <w:vAlign w:val="top"/>
          </w:tcPr>
          <w:p w14:paraId="404AC7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Scalpel cricothyroidotomy is effective but associated with high mortality; rate decreased with supraglottic airways and longer-acting muscle relaxants.</w:t>
            </w:r>
          </w:p>
        </w:tc>
      </w:tr>
      <w:tr w14:paraId="4AFA7A76">
        <w:tc>
          <w:tcPr>
            <w:tcW w:w="2140" w:type="dxa"/>
            <w:vAlign w:val="top"/>
          </w:tcPr>
          <w:p w14:paraId="5066E8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Breyre A M et al. (10.1016/j.annemergmed.2024.12.015)</w:t>
            </w:r>
          </w:p>
        </w:tc>
        <w:tc>
          <w:tcPr>
            <w:tcW w:w="1284" w:type="dxa"/>
            <w:vAlign w:val="top"/>
          </w:tcPr>
          <w:p w14:paraId="19E200A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Up to 2022</w:t>
            </w:r>
          </w:p>
        </w:tc>
        <w:tc>
          <w:tcPr>
            <w:tcW w:w="1214" w:type="dxa"/>
            <w:vAlign w:val="top"/>
          </w:tcPr>
          <w:p w14:paraId="7B14AE6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170B669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Position statement (based on observational studies)</w:t>
            </w:r>
          </w:p>
        </w:tc>
        <w:tc>
          <w:tcPr>
            <w:tcW w:w="992" w:type="dxa"/>
            <w:vAlign w:val="top"/>
          </w:tcPr>
          <w:p w14:paraId="4734D1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w:t>
            </w:r>
          </w:p>
        </w:tc>
        <w:tc>
          <w:tcPr>
            <w:tcW w:w="2228" w:type="dxa"/>
            <w:vAlign w:val="top"/>
          </w:tcPr>
          <w:p w14:paraId="4A7473C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interventions: hemorrhage control, airway management, chest decompression, point-of-care ultrasound</w:t>
            </w:r>
          </w:p>
        </w:tc>
        <w:tc>
          <w:tcPr>
            <w:tcW w:w="1423" w:type="dxa"/>
            <w:vAlign w:val="top"/>
          </w:tcPr>
          <w:p w14:paraId="6C77C84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(guideline recommendations)</w:t>
            </w:r>
          </w:p>
        </w:tc>
        <w:tc>
          <w:tcPr>
            <w:tcW w:w="1695" w:type="dxa"/>
            <w:vAlign w:val="top"/>
          </w:tcPr>
          <w:p w14:paraId="2F80CCF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 (synthesized evidence from 181 studies)</w:t>
            </w:r>
          </w:p>
        </w:tc>
        <w:tc>
          <w:tcPr>
            <w:tcW w:w="0" w:type="auto"/>
            <w:vAlign w:val="top"/>
          </w:tcPr>
          <w:p w14:paraId="69E0E35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Prioritize reversible causes; avoid routine epinephrine; withhold resuscitation for unsurvivable injuries; transport to trauma centers when beneficial.</w:t>
            </w:r>
          </w:p>
        </w:tc>
      </w:tr>
      <w:tr w14:paraId="00355A85">
        <w:tc>
          <w:tcPr>
            <w:tcW w:w="2140" w:type="dxa"/>
            <w:vAlign w:val="top"/>
          </w:tcPr>
          <w:p w14:paraId="3127F30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Peters J, et al. (10.1097/MEJ.0000000000000337)</w:t>
            </w:r>
          </w:p>
        </w:tc>
        <w:tc>
          <w:tcPr>
            <w:tcW w:w="1284" w:type="dxa"/>
            <w:vAlign w:val="top"/>
          </w:tcPr>
          <w:p w14:paraId="4623FD6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2014</w:t>
            </w:r>
          </w:p>
        </w:tc>
        <w:tc>
          <w:tcPr>
            <w:tcW w:w="1214" w:type="dxa"/>
            <w:vAlign w:val="top"/>
          </w:tcPr>
          <w:p w14:paraId="2ECA94E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The Netherlands</w:t>
            </w:r>
          </w:p>
        </w:tc>
        <w:tc>
          <w:tcPr>
            <w:tcW w:w="1931" w:type="dxa"/>
            <w:vAlign w:val="top"/>
          </w:tcPr>
          <w:p w14:paraId="777D532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4CA3920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144 </w:t>
            </w:r>
            <w:r>
              <w:rPr>
                <w:rFonts w:hint="eastAsia" w:ascii="Times New Roman Regular" w:hAnsi="Times New Roman Regular" w:cs="Times New Roman Regular"/>
                <w:sz w:val="24"/>
                <w:szCs w:val="24"/>
                <w:lang w:val="en-US" w:eastAsia="zh-CN"/>
              </w:rPr>
              <w:t>T</w:t>
            </w:r>
            <w:r>
              <w:rPr>
                <w:rFonts w:hint="default" w:ascii="Times New Roman Regular" w:hAnsi="Times New Roman Regular" w:cs="Times New Roman Regular"/>
                <w:sz w:val="24"/>
                <w:szCs w:val="24"/>
              </w:rPr>
              <w:t>CA patients (267 thoracostomies)</w:t>
            </w:r>
          </w:p>
        </w:tc>
        <w:tc>
          <w:tcPr>
            <w:tcW w:w="2228" w:type="dxa"/>
            <w:vAlign w:val="top"/>
          </w:tcPr>
          <w:p w14:paraId="160A2F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thoracostomy (unilateral/bilateral)</w:t>
            </w:r>
          </w:p>
        </w:tc>
        <w:tc>
          <w:tcPr>
            <w:tcW w:w="1423" w:type="dxa"/>
            <w:vAlign w:val="top"/>
          </w:tcPr>
          <w:p w14:paraId="2D8C007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(focus on intervention outcomes)</w:t>
            </w:r>
          </w:p>
        </w:tc>
        <w:tc>
          <w:tcPr>
            <w:tcW w:w="1695" w:type="dxa"/>
            <w:vAlign w:val="top"/>
          </w:tcPr>
          <w:p w14:paraId="76608E0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TP incidence: 9.7% (14/144)- ROSC rate: 15.3% (22/144)</w:t>
            </w:r>
          </w:p>
          <w:p w14:paraId="0E675A8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to discharge: 1.4% (2/144)- No infections/sharps injuries</w:t>
            </w:r>
          </w:p>
        </w:tc>
        <w:tc>
          <w:tcPr>
            <w:tcW w:w="0" w:type="auto"/>
            <w:vAlign w:val="top"/>
          </w:tcPr>
          <w:p w14:paraId="6A3C42A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Outcomes of prehospital thoracostomy for </w:t>
            </w:r>
            <w:r>
              <w:rPr>
                <w:rFonts w:hint="eastAsia" w:ascii="Times New Roman Regular" w:hAnsi="Times New Roman Regular" w:cs="Times New Roman Regular"/>
                <w:sz w:val="24"/>
                <w:szCs w:val="24"/>
                <w:lang w:val="en-US" w:eastAsia="zh-CN"/>
              </w:rPr>
              <w:t>T</w:t>
            </w:r>
            <w:r>
              <w:rPr>
                <w:rFonts w:hint="default" w:ascii="Times New Roman Regular" w:hAnsi="Times New Roman Regular" w:cs="Times New Roman Regular"/>
                <w:sz w:val="24"/>
                <w:szCs w:val="24"/>
              </w:rPr>
              <w:t>CA were poor. Early TP identification, algorithm adherence, and pre-procedure ultrasound may improve outcomes.</w:t>
            </w:r>
          </w:p>
        </w:tc>
      </w:tr>
      <w:tr w14:paraId="0E591AB4">
        <w:tc>
          <w:tcPr>
            <w:tcW w:w="2140" w:type="dxa"/>
            <w:vAlign w:val="top"/>
          </w:tcPr>
          <w:p w14:paraId="362B588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Beysard N, et al. (10.1016/j.resplu.2025.100870)</w:t>
            </w:r>
          </w:p>
        </w:tc>
        <w:tc>
          <w:tcPr>
            <w:tcW w:w="1284" w:type="dxa"/>
            <w:vAlign w:val="top"/>
          </w:tcPr>
          <w:p w14:paraId="26A2585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2012</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2024</w:t>
            </w:r>
          </w:p>
        </w:tc>
        <w:tc>
          <w:tcPr>
            <w:tcW w:w="1214" w:type="dxa"/>
            <w:vAlign w:val="top"/>
          </w:tcPr>
          <w:p w14:paraId="42A62FF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Switzerland</w:t>
            </w:r>
          </w:p>
        </w:tc>
        <w:tc>
          <w:tcPr>
            <w:tcW w:w="1931" w:type="dxa"/>
            <w:vAlign w:val="top"/>
          </w:tcPr>
          <w:p w14:paraId="01D584E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992" w:type="dxa"/>
            <w:vAlign w:val="top"/>
          </w:tcPr>
          <w:p w14:paraId="6A7220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473 TCAs (247 with resuscitation attempts)</w:t>
            </w:r>
          </w:p>
        </w:tc>
        <w:tc>
          <w:tcPr>
            <w:tcW w:w="2228" w:type="dxa"/>
            <w:vAlign w:val="top"/>
          </w:tcPr>
          <w:p w14:paraId="1375089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Bilateral prehospital thoracostomy</w:t>
            </w:r>
          </w:p>
        </w:tc>
        <w:tc>
          <w:tcPr>
            <w:tcW w:w="1423" w:type="dxa"/>
            <w:vAlign w:val="top"/>
          </w:tcPr>
          <w:p w14:paraId="33D1557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with resuscitation attempts but no thoracostomy</w:t>
            </w:r>
          </w:p>
        </w:tc>
        <w:tc>
          <w:tcPr>
            <w:tcW w:w="1695" w:type="dxa"/>
            <w:vAlign w:val="top"/>
          </w:tcPr>
          <w:p w14:paraId="56A22E69">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Thoracostomy performed in 66.4% (148/223) of indicated cases</w:t>
            </w:r>
          </w:p>
          <w:p w14:paraId="5710D88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Annual thoracostomy rate increased significantly (p&lt;0.001)</w:t>
            </w:r>
          </w:p>
          <w:p w14:paraId="795FB54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- 48-hour survival: 6.1% (9/148) in thoracostomy group</w:t>
            </w:r>
          </w:p>
        </w:tc>
        <w:tc>
          <w:tcPr>
            <w:tcW w:w="1291" w:type="dxa"/>
            <w:vAlign w:val="top"/>
          </w:tcPr>
          <w:p w14:paraId="5D14CDE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Adherence to bilateral thoracostomy guidelines for TCA improved significantly, but impact on survival remains unclear.</w:t>
            </w:r>
          </w:p>
        </w:tc>
      </w:tr>
      <w:tr w14:paraId="6534D70D">
        <w:tc>
          <w:tcPr>
            <w:tcW w:w="2140" w:type="dxa"/>
            <w:vAlign w:val="top"/>
          </w:tcPr>
          <w:p w14:paraId="1241B0E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Dickson RL, et al. (10.1016/j.jemermed.2018.05.027)</w:t>
            </w:r>
          </w:p>
        </w:tc>
        <w:tc>
          <w:tcPr>
            <w:tcW w:w="1284" w:type="dxa"/>
            <w:vAlign w:val="top"/>
          </w:tcPr>
          <w:p w14:paraId="3A5E73B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2013</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2017</w:t>
            </w:r>
          </w:p>
        </w:tc>
        <w:tc>
          <w:tcPr>
            <w:tcW w:w="1214" w:type="dxa"/>
            <w:vAlign w:val="top"/>
          </w:tcPr>
          <w:p w14:paraId="5A88942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0209533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Case Series</w:t>
            </w:r>
          </w:p>
        </w:tc>
        <w:tc>
          <w:tcPr>
            <w:tcW w:w="992" w:type="dxa"/>
            <w:vAlign w:val="top"/>
          </w:tcPr>
          <w:p w14:paraId="2D71A90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57 tCA patients</w:t>
            </w:r>
          </w:p>
        </w:tc>
        <w:tc>
          <w:tcPr>
            <w:tcW w:w="2228" w:type="dxa"/>
            <w:vAlign w:val="top"/>
          </w:tcPr>
          <w:p w14:paraId="4280857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simple thoracostomy (ST)</w:t>
            </w:r>
          </w:p>
        </w:tc>
        <w:tc>
          <w:tcPr>
            <w:tcW w:w="1423" w:type="dxa"/>
            <w:vAlign w:val="top"/>
          </w:tcPr>
          <w:p w14:paraId="47E8C4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Historical control group (50 patients with needle thoracostomy, NT)</w:t>
            </w:r>
          </w:p>
        </w:tc>
        <w:tc>
          <w:tcPr>
            <w:tcW w:w="1695" w:type="dxa"/>
            <w:vAlign w:val="top"/>
          </w:tcPr>
          <w:p w14:paraId="197F2AB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rate: 25% (14/57)</w:t>
            </w:r>
          </w:p>
          <w:p w14:paraId="692165A8">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discharge (neurologically intact): 7% (4/57)</w:t>
            </w:r>
          </w:p>
          <w:p w14:paraId="587BD21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medic injuries; no significant ROSC difference vs. NT (p=0.4833)</w:t>
            </w:r>
          </w:p>
        </w:tc>
        <w:tc>
          <w:tcPr>
            <w:tcW w:w="0" w:type="auto"/>
            <w:vAlign w:val="top"/>
          </w:tcPr>
          <w:p w14:paraId="34D7755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Properly trained paramedics can safely perform ST for tCA. ST showed higher neurologically intact survival vs. NT (7% vs. 0%).</w:t>
            </w:r>
          </w:p>
        </w:tc>
      </w:tr>
      <w:tr w14:paraId="6CE95F56">
        <w:tc>
          <w:tcPr>
            <w:tcW w:w="2140" w:type="dxa"/>
            <w:vAlign w:val="top"/>
          </w:tcPr>
          <w:p w14:paraId="39A8CA1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Hannon L, et al. (10.1111/1742-6723.13549)</w:t>
            </w:r>
          </w:p>
        </w:tc>
        <w:tc>
          <w:tcPr>
            <w:tcW w:w="1284" w:type="dxa"/>
            <w:vAlign w:val="top"/>
          </w:tcPr>
          <w:p w14:paraId="2858067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2015</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2018</w:t>
            </w:r>
          </w:p>
        </w:tc>
        <w:tc>
          <w:tcPr>
            <w:tcW w:w="1214" w:type="dxa"/>
            <w:vAlign w:val="top"/>
          </w:tcPr>
          <w:p w14:paraId="18521E7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Australia</w:t>
            </w:r>
          </w:p>
        </w:tc>
        <w:tc>
          <w:tcPr>
            <w:tcW w:w="1931" w:type="dxa"/>
            <w:vAlign w:val="top"/>
          </w:tcPr>
          <w:p w14:paraId="004394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2833AED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103 trauma patients (73.8% bilateral finger thoracostomies)</w:t>
            </w:r>
          </w:p>
        </w:tc>
        <w:tc>
          <w:tcPr>
            <w:tcW w:w="2228" w:type="dxa"/>
            <w:vAlign w:val="top"/>
          </w:tcPr>
          <w:p w14:paraId="15A9FE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P</w:t>
            </w:r>
            <w:r>
              <w:rPr>
                <w:rFonts w:hint="default" w:ascii="Times New Roman Regular" w:hAnsi="Times New Roman Regular" w:cs="Times New Roman Regular"/>
                <w:sz w:val="24"/>
                <w:szCs w:val="24"/>
              </w:rPr>
              <w:t>rehospital</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FT by paramedics</w:t>
            </w:r>
          </w:p>
        </w:tc>
        <w:tc>
          <w:tcPr>
            <w:tcW w:w="1423" w:type="dxa"/>
            <w:vAlign w:val="top"/>
          </w:tcPr>
          <w:p w14:paraId="18613C3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(focus on intervention outcomes)</w:t>
            </w:r>
          </w:p>
        </w:tc>
        <w:tc>
          <w:tcPr>
            <w:tcW w:w="1695" w:type="dxa"/>
            <w:vAlign w:val="top"/>
          </w:tcPr>
          <w:p w14:paraId="7126643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- 30 prehospital deaths (29.1%), 25 in tCA setting- No radiological TP on hospital arrival</w:t>
            </w:r>
          </w:p>
          <w:p w14:paraId="39AF4C4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Complications: 3 cases (1 cellulitis, 2 organ injuries)</w:t>
            </w:r>
          </w:p>
          <w:p w14:paraId="51DCDDD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3/32 (9.4%) in tCA subgroup</w:t>
            </w:r>
          </w:p>
        </w:tc>
        <w:tc>
          <w:tcPr>
            <w:tcW w:w="0" w:type="auto"/>
            <w:vAlign w:val="top"/>
          </w:tcPr>
          <w:p w14:paraId="6BCBC3D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FT by trained paramedics is safe with low complication rates and is preferable to needle decompression for chest decompression.</w:t>
            </w:r>
          </w:p>
        </w:tc>
      </w:tr>
      <w:tr w14:paraId="75B8462A">
        <w:tc>
          <w:tcPr>
            <w:tcW w:w="2140" w:type="dxa"/>
            <w:vAlign w:val="top"/>
          </w:tcPr>
          <w:p w14:paraId="373210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Quinn N, et al. (10.1111/1742-6723.13392)</w:t>
            </w:r>
          </w:p>
        </w:tc>
        <w:tc>
          <w:tcPr>
            <w:tcW w:w="1284" w:type="dxa"/>
            <w:vAlign w:val="top"/>
          </w:tcPr>
          <w:p w14:paraId="60E1C73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2016</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2019</w:t>
            </w:r>
          </w:p>
        </w:tc>
        <w:tc>
          <w:tcPr>
            <w:tcW w:w="1214" w:type="dxa"/>
            <w:vAlign w:val="top"/>
          </w:tcPr>
          <w:p w14:paraId="4041F5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Australia</w:t>
            </w:r>
          </w:p>
        </w:tc>
        <w:tc>
          <w:tcPr>
            <w:tcW w:w="1931" w:type="dxa"/>
            <w:vAlign w:val="top"/>
          </w:tcPr>
          <w:p w14:paraId="77C65B9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Review</w:t>
            </w:r>
          </w:p>
        </w:tc>
        <w:tc>
          <w:tcPr>
            <w:tcW w:w="992" w:type="dxa"/>
            <w:vAlign w:val="top"/>
          </w:tcPr>
          <w:p w14:paraId="73CB96F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 children (1.2</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15 years)</w:t>
            </w:r>
          </w:p>
        </w:tc>
        <w:tc>
          <w:tcPr>
            <w:tcW w:w="2228" w:type="dxa"/>
            <w:vAlign w:val="top"/>
          </w:tcPr>
          <w:p w14:paraId="4B3A62C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Prehospital/in-hospital thoracostomy</w:t>
            </w:r>
          </w:p>
        </w:tc>
        <w:tc>
          <w:tcPr>
            <w:tcW w:w="1423" w:type="dxa"/>
            <w:vAlign w:val="top"/>
          </w:tcPr>
          <w:p w14:paraId="2DB30B0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who underwent needle thoracocentesis prior to thoracostomy</w:t>
            </w:r>
          </w:p>
        </w:tc>
        <w:tc>
          <w:tcPr>
            <w:tcW w:w="1695" w:type="dxa"/>
            <w:vAlign w:val="top"/>
          </w:tcPr>
          <w:p w14:paraId="6CB7ACA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- 10/14 had failed needle decompression</w:t>
            </w:r>
          </w:p>
          <w:p w14:paraId="04053A3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Median ISS: 35.5- Survival: 11/14 (78.6%); 3 deaths</w:t>
            </w:r>
          </w:p>
          <w:p w14:paraId="09BF9EE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thoracostomy-related complications</w:t>
            </w:r>
          </w:p>
        </w:tc>
        <w:tc>
          <w:tcPr>
            <w:tcW w:w="0" w:type="auto"/>
            <w:vAlign w:val="top"/>
          </w:tcPr>
          <w:p w14:paraId="7D79B64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Thoracostomy is effective and safe for emergency pleural decompression in children; superior to needle thoracocentesis.</w:t>
            </w:r>
          </w:p>
        </w:tc>
      </w:tr>
      <w:tr w14:paraId="33C10EE9">
        <w:tc>
          <w:tcPr>
            <w:tcW w:w="2140" w:type="dxa"/>
            <w:vAlign w:val="top"/>
          </w:tcPr>
          <w:p w14:paraId="52A0B9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Almond P, et al. (10.1186/s13049-022-00997-4)</w:t>
            </w:r>
          </w:p>
        </w:tc>
        <w:tc>
          <w:tcPr>
            <w:tcW w:w="1284" w:type="dxa"/>
            <w:vAlign w:val="top"/>
          </w:tcPr>
          <w:p w14:paraId="76EE640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2015</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2021</w:t>
            </w:r>
          </w:p>
        </w:tc>
        <w:tc>
          <w:tcPr>
            <w:tcW w:w="1214" w:type="dxa"/>
            <w:vAlign w:val="top"/>
          </w:tcPr>
          <w:p w14:paraId="3DE0393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931" w:type="dxa"/>
            <w:vAlign w:val="top"/>
          </w:tcPr>
          <w:p w14:paraId="57EC3A8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Case Series</w:t>
            </w:r>
          </w:p>
        </w:tc>
        <w:tc>
          <w:tcPr>
            <w:tcW w:w="992" w:type="dxa"/>
            <w:vAlign w:val="top"/>
          </w:tcPr>
          <w:p w14:paraId="6477767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44 resuscitative thoracotomies (RT)</w:t>
            </w:r>
          </w:p>
        </w:tc>
        <w:tc>
          <w:tcPr>
            <w:tcW w:w="2228" w:type="dxa"/>
            <w:vAlign w:val="top"/>
          </w:tcPr>
          <w:p w14:paraId="28A07F3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resuscitative thoracotomy</w:t>
            </w:r>
          </w:p>
        </w:tc>
        <w:tc>
          <w:tcPr>
            <w:tcW w:w="1423" w:type="dxa"/>
            <w:vAlign w:val="top"/>
          </w:tcPr>
          <w:p w14:paraId="7F61385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Comparison between blunt (n=26) and penetrating (n=18) trauma</w:t>
            </w:r>
          </w:p>
        </w:tc>
        <w:tc>
          <w:tcPr>
            <w:tcW w:w="1695" w:type="dxa"/>
            <w:vAlign w:val="top"/>
          </w:tcPr>
          <w:p w14:paraId="3C408A1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rate: 25% (11/44); 9 blunt, 2 penetrating</w:t>
            </w:r>
          </w:p>
          <w:p w14:paraId="57879CF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survival to discharge- Cardiac tamponade: 15% (4/26) blunt vs. 39% (7/18) penetrating</w:t>
            </w:r>
          </w:p>
        </w:tc>
        <w:tc>
          <w:tcPr>
            <w:tcW w:w="0" w:type="auto"/>
            <w:vAlign w:val="top"/>
          </w:tcPr>
          <w:p w14:paraId="1B9C51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RT has low survival but facilitates ROSC for hospital transfer. Blunt trauma had unexpected cardiac tamponade.</w:t>
            </w:r>
          </w:p>
        </w:tc>
      </w:tr>
      <w:tr w14:paraId="41B251F3">
        <w:tc>
          <w:tcPr>
            <w:tcW w:w="2140" w:type="dxa"/>
            <w:vAlign w:val="top"/>
          </w:tcPr>
          <w:p w14:paraId="7E2D3E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Atkins K, et al. (10.1016/j.injury.2023.111033)</w:t>
            </w:r>
          </w:p>
        </w:tc>
        <w:tc>
          <w:tcPr>
            <w:tcW w:w="1284" w:type="dxa"/>
            <w:vAlign w:val="top"/>
          </w:tcPr>
          <w:p w14:paraId="7C9C8FB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2021</w:t>
            </w:r>
          </w:p>
        </w:tc>
        <w:tc>
          <w:tcPr>
            <w:tcW w:w="1214" w:type="dxa"/>
            <w:vAlign w:val="top"/>
          </w:tcPr>
          <w:p w14:paraId="38E03F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40B2A9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 (NTDB)</w:t>
            </w:r>
          </w:p>
        </w:tc>
        <w:tc>
          <w:tcPr>
            <w:tcW w:w="992" w:type="dxa"/>
            <w:vAlign w:val="top"/>
          </w:tcPr>
          <w:p w14:paraId="60C6F6B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13,115 adults with penetrating tCA</w:t>
            </w:r>
          </w:p>
        </w:tc>
        <w:tc>
          <w:tcPr>
            <w:tcW w:w="2228" w:type="dxa"/>
            <w:vAlign w:val="top"/>
          </w:tcPr>
          <w:p w14:paraId="4D47F94A">
            <w:pPr>
              <w:pStyle w:val="12"/>
              <w:ind w:left="0" w:leftChars="0"/>
              <w:rPr>
                <w:rFonts w:hint="default" w:ascii="Times New Roman Regular" w:hAnsi="Times New Roman Regular" w:eastAsia="等线" w:cs="Times New Roman Regular"/>
                <w:sz w:val="24"/>
                <w:szCs w:val="24"/>
                <w:lang w:val="en-US"/>
              </w:rPr>
            </w:pPr>
            <w:r>
              <w:rPr>
                <w:rFonts w:hint="default" w:ascii="Times New Roman Regular" w:hAnsi="Times New Roman Regular" w:eastAsia="等线" w:cs="Times New Roman Regular"/>
                <w:sz w:val="24"/>
                <w:szCs w:val="24"/>
                <w:lang w:val="en-US"/>
              </w:rPr>
              <w:t>RT</w:t>
            </w:r>
          </w:p>
        </w:tc>
        <w:tc>
          <w:tcPr>
            <w:tcW w:w="1423" w:type="dxa"/>
            <w:vAlign w:val="top"/>
          </w:tcPr>
          <w:p w14:paraId="78C0D5F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without RT</w:t>
            </w:r>
          </w:p>
        </w:tc>
        <w:tc>
          <w:tcPr>
            <w:tcW w:w="1695" w:type="dxa"/>
            <w:vAlign w:val="top"/>
          </w:tcPr>
          <w:p w14:paraId="4A78B24F">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RT rate: 12.7% (1664/13115), increasing 2017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2021</w:t>
            </w:r>
          </w:p>
          <w:p w14:paraId="30B87A59">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Crude mortality: 95.6% (RT) vs. 94.5% (no RT, p=0.07)</w:t>
            </w:r>
          </w:p>
          <w:p w14:paraId="3A89A55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adjusted mortality benefit (OR=0.82, 95%CI=0.56</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1.21)</w:t>
            </w:r>
          </w:p>
          <w:p w14:paraId="333B1A3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University-teaching hospitals 1.68x more likely to perform RT</w:t>
            </w:r>
          </w:p>
        </w:tc>
        <w:tc>
          <w:tcPr>
            <w:tcW w:w="0" w:type="auto"/>
            <w:vAlign w:val="top"/>
          </w:tcPr>
          <w:p w14:paraId="08C8A65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RT shows no mortality benefit for penetrating tCA. University-teaching hospitals perform more RTs without survival improvement.</w:t>
            </w:r>
          </w:p>
        </w:tc>
      </w:tr>
      <w:tr w14:paraId="7DD30E96">
        <w:tc>
          <w:tcPr>
            <w:tcW w:w="2140" w:type="dxa"/>
            <w:vAlign w:val="top"/>
          </w:tcPr>
          <w:p w14:paraId="370B42F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Harfouche MN, et al. (10.1136/tsaco-2024-001730)</w:t>
            </w:r>
          </w:p>
        </w:tc>
        <w:tc>
          <w:tcPr>
            <w:tcW w:w="1284" w:type="dxa"/>
            <w:vAlign w:val="top"/>
          </w:tcPr>
          <w:p w14:paraId="4937301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1946</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2024</w:t>
            </w:r>
          </w:p>
        </w:tc>
        <w:tc>
          <w:tcPr>
            <w:tcW w:w="1214" w:type="dxa"/>
            <w:vAlign w:val="top"/>
          </w:tcPr>
          <w:p w14:paraId="2174761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Global (31 studies)</w:t>
            </w:r>
          </w:p>
        </w:tc>
        <w:tc>
          <w:tcPr>
            <w:tcW w:w="1931" w:type="dxa"/>
            <w:vAlign w:val="top"/>
          </w:tcPr>
          <w:p w14:paraId="7CDE302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Review/Meta-Analysis</w:t>
            </w:r>
          </w:p>
        </w:tc>
        <w:tc>
          <w:tcPr>
            <w:tcW w:w="992" w:type="dxa"/>
            <w:vAlign w:val="top"/>
          </w:tcPr>
          <w:p w14:paraId="68AB776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Variable (by PICO question)</w:t>
            </w:r>
          </w:p>
        </w:tc>
        <w:tc>
          <w:tcPr>
            <w:tcW w:w="2228" w:type="dxa"/>
            <w:vAlign w:val="top"/>
          </w:tcPr>
          <w:p w14:paraId="4A952B75">
            <w:pPr>
              <w:pStyle w:val="12"/>
              <w:ind w:left="0" w:leftChars="0"/>
              <w:rPr>
                <w:rFonts w:hint="default" w:ascii="Times New Roman Regular" w:hAnsi="Times New Roman Regular" w:eastAsia="等线" w:cs="Times New Roman Regular"/>
                <w:sz w:val="24"/>
                <w:szCs w:val="24"/>
                <w:lang w:val="en-US"/>
              </w:rPr>
            </w:pPr>
            <w:r>
              <w:rPr>
                <w:rFonts w:hint="default" w:ascii="Times New Roman Regular" w:hAnsi="Times New Roman Regular" w:eastAsia="等线" w:cs="Times New Roman Regular"/>
                <w:sz w:val="24"/>
                <w:szCs w:val="24"/>
                <w:lang w:val="en-US"/>
              </w:rPr>
              <w:t>REBOA</w:t>
            </w:r>
          </w:p>
        </w:tc>
        <w:tc>
          <w:tcPr>
            <w:tcW w:w="1423" w:type="dxa"/>
            <w:vAlign w:val="top"/>
          </w:tcPr>
          <w:p w14:paraId="1E3E76C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RT or no REBOA</w:t>
            </w:r>
          </w:p>
        </w:tc>
        <w:tc>
          <w:tcPr>
            <w:tcW w:w="1695" w:type="dxa"/>
            <w:vAlign w:val="top"/>
          </w:tcPr>
          <w:p w14:paraId="55FFB1C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TCA subgroup: REBOA vs. RT mortality OR=0.32 (95%CI=0.15</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0.69, p=0.004)</w:t>
            </w:r>
          </w:p>
          <w:p w14:paraId="613BE0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Time to aortic occlusion: REBOA longer by 2.64 min</w:t>
            </w:r>
          </w:p>
        </w:tc>
        <w:tc>
          <w:tcPr>
            <w:tcW w:w="0" w:type="auto"/>
            <w:vAlign w:val="top"/>
          </w:tcPr>
          <w:p w14:paraId="1232A57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Conditional recommendation for REBOA in </w:t>
            </w:r>
            <w:r>
              <w:rPr>
                <w:rFonts w:hint="default" w:ascii="Times New Roman Regular" w:hAnsi="Times New Roman Regular" w:cs="Times New Roman Regular"/>
                <w:sz w:val="24"/>
                <w:szCs w:val="24"/>
                <w:lang w:val="en-US"/>
              </w:rPr>
              <w:t>T</w:t>
            </w:r>
            <w:r>
              <w:rPr>
                <w:rFonts w:hint="default" w:ascii="Times New Roman Regular" w:hAnsi="Times New Roman Regular" w:cs="Times New Roman Regular"/>
                <w:sz w:val="24"/>
                <w:szCs w:val="24"/>
              </w:rPr>
              <w:t>CA due to subdiaphragmatic bleeding; against REBOA for unstable pelvic fractures.</w:t>
            </w:r>
          </w:p>
        </w:tc>
      </w:tr>
      <w:tr w14:paraId="08FEF42E">
        <w:tc>
          <w:tcPr>
            <w:tcW w:w="2140" w:type="dxa"/>
            <w:vAlign w:val="top"/>
          </w:tcPr>
          <w:p w14:paraId="5B8AAB7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Yamamoto R, et al. (10.1002/emp2.12177)</w:t>
            </w:r>
          </w:p>
        </w:tc>
        <w:tc>
          <w:tcPr>
            <w:tcW w:w="1284" w:type="dxa"/>
            <w:vAlign w:val="top"/>
          </w:tcPr>
          <w:p w14:paraId="2A3C85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2019</w:t>
            </w:r>
          </w:p>
        </w:tc>
        <w:tc>
          <w:tcPr>
            <w:tcW w:w="1214" w:type="dxa"/>
            <w:vAlign w:val="top"/>
          </w:tcPr>
          <w:p w14:paraId="57321A3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931" w:type="dxa"/>
            <w:vAlign w:val="top"/>
          </w:tcPr>
          <w:p w14:paraId="053E07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 (JTDB)</w:t>
            </w:r>
          </w:p>
        </w:tc>
        <w:tc>
          <w:tcPr>
            <w:tcW w:w="992" w:type="dxa"/>
            <w:vAlign w:val="top"/>
          </w:tcPr>
          <w:p w14:paraId="5841F4A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1483 adults with t-OHCA</w:t>
            </w:r>
          </w:p>
        </w:tc>
        <w:tc>
          <w:tcPr>
            <w:tcW w:w="2228" w:type="dxa"/>
            <w:vAlign w:val="top"/>
          </w:tcPr>
          <w:p w14:paraId="0212329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REBOA</w:t>
            </w:r>
          </w:p>
        </w:tc>
        <w:tc>
          <w:tcPr>
            <w:tcW w:w="1423" w:type="dxa"/>
            <w:vAlign w:val="top"/>
          </w:tcPr>
          <w:p w14:paraId="0DA2D45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RT</w:t>
            </w:r>
          </w:p>
        </w:tc>
        <w:tc>
          <w:tcPr>
            <w:tcW w:w="1695" w:type="dxa"/>
            <w:vAlign w:val="top"/>
          </w:tcPr>
          <w:p w14:paraId="0559276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REBOA rate: 9.7% (144/1483)</w:t>
            </w:r>
          </w:p>
          <w:p w14:paraId="16C1562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discharge: 3.5% (REBOA) vs. 0.7% (RT, p=0.01)</w:t>
            </w:r>
          </w:p>
          <w:p w14:paraId="7536D4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Adjusted OR=3.73 (95%CI=1.90</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7.32) for REBOA</w:t>
            </w:r>
          </w:p>
        </w:tc>
        <w:tc>
          <w:tcPr>
            <w:tcW w:w="0" w:type="auto"/>
            <w:vAlign w:val="top"/>
          </w:tcPr>
          <w:p w14:paraId="72C26E1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REBOA is associated with higher survival to discharge vs. RT for traumatic out-of-hospital cardiac arrest.</w:t>
            </w:r>
          </w:p>
        </w:tc>
      </w:tr>
      <w:tr w14:paraId="39E972D5">
        <w:tc>
          <w:tcPr>
            <w:tcW w:w="2140" w:type="dxa"/>
            <w:vAlign w:val="top"/>
          </w:tcPr>
          <w:p w14:paraId="68F119D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Nakashima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"https://doi.org/10.1016/j.jss.2023.11.063"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10.1016/j.jss.2023.11.063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2869720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2022</w:t>
            </w:r>
          </w:p>
        </w:tc>
        <w:tc>
          <w:tcPr>
            <w:tcW w:w="1214" w:type="dxa"/>
            <w:vAlign w:val="top"/>
          </w:tcPr>
          <w:p w14:paraId="5A6B3B8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 (Los Angeles)</w:t>
            </w:r>
          </w:p>
        </w:tc>
        <w:tc>
          <w:tcPr>
            <w:tcW w:w="1931" w:type="dxa"/>
            <w:vAlign w:val="top"/>
          </w:tcPr>
          <w:p w14:paraId="089418B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992" w:type="dxa"/>
            <w:vAlign w:val="top"/>
          </w:tcPr>
          <w:p w14:paraId="34A89BE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445</w:t>
            </w:r>
          </w:p>
        </w:tc>
        <w:tc>
          <w:tcPr>
            <w:tcW w:w="2228" w:type="dxa"/>
            <w:vAlign w:val="top"/>
          </w:tcPr>
          <w:p w14:paraId="2541D6C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RT</w:t>
            </w:r>
            <w:r>
              <w:rPr>
                <w:rFonts w:hint="default" w:ascii="Times New Roman Regular" w:hAnsi="Times New Roman Regular" w:cs="Times New Roman Regular"/>
                <w:sz w:val="24"/>
                <w:szCs w:val="24"/>
              </w:rPr>
              <w:t>; Blood product transfusion (pRBC, platelets)</w:t>
            </w:r>
          </w:p>
        </w:tc>
        <w:tc>
          <w:tcPr>
            <w:tcW w:w="1423" w:type="dxa"/>
            <w:vAlign w:val="top"/>
          </w:tcPr>
          <w:p w14:paraId="7D8403A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Pre-COVID (2017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2020) vs. COVID (2020</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2022) cohorts</w:t>
            </w:r>
          </w:p>
        </w:tc>
        <w:tc>
          <w:tcPr>
            <w:tcW w:w="1695" w:type="dxa"/>
            <w:vAlign w:val="top"/>
          </w:tcPr>
          <w:p w14:paraId="04C1D73D">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RT rate (2% vs. 2%, P=0.697) and survival to discharge (11% vs. 9%, P=0.562) were similar.</w:t>
            </w:r>
          </w:p>
          <w:p w14:paraId="20FF1115">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COVID cohort had 1 unit less pRBC (P=0.012) and platelets (P=0.012) at 4h.  3. Massive transfusion odds decreased (OR 0.48, P=0.003).</w:t>
            </w:r>
          </w:p>
        </w:tc>
        <w:tc>
          <w:tcPr>
            <w:tcW w:w="0" w:type="auto"/>
            <w:vAlign w:val="top"/>
          </w:tcPr>
          <w:p w14:paraId="3E37997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RT can be performed at prepandemic frequencies during resource constraints (e.g., COVID) with reduced blood product use without compromising survival.</w:t>
            </w:r>
          </w:p>
        </w:tc>
      </w:tr>
      <w:tr w14:paraId="2DABA200">
        <w:tc>
          <w:tcPr>
            <w:tcW w:w="2140" w:type="dxa"/>
            <w:vAlign w:val="top"/>
          </w:tcPr>
          <w:p w14:paraId="6249C82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Selesner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"https://doi.org/10.1097/TA.0000000000003879"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10.1097/TA.0000000000003879</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5C328B9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 (literature review)</w:t>
            </w:r>
          </w:p>
        </w:tc>
        <w:tc>
          <w:tcPr>
            <w:tcW w:w="1214" w:type="dxa"/>
            <w:vAlign w:val="top"/>
          </w:tcPr>
          <w:p w14:paraId="59B6E8F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Multinational (systematic review)</w:t>
            </w:r>
          </w:p>
        </w:tc>
        <w:tc>
          <w:tcPr>
            <w:tcW w:w="1931" w:type="dxa"/>
            <w:vAlign w:val="top"/>
          </w:tcPr>
          <w:p w14:paraId="506B7A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 and practice guideline</w:t>
            </w:r>
          </w:p>
        </w:tc>
        <w:tc>
          <w:tcPr>
            <w:tcW w:w="992" w:type="dxa"/>
            <w:vAlign w:val="top"/>
          </w:tcPr>
          <w:p w14:paraId="7E3B283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319</w:t>
            </w:r>
          </w:p>
        </w:tc>
        <w:tc>
          <w:tcPr>
            <w:tcW w:w="2228" w:type="dxa"/>
            <w:vAlign w:val="top"/>
          </w:tcPr>
          <w:p w14:paraId="2CE7522C">
            <w:pPr>
              <w:pStyle w:val="12"/>
              <w:ind w:left="0" w:leftChars="0"/>
              <w:rPr>
                <w:rFonts w:hint="default" w:ascii="Times New Roman Regular" w:hAnsi="Times New Roman Regular" w:eastAsia="等线" w:cs="Times New Roman Regular"/>
                <w:sz w:val="24"/>
                <w:szCs w:val="24"/>
                <w:lang w:val="en-US"/>
              </w:rPr>
            </w:pPr>
            <w:r>
              <w:rPr>
                <w:rFonts w:hint="default" w:ascii="Times New Roman Regular" w:hAnsi="Times New Roman Regular" w:eastAsia="等线" w:cs="Times New Roman Regular"/>
                <w:sz w:val="24"/>
                <w:szCs w:val="24"/>
                <w:lang w:val="en-US"/>
              </w:rPr>
              <w:t>EDT</w:t>
            </w:r>
          </w:p>
        </w:tc>
        <w:tc>
          <w:tcPr>
            <w:tcW w:w="1423" w:type="dxa"/>
            <w:vAlign w:val="top"/>
          </w:tcPr>
          <w:p w14:paraId="2D73A6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 EDT (estimated survival)</w:t>
            </w:r>
          </w:p>
        </w:tc>
        <w:tc>
          <w:tcPr>
            <w:tcW w:w="1695" w:type="dxa"/>
            <w:vAlign w:val="top"/>
          </w:tcPr>
          <w:p w14:paraId="0A29C494">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31% survival for pulseless pediatric patients with SOL after penetrating thoracic injury.  </w:t>
            </w: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0% survival for pulseless pediatric patients without SOL after blunt injury.</w:t>
            </w:r>
          </w:p>
        </w:tc>
        <w:tc>
          <w:tcPr>
            <w:tcW w:w="0" w:type="auto"/>
            <w:vAlign w:val="top"/>
          </w:tcPr>
          <w:p w14:paraId="5F18CCF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Conditional recommendations for EDT based on injury mechanism and SOL; strong recommendation against EDT for blunt injury without SOL.</w:t>
            </w:r>
          </w:p>
        </w:tc>
      </w:tr>
      <w:tr w14:paraId="65314A41">
        <w:tc>
          <w:tcPr>
            <w:tcW w:w="2140" w:type="dxa"/>
            <w:vAlign w:val="top"/>
          </w:tcPr>
          <w:p w14:paraId="46AF4A3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Agostinucci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"https://doi.org/10.1111/ijn.13244"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10.1111/ijn.13244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154919B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2013</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2021</w:t>
            </w:r>
          </w:p>
        </w:tc>
        <w:tc>
          <w:tcPr>
            <w:tcW w:w="1214" w:type="dxa"/>
            <w:vAlign w:val="top"/>
          </w:tcPr>
          <w:p w14:paraId="125AAEC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1931" w:type="dxa"/>
            <w:vAlign w:val="top"/>
          </w:tcPr>
          <w:p w14:paraId="151F297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0D1B3A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3964</w:t>
            </w:r>
          </w:p>
        </w:tc>
        <w:tc>
          <w:tcPr>
            <w:tcW w:w="2228" w:type="dxa"/>
            <w:vAlign w:val="top"/>
          </w:tcPr>
          <w:p w14:paraId="1F81F4C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IO</w:t>
            </w:r>
          </w:p>
        </w:tc>
        <w:tc>
          <w:tcPr>
            <w:tcW w:w="1423" w:type="dxa"/>
            <w:vAlign w:val="top"/>
          </w:tcPr>
          <w:p w14:paraId="46CF5AC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Peripheral/central vascular access</w:t>
            </w:r>
          </w:p>
        </w:tc>
        <w:tc>
          <w:tcPr>
            <w:tcW w:w="1695" w:type="dxa"/>
            <w:vAlign w:val="top"/>
          </w:tcPr>
          <w:p w14:paraId="0C2530A2">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IO</w:t>
            </w:r>
            <w:r>
              <w:rPr>
                <w:rFonts w:hint="default" w:ascii="Times New Roman Regular" w:hAnsi="Times New Roman Regular" w:cs="Times New Roman Regular"/>
                <w:sz w:val="24"/>
                <w:szCs w:val="24"/>
              </w:rPr>
              <w:t xml:space="preserve"> use increased from 7% (2013) to 33% (2021).</w:t>
            </w:r>
          </w:p>
          <w:p w14:paraId="29B2CD60">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IO</w:t>
            </w:r>
            <w:r>
              <w:rPr>
                <w:rFonts w:hint="default" w:ascii="Times New Roman Regular" w:hAnsi="Times New Roman Regular" w:cs="Times New Roman Regular"/>
                <w:sz w:val="24"/>
                <w:szCs w:val="24"/>
              </w:rPr>
              <w:t xml:space="preserve"> associated with later epinephrine (6 vs. 5 min, P&lt;0.0001) and lower survival (1% vs. 7%, P&lt;0.0001).</w:t>
            </w:r>
          </w:p>
        </w:tc>
        <w:tc>
          <w:tcPr>
            <w:tcW w:w="0" w:type="auto"/>
            <w:vAlign w:val="top"/>
          </w:tcPr>
          <w:p w14:paraId="2BCBB58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IO</w:t>
            </w:r>
            <w:r>
              <w:rPr>
                <w:rFonts w:hint="default" w:ascii="Times New Roman Regular" w:hAnsi="Times New Roman Regular" w:cs="Times New Roman Regular"/>
                <w:sz w:val="24"/>
                <w:szCs w:val="24"/>
              </w:rPr>
              <w:t xml:space="preserve"> use rose significantly but linked to poorer outcomes; optimal role in prehospital resuscitation remains unclear.</w:t>
            </w:r>
          </w:p>
        </w:tc>
      </w:tr>
      <w:tr w14:paraId="7905FA74">
        <w:tc>
          <w:tcPr>
            <w:tcW w:w="2140" w:type="dxa"/>
            <w:vAlign w:val="top"/>
          </w:tcPr>
          <w:p w14:paraId="468805D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Smida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"https://doi.org/10.1007/s00068-023-02279-9"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10.1007/s00068-023-02279-9</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7E77E5E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2018</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2021</w:t>
            </w:r>
          </w:p>
        </w:tc>
        <w:tc>
          <w:tcPr>
            <w:tcW w:w="1214" w:type="dxa"/>
            <w:vAlign w:val="top"/>
          </w:tcPr>
          <w:p w14:paraId="3850A7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483EB8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65C7351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4942</w:t>
            </w:r>
          </w:p>
        </w:tc>
        <w:tc>
          <w:tcPr>
            <w:tcW w:w="2228" w:type="dxa"/>
            <w:vAlign w:val="top"/>
          </w:tcPr>
          <w:p w14:paraId="4C0D568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On-scene vs. en route ALS: vascular access, airway management, chest decompression</w:t>
            </w:r>
          </w:p>
        </w:tc>
        <w:tc>
          <w:tcPr>
            <w:tcW w:w="1423" w:type="dxa"/>
            <w:vAlign w:val="top"/>
          </w:tcPr>
          <w:p w14:paraId="145C29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 ALS</w:t>
            </w:r>
          </w:p>
        </w:tc>
        <w:tc>
          <w:tcPr>
            <w:tcW w:w="1695" w:type="dxa"/>
            <w:vAlign w:val="top"/>
          </w:tcPr>
          <w:p w14:paraId="009ED374">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On-scene vascular access associated with higher ROSC (aOR 2.14, P&lt;0.001).</w:t>
            </w:r>
          </w:p>
          <w:p w14:paraId="68AD5777">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Each 1-min delay to vascular access reduced ROSC by 3% (aOR 0.97, P&lt;0.05).</w:t>
            </w:r>
          </w:p>
        </w:tc>
        <w:tc>
          <w:tcPr>
            <w:tcW w:w="0" w:type="auto"/>
            <w:vAlign w:val="top"/>
          </w:tcPr>
          <w:p w14:paraId="116A7E3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On-scene ALS (especially vascular access) improves ROSC; en route interventions offer no benefit.</w:t>
            </w:r>
          </w:p>
        </w:tc>
      </w:tr>
      <w:tr w14:paraId="54D38AD8">
        <w:tc>
          <w:tcPr>
            <w:tcW w:w="2140" w:type="dxa"/>
            <w:vAlign w:val="top"/>
          </w:tcPr>
          <w:p w14:paraId="2D9C63C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Kim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"https://doi.org/10.22514/sv.2023.128"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10.22514/sv.2023.128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6B767E5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2014</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2019</w:t>
            </w:r>
          </w:p>
        </w:tc>
        <w:tc>
          <w:tcPr>
            <w:tcW w:w="1214" w:type="dxa"/>
            <w:vAlign w:val="top"/>
          </w:tcPr>
          <w:p w14:paraId="0D159F4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South Korea</w:t>
            </w:r>
          </w:p>
        </w:tc>
        <w:tc>
          <w:tcPr>
            <w:tcW w:w="1931" w:type="dxa"/>
            <w:vAlign w:val="top"/>
          </w:tcPr>
          <w:p w14:paraId="2662322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73DE91E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20247</w:t>
            </w:r>
          </w:p>
        </w:tc>
        <w:tc>
          <w:tcPr>
            <w:tcW w:w="2228" w:type="dxa"/>
            <w:vAlign w:val="top"/>
          </w:tcPr>
          <w:p w14:paraId="442B97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hydration</w:t>
            </w:r>
          </w:p>
        </w:tc>
        <w:tc>
          <w:tcPr>
            <w:tcW w:w="1423" w:type="dxa"/>
            <w:vAlign w:val="top"/>
          </w:tcPr>
          <w:p w14:paraId="6422830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 prehospital hydration</w:t>
            </w:r>
          </w:p>
        </w:tc>
        <w:tc>
          <w:tcPr>
            <w:tcW w:w="1695" w:type="dxa"/>
            <w:vAlign w:val="top"/>
          </w:tcPr>
          <w:p w14:paraId="1840EC5C">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Prehospital hydration associated with higher survival to discharge in non-shockable rhythm group (aOR 1.27, P&lt;0.05).</w:t>
            </w:r>
          </w:p>
          <w:p w14:paraId="708257A3">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No benefit in shockable rhythm group.</w:t>
            </w:r>
          </w:p>
        </w:tc>
        <w:tc>
          <w:tcPr>
            <w:tcW w:w="1291" w:type="dxa"/>
            <w:vAlign w:val="top"/>
          </w:tcPr>
          <w:p w14:paraId="3A75990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hydration recommended for TCA with non-shockable rhythm; early transport preferred for shockable rhythm.</w:t>
            </w:r>
          </w:p>
        </w:tc>
      </w:tr>
      <w:tr w14:paraId="19A7D629">
        <w:tc>
          <w:tcPr>
            <w:tcW w:w="2140" w:type="dxa"/>
            <w:vAlign w:val="top"/>
          </w:tcPr>
          <w:p w14:paraId="0AF0F6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Benhamed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"https://doi.org/10.1097/TA.0000000000003474"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10.1097/TA.0000000000003474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7E93AA2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2011</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2020</w:t>
            </w:r>
          </w:p>
        </w:tc>
        <w:tc>
          <w:tcPr>
            <w:tcW w:w="1214" w:type="dxa"/>
            <w:vAlign w:val="top"/>
          </w:tcPr>
          <w:p w14:paraId="1B242D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1931" w:type="dxa"/>
            <w:vAlign w:val="top"/>
          </w:tcPr>
          <w:p w14:paraId="35AF79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4C1183D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4922</w:t>
            </w:r>
          </w:p>
        </w:tc>
        <w:tc>
          <w:tcPr>
            <w:tcW w:w="2228" w:type="dxa"/>
            <w:vAlign w:val="top"/>
          </w:tcPr>
          <w:p w14:paraId="115936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ALS: IV fluid, packed red cells, external hemorrhage control, thoracostomy</w:t>
            </w:r>
          </w:p>
        </w:tc>
        <w:tc>
          <w:tcPr>
            <w:tcW w:w="1423" w:type="dxa"/>
            <w:vAlign w:val="top"/>
          </w:tcPr>
          <w:p w14:paraId="1EB567E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 ALS</w:t>
            </w:r>
          </w:p>
        </w:tc>
        <w:tc>
          <w:tcPr>
            <w:tcW w:w="1695" w:type="dxa"/>
            <w:vAlign w:val="top"/>
          </w:tcPr>
          <w:p w14:paraId="0F1B3179">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IV fluid (aOR 3.19, P&lt;0.001), packed red cells (aOR 2.54, P&lt;0.001), and hemorrhage control (aOR 1.74, P&lt;0.001) associated with ROSC.</w:t>
            </w:r>
          </w:p>
          <w:p w14:paraId="7330AB3C">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Thoracostomy associated with lower ROSC (aOR 0.45, P&lt;0.001).</w:t>
            </w:r>
          </w:p>
        </w:tc>
        <w:tc>
          <w:tcPr>
            <w:tcW w:w="0" w:type="auto"/>
            <w:vAlign w:val="top"/>
          </w:tcPr>
          <w:p w14:paraId="05EBA33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Specific ALS interventions improve ROSC; thoracostomy may be harmful in unselected TCA.</w:t>
            </w:r>
          </w:p>
        </w:tc>
      </w:tr>
      <w:tr w14:paraId="33132178">
        <w:tc>
          <w:tcPr>
            <w:tcW w:w="2140" w:type="dxa"/>
            <w:vAlign w:val="top"/>
          </w:tcPr>
          <w:p w14:paraId="33CD76A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Witt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"https://doi.org/10.1080/10903127.2025.2461283"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10.1080/10903127.2025.2461283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6D910BB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2011</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2017</w:t>
            </w:r>
          </w:p>
        </w:tc>
        <w:tc>
          <w:tcPr>
            <w:tcW w:w="1214" w:type="dxa"/>
            <w:vAlign w:val="top"/>
          </w:tcPr>
          <w:p w14:paraId="0E954E4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0AE8783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3DAAEA3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1631</w:t>
            </w:r>
          </w:p>
        </w:tc>
        <w:tc>
          <w:tcPr>
            <w:tcW w:w="2228" w:type="dxa"/>
            <w:vAlign w:val="top"/>
          </w:tcPr>
          <w:p w14:paraId="15ADEBB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epinephrine</w:t>
            </w:r>
          </w:p>
        </w:tc>
        <w:tc>
          <w:tcPr>
            <w:tcW w:w="1423" w:type="dxa"/>
            <w:vAlign w:val="top"/>
          </w:tcPr>
          <w:p w14:paraId="0D492C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 prehospital epinephrine</w:t>
            </w:r>
          </w:p>
        </w:tc>
        <w:tc>
          <w:tcPr>
            <w:tcW w:w="1695" w:type="dxa"/>
            <w:vAlign w:val="top"/>
          </w:tcPr>
          <w:p w14:paraId="648AD789">
            <w:pPr>
              <w:pStyle w:val="12"/>
              <w:ind w:left="0" w:leftChars="0"/>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Epinephrine associated with lower survival (5% vs. 16%, P&lt;0.001).</w:t>
            </w:r>
          </w:p>
          <w:p w14:paraId="3A93813F">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Worse outcomes in blunt trauma (aRR 0.20, P&lt;0.001) and pediatric patients (aRR 0.33, P&lt;0.001).</w:t>
            </w:r>
          </w:p>
        </w:tc>
        <w:tc>
          <w:tcPr>
            <w:tcW w:w="0" w:type="auto"/>
            <w:vAlign w:val="top"/>
          </w:tcPr>
          <w:p w14:paraId="430E1A9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Epinephrine does not improve TCA survival and may harm select subgroups; prioritize hemorrhage control over epinephrine.</w:t>
            </w:r>
          </w:p>
        </w:tc>
      </w:tr>
      <w:tr w14:paraId="1B17DFA5">
        <w:tc>
          <w:tcPr>
            <w:tcW w:w="2140" w:type="dxa"/>
            <w:vAlign w:val="top"/>
          </w:tcPr>
          <w:p w14:paraId="186F4A7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Aoki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"https://doi.org/10.1038/s41598-019-46460-w"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10.1038/s41598-019-46460-w</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0B235F8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2012</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2015</w:t>
            </w:r>
          </w:p>
        </w:tc>
        <w:tc>
          <w:tcPr>
            <w:tcW w:w="1214" w:type="dxa"/>
            <w:vAlign w:val="top"/>
          </w:tcPr>
          <w:p w14:paraId="29D6AA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931" w:type="dxa"/>
            <w:vAlign w:val="top"/>
          </w:tcPr>
          <w:p w14:paraId="35D6B8D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Nationwide prospective population-based observational study</w:t>
            </w:r>
          </w:p>
        </w:tc>
        <w:tc>
          <w:tcPr>
            <w:tcW w:w="992" w:type="dxa"/>
            <w:vAlign w:val="top"/>
          </w:tcPr>
          <w:p w14:paraId="6446FBD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5,204</w:t>
            </w:r>
          </w:p>
        </w:tc>
        <w:tc>
          <w:tcPr>
            <w:tcW w:w="2228" w:type="dxa"/>
            <w:vAlign w:val="top"/>
          </w:tcPr>
          <w:p w14:paraId="1AD4C5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epinephrine administration</w:t>
            </w:r>
          </w:p>
        </w:tc>
        <w:tc>
          <w:tcPr>
            <w:tcW w:w="1423" w:type="dxa"/>
            <w:vAlign w:val="top"/>
          </w:tcPr>
          <w:p w14:paraId="3E8083F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not receiving prehospital epinephrine</w:t>
            </w:r>
          </w:p>
        </w:tc>
        <w:tc>
          <w:tcPr>
            <w:tcW w:w="1695" w:type="dxa"/>
            <w:vAlign w:val="top"/>
          </w:tcPr>
          <w:p w14:paraId="296FF08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- 1-month survival: 1.5% (epinephrine) vs. 0.9% (no epinephrine), P=0.176- Prehospital ROSC: 9.8% (epinephrine) vs. 0.9% (no epinephrine), P&lt;0.001</w:t>
            </w:r>
          </w:p>
          <w:p w14:paraId="0D6EE47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Multivariable analysis: Epinephrine not associated with 1-month survival (OR 1.495, 95% CI 0.758</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2.946) but associated with prehospital ROSC (OR 3.784, 95% CI 2.102</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6.812)</w:t>
            </w:r>
          </w:p>
        </w:tc>
        <w:tc>
          <w:tcPr>
            <w:tcW w:w="0" w:type="auto"/>
            <w:vAlign w:val="top"/>
          </w:tcPr>
          <w:p w14:paraId="2DD0805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epinephrine administration in TCA patients is not associated with 1-month survival but is beneficial for prehospital ROSC.</w:t>
            </w:r>
          </w:p>
        </w:tc>
      </w:tr>
      <w:tr w14:paraId="6C0C8E9F">
        <w:tc>
          <w:tcPr>
            <w:tcW w:w="2140" w:type="dxa"/>
            <w:vAlign w:val="top"/>
          </w:tcPr>
          <w:p w14:paraId="24343B7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Ahmed (10.14423/SMJ.0000000000000434)</w:t>
            </w:r>
          </w:p>
        </w:tc>
        <w:tc>
          <w:tcPr>
            <w:tcW w:w="1284" w:type="dxa"/>
            <w:vAlign w:val="top"/>
          </w:tcPr>
          <w:p w14:paraId="3D58F5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2010</w:t>
            </w:r>
          </w:p>
        </w:tc>
        <w:tc>
          <w:tcPr>
            <w:tcW w:w="1214" w:type="dxa"/>
            <w:vAlign w:val="top"/>
          </w:tcPr>
          <w:p w14:paraId="45F160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4C4A544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2E1F519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1,269</w:t>
            </w:r>
          </w:p>
        </w:tc>
        <w:tc>
          <w:tcPr>
            <w:tcW w:w="2228" w:type="dxa"/>
            <w:vAlign w:val="top"/>
          </w:tcPr>
          <w:p w14:paraId="5B1E64C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Helicopter ambulance transportation</w:t>
            </w:r>
          </w:p>
        </w:tc>
        <w:tc>
          <w:tcPr>
            <w:tcW w:w="1423" w:type="dxa"/>
            <w:vAlign w:val="top"/>
          </w:tcPr>
          <w:p w14:paraId="74F9AA8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Ground ambulance transportation</w:t>
            </w:r>
          </w:p>
        </w:tc>
        <w:tc>
          <w:tcPr>
            <w:tcW w:w="1695" w:type="dxa"/>
            <w:vAlign w:val="top"/>
          </w:tcPr>
          <w:p w14:paraId="09EFDBE6">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After propensity score matching, survival rate higher in helicopter group (16.9% vs. 10.2%, P=0.014)</w:t>
            </w:r>
          </w:p>
          <w:p w14:paraId="5866792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Absolute risk reduction: 0.066 (95% CI 0.008</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0.125), P=0.02</w:t>
            </w:r>
          </w:p>
        </w:tc>
        <w:tc>
          <w:tcPr>
            <w:tcW w:w="0" w:type="auto"/>
            <w:vAlign w:val="top"/>
          </w:tcPr>
          <w:p w14:paraId="0892916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Helicopter ambulance transportation is associated with higher survival in trauma patients requiring CPR within 1 hour of hospital arrival.</w:t>
            </w:r>
          </w:p>
        </w:tc>
      </w:tr>
      <w:tr w14:paraId="33A7292D">
        <w:tc>
          <w:tcPr>
            <w:tcW w:w="2140" w:type="dxa"/>
            <w:vAlign w:val="top"/>
          </w:tcPr>
          <w:p w14:paraId="5F03BEE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Fitzgerald et al. (10.1111/1742-6723.13530)</w:t>
            </w:r>
          </w:p>
        </w:tc>
        <w:tc>
          <w:tcPr>
            <w:tcW w:w="1284" w:type="dxa"/>
            <w:vAlign w:val="top"/>
          </w:tcPr>
          <w:p w14:paraId="18918F3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2009</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2017</w:t>
            </w:r>
          </w:p>
        </w:tc>
        <w:tc>
          <w:tcPr>
            <w:tcW w:w="1214" w:type="dxa"/>
            <w:vAlign w:val="top"/>
          </w:tcPr>
          <w:p w14:paraId="16A27D1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Australia</w:t>
            </w:r>
          </w:p>
        </w:tc>
        <w:tc>
          <w:tcPr>
            <w:tcW w:w="1931" w:type="dxa"/>
            <w:vAlign w:val="top"/>
          </w:tcPr>
          <w:p w14:paraId="7D4CB4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22B8122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32</w:t>
            </w:r>
          </w:p>
        </w:tc>
        <w:tc>
          <w:tcPr>
            <w:tcW w:w="2228" w:type="dxa"/>
            <w:vAlign w:val="top"/>
          </w:tcPr>
          <w:p w14:paraId="4D9AD4F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Institutional RT programme (training for emergency physicians, general surgeons, nurses to perform RT within 30 min of arrival for SBP &lt;70 mmHg)</w:t>
            </w:r>
          </w:p>
        </w:tc>
        <w:tc>
          <w:tcPr>
            <w:tcW w:w="1423" w:type="dxa"/>
            <w:vAlign w:val="top"/>
          </w:tcPr>
          <w:p w14:paraId="61C257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Pre-programme period (2001</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2008)</w:t>
            </w:r>
          </w:p>
        </w:tc>
        <w:tc>
          <w:tcPr>
            <w:tcW w:w="1695" w:type="dxa"/>
            <w:vAlign w:val="top"/>
          </w:tcPr>
          <w:p w14:paraId="176E4F0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Incidence of RT: 0.4% among major thoracic trauma patients, 10.2% among those with major thoracic trauma and SBP &lt;70 mmHg</w:t>
            </w:r>
          </w:p>
          <w:p w14:paraId="34242CA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Survival to discharge: 25% (8/32)</w:t>
            </w:r>
          </w:p>
          <w:p w14:paraId="702C7C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RT within 30 min associated with survival (OR 0.09, 95% CI 0.01</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0.67); RT in traumatic cardiac arrest associated with mortality (OR 18.3, 95% CI 2.4</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140.4)</w:t>
            </w:r>
          </w:p>
        </w:tc>
        <w:tc>
          <w:tcPr>
            <w:tcW w:w="0" w:type="auto"/>
            <w:vAlign w:val="top"/>
          </w:tcPr>
          <w:p w14:paraId="77C6431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 formal RT training/credentialing programme achieves a 25% survival rate, with early RT and presence of cardiac activity predicting better outcomes.</w:t>
            </w:r>
          </w:p>
        </w:tc>
      </w:tr>
      <w:tr w14:paraId="380C6FFF">
        <w:tc>
          <w:tcPr>
            <w:tcW w:w="2140" w:type="dxa"/>
            <w:vAlign w:val="top"/>
          </w:tcPr>
          <w:p w14:paraId="5E242C6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de Malleray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"https://doi.org/10.1016/j.jviscsurg.2024.07.002"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10.1016/j.jviscsurg.2024.07.002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40B3FB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2015</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2021</w:t>
            </w:r>
          </w:p>
        </w:tc>
        <w:tc>
          <w:tcPr>
            <w:tcW w:w="1214" w:type="dxa"/>
            <w:vAlign w:val="top"/>
          </w:tcPr>
          <w:p w14:paraId="5DAD80D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1931" w:type="dxa"/>
            <w:vAlign w:val="top"/>
          </w:tcPr>
          <w:p w14:paraId="677AA70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Nationwide registry-based cohort study</w:t>
            </w:r>
          </w:p>
        </w:tc>
        <w:tc>
          <w:tcPr>
            <w:tcW w:w="992" w:type="dxa"/>
            <w:vAlign w:val="top"/>
          </w:tcPr>
          <w:p w14:paraId="01735EB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66</w:t>
            </w:r>
          </w:p>
        </w:tc>
        <w:tc>
          <w:tcPr>
            <w:tcW w:w="2228" w:type="dxa"/>
            <w:vAlign w:val="top"/>
          </w:tcPr>
          <w:p w14:paraId="6538FC4A">
            <w:pPr>
              <w:pStyle w:val="12"/>
              <w:ind w:left="0" w:leftChars="0"/>
              <w:rPr>
                <w:rFonts w:hint="default" w:ascii="Times New Roman Regular" w:hAnsi="Times New Roman Regular" w:eastAsia="等线" w:cs="Times New Roman Regular"/>
                <w:sz w:val="24"/>
                <w:szCs w:val="24"/>
                <w:lang w:val="en-US"/>
              </w:rPr>
            </w:pPr>
            <w:r>
              <w:rPr>
                <w:rFonts w:hint="default" w:ascii="Times New Roman Regular" w:hAnsi="Times New Roman Regular" w:eastAsia="等线" w:cs="Times New Roman Regular"/>
                <w:sz w:val="24"/>
                <w:szCs w:val="24"/>
                <w:lang w:val="en-US"/>
              </w:rPr>
              <w:t>Emergency RT</w:t>
            </w:r>
          </w:p>
        </w:tc>
        <w:tc>
          <w:tcPr>
            <w:tcW w:w="1423" w:type="dxa"/>
            <w:vAlign w:val="top"/>
          </w:tcPr>
          <w:p w14:paraId="4B3972B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N/A (descriptive analysis of </w:t>
            </w:r>
            <w:r>
              <w:rPr>
                <w:rFonts w:hint="default" w:ascii="Times New Roman Regular" w:hAnsi="Times New Roman Regular" w:cs="Times New Roman Regular"/>
                <w:sz w:val="24"/>
                <w:szCs w:val="24"/>
                <w:lang w:val="en-US"/>
              </w:rPr>
              <w:t>e</w:t>
            </w:r>
            <w:r>
              <w:rPr>
                <w:rFonts w:hint="default" w:ascii="Times New Roman Regular" w:hAnsi="Times New Roman Regular" w:eastAsia="等线" w:cs="Times New Roman Regular"/>
                <w:sz w:val="24"/>
                <w:szCs w:val="24"/>
                <w:lang w:val="en-US"/>
              </w:rPr>
              <w:t xml:space="preserve">mergency </w:t>
            </w:r>
            <w:r>
              <w:rPr>
                <w:rFonts w:hint="default" w:ascii="Times New Roman Regular" w:hAnsi="Times New Roman Regular" w:cs="Times New Roman Regular"/>
                <w:sz w:val="24"/>
                <w:szCs w:val="24"/>
              </w:rPr>
              <w:t>RT practice)</w:t>
            </w:r>
          </w:p>
        </w:tc>
        <w:tc>
          <w:tcPr>
            <w:tcW w:w="1695" w:type="dxa"/>
            <w:vAlign w:val="top"/>
          </w:tcPr>
          <w:p w14:paraId="5C9F589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trauma with cardiac arrest: 5% 24-h survival, 0% 28-day survival</w:t>
            </w:r>
          </w:p>
        </w:tc>
        <w:tc>
          <w:tcPr>
            <w:tcW w:w="0" w:type="auto"/>
            <w:vAlign w:val="top"/>
          </w:tcPr>
          <w:p w14:paraId="39EB1AD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eastAsia="等线" w:cs="Times New Roman Regular"/>
                <w:sz w:val="24"/>
                <w:szCs w:val="24"/>
                <w:lang w:val="en-US"/>
              </w:rPr>
              <w:t xml:space="preserve">Emergency </w:t>
            </w:r>
            <w:r>
              <w:rPr>
                <w:rFonts w:hint="default" w:ascii="Times New Roman Regular" w:hAnsi="Times New Roman Regular" w:cs="Times New Roman Regular"/>
                <w:sz w:val="24"/>
                <w:szCs w:val="24"/>
              </w:rPr>
              <w:t>RT is underutilized in France but effective for selected patients (especially penetrating trauma with signs of life), with trained teams achieving meaningful survival.</w:t>
            </w:r>
          </w:p>
        </w:tc>
      </w:tr>
      <w:tr w14:paraId="2B66C59C">
        <w:tc>
          <w:tcPr>
            <w:tcW w:w="2140" w:type="dxa"/>
            <w:vAlign w:val="top"/>
          </w:tcPr>
          <w:p w14:paraId="192719C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Nevins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"https://doi.org/10.1007/s00068-018-0937-4"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10.1007/s00068-018-0937-4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7BF86A8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 (literature review + survey)</w:t>
            </w:r>
          </w:p>
        </w:tc>
        <w:tc>
          <w:tcPr>
            <w:tcW w:w="1214" w:type="dxa"/>
            <w:vAlign w:val="top"/>
          </w:tcPr>
          <w:p w14:paraId="6982A1E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 (survey); Europe, Japan (literature)</w:t>
            </w:r>
          </w:p>
        </w:tc>
        <w:tc>
          <w:tcPr>
            <w:tcW w:w="1931" w:type="dxa"/>
            <w:vAlign w:val="top"/>
          </w:tcPr>
          <w:p w14:paraId="159DA0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Literature review + cross-sectional survey</w:t>
            </w:r>
          </w:p>
        </w:tc>
        <w:tc>
          <w:tcPr>
            <w:tcW w:w="992" w:type="dxa"/>
            <w:vAlign w:val="top"/>
          </w:tcPr>
          <w:p w14:paraId="26CD61E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Survey: 10 UK air ambulance services- Literature: 208 patients (case series)</w:t>
            </w:r>
          </w:p>
        </w:tc>
        <w:tc>
          <w:tcPr>
            <w:tcW w:w="2228" w:type="dxa"/>
            <w:vAlign w:val="top"/>
          </w:tcPr>
          <w:p w14:paraId="43BA06B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RT</w:t>
            </w:r>
          </w:p>
        </w:tc>
        <w:tc>
          <w:tcPr>
            <w:tcW w:w="1423" w:type="dxa"/>
            <w:vAlign w:val="top"/>
          </w:tcPr>
          <w:p w14:paraId="32DDF1C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 (comparison of penetrating vs. blunt trauma outcomes)</w:t>
            </w:r>
          </w:p>
        </w:tc>
        <w:tc>
          <w:tcPr>
            <w:tcW w:w="1695" w:type="dxa"/>
            <w:vAlign w:val="top"/>
          </w:tcPr>
          <w:p w14:paraId="17F7A14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Penetrating trauma </w:t>
            </w:r>
            <w:r>
              <w:rPr>
                <w:rFonts w:hint="default" w:ascii="Times New Roman Regular" w:hAnsi="Times New Roman Regular" w:cs="Times New Roman Regular"/>
                <w:sz w:val="24"/>
                <w:szCs w:val="24"/>
                <w:lang w:val="en-US"/>
              </w:rPr>
              <w:t xml:space="preserve">prehospital </w:t>
            </w:r>
            <w:r>
              <w:rPr>
                <w:rFonts w:hint="default" w:ascii="Times New Roman Regular" w:hAnsi="Times New Roman Regular" w:cs="Times New Roman Regular"/>
                <w:sz w:val="24"/>
                <w:szCs w:val="24"/>
              </w:rPr>
              <w:t>RT survival to discharge: up to 18.3%; no blunt trauma survivors to discharge</w:t>
            </w:r>
          </w:p>
          <w:p w14:paraId="44408E0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- 70% of UK services perform PHRT for blunt TCA despite poor evidence</w:t>
            </w:r>
          </w:p>
        </w:tc>
        <w:tc>
          <w:tcPr>
            <w:tcW w:w="0" w:type="auto"/>
            <w:vAlign w:val="top"/>
          </w:tcPr>
          <w:p w14:paraId="7AA3EB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w:t>
            </w:r>
            <w:r>
              <w:rPr>
                <w:rFonts w:hint="default" w:ascii="Times New Roman Regular" w:hAnsi="Times New Roman Regular" w:cs="Times New Roman Regular"/>
                <w:sz w:val="24"/>
                <w:szCs w:val="24"/>
                <w:lang w:val="en-US"/>
              </w:rPr>
              <w:t xml:space="preserve">rehospital </w:t>
            </w:r>
            <w:r>
              <w:rPr>
                <w:rFonts w:hint="default" w:ascii="Times New Roman Regular" w:hAnsi="Times New Roman Regular" w:cs="Times New Roman Regular"/>
                <w:sz w:val="24"/>
                <w:szCs w:val="24"/>
              </w:rPr>
              <w:t>RT is effective for penetrating chest trauma with short downtime but has no proven benefit for blunt trauma; UK practice varies widely.</w:t>
            </w:r>
          </w:p>
        </w:tc>
      </w:tr>
      <w:tr w14:paraId="03472879">
        <w:tc>
          <w:tcPr>
            <w:tcW w:w="2140" w:type="dxa"/>
            <w:vAlign w:val="top"/>
          </w:tcPr>
          <w:p w14:paraId="402E14F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Roche et al. (10.1177/00031348231161089)</w:t>
            </w:r>
          </w:p>
        </w:tc>
        <w:tc>
          <w:tcPr>
            <w:tcW w:w="1284" w:type="dxa"/>
            <w:vAlign w:val="top"/>
          </w:tcPr>
          <w:p w14:paraId="6DB189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2021 (survey)</w:t>
            </w:r>
          </w:p>
        </w:tc>
        <w:tc>
          <w:tcPr>
            <w:tcW w:w="1214" w:type="dxa"/>
            <w:vAlign w:val="top"/>
          </w:tcPr>
          <w:p w14:paraId="0A75A13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1598914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Cross-sectional survey</w:t>
            </w:r>
          </w:p>
        </w:tc>
        <w:tc>
          <w:tcPr>
            <w:tcW w:w="992" w:type="dxa"/>
            <w:vAlign w:val="top"/>
          </w:tcPr>
          <w:p w14:paraId="70CEEE9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203 trauma surgeons</w:t>
            </w:r>
          </w:p>
        </w:tc>
        <w:tc>
          <w:tcPr>
            <w:tcW w:w="2228" w:type="dxa"/>
            <w:vAlign w:val="top"/>
          </w:tcPr>
          <w:p w14:paraId="57C4DE3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Advanced Cardiac Life Support (ACLS) in TCA</w:t>
            </w:r>
          </w:p>
        </w:tc>
        <w:tc>
          <w:tcPr>
            <w:tcW w:w="1423" w:type="dxa"/>
            <w:vAlign w:val="top"/>
          </w:tcPr>
          <w:p w14:paraId="068AA9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Surgeons not using ACLS</w:t>
            </w:r>
          </w:p>
        </w:tc>
        <w:tc>
          <w:tcPr>
            <w:tcW w:w="1695" w:type="dxa"/>
            <w:vAlign w:val="top"/>
          </w:tcPr>
          <w:p w14:paraId="65E7FD5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ACLS use associated with years in practice (P=0.025) and state (P=0.006)</w:t>
            </w:r>
          </w:p>
          <w:p w14:paraId="4B43F5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difference in self-reported survival or conflicts between users and non-users</w:t>
            </w:r>
          </w:p>
        </w:tc>
        <w:tc>
          <w:tcPr>
            <w:tcW w:w="0" w:type="auto"/>
            <w:vAlign w:val="top"/>
          </w:tcPr>
          <w:p w14:paraId="528716F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Practice of ACLS in TCA varies widely; no survival difference between users and non-users, highlighting need for evidence-based guidelines.</w:t>
            </w:r>
          </w:p>
        </w:tc>
      </w:tr>
      <w:tr w14:paraId="7F55E0C4">
        <w:tc>
          <w:tcPr>
            <w:tcW w:w="2140" w:type="dxa"/>
            <w:vAlign w:val="top"/>
          </w:tcPr>
          <w:p w14:paraId="7A23094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Ordoobadi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"https://doi.org/10.1016/j.resuscitation.2022.08.005"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10.1016/j.resuscitation.2022.08.005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5B18801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2018</w:t>
            </w:r>
          </w:p>
        </w:tc>
        <w:tc>
          <w:tcPr>
            <w:tcW w:w="1214" w:type="dxa"/>
            <w:vAlign w:val="top"/>
          </w:tcPr>
          <w:p w14:paraId="12D2AD8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02BE73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Cross-sectional analysis (protocol review + NEMSIS data)</w:t>
            </w:r>
          </w:p>
        </w:tc>
        <w:tc>
          <w:tcPr>
            <w:tcW w:w="992" w:type="dxa"/>
            <w:vAlign w:val="top"/>
          </w:tcPr>
          <w:p w14:paraId="04B0A6A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Protocol review: 35 state EMS protocols- NEMSIS analysis: 9,565</w:t>
            </w:r>
          </w:p>
        </w:tc>
        <w:tc>
          <w:tcPr>
            <w:tcW w:w="2228" w:type="dxa"/>
            <w:vAlign w:val="top"/>
          </w:tcPr>
          <w:p w14:paraId="38F33E8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TCA management (e.g., epinephrine, needle decompression, crystalloids)</w:t>
            </w:r>
          </w:p>
        </w:tc>
        <w:tc>
          <w:tcPr>
            <w:tcW w:w="1423" w:type="dxa"/>
            <w:vAlign w:val="top"/>
          </w:tcPr>
          <w:p w14:paraId="184FAD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Blunt vs. penetrating trauma</w:t>
            </w:r>
          </w:p>
        </w:tc>
        <w:tc>
          <w:tcPr>
            <w:tcW w:w="1695" w:type="dxa"/>
            <w:vAlign w:val="top"/>
          </w:tcPr>
          <w:p w14:paraId="338BA20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Only 45.7% of states have specific TCA protocols</w:t>
            </w:r>
          </w:p>
          <w:p w14:paraId="1C38678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ROSC: 25.5% overall; 11.7% (penetrating) vs. 28.4% (blunt), P&lt;0.001</w:t>
            </w:r>
          </w:p>
          <w:p w14:paraId="60D7C44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Epinephrine administered in 60.1% of cases</w:t>
            </w:r>
          </w:p>
        </w:tc>
        <w:tc>
          <w:tcPr>
            <w:tcW w:w="0" w:type="auto"/>
            <w:vAlign w:val="top"/>
          </w:tcPr>
          <w:p w14:paraId="2FC64F8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TCA protocols and practice vary widely nationwide; a standardized national guideline is needed.</w:t>
            </w:r>
          </w:p>
        </w:tc>
      </w:tr>
      <w:tr w14:paraId="21F3419F">
        <w:tc>
          <w:tcPr>
            <w:tcW w:w="2140" w:type="dxa"/>
            <w:vAlign w:val="top"/>
          </w:tcPr>
          <w:p w14:paraId="71D8C1B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Chen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"https://doi.org/10.1016/j.injury.2018.07.010"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10.1016/j.injury.2018.07.010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61171BF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2010</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2014</w:t>
            </w:r>
          </w:p>
        </w:tc>
        <w:tc>
          <w:tcPr>
            <w:tcW w:w="1214" w:type="dxa"/>
            <w:vAlign w:val="top"/>
          </w:tcPr>
          <w:p w14:paraId="5CC2FF12">
            <w:pPr>
              <w:pStyle w:val="12"/>
              <w:ind w:left="0" w:leftChars="0"/>
              <w:rPr>
                <w:rFonts w:hint="eastAsia" w:ascii="Times New Roman Regular" w:hAnsi="Times New Roman Regular" w:eastAsia="等线" w:cs="Times New Roman Regular"/>
                <w:sz w:val="24"/>
                <w:szCs w:val="24"/>
                <w:lang w:val="en-US" w:eastAsia="zh-CN"/>
              </w:rPr>
            </w:pPr>
            <w:r>
              <w:rPr>
                <w:rFonts w:hint="eastAsia" w:ascii="Times New Roman Regular" w:hAnsi="Times New Roman Regular" w:eastAsia="等线" w:cs="Times New Roman Regular"/>
                <w:sz w:val="24"/>
                <w:szCs w:val="24"/>
                <w:lang w:val="en-US" w:eastAsia="zh-CN"/>
              </w:rPr>
              <w:t>Chinese Taiwan</w:t>
            </w:r>
          </w:p>
        </w:tc>
        <w:tc>
          <w:tcPr>
            <w:tcW w:w="1931" w:type="dxa"/>
            <w:vAlign w:val="top"/>
          </w:tcPr>
          <w:p w14:paraId="1A55652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07EC8CD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463</w:t>
            </w:r>
          </w:p>
        </w:tc>
        <w:tc>
          <w:tcPr>
            <w:tcW w:w="2228" w:type="dxa"/>
            <w:vAlign w:val="top"/>
          </w:tcPr>
          <w:p w14:paraId="5B6FDF1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ED resuscitation (chest compressions, defibrillation, intubation)</w:t>
            </w:r>
          </w:p>
        </w:tc>
        <w:tc>
          <w:tcPr>
            <w:tcW w:w="1423" w:type="dxa"/>
            <w:vAlign w:val="top"/>
          </w:tcPr>
          <w:p w14:paraId="0792A92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 (analysis of prognostic factors)</w:t>
            </w:r>
          </w:p>
        </w:tc>
        <w:tc>
          <w:tcPr>
            <w:tcW w:w="1695" w:type="dxa"/>
            <w:vAlign w:val="top"/>
          </w:tcPr>
          <w:p w14:paraId="2304007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ED ROSC rate: 16%; 30-day survival: 2%</w:t>
            </w:r>
          </w:p>
          <w:p w14:paraId="057872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Factors associated with ROSC: ISS &lt;16 (OR 0.06, 95% CI 0.02</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0.20), trauma center admission (OR 2.69, 95% CI 1.03</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7.03), shorter ED resuscitation time (OR 0.98, 95% CI 0.96</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0.99)</w:t>
            </w:r>
          </w:p>
        </w:tc>
        <w:tc>
          <w:tcPr>
            <w:tcW w:w="0" w:type="auto"/>
            <w:vAlign w:val="top"/>
          </w:tcPr>
          <w:p w14:paraId="3E6AEB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ED resuscitation is beneficial for TCA patients without prehospital ROSC; trauma center admission and shorter resuscitation time predict better outcomes.</w:t>
            </w:r>
          </w:p>
        </w:tc>
      </w:tr>
      <w:tr w14:paraId="6CE7D8CC">
        <w:tc>
          <w:tcPr>
            <w:tcW w:w="2140" w:type="dxa"/>
            <w:vAlign w:val="top"/>
          </w:tcPr>
          <w:p w14:paraId="0589DD4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Tsutsumi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"https://doi.org/10.1016/j.injury.2017.09.005"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10.1016/j.injury.2017.09.005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7EC3D1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2015</w:t>
            </w:r>
          </w:p>
        </w:tc>
        <w:tc>
          <w:tcPr>
            <w:tcW w:w="1214" w:type="dxa"/>
            <w:vAlign w:val="top"/>
          </w:tcPr>
          <w:p w14:paraId="5081752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931" w:type="dxa"/>
            <w:vAlign w:val="top"/>
          </w:tcPr>
          <w:p w14:paraId="7CF8AF7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992" w:type="dxa"/>
            <w:vAlign w:val="top"/>
          </w:tcPr>
          <w:p w14:paraId="50572DA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4,313</w:t>
            </w:r>
          </w:p>
        </w:tc>
        <w:tc>
          <w:tcPr>
            <w:tcW w:w="2228" w:type="dxa"/>
            <w:vAlign w:val="top"/>
          </w:tcPr>
          <w:p w14:paraId="103280E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Spinal immobilization</w:t>
            </w:r>
          </w:p>
        </w:tc>
        <w:tc>
          <w:tcPr>
            <w:tcW w:w="1423" w:type="dxa"/>
            <w:vAlign w:val="top"/>
          </w:tcPr>
          <w:p w14:paraId="7676AA4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not receiving spinal immobilization</w:t>
            </w:r>
          </w:p>
        </w:tc>
        <w:tc>
          <w:tcPr>
            <w:tcW w:w="1695" w:type="dxa"/>
            <w:vAlign w:val="top"/>
          </w:tcPr>
          <w:p w14:paraId="53DEB1B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Immobilized group had lower survival (1.8% vs. 3.7%, P&lt;0.001) and lower ROSC (25.0% vs. 41.9%, P&lt;0.001)</w:t>
            </w:r>
          </w:p>
          <w:p w14:paraId="0260059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Multivariable analysis: Immobilization associated with lower survival (OR 0.64, 95% CI 0.42</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0.98) and ROSC (OR 0.48, 95% CI 0.27</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0.87)</w:t>
            </w:r>
          </w:p>
        </w:tc>
        <w:tc>
          <w:tcPr>
            <w:tcW w:w="0" w:type="auto"/>
            <w:vAlign w:val="top"/>
          </w:tcPr>
          <w:p w14:paraId="78FB4A0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Routine spinal immobilization is associated with worse outcomes in blunt TCA patients and should not be recommended.</w:t>
            </w:r>
          </w:p>
        </w:tc>
      </w:tr>
      <w:tr w14:paraId="50086FFE">
        <w:tc>
          <w:tcPr>
            <w:tcW w:w="2140" w:type="dxa"/>
            <w:vAlign w:val="top"/>
          </w:tcPr>
          <w:p w14:paraId="64F7A7E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Naito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"https://doi.org/10.1186/s12873-021-00499-z"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10.1186/s12873-021-00499-z</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58F9257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2017</w:t>
            </w:r>
          </w:p>
        </w:tc>
        <w:tc>
          <w:tcPr>
            <w:tcW w:w="1214" w:type="dxa"/>
            <w:vAlign w:val="top"/>
          </w:tcPr>
          <w:p w14:paraId="1D1448A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931" w:type="dxa"/>
            <w:vAlign w:val="top"/>
          </w:tcPr>
          <w:p w14:paraId="453C2F7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992" w:type="dxa"/>
            <w:vAlign w:val="top"/>
          </w:tcPr>
          <w:p w14:paraId="2F95F4F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5336 (4141 sustained TCA)</w:t>
            </w:r>
          </w:p>
        </w:tc>
        <w:tc>
          <w:tcPr>
            <w:tcW w:w="2228" w:type="dxa"/>
            <w:vAlign w:val="top"/>
          </w:tcPr>
          <w:p w14:paraId="723360A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Emergency medical service (EMS) transport time; prehospital CPR</w:t>
            </w:r>
          </w:p>
        </w:tc>
        <w:tc>
          <w:tcPr>
            <w:tcW w:w="1423" w:type="dxa"/>
            <w:vAlign w:val="top"/>
          </w:tcPr>
          <w:p w14:paraId="4B5F83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Sustained TCA vs. non-sustained TCA; transport time &lt;15 min vs. ≥15 min</w:t>
            </w:r>
          </w:p>
        </w:tc>
        <w:tc>
          <w:tcPr>
            <w:tcW w:w="1695" w:type="dxa"/>
            <w:vAlign w:val="top"/>
          </w:tcPr>
          <w:p w14:paraId="43DC5DF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Overall survival: 4.5%; sustained TCA survival: 1.2%.  - Survival of sustained TCA dropped rapidly after 15 min transport, falling below 1%.</w:t>
            </w:r>
          </w:p>
        </w:tc>
        <w:tc>
          <w:tcPr>
            <w:tcW w:w="0" w:type="auto"/>
            <w:vAlign w:val="top"/>
          </w:tcPr>
          <w:p w14:paraId="0E9CF93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Transport time ≥15 min is a key factor for considering resuscitation termination in sustained TCA.</w:t>
            </w:r>
          </w:p>
        </w:tc>
      </w:tr>
      <w:tr w14:paraId="3FB90810">
        <w:tc>
          <w:tcPr>
            <w:tcW w:w="2140" w:type="dxa"/>
            <w:vAlign w:val="top"/>
          </w:tcPr>
          <w:p w14:paraId="7762EFC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Bradley et al. (10.1097/TA.0000000000001227)</w:t>
            </w:r>
          </w:p>
        </w:tc>
        <w:tc>
          <w:tcPr>
            <w:tcW w:w="1284" w:type="dxa"/>
            <w:vAlign w:val="top"/>
          </w:tcPr>
          <w:p w14:paraId="11DCE69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2014 (April</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December)</w:t>
            </w:r>
          </w:p>
        </w:tc>
        <w:tc>
          <w:tcPr>
            <w:tcW w:w="1214" w:type="dxa"/>
            <w:vAlign w:val="top"/>
          </w:tcPr>
          <w:p w14:paraId="090C1EF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931" w:type="dxa"/>
            <w:vAlign w:val="top"/>
          </w:tcPr>
          <w:p w14:paraId="4B851C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Prospective observational study</w:t>
            </w:r>
          </w:p>
        </w:tc>
        <w:tc>
          <w:tcPr>
            <w:tcW w:w="992" w:type="dxa"/>
            <w:vAlign w:val="top"/>
          </w:tcPr>
          <w:p w14:paraId="1D9616E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33 (16 OCCM, 17 CCC-only)</w:t>
            </w:r>
          </w:p>
        </w:tc>
        <w:tc>
          <w:tcPr>
            <w:tcW w:w="2228" w:type="dxa"/>
            <w:vAlign w:val="top"/>
          </w:tcPr>
          <w:p w14:paraId="5692879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Open chest cardiac massage (OCCM)</w:t>
            </w:r>
          </w:p>
        </w:tc>
        <w:tc>
          <w:tcPr>
            <w:tcW w:w="1423" w:type="dxa"/>
            <w:vAlign w:val="top"/>
          </w:tcPr>
          <w:p w14:paraId="1C304BC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Closed chest compressions (CCC)-only</w:t>
            </w:r>
          </w:p>
        </w:tc>
        <w:tc>
          <w:tcPr>
            <w:tcW w:w="1695" w:type="dxa"/>
            <w:vAlign w:val="top"/>
          </w:tcPr>
          <w:p w14:paraId="3E78EE6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significant difference in ETCO₂ values or ROSC rates (OCCM 23.5% vs. CCC 38.9%, p=0.53).</w:t>
            </w:r>
          </w:p>
        </w:tc>
        <w:tc>
          <w:tcPr>
            <w:tcW w:w="0" w:type="auto"/>
            <w:vAlign w:val="top"/>
          </w:tcPr>
          <w:p w14:paraId="3363CD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OCCM offers no benefit over CCC in TCA; thoracotomy solely for OCCM is not recommended.</w:t>
            </w:r>
          </w:p>
        </w:tc>
      </w:tr>
      <w:tr w14:paraId="7C445EEB">
        <w:tc>
          <w:tcPr>
            <w:tcW w:w="2140" w:type="dxa"/>
            <w:vAlign w:val="top"/>
          </w:tcPr>
          <w:p w14:paraId="5F2E07B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Balian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"https://doi.org/10.1016/j.resuscitation.2020.09.018"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10.1016/j.resuscitation.2020.09.018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284" w:type="dxa"/>
            <w:vAlign w:val="top"/>
          </w:tcPr>
          <w:p w14:paraId="76070A7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2015</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2019</w:t>
            </w:r>
          </w:p>
        </w:tc>
        <w:tc>
          <w:tcPr>
            <w:tcW w:w="1214" w:type="dxa"/>
            <w:vAlign w:val="top"/>
          </w:tcPr>
          <w:p w14:paraId="6501895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Australia</w:t>
            </w:r>
          </w:p>
        </w:tc>
        <w:tc>
          <w:tcPr>
            <w:tcW w:w="1931" w:type="dxa"/>
            <w:vAlign w:val="top"/>
          </w:tcPr>
          <w:p w14:paraId="4241008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Descriptive case series</w:t>
            </w:r>
          </w:p>
        </w:tc>
        <w:tc>
          <w:tcPr>
            <w:tcW w:w="992" w:type="dxa"/>
            <w:vAlign w:val="top"/>
          </w:tcPr>
          <w:p w14:paraId="41DF041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18</w:t>
            </w:r>
          </w:p>
        </w:tc>
        <w:tc>
          <w:tcPr>
            <w:tcW w:w="2228" w:type="dxa"/>
            <w:vAlign w:val="top"/>
          </w:tcPr>
          <w:p w14:paraId="5A29AE7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Abdominal Aortic and Junctional Tourniquet (AAJT)</w:t>
            </w:r>
          </w:p>
        </w:tc>
        <w:tc>
          <w:tcPr>
            <w:tcW w:w="1423" w:type="dxa"/>
            <w:vAlign w:val="top"/>
          </w:tcPr>
          <w:p w14:paraId="09F01D2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(case series)</w:t>
            </w:r>
          </w:p>
        </w:tc>
        <w:tc>
          <w:tcPr>
            <w:tcW w:w="1695" w:type="dxa"/>
            <w:vAlign w:val="top"/>
          </w:tcPr>
          <w:p w14:paraId="489CF67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- 61% had electrical activity changes; 22% achieved ROSC; 17% had sustained ROSC on ED arrival.  - Mean ETCO₂ rise: 24.0 mmHg (p=0.003). No survivors to discharge.</w:t>
            </w:r>
          </w:p>
        </w:tc>
        <w:tc>
          <w:tcPr>
            <w:tcW w:w="0" w:type="auto"/>
            <w:vAlign w:val="top"/>
          </w:tcPr>
          <w:p w14:paraId="0A67F9C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AAJT induces physiological changes but no survival benefit; faster application may improve outcomes.</w:t>
            </w:r>
          </w:p>
        </w:tc>
      </w:tr>
      <w:tr w14:paraId="79968092">
        <w:tc>
          <w:tcPr>
            <w:tcW w:w="2140" w:type="dxa"/>
            <w:vAlign w:val="top"/>
          </w:tcPr>
          <w:p w14:paraId="3D0447D5">
            <w:pPr>
              <w:pStyle w:val="6"/>
              <w:keepNext w:val="0"/>
              <w:keepLines w:val="0"/>
              <w:widowControl/>
              <w:suppressLineNumbers w:val="0"/>
              <w:spacing w:before="0" w:beforeAutospacing="0" w:after="0" w:afterAutospacing="0"/>
              <w:ind w:left="0" w:right="0"/>
              <w:jc w:val="left"/>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Irfan FB et al. (Int J Cardiol.</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lang w:val="en-US" w:eastAsia="zh-CN"/>
              </w:rPr>
              <w:t>10.1016/j.ijcard.2017.03.134</w:t>
            </w:r>
            <w:r>
              <w:rPr>
                <w:rFonts w:hint="default" w:ascii="Times New Roman Regular" w:hAnsi="Times New Roman Regular" w:cs="Times New Roman Regular"/>
                <w:sz w:val="24"/>
                <w:szCs w:val="24"/>
              </w:rPr>
              <w:t>)</w:t>
            </w:r>
          </w:p>
        </w:tc>
        <w:tc>
          <w:tcPr>
            <w:tcW w:w="1284" w:type="dxa"/>
            <w:vAlign w:val="top"/>
          </w:tcPr>
          <w:p w14:paraId="55D4E35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Not specified</w:t>
            </w:r>
          </w:p>
        </w:tc>
        <w:tc>
          <w:tcPr>
            <w:tcW w:w="1214" w:type="dxa"/>
            <w:vAlign w:val="top"/>
          </w:tcPr>
          <w:p w14:paraId="34BA7E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Qatar</w:t>
            </w:r>
          </w:p>
        </w:tc>
        <w:tc>
          <w:tcPr>
            <w:tcW w:w="1931" w:type="dxa"/>
            <w:vAlign w:val="top"/>
          </w:tcPr>
          <w:p w14:paraId="7F71F2A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Nationwide population-based retrospective study</w:t>
            </w:r>
          </w:p>
        </w:tc>
        <w:tc>
          <w:tcPr>
            <w:tcW w:w="992" w:type="dxa"/>
            <w:vAlign w:val="top"/>
          </w:tcPr>
          <w:p w14:paraId="5D1D344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410 out-of-hospital traumatic cardiac arrest patients</w:t>
            </w:r>
          </w:p>
        </w:tc>
        <w:tc>
          <w:tcPr>
            <w:tcW w:w="2228" w:type="dxa"/>
            <w:vAlign w:val="top"/>
          </w:tcPr>
          <w:p w14:paraId="1E6D73A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Epinephrine administration</w:t>
            </w:r>
          </w:p>
        </w:tc>
        <w:tc>
          <w:tcPr>
            <w:tcW w:w="1423" w:type="dxa"/>
            <w:vAlign w:val="top"/>
          </w:tcPr>
          <w:p w14:paraId="050355A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not receiving epinephrine; patients receiving hemorrhage control, blood transfusion, or surgery</w:t>
            </w:r>
          </w:p>
        </w:tc>
        <w:tc>
          <w:tcPr>
            <w:tcW w:w="1695" w:type="dxa"/>
            <w:vAlign w:val="top"/>
          </w:tcPr>
          <w:p w14:paraId="72CAE3F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Epinephrine was associated with decreased odds of survival to hospital discharge.</w:t>
            </w:r>
          </w:p>
          <w:p w14:paraId="26D3C88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Hemorrhage control, blood transfusion, and surgery were associated with higher odds of survival.</w:t>
            </w:r>
          </w:p>
        </w:tc>
        <w:tc>
          <w:tcPr>
            <w:tcW w:w="0" w:type="auto"/>
            <w:vAlign w:val="top"/>
          </w:tcPr>
          <w:p w14:paraId="18604C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Epinephrine may be detrimental to survival in out-of-hospital traumatic cardiac arrest patients, while hemorrhage control and volume resuscitation are beneficial.</w:t>
            </w:r>
          </w:p>
        </w:tc>
      </w:tr>
    </w:tbl>
    <w:p w14:paraId="148C4F86">
      <w:pPr>
        <w:pStyle w:val="12"/>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rPr>
        <w:t>Intervention refers to any prehospital or in-hospital treatment specifically aimed at improving the outcomes of TCA, including airway management, hemorrhage control, vascular access, medication administration, surgical procedures (e.g., thoracotomy, REBOA), and system-level protocols.</w:t>
      </w:r>
      <w:r>
        <w:rPr>
          <w:rFonts w:hint="default" w:ascii="Times New Roman Regular" w:hAnsi="Times New Roman Regular" w:cs="Times New Roman Regular"/>
          <w:sz w:val="24"/>
          <w:szCs w:val="24"/>
          <w:lang w:val="en-US" w:eastAsia="zh-CN"/>
        </w:rPr>
        <w:t xml:space="preserve"> Key outcomes are as reported in the original publications, and may include rates of ROSC, survival to hospital admission or discharge, and favorable neurological outcomes. Only original human studies that quantitatively assessed the effect of specific interventions on clinical outcomes in TCA were included. Studies focusing solely on epidemiology, basic/animal research, or lacking a quantifiable intervention-outcome relationship were excluded. </w:t>
      </w:r>
      <w:r>
        <w:rPr>
          <w:rFonts w:hint="default" w:ascii="Times New Roman Regular" w:hAnsi="Times New Roman Regular" w:cs="Times New Roman Regular"/>
          <w:sz w:val="24"/>
          <w:szCs w:val="24"/>
        </w:rPr>
        <w:t xml:space="preserve">TCA, traumatic cardiac arrest; ROSC, return of spontaneous circulation; OHCA, out-of-hospital cardiac arrest; ED, emergency department; EMS, emergency medical services; ALS, advanced life support; REBOA, resuscitative endovascular balloon occlusion of the aorta; RT, resuscitative thoracotomy; ISS, Injury Severity Score; MTC, major trauma center; PEA, pulseless electrical activity; IO, intraosseous (access); SOL, signs of life; </w:t>
      </w:r>
      <w:r>
        <w:rPr>
          <w:rFonts w:hint="default" w:ascii="Times New Roman Regular" w:hAnsi="Times New Roman Regular" w:cs="Times New Roman Regular"/>
          <w:sz w:val="24"/>
          <w:szCs w:val="24"/>
          <w:lang w:val="en-US"/>
        </w:rPr>
        <w:t>EDT, e</w:t>
      </w:r>
      <w:r>
        <w:rPr>
          <w:rFonts w:hint="default" w:ascii="Times New Roman Regular" w:hAnsi="Times New Roman Regular" w:cs="Times New Roman Regular"/>
          <w:sz w:val="24"/>
          <w:szCs w:val="24"/>
        </w:rPr>
        <w:t>mergency department thoracotomy</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AAM, advanced airway management; HARU, high acuity response unit; CPC, Cerebral Performance Category; GOS, Glasgow Outcome Scale; PS, propensity score.</w:t>
      </w:r>
      <w:r>
        <w:rPr>
          <w:rFonts w:hint="default" w:ascii="Times New Roman Regular" w:hAnsi="Times New Roman Regular" w:cs="Times New Roman Regular"/>
          <w:sz w:val="24"/>
          <w:szCs w:val="24"/>
          <w:lang w:val="en-US"/>
        </w:rPr>
        <w:t xml:space="preserve"> </w:t>
      </w:r>
      <w:r>
        <w:rPr>
          <w:rFonts w:hint="eastAsia" w:ascii="Times New Roman Regular" w:hAnsi="Times New Roman Regular" w:cs="Times New Roman Regular"/>
          <w:sz w:val="24"/>
          <w:szCs w:val="24"/>
          <w:lang w:val="en-US" w:eastAsia="zh-CN"/>
        </w:rPr>
        <w:t>FT</w:t>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finger thoracostomy</w:t>
      </w:r>
      <w:r>
        <w:rPr>
          <w:rFonts w:hint="default" w:ascii="Times New Roman Regular" w:hAnsi="Times New Roman Regular" w:cs="Times New Roman Regular"/>
          <w:sz w:val="24"/>
          <w:szCs w:val="24"/>
          <w:lang w:val="en-US"/>
        </w:rPr>
        <w:t>.</w:t>
      </w:r>
    </w:p>
    <w:p w14:paraId="24DDD164">
      <w:pPr>
        <w:pStyle w:val="12"/>
        <w:rPr>
          <w:rFonts w:hint="default" w:ascii="Times New Roman Regular" w:hAnsi="Times New Roman Regular" w:cs="Times New Roman Regular"/>
          <w:sz w:val="24"/>
          <w:szCs w:val="24"/>
        </w:rPr>
      </w:pPr>
    </w:p>
    <w:p w14:paraId="2E1BE79C">
      <w:pPr>
        <w:pStyle w:val="12"/>
        <w:rPr>
          <w:rFonts w:hint="default" w:ascii="Times New Roman Regular" w:hAnsi="Times New Roman Regular" w:cs="Times New Roman Regular"/>
          <w:sz w:val="24"/>
          <w:szCs w:val="24"/>
        </w:rPr>
      </w:pPr>
    </w:p>
    <w:p w14:paraId="35189189">
      <w:pPr>
        <w:pStyle w:val="12"/>
        <w:rPr>
          <w:rFonts w:hint="default" w:ascii="Times New Roman Regular" w:hAnsi="Times New Roman Regular" w:cs="Times New Roman Regular"/>
          <w:sz w:val="24"/>
          <w:szCs w:val="24"/>
        </w:rPr>
      </w:pPr>
    </w:p>
    <w:p w14:paraId="3F1A67BC">
      <w:pPr>
        <w:pStyle w:val="12"/>
        <w:rPr>
          <w:rFonts w:hint="default" w:ascii="Times New Roman Regular" w:hAnsi="Times New Roman Regular" w:cs="Times New Roman Regular"/>
          <w:sz w:val="24"/>
          <w:szCs w:val="24"/>
        </w:rPr>
      </w:pPr>
    </w:p>
    <w:p w14:paraId="6DD9F98B">
      <w:pPr>
        <w:pStyle w:val="12"/>
        <w:rPr>
          <w:rFonts w:hint="default" w:ascii="Times New Roman Regular" w:hAnsi="Times New Roman Regular" w:cs="Times New Roman Regular"/>
          <w:sz w:val="24"/>
          <w:szCs w:val="24"/>
        </w:rPr>
      </w:pPr>
    </w:p>
    <w:p w14:paraId="32927817">
      <w:pPr>
        <w:pStyle w:val="12"/>
        <w:rPr>
          <w:rFonts w:hint="default" w:ascii="Times New Roman Regular" w:hAnsi="Times New Roman Regular" w:cs="Times New Roman Regular"/>
          <w:sz w:val="24"/>
          <w:szCs w:val="24"/>
        </w:rPr>
      </w:pPr>
    </w:p>
    <w:p w14:paraId="7C7EAB48">
      <w:pPr>
        <w:pStyle w:val="12"/>
        <w:rPr>
          <w:rFonts w:hint="default" w:ascii="Times New Roman Regular" w:hAnsi="Times New Roman Regular" w:cs="Times New Roman Regular"/>
          <w:sz w:val="24"/>
          <w:szCs w:val="24"/>
        </w:rPr>
      </w:pPr>
    </w:p>
    <w:p w14:paraId="31DB3101">
      <w:pPr>
        <w:pStyle w:val="12"/>
        <w:rPr>
          <w:rFonts w:hint="default" w:ascii="Times New Roman Regular" w:hAnsi="Times New Roman Regular" w:cs="Times New Roman Regular"/>
          <w:sz w:val="24"/>
          <w:szCs w:val="24"/>
        </w:rPr>
      </w:pPr>
    </w:p>
    <w:p w14:paraId="1B3B3B63">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lang w:val="en-US" w:eastAsia="zh-CN"/>
        </w:rPr>
        <w:t xml:space="preserve">eTable 4 </w:t>
      </w:r>
      <w:r>
        <w:rPr>
          <w:rFonts w:hint="default" w:ascii="Times New Roman Regular" w:hAnsi="Times New Roman Regular" w:cs="Times New Roman Regular"/>
          <w:b/>
          <w:bCs/>
          <w:sz w:val="24"/>
          <w:szCs w:val="24"/>
        </w:rPr>
        <w:t>Predictors of return of spontaneous circulation and survival in traumatic cardiac arrest</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041"/>
        <w:gridCol w:w="1809"/>
        <w:gridCol w:w="1728"/>
        <w:gridCol w:w="1504"/>
        <w:gridCol w:w="1299"/>
        <w:gridCol w:w="3184"/>
        <w:gridCol w:w="2633"/>
      </w:tblGrid>
      <w:tr w14:paraId="747C66CD">
        <w:tc>
          <w:tcPr>
            <w:tcW w:w="2041" w:type="dxa"/>
            <w:tcBorders>
              <w:top w:val="single" w:color="auto" w:sz="4" w:space="0"/>
              <w:bottom w:val="single" w:color="auto" w:sz="4" w:space="0"/>
            </w:tcBorders>
            <w:tcMar>
              <w:top w:w="60" w:type="dxa"/>
              <w:left w:w="120" w:type="dxa"/>
              <w:bottom w:w="30" w:type="dxa"/>
              <w:right w:w="120" w:type="dxa"/>
            </w:tcMar>
          </w:tcPr>
          <w:p w14:paraId="72B607E7">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Author</w:t>
            </w:r>
            <w:r>
              <w:rPr>
                <w:rFonts w:hint="default" w:ascii="Times New Roman Regular" w:hAnsi="Times New Roman Regular" w:cs="Times New Roman Regular"/>
                <w:b/>
                <w:bCs/>
                <w:sz w:val="24"/>
                <w:szCs w:val="24"/>
                <w:lang w:val="en-US" w:eastAsia="zh-CN"/>
              </w:rPr>
              <w:t xml:space="preserve"> </w:t>
            </w:r>
            <w:r>
              <w:rPr>
                <w:rFonts w:hint="default" w:ascii="Times New Roman Regular" w:hAnsi="Times New Roman Regular" w:cs="Times New Roman Regular"/>
                <w:b/>
                <w:bCs/>
                <w:sz w:val="24"/>
                <w:szCs w:val="24"/>
              </w:rPr>
              <w:t>(DOI)</w:t>
            </w:r>
          </w:p>
        </w:tc>
        <w:tc>
          <w:tcPr>
            <w:tcW w:w="1809" w:type="dxa"/>
            <w:tcBorders>
              <w:top w:val="single" w:color="auto" w:sz="4" w:space="0"/>
              <w:bottom w:val="single" w:color="auto" w:sz="4" w:space="0"/>
            </w:tcBorders>
            <w:tcMar>
              <w:top w:w="60" w:type="dxa"/>
              <w:left w:w="120" w:type="dxa"/>
              <w:bottom w:w="30" w:type="dxa"/>
              <w:right w:w="120" w:type="dxa"/>
            </w:tcMar>
          </w:tcPr>
          <w:p w14:paraId="02886750">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 xml:space="preserve">Study </w:t>
            </w:r>
            <w:r>
              <w:rPr>
                <w:rFonts w:hint="default" w:ascii="Times New Roman Regular" w:hAnsi="Times New Roman Regular" w:cs="Times New Roman Regular"/>
                <w:b/>
                <w:bCs/>
                <w:sz w:val="24"/>
                <w:szCs w:val="24"/>
                <w:lang w:val="en-US" w:eastAsia="zh-CN"/>
              </w:rPr>
              <w:t>d</w:t>
            </w:r>
            <w:r>
              <w:rPr>
                <w:rFonts w:hint="default" w:ascii="Times New Roman Regular" w:hAnsi="Times New Roman Regular" w:cs="Times New Roman Regular"/>
                <w:b/>
                <w:bCs/>
                <w:sz w:val="24"/>
                <w:szCs w:val="24"/>
              </w:rPr>
              <w:t>esign</w:t>
            </w:r>
          </w:p>
        </w:tc>
        <w:tc>
          <w:tcPr>
            <w:tcW w:w="1728" w:type="dxa"/>
            <w:tcBorders>
              <w:top w:val="single" w:color="auto" w:sz="4" w:space="0"/>
              <w:bottom w:val="single" w:color="auto" w:sz="4" w:space="0"/>
            </w:tcBorders>
            <w:tcMar>
              <w:top w:w="60" w:type="dxa"/>
              <w:left w:w="120" w:type="dxa"/>
              <w:bottom w:w="30" w:type="dxa"/>
              <w:right w:w="120" w:type="dxa"/>
            </w:tcMar>
          </w:tcPr>
          <w:p w14:paraId="7EFB213E">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lang w:val="en-US"/>
              </w:rPr>
              <w:t>Country/</w:t>
            </w:r>
            <w:r>
              <w:rPr>
                <w:rFonts w:hint="default" w:ascii="Times New Roman Regular" w:hAnsi="Times New Roman Regular" w:cs="Times New Roman Regular"/>
                <w:b/>
                <w:bCs/>
                <w:sz w:val="24"/>
                <w:szCs w:val="24"/>
              </w:rPr>
              <w:t>Region</w:t>
            </w:r>
          </w:p>
        </w:tc>
        <w:tc>
          <w:tcPr>
            <w:tcW w:w="1504" w:type="dxa"/>
            <w:tcBorders>
              <w:top w:val="single" w:color="auto" w:sz="4" w:space="0"/>
              <w:bottom w:val="single" w:color="auto" w:sz="4" w:space="0"/>
            </w:tcBorders>
            <w:tcMar>
              <w:top w:w="60" w:type="dxa"/>
              <w:left w:w="120" w:type="dxa"/>
              <w:bottom w:w="30" w:type="dxa"/>
              <w:right w:w="120" w:type="dxa"/>
            </w:tcMar>
          </w:tcPr>
          <w:p w14:paraId="52E92BF0">
            <w:pPr>
              <w:pStyle w:val="12"/>
              <w:rPr>
                <w:rFonts w:hint="eastAsia" w:ascii="Times New Roman Regular" w:hAnsi="Times New Roman Regular" w:eastAsia="DengXian" w:cs="Times New Roman Regular"/>
                <w:b/>
                <w:bCs/>
                <w:sz w:val="24"/>
                <w:szCs w:val="24"/>
                <w:lang w:val="en-US" w:eastAsia="zh-CN"/>
              </w:rPr>
            </w:pPr>
            <w:r>
              <w:rPr>
                <w:rFonts w:hint="default" w:ascii="Times New Roman Regular" w:hAnsi="Times New Roman Regular" w:cs="Times New Roman Regular"/>
                <w:b/>
                <w:bCs/>
                <w:sz w:val="24"/>
                <w:szCs w:val="24"/>
                <w:lang w:val="en-US"/>
              </w:rPr>
              <w:t xml:space="preserve">Year </w:t>
            </w:r>
            <w:r>
              <w:rPr>
                <w:rFonts w:hint="eastAsia" w:ascii="Times New Roman Regular" w:hAnsi="Times New Roman Regular" w:cs="Times New Roman Regular"/>
                <w:b/>
                <w:bCs/>
                <w:sz w:val="24"/>
                <w:szCs w:val="24"/>
                <w:lang w:val="en-US" w:eastAsia="zh-CN"/>
              </w:rPr>
              <w:t>range</w:t>
            </w:r>
          </w:p>
        </w:tc>
        <w:tc>
          <w:tcPr>
            <w:tcW w:w="1299" w:type="dxa"/>
            <w:tcBorders>
              <w:top w:val="single" w:color="auto" w:sz="4" w:space="0"/>
              <w:bottom w:val="single" w:color="auto" w:sz="4" w:space="0"/>
            </w:tcBorders>
            <w:tcMar>
              <w:top w:w="60" w:type="dxa"/>
              <w:left w:w="120" w:type="dxa"/>
              <w:bottom w:w="30" w:type="dxa"/>
              <w:right w:w="120" w:type="dxa"/>
            </w:tcMar>
          </w:tcPr>
          <w:p w14:paraId="10044D78">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Sample</w:t>
            </w:r>
            <w:r>
              <w:rPr>
                <w:rFonts w:hint="default" w:ascii="Times New Roman Regular" w:hAnsi="Times New Roman Regular" w:cs="Times New Roman Regular"/>
                <w:b/>
                <w:bCs/>
                <w:sz w:val="24"/>
                <w:szCs w:val="24"/>
                <w:lang w:val="en-US" w:eastAsia="zh-CN"/>
              </w:rPr>
              <w:t xml:space="preserve"> s</w:t>
            </w:r>
            <w:r>
              <w:rPr>
                <w:rFonts w:hint="default" w:ascii="Times New Roman Regular" w:hAnsi="Times New Roman Regular" w:cs="Times New Roman Regular"/>
                <w:b/>
                <w:bCs/>
                <w:sz w:val="24"/>
                <w:szCs w:val="24"/>
              </w:rPr>
              <w:t>ize</w:t>
            </w:r>
          </w:p>
        </w:tc>
        <w:tc>
          <w:tcPr>
            <w:tcW w:w="3184" w:type="dxa"/>
            <w:tcBorders>
              <w:top w:val="single" w:color="auto" w:sz="4" w:space="0"/>
              <w:bottom w:val="single" w:color="auto" w:sz="4" w:space="0"/>
            </w:tcBorders>
            <w:tcMar>
              <w:top w:w="60" w:type="dxa"/>
              <w:left w:w="120" w:type="dxa"/>
              <w:bottom w:w="30" w:type="dxa"/>
              <w:right w:w="120" w:type="dxa"/>
            </w:tcMar>
          </w:tcPr>
          <w:p w14:paraId="36363F9D">
            <w:pPr>
              <w:pStyle w:val="12"/>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Predictors of ROSC</w:t>
            </w:r>
          </w:p>
        </w:tc>
        <w:tc>
          <w:tcPr>
            <w:tcW w:w="2633" w:type="dxa"/>
            <w:tcBorders>
              <w:top w:val="single" w:color="auto" w:sz="4" w:space="0"/>
              <w:bottom w:val="single" w:color="auto" w:sz="4" w:space="0"/>
            </w:tcBorders>
            <w:tcMar>
              <w:top w:w="60" w:type="dxa"/>
              <w:left w:w="120" w:type="dxa"/>
              <w:bottom w:w="30" w:type="dxa"/>
              <w:right w:w="120" w:type="dxa"/>
            </w:tcMar>
          </w:tcPr>
          <w:p w14:paraId="396C8796">
            <w:pPr>
              <w:pStyle w:val="12"/>
              <w:rPr>
                <w:rFonts w:hint="default" w:ascii="Times New Roman Regular" w:hAnsi="Times New Roman Regular" w:cs="Times New Roman Regular"/>
                <w:b/>
                <w:bCs/>
                <w:sz w:val="24"/>
                <w:szCs w:val="24"/>
                <w:lang w:val="en-US"/>
              </w:rPr>
            </w:pPr>
            <w:r>
              <w:rPr>
                <w:rFonts w:hint="default" w:ascii="Times New Roman Regular" w:hAnsi="Times New Roman Regular" w:cs="Times New Roman Regular"/>
                <w:b/>
                <w:bCs/>
                <w:sz w:val="24"/>
                <w:szCs w:val="24"/>
              </w:rPr>
              <w:t>Predictors of Survival</w:t>
            </w:r>
            <w:r>
              <w:rPr>
                <w:rFonts w:hint="default" w:ascii="Times New Roman Regular" w:hAnsi="Times New Roman Regular" w:cs="Times New Roman Regular"/>
                <w:b/>
                <w:bCs/>
                <w:sz w:val="24"/>
                <w:szCs w:val="24"/>
                <w:lang w:val="en-US"/>
              </w:rPr>
              <w:t>/mortality</w:t>
            </w:r>
          </w:p>
        </w:tc>
      </w:tr>
      <w:tr w14:paraId="573574C7">
        <w:tc>
          <w:tcPr>
            <w:tcW w:w="2041" w:type="dxa"/>
            <w:tcMar>
              <w:top w:w="60" w:type="dxa"/>
              <w:left w:w="120" w:type="dxa"/>
              <w:bottom w:w="30" w:type="dxa"/>
              <w:right w:w="120" w:type="dxa"/>
            </w:tcMar>
          </w:tcPr>
          <w:p w14:paraId="06D2EB5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Seewald 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"https://doi.org/10.1186/s12873-022-00714-5"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10.1186/s12873-022-00714-5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Mar>
              <w:top w:w="60" w:type="dxa"/>
              <w:left w:w="120" w:type="dxa"/>
              <w:bottom w:w="30" w:type="dxa"/>
              <w:right w:w="120" w:type="dxa"/>
            </w:tcMar>
          </w:tcPr>
          <w:p w14:paraId="205C415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tcMar>
              <w:top w:w="60" w:type="dxa"/>
              <w:left w:w="120" w:type="dxa"/>
              <w:bottom w:w="30" w:type="dxa"/>
              <w:right w:w="120" w:type="dxa"/>
            </w:tcMar>
          </w:tcPr>
          <w:p w14:paraId="21F869D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Germany</w:t>
            </w:r>
          </w:p>
        </w:tc>
        <w:tc>
          <w:tcPr>
            <w:tcW w:w="1504" w:type="dxa"/>
            <w:tcMar>
              <w:top w:w="60" w:type="dxa"/>
              <w:left w:w="120" w:type="dxa"/>
              <w:bottom w:w="30" w:type="dxa"/>
              <w:right w:w="120" w:type="dxa"/>
            </w:tcMar>
          </w:tcPr>
          <w:p w14:paraId="493A7EE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2019</w:t>
            </w:r>
          </w:p>
        </w:tc>
        <w:tc>
          <w:tcPr>
            <w:tcW w:w="1299" w:type="dxa"/>
            <w:tcMar>
              <w:top w:w="60" w:type="dxa"/>
              <w:left w:w="120" w:type="dxa"/>
              <w:bottom w:w="30" w:type="dxa"/>
              <w:right w:w="120" w:type="dxa"/>
            </w:tcMar>
          </w:tcPr>
          <w:p w14:paraId="5C49792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1,049</w:t>
            </w:r>
          </w:p>
        </w:tc>
        <w:tc>
          <w:tcPr>
            <w:tcW w:w="3184" w:type="dxa"/>
            <w:tcMar>
              <w:top w:w="60" w:type="dxa"/>
              <w:left w:w="120" w:type="dxa"/>
              <w:bottom w:w="30" w:type="dxa"/>
              <w:right w:w="120" w:type="dxa"/>
            </w:tcMar>
          </w:tcPr>
          <w:p w14:paraId="024CC39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t>
            </w:r>
          </w:p>
        </w:tc>
        <w:tc>
          <w:tcPr>
            <w:tcW w:w="2633" w:type="dxa"/>
            <w:tcMar>
              <w:top w:w="60" w:type="dxa"/>
              <w:left w:w="120" w:type="dxa"/>
              <w:bottom w:w="30" w:type="dxa"/>
              <w:right w:w="120" w:type="dxa"/>
            </w:tcMar>
          </w:tcPr>
          <w:p w14:paraId="248FFD3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 &gt;80 years: OR 4.22; 95% CI [2.97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6.00]</w:t>
            </w:r>
          </w:p>
          <w:p w14:paraId="51B22C2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Cardiac arrest in ER: OR 5.70; 95% CI [3.78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8.70]</w:t>
            </w:r>
          </w:p>
          <w:p w14:paraId="31AD975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 70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79 years: OR 1.46; 95% CI [1.10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1.93]</w:t>
            </w:r>
          </w:p>
          <w:p w14:paraId="1B55F58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Head injury (AIS 3+): OR 2.17; 95% CI [1.71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2.76]</w:t>
            </w:r>
          </w:p>
          <w:p w14:paraId="65C821F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Shock on admission: OR 1.91; 95% CI [1.53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2.39]</w:t>
            </w:r>
          </w:p>
          <w:p w14:paraId="3716383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Blood transfusion: OR 2.03; 95% CI [1.51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2.72]</w:t>
            </w:r>
          </w:p>
          <w:p w14:paraId="709E9B8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Male sex: OR 0.76; 95% CI [0.60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0.96]</w:t>
            </w:r>
          </w:p>
          <w:p w14:paraId="2146E61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Emergency surgery: OR 0.74; 95% CI [0.57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0.95]</w:t>
            </w:r>
          </w:p>
          <w:p w14:paraId="2B5E343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Level 1 hospital: OR 0.77; 95% CI [0.60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0.99]</w:t>
            </w:r>
          </w:p>
        </w:tc>
      </w:tr>
      <w:tr w14:paraId="0E6B73DC">
        <w:tc>
          <w:tcPr>
            <w:tcW w:w="2041" w:type="dxa"/>
            <w:tcMar>
              <w:top w:w="60" w:type="dxa"/>
              <w:left w:w="120" w:type="dxa"/>
              <w:bottom w:w="30" w:type="dxa"/>
              <w:right w:w="120" w:type="dxa"/>
            </w:tcMar>
          </w:tcPr>
          <w:p w14:paraId="5D76628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Khalifa 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"https://doi.org/10.1016/j.ajem.2021.01.020"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10.1016/j.ajem.2021.01.020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Mar>
              <w:top w:w="60" w:type="dxa"/>
              <w:left w:w="120" w:type="dxa"/>
              <w:bottom w:w="30" w:type="dxa"/>
              <w:right w:w="120" w:type="dxa"/>
            </w:tcMar>
          </w:tcPr>
          <w:p w14:paraId="7FDFEEC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tcMar>
              <w:top w:w="60" w:type="dxa"/>
              <w:left w:w="120" w:type="dxa"/>
              <w:bottom w:w="30" w:type="dxa"/>
              <w:right w:w="120" w:type="dxa"/>
            </w:tcMar>
          </w:tcPr>
          <w:p w14:paraId="065F4EA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w:t>
            </w:r>
          </w:p>
        </w:tc>
        <w:tc>
          <w:tcPr>
            <w:tcW w:w="1504" w:type="dxa"/>
            <w:tcMar>
              <w:top w:w="60" w:type="dxa"/>
              <w:left w:w="120" w:type="dxa"/>
              <w:bottom w:w="30" w:type="dxa"/>
              <w:right w:w="120" w:type="dxa"/>
            </w:tcMar>
          </w:tcPr>
          <w:p w14:paraId="384C032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2007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tc>
        <w:tc>
          <w:tcPr>
            <w:tcW w:w="1299" w:type="dxa"/>
            <w:tcMar>
              <w:top w:w="60" w:type="dxa"/>
              <w:left w:w="120" w:type="dxa"/>
              <w:bottom w:w="30" w:type="dxa"/>
              <w:right w:w="120" w:type="dxa"/>
            </w:tcMar>
          </w:tcPr>
          <w:p w14:paraId="0295BC9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24,191</w:t>
            </w:r>
          </w:p>
        </w:tc>
        <w:tc>
          <w:tcPr>
            <w:tcW w:w="3184" w:type="dxa"/>
            <w:tcMar>
              <w:top w:w="60" w:type="dxa"/>
              <w:left w:w="120" w:type="dxa"/>
              <w:bottom w:w="30" w:type="dxa"/>
              <w:right w:w="120" w:type="dxa"/>
            </w:tcMar>
          </w:tcPr>
          <w:p w14:paraId="6A14045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t>
            </w:r>
          </w:p>
        </w:tc>
        <w:tc>
          <w:tcPr>
            <w:tcW w:w="2633" w:type="dxa"/>
            <w:tcMar>
              <w:top w:w="60" w:type="dxa"/>
              <w:left w:w="120" w:type="dxa"/>
              <w:bottom w:w="30" w:type="dxa"/>
              <w:right w:w="120" w:type="dxa"/>
            </w:tcMar>
          </w:tcPr>
          <w:p w14:paraId="630170C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Penetrating trauma: OR 2.123; 95% CI [NA]; p&lt;0.001</w:t>
            </w:r>
          </w:p>
          <w:p w14:paraId="1090E4D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Definitive surgery (chest/abdomen): OR 1.692; 95% CI [NA]; p=0.006</w:t>
            </w:r>
          </w:p>
          <w:p w14:paraId="617C693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ISS: OR 0.986; 95% CI [NA]; p=0.001</w:t>
            </w:r>
          </w:p>
          <w:p w14:paraId="6DA7623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ED time: OR 0.998; 95% CI [NA]; p&lt;0.001</w:t>
            </w:r>
          </w:p>
        </w:tc>
      </w:tr>
      <w:tr w14:paraId="6B2E6D29">
        <w:tc>
          <w:tcPr>
            <w:tcW w:w="2041" w:type="dxa"/>
            <w:tcMar>
              <w:top w:w="60" w:type="dxa"/>
              <w:left w:w="120" w:type="dxa"/>
              <w:bottom w:w="30" w:type="dxa"/>
              <w:right w:w="120" w:type="dxa"/>
            </w:tcMar>
          </w:tcPr>
          <w:p w14:paraId="2C6558B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Irfan FB et al. (10.1016/j.ijcard.2017.03.134)</w:t>
            </w:r>
          </w:p>
        </w:tc>
        <w:tc>
          <w:tcPr>
            <w:tcW w:w="1809" w:type="dxa"/>
            <w:tcMar>
              <w:top w:w="60" w:type="dxa"/>
              <w:left w:w="120" w:type="dxa"/>
              <w:bottom w:w="30" w:type="dxa"/>
              <w:right w:w="120" w:type="dxa"/>
            </w:tcMar>
          </w:tcPr>
          <w:p w14:paraId="2236AB8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Observational cohort study</w:t>
            </w:r>
          </w:p>
        </w:tc>
        <w:tc>
          <w:tcPr>
            <w:tcW w:w="1728" w:type="dxa"/>
            <w:tcMar>
              <w:top w:w="60" w:type="dxa"/>
              <w:left w:w="120" w:type="dxa"/>
              <w:bottom w:w="30" w:type="dxa"/>
              <w:right w:w="120" w:type="dxa"/>
            </w:tcMar>
          </w:tcPr>
          <w:p w14:paraId="278F5EA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Qatar</w:t>
            </w:r>
          </w:p>
        </w:tc>
        <w:tc>
          <w:tcPr>
            <w:tcW w:w="1504" w:type="dxa"/>
            <w:tcMar>
              <w:top w:w="60" w:type="dxa"/>
              <w:left w:w="120" w:type="dxa"/>
              <w:bottom w:w="30" w:type="dxa"/>
              <w:right w:w="120" w:type="dxa"/>
            </w:tcMar>
          </w:tcPr>
          <w:p w14:paraId="16B4F12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tc>
        <w:tc>
          <w:tcPr>
            <w:tcW w:w="1299" w:type="dxa"/>
            <w:tcMar>
              <w:top w:w="60" w:type="dxa"/>
              <w:left w:w="120" w:type="dxa"/>
              <w:bottom w:w="30" w:type="dxa"/>
              <w:right w:w="120" w:type="dxa"/>
            </w:tcMar>
          </w:tcPr>
          <w:p w14:paraId="6A8DB63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410</w:t>
            </w:r>
          </w:p>
        </w:tc>
        <w:tc>
          <w:tcPr>
            <w:tcW w:w="3184" w:type="dxa"/>
            <w:tcMar>
              <w:top w:w="60" w:type="dxa"/>
              <w:left w:w="120" w:type="dxa"/>
              <w:bottom w:w="30" w:type="dxa"/>
              <w:right w:w="120" w:type="dxa"/>
            </w:tcMar>
          </w:tcPr>
          <w:p w14:paraId="3D8D0F9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Initial shockable rhythm: OR 6.4; 95% CI [1.3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30.7]; p=0.02- Hemorrhage control: OR 5.9; 95% CI [1.9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18.0]; p&lt;0.001- Needle thoracostomy: OR 5.3; 95% CI [1.3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21.7]; p=0.02- Adrenaline administration: OR 0.53; 95% CI [0.3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 p=0.02</w:t>
            </w:r>
          </w:p>
        </w:tc>
        <w:tc>
          <w:tcPr>
            <w:tcW w:w="2633" w:type="dxa"/>
            <w:tcMar>
              <w:top w:w="60" w:type="dxa"/>
              <w:left w:w="120" w:type="dxa"/>
              <w:bottom w:w="30" w:type="dxa"/>
              <w:right w:w="120" w:type="dxa"/>
            </w:tcMar>
          </w:tcPr>
          <w:p w14:paraId="1FFEA2A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Initial shockable rhythm: OR 10.12; 95% CI [0.97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105.23]</w:t>
            </w:r>
          </w:p>
          <w:p w14:paraId="2904D69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Hemorrhage control: OR 4.2; 95% CI [1.03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16.8]</w:t>
            </w:r>
          </w:p>
          <w:p w14:paraId="67C2D40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Blood transfusion: OR 9.22; 95% CI [2.5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33.7]</w:t>
            </w:r>
          </w:p>
          <w:p w14:paraId="303AE11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Surgery: OR 32.1; 95% CI [7.54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 xml:space="preserve">136.6]; </w:t>
            </w:r>
          </w:p>
          <w:p w14:paraId="1548513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Adrenaline administration: OR 0.045; 95% CI [0.006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0.358]</w:t>
            </w:r>
          </w:p>
        </w:tc>
      </w:tr>
      <w:tr w14:paraId="45E87BD5">
        <w:tc>
          <w:tcPr>
            <w:tcW w:w="2041" w:type="dxa"/>
            <w:tcMar>
              <w:top w:w="60" w:type="dxa"/>
              <w:left w:w="120" w:type="dxa"/>
              <w:bottom w:w="30" w:type="dxa"/>
              <w:right w:w="120" w:type="dxa"/>
            </w:tcMar>
          </w:tcPr>
          <w:p w14:paraId="7D7CE1D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Yamamoto R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"https://doi.org/10.1186/s13049-019-0657-8"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10.1186/s13049-019-0657-8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Mar>
              <w:top w:w="60" w:type="dxa"/>
              <w:left w:w="120" w:type="dxa"/>
              <w:bottom w:w="30" w:type="dxa"/>
              <w:right w:w="120" w:type="dxa"/>
            </w:tcMar>
          </w:tcPr>
          <w:p w14:paraId="7652867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Post-hoc analysis of prospective observational study</w:t>
            </w:r>
          </w:p>
        </w:tc>
        <w:tc>
          <w:tcPr>
            <w:tcW w:w="1728" w:type="dxa"/>
            <w:tcMar>
              <w:top w:w="60" w:type="dxa"/>
              <w:left w:w="120" w:type="dxa"/>
              <w:bottom w:w="30" w:type="dxa"/>
              <w:right w:w="120" w:type="dxa"/>
            </w:tcMar>
          </w:tcPr>
          <w:p w14:paraId="70CB43C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Japan</w:t>
            </w:r>
          </w:p>
        </w:tc>
        <w:tc>
          <w:tcPr>
            <w:tcW w:w="1504" w:type="dxa"/>
            <w:tcMar>
              <w:top w:w="60" w:type="dxa"/>
              <w:left w:w="120" w:type="dxa"/>
              <w:bottom w:w="30" w:type="dxa"/>
              <w:right w:w="120" w:type="dxa"/>
            </w:tcMar>
          </w:tcPr>
          <w:p w14:paraId="5EDF56C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2013</w:t>
            </w:r>
          </w:p>
        </w:tc>
        <w:tc>
          <w:tcPr>
            <w:tcW w:w="1299" w:type="dxa"/>
            <w:tcMar>
              <w:top w:w="60" w:type="dxa"/>
              <w:left w:w="120" w:type="dxa"/>
              <w:bottom w:w="30" w:type="dxa"/>
              <w:right w:w="120" w:type="dxa"/>
            </w:tcMar>
          </w:tcPr>
          <w:p w14:paraId="0AB5B85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1,030</w:t>
            </w:r>
          </w:p>
        </w:tc>
        <w:tc>
          <w:tcPr>
            <w:tcW w:w="3184" w:type="dxa"/>
            <w:tcMar>
              <w:top w:w="60" w:type="dxa"/>
              <w:left w:w="120" w:type="dxa"/>
              <w:bottom w:w="30" w:type="dxa"/>
              <w:right w:w="120" w:type="dxa"/>
            </w:tcMar>
          </w:tcPr>
          <w:p w14:paraId="4DD944E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Epinephrine use (ROSC in hospital): OR 2.21; 95% CI [1.16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4.19]; p=0.01</w:t>
            </w:r>
          </w:p>
        </w:tc>
        <w:tc>
          <w:tcPr>
            <w:tcW w:w="2633" w:type="dxa"/>
            <w:tcMar>
              <w:top w:w="60" w:type="dxa"/>
              <w:left w:w="120" w:type="dxa"/>
              <w:bottom w:w="30" w:type="dxa"/>
              <w:right w:w="120" w:type="dxa"/>
            </w:tcMar>
          </w:tcPr>
          <w:p w14:paraId="4EB8FDF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Epinephrine use (7-day survival): Unadjusted OR 0.20; 95% CI [0.08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0.48]; p&lt;0.01</w:t>
            </w:r>
          </w:p>
          <w:p w14:paraId="6782B66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Epinephrine use (7-day survival, propensity-matched): aOR 0.11; 95% CI [0.01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0.85]; p=0.02</w:t>
            </w:r>
          </w:p>
        </w:tc>
      </w:tr>
      <w:tr w14:paraId="00F1A3A8">
        <w:tc>
          <w:tcPr>
            <w:tcW w:w="2041" w:type="dxa"/>
            <w:tcMar>
              <w:top w:w="60" w:type="dxa"/>
              <w:left w:w="120" w:type="dxa"/>
              <w:bottom w:w="30" w:type="dxa"/>
              <w:right w:w="120" w:type="dxa"/>
            </w:tcMar>
          </w:tcPr>
          <w:p w14:paraId="45D4626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Koh EY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"https://doi.org/10.1097/TA.0000000000004094"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10.1097/TA.0000000000004094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Mar>
              <w:top w:w="60" w:type="dxa"/>
              <w:left w:w="120" w:type="dxa"/>
              <w:bottom w:w="30" w:type="dxa"/>
              <w:right w:w="120" w:type="dxa"/>
            </w:tcMar>
          </w:tcPr>
          <w:p w14:paraId="6F76EA6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Secondary analysis of prospective observational study</w:t>
            </w:r>
          </w:p>
        </w:tc>
        <w:tc>
          <w:tcPr>
            <w:tcW w:w="1728" w:type="dxa"/>
            <w:tcMar>
              <w:top w:w="60" w:type="dxa"/>
              <w:left w:w="120" w:type="dxa"/>
              <w:bottom w:w="30" w:type="dxa"/>
              <w:right w:w="120" w:type="dxa"/>
            </w:tcMar>
          </w:tcPr>
          <w:p w14:paraId="78EAD54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USA</w:t>
            </w:r>
          </w:p>
        </w:tc>
        <w:tc>
          <w:tcPr>
            <w:tcW w:w="1504" w:type="dxa"/>
            <w:tcMar>
              <w:top w:w="60" w:type="dxa"/>
              <w:left w:w="120" w:type="dxa"/>
              <w:bottom w:w="30" w:type="dxa"/>
              <w:right w:w="120" w:type="dxa"/>
            </w:tcMar>
          </w:tcPr>
          <w:p w14:paraId="6AB4836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2018</w:t>
            </w:r>
          </w:p>
        </w:tc>
        <w:tc>
          <w:tcPr>
            <w:tcW w:w="1299" w:type="dxa"/>
            <w:tcMar>
              <w:top w:w="60" w:type="dxa"/>
              <w:left w:w="120" w:type="dxa"/>
              <w:bottom w:w="30" w:type="dxa"/>
              <w:right w:w="120" w:type="dxa"/>
            </w:tcMar>
          </w:tcPr>
          <w:p w14:paraId="739FDE6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72</w:t>
            </w:r>
          </w:p>
        </w:tc>
        <w:tc>
          <w:tcPr>
            <w:tcW w:w="3184" w:type="dxa"/>
            <w:tcMar>
              <w:top w:w="60" w:type="dxa"/>
              <w:left w:w="120" w:type="dxa"/>
              <w:bottom w:w="30" w:type="dxa"/>
              <w:right w:w="120" w:type="dxa"/>
            </w:tcMar>
          </w:tcPr>
          <w:p w14:paraId="1EF8240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t>
            </w:r>
          </w:p>
        </w:tc>
        <w:tc>
          <w:tcPr>
            <w:tcW w:w="2633" w:type="dxa"/>
            <w:tcMar>
              <w:top w:w="60" w:type="dxa"/>
              <w:left w:w="120" w:type="dxa"/>
              <w:bottom w:w="30" w:type="dxa"/>
              <w:right w:w="120" w:type="dxa"/>
            </w:tcMar>
          </w:tcPr>
          <w:p w14:paraId="5873E22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REBOA vs. RT (mortality): RR 0.89; 95% CI [0.71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1.12]; p=0.304</w:t>
            </w:r>
          </w:p>
        </w:tc>
      </w:tr>
      <w:tr w14:paraId="177C8264">
        <w:tc>
          <w:tcPr>
            <w:tcW w:w="2041" w:type="dxa"/>
            <w:tcMar>
              <w:top w:w="60" w:type="dxa"/>
              <w:left w:w="120" w:type="dxa"/>
              <w:bottom w:w="30" w:type="dxa"/>
              <w:right w:w="120" w:type="dxa"/>
            </w:tcMar>
          </w:tcPr>
          <w:p w14:paraId="75ADCE3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Morcel B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"https://doi.org/10.1016/j.resplu.2025.100981"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10.1016/j.resplu.2025.100981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Mar>
              <w:top w:w="60" w:type="dxa"/>
              <w:left w:w="120" w:type="dxa"/>
              <w:bottom w:w="30" w:type="dxa"/>
              <w:right w:w="120" w:type="dxa"/>
            </w:tcMar>
          </w:tcPr>
          <w:p w14:paraId="545EA35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tcMar>
              <w:top w:w="60" w:type="dxa"/>
              <w:left w:w="120" w:type="dxa"/>
              <w:bottom w:w="30" w:type="dxa"/>
              <w:right w:w="120" w:type="dxa"/>
            </w:tcMar>
          </w:tcPr>
          <w:p w14:paraId="6766F23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1504" w:type="dxa"/>
            <w:tcMar>
              <w:top w:w="60" w:type="dxa"/>
              <w:left w:w="120" w:type="dxa"/>
              <w:bottom w:w="30" w:type="dxa"/>
              <w:right w:w="120" w:type="dxa"/>
            </w:tcMar>
          </w:tcPr>
          <w:p w14:paraId="5E9D832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2011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2023</w:t>
            </w:r>
          </w:p>
        </w:tc>
        <w:tc>
          <w:tcPr>
            <w:tcW w:w="1299" w:type="dxa"/>
            <w:tcMar>
              <w:top w:w="60" w:type="dxa"/>
              <w:left w:w="120" w:type="dxa"/>
              <w:bottom w:w="30" w:type="dxa"/>
              <w:right w:w="120" w:type="dxa"/>
            </w:tcMar>
          </w:tcPr>
          <w:p w14:paraId="6AD94FE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5,030</w:t>
            </w:r>
          </w:p>
        </w:tc>
        <w:tc>
          <w:tcPr>
            <w:tcW w:w="3184" w:type="dxa"/>
            <w:tcMar>
              <w:top w:w="60" w:type="dxa"/>
              <w:left w:w="120" w:type="dxa"/>
              <w:bottom w:w="30" w:type="dxa"/>
              <w:right w:w="120" w:type="dxa"/>
            </w:tcMar>
          </w:tcPr>
          <w:p w14:paraId="619CC26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Children vs. adults: OR 1.32; 95% CI [1.04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1.68]; p=0.02- Children 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11 years vs. adults: OR 2.68; 95% CI [1.61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4.38]; p&lt;0.001</w:t>
            </w:r>
          </w:p>
        </w:tc>
        <w:tc>
          <w:tcPr>
            <w:tcW w:w="2633" w:type="dxa"/>
            <w:tcMar>
              <w:top w:w="60" w:type="dxa"/>
              <w:left w:w="120" w:type="dxa"/>
              <w:bottom w:w="30" w:type="dxa"/>
              <w:right w:w="120" w:type="dxa"/>
            </w:tcMar>
          </w:tcPr>
          <w:p w14:paraId="5D983B8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Children vs. adults (30-day survival): OR 2.20; 95% CI [1.18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3.81]; p&lt;0.01</w:t>
            </w:r>
          </w:p>
          <w:p w14:paraId="68B16D5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Children 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11 years vs. adults (30-day survival): OR 4.92; 95% CI [1.68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11.47]; p&lt;0.001</w:t>
            </w:r>
          </w:p>
          <w:p w14:paraId="097A1F7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Children ≤5 years vs. adults (hospital admission survival): OR 1.81; 95% CI [1.15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2.76]; p&lt;0.001</w:t>
            </w:r>
          </w:p>
        </w:tc>
      </w:tr>
      <w:tr w14:paraId="748782C5">
        <w:tc>
          <w:tcPr>
            <w:tcW w:w="2041" w:type="dxa"/>
            <w:tcMar>
              <w:top w:w="60" w:type="dxa"/>
              <w:left w:w="120" w:type="dxa"/>
              <w:bottom w:w="30" w:type="dxa"/>
              <w:right w:w="120" w:type="dxa"/>
            </w:tcMar>
          </w:tcPr>
          <w:p w14:paraId="32080EA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Savary 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"https://doi.org/10.1016/j.resuscitation.2021.05.012"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10.1016/j.resuscitation.2021.05.012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Mar>
              <w:top w:w="60" w:type="dxa"/>
              <w:left w:w="120" w:type="dxa"/>
              <w:bottom w:w="30" w:type="dxa"/>
              <w:right w:w="120" w:type="dxa"/>
            </w:tcMar>
          </w:tcPr>
          <w:p w14:paraId="6EE66DD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tcMar>
              <w:top w:w="60" w:type="dxa"/>
              <w:left w:w="120" w:type="dxa"/>
              <w:bottom w:w="30" w:type="dxa"/>
              <w:right w:w="120" w:type="dxa"/>
            </w:tcMar>
          </w:tcPr>
          <w:p w14:paraId="3F0E43B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France</w:t>
            </w:r>
          </w:p>
        </w:tc>
        <w:tc>
          <w:tcPr>
            <w:tcW w:w="1504" w:type="dxa"/>
            <w:tcMar>
              <w:top w:w="60" w:type="dxa"/>
              <w:left w:w="120" w:type="dxa"/>
              <w:bottom w:w="30" w:type="dxa"/>
              <w:right w:w="120" w:type="dxa"/>
            </w:tcMar>
          </w:tcPr>
          <w:p w14:paraId="267BFAA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2017</w:t>
            </w:r>
          </w:p>
        </w:tc>
        <w:tc>
          <w:tcPr>
            <w:tcW w:w="1299" w:type="dxa"/>
            <w:tcMar>
              <w:top w:w="60" w:type="dxa"/>
              <w:left w:w="120" w:type="dxa"/>
              <w:bottom w:w="30" w:type="dxa"/>
              <w:right w:w="120" w:type="dxa"/>
            </w:tcMar>
          </w:tcPr>
          <w:p w14:paraId="158664A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287</w:t>
            </w:r>
          </w:p>
        </w:tc>
        <w:tc>
          <w:tcPr>
            <w:tcW w:w="3184" w:type="dxa"/>
            <w:tcMar>
              <w:top w:w="60" w:type="dxa"/>
              <w:left w:w="120" w:type="dxa"/>
              <w:bottom w:w="30" w:type="dxa"/>
              <w:right w:w="120" w:type="dxa"/>
            </w:tcMar>
          </w:tcPr>
          <w:p w14:paraId="0405DF53">
            <w:pP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t>
            </w:r>
          </w:p>
        </w:tc>
        <w:tc>
          <w:tcPr>
            <w:tcW w:w="2633" w:type="dxa"/>
            <w:tcMar>
              <w:top w:w="60" w:type="dxa"/>
              <w:left w:w="120" w:type="dxa"/>
              <w:bottom w:w="30" w:type="dxa"/>
              <w:right w:w="120" w:type="dxa"/>
            </w:tcMar>
          </w:tcPr>
          <w:p w14:paraId="06E61C7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Not reported with RR/OR and 95%CI</w:t>
            </w:r>
          </w:p>
        </w:tc>
      </w:tr>
      <w:tr w14:paraId="46E527A2">
        <w:tc>
          <w:tcPr>
            <w:tcW w:w="2041" w:type="dxa"/>
            <w:tcMar>
              <w:top w:w="60" w:type="dxa"/>
              <w:left w:w="120" w:type="dxa"/>
              <w:bottom w:w="30" w:type="dxa"/>
              <w:right w:w="120" w:type="dxa"/>
            </w:tcMar>
          </w:tcPr>
          <w:p w14:paraId="648AF40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Vianen NJ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"https://doi.org/10.1007/s00068-022-01941-y"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10.1007/s00068-022-01941-y</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Mar>
              <w:top w:w="60" w:type="dxa"/>
              <w:left w:w="120" w:type="dxa"/>
              <w:bottom w:w="30" w:type="dxa"/>
              <w:right w:w="120" w:type="dxa"/>
            </w:tcMar>
          </w:tcPr>
          <w:p w14:paraId="0DE7B17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Systematic review and meta-analysis</w:t>
            </w:r>
          </w:p>
        </w:tc>
        <w:tc>
          <w:tcPr>
            <w:tcW w:w="1728" w:type="dxa"/>
            <w:tcMar>
              <w:top w:w="60" w:type="dxa"/>
              <w:left w:w="120" w:type="dxa"/>
              <w:bottom w:w="30" w:type="dxa"/>
              <w:right w:w="120" w:type="dxa"/>
            </w:tcMar>
          </w:tcPr>
          <w:p w14:paraId="4AA0111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Multiple (Europe, Asia, USA, Australia)</w:t>
            </w:r>
          </w:p>
        </w:tc>
        <w:tc>
          <w:tcPr>
            <w:tcW w:w="1504" w:type="dxa"/>
            <w:tcMar>
              <w:top w:w="60" w:type="dxa"/>
              <w:left w:w="120" w:type="dxa"/>
              <w:bottom w:w="30" w:type="dxa"/>
              <w:right w:w="120" w:type="dxa"/>
            </w:tcMar>
          </w:tcPr>
          <w:p w14:paraId="7DF3A93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1995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2020</w:t>
            </w:r>
          </w:p>
        </w:tc>
        <w:tc>
          <w:tcPr>
            <w:tcW w:w="1299" w:type="dxa"/>
            <w:tcMar>
              <w:top w:w="60" w:type="dxa"/>
              <w:left w:w="120" w:type="dxa"/>
              <w:bottom w:w="30" w:type="dxa"/>
              <w:right w:w="120" w:type="dxa"/>
            </w:tcMar>
          </w:tcPr>
          <w:p w14:paraId="2492E36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51,722</w:t>
            </w:r>
          </w:p>
        </w:tc>
        <w:tc>
          <w:tcPr>
            <w:tcW w:w="3184" w:type="dxa"/>
            <w:tcMar>
              <w:top w:w="60" w:type="dxa"/>
              <w:left w:w="120" w:type="dxa"/>
              <w:bottom w:w="30" w:type="dxa"/>
              <w:right w:w="120" w:type="dxa"/>
            </w:tcMar>
          </w:tcPr>
          <w:p w14:paraId="11C6CFEB">
            <w:pP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t>
            </w:r>
          </w:p>
        </w:tc>
        <w:tc>
          <w:tcPr>
            <w:tcW w:w="2633" w:type="dxa"/>
            <w:tcMar>
              <w:top w:w="60" w:type="dxa"/>
              <w:left w:w="120" w:type="dxa"/>
              <w:bottom w:w="30" w:type="dxa"/>
              <w:right w:w="120" w:type="dxa"/>
            </w:tcMar>
          </w:tcPr>
          <w:p w14:paraId="6CD4AB3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Non-shockable rhythm vs. shockable rhythm: RR 1.12; 95% CI [1.03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1.21]; p=0.006</w:t>
            </w:r>
          </w:p>
          <w:p w14:paraId="65430B3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Studies including prehospital deaths vs. excluding: RR 1.05; 95% CI [1.03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1.07]; p&lt;0.001</w:t>
            </w:r>
          </w:p>
          <w:p w14:paraId="5EC7B20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physician on scene vs. physician on scene: RR 1.04; 95% CI [1.02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1.06]; p&lt;0.001</w:t>
            </w:r>
          </w:p>
        </w:tc>
      </w:tr>
      <w:tr w14:paraId="36A8D363">
        <w:tc>
          <w:tcPr>
            <w:tcW w:w="2041" w:type="dxa"/>
            <w:tcMar>
              <w:top w:w="60" w:type="dxa"/>
              <w:left w:w="120" w:type="dxa"/>
              <w:bottom w:w="30" w:type="dxa"/>
              <w:right w:w="120" w:type="dxa"/>
            </w:tcMar>
            <w:vAlign w:val="top"/>
          </w:tcPr>
          <w:p w14:paraId="46241F1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Beck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"https://doi.org/10.1016/j.resuscitation.2016.11.011"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10.1016/j.resuscitation.2016.11.011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Mar>
              <w:top w:w="60" w:type="dxa"/>
              <w:left w:w="120" w:type="dxa"/>
              <w:bottom w:w="30" w:type="dxa"/>
              <w:right w:w="120" w:type="dxa"/>
            </w:tcMar>
            <w:vAlign w:val="top"/>
          </w:tcPr>
          <w:p w14:paraId="1F4B2F5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tcMar>
              <w:top w:w="60" w:type="dxa"/>
              <w:left w:w="120" w:type="dxa"/>
              <w:bottom w:w="30" w:type="dxa"/>
              <w:right w:w="120" w:type="dxa"/>
            </w:tcMar>
            <w:vAlign w:val="top"/>
          </w:tcPr>
          <w:p w14:paraId="67CB17F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Victoria, Australia</w:t>
            </w:r>
          </w:p>
        </w:tc>
        <w:tc>
          <w:tcPr>
            <w:tcW w:w="1504" w:type="dxa"/>
            <w:tcMar>
              <w:top w:w="60" w:type="dxa"/>
              <w:left w:w="120" w:type="dxa"/>
              <w:bottom w:w="30" w:type="dxa"/>
              <w:right w:w="120" w:type="dxa"/>
            </w:tcMar>
            <w:vAlign w:val="top"/>
          </w:tcPr>
          <w:p w14:paraId="6A6FDA0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July 2008 - June 2014</w:t>
            </w:r>
          </w:p>
        </w:tc>
        <w:tc>
          <w:tcPr>
            <w:tcW w:w="1299" w:type="dxa"/>
            <w:tcMar>
              <w:top w:w="60" w:type="dxa"/>
              <w:left w:w="120" w:type="dxa"/>
              <w:bottom w:w="30" w:type="dxa"/>
              <w:right w:w="120" w:type="dxa"/>
            </w:tcMar>
            <w:vAlign w:val="top"/>
          </w:tcPr>
          <w:p w14:paraId="70F6C8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2334 traumatic OHCA cases</w:t>
            </w:r>
          </w:p>
        </w:tc>
        <w:tc>
          <w:tcPr>
            <w:tcW w:w="3184" w:type="dxa"/>
            <w:tcMar>
              <w:top w:w="60" w:type="dxa"/>
              <w:left w:w="120" w:type="dxa"/>
              <w:bottom w:w="30" w:type="dxa"/>
              <w:right w:w="120" w:type="dxa"/>
            </w:tcMar>
            <w:vAlign w:val="top"/>
          </w:tcPr>
          <w:p w14:paraId="01DE21A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Arresting rhythm: Shockable (AOR=18.52, 95%CI:6.68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51.36); PEA (AOR=12.58, 95%CI:9.06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17.45) vs. asystole- Mechanism of injury: Motorcycle collision (AOR=2.49, 95%CI:1.60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3.86); Fall (AOR=1.91, 95%CI:1.17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3.11); Shooting/stabbing (AOR=2.25, 95%CI:1.17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4.31) vs. motor vehicle collision- Region: Urban vs. rural (AOR=0.64, 95%CI:0.46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0.90)</w:t>
            </w:r>
          </w:p>
        </w:tc>
        <w:tc>
          <w:tcPr>
            <w:tcW w:w="2633" w:type="dxa"/>
            <w:tcMar>
              <w:top w:w="60" w:type="dxa"/>
              <w:left w:w="120" w:type="dxa"/>
              <w:bottom w:w="30" w:type="dxa"/>
              <w:right w:w="120" w:type="dxa"/>
            </w:tcMar>
            <w:vAlign w:val="top"/>
          </w:tcPr>
          <w:p w14:paraId="3F44D0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Excluding resuscitation attempts ≤10min: Survival to hospital discharge increased non-significantly (3.8% to 5.0%, p=0.314)</w:t>
            </w:r>
          </w:p>
        </w:tc>
      </w:tr>
      <w:tr w14:paraId="6EFF234A">
        <w:tc>
          <w:tcPr>
            <w:tcW w:w="2041" w:type="dxa"/>
            <w:vAlign w:val="top"/>
          </w:tcPr>
          <w:p w14:paraId="4E40EE8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Wang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"https://doi.org/10.1186/s13049-025-01335-0"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10.1186/s13049-025-01335-0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42F131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1259F310">
            <w:pPr>
              <w:pStyle w:val="12"/>
              <w:ind w:left="0" w:leftChars="0"/>
              <w:rPr>
                <w:rFonts w:hint="eastAsia" w:ascii="Times New Roman Regular" w:hAnsi="Times New Roman Regular" w:eastAsia="等线" w:cs="Times New Roman Regular"/>
                <w:sz w:val="24"/>
                <w:szCs w:val="24"/>
                <w:lang w:val="en-US" w:eastAsia="zh-CN"/>
              </w:rPr>
            </w:pPr>
            <w:r>
              <w:rPr>
                <w:rFonts w:hint="eastAsia" w:ascii="Times New Roman Regular" w:hAnsi="Times New Roman Regular" w:eastAsia="等线" w:cs="Times New Roman Regular"/>
                <w:sz w:val="24"/>
                <w:szCs w:val="24"/>
                <w:lang w:val="en-US" w:eastAsia="zh-CN"/>
              </w:rPr>
              <w:t>Chinese Taiwan</w:t>
            </w:r>
          </w:p>
        </w:tc>
        <w:tc>
          <w:tcPr>
            <w:tcW w:w="1504" w:type="dxa"/>
            <w:vAlign w:val="top"/>
          </w:tcPr>
          <w:p w14:paraId="58338AA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January 2016 - December 2022</w:t>
            </w:r>
          </w:p>
        </w:tc>
        <w:tc>
          <w:tcPr>
            <w:tcW w:w="1299" w:type="dxa"/>
            <w:vAlign w:val="top"/>
          </w:tcPr>
          <w:p w14:paraId="358DBC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557 TCA patients</w:t>
            </w:r>
          </w:p>
        </w:tc>
        <w:tc>
          <w:tcPr>
            <w:tcW w:w="3184" w:type="dxa"/>
            <w:vAlign w:val="top"/>
          </w:tcPr>
          <w:p w14:paraId="7A81475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Transport to trauma center: Direct (aOR=2.91, 95%CI:1.54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5.49); Cross-region (aOR=2.05, 95%CI:1.01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4.15) vs. non-TC- Trauma mechanism: Blunt vs. others (aOR=0.31, 95%CI:0.08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0.78)</w:t>
            </w:r>
          </w:p>
        </w:tc>
        <w:tc>
          <w:tcPr>
            <w:tcW w:w="2633" w:type="dxa"/>
            <w:vAlign w:val="top"/>
          </w:tcPr>
          <w:p w14:paraId="09C3F83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Transport to trauma center: Direct (aOR=7.93, 95%CI:2.13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29.52); Cross-region (aOR=4.56, 95%CI:1.24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16.76) vs. non-TC</w:t>
            </w:r>
          </w:p>
          <w:p w14:paraId="5EFF7F0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Trauma mechanism: Blunt vs. others (aOR=0.31, 95%CI:0.08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0.79)</w:t>
            </w:r>
          </w:p>
        </w:tc>
      </w:tr>
      <w:tr w14:paraId="77FC6F37">
        <w:tc>
          <w:tcPr>
            <w:tcW w:w="2041" w:type="dxa"/>
            <w:vAlign w:val="top"/>
          </w:tcPr>
          <w:p w14:paraId="3288F6B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"https://doi.org/10.1016/j.resplu.2025.100890"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10.1016/j.resplu.2025.100890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7E90529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Post-hoc sub-group analysis of RCT</w:t>
            </w:r>
          </w:p>
        </w:tc>
        <w:tc>
          <w:tcPr>
            <w:tcW w:w="1728" w:type="dxa"/>
            <w:vAlign w:val="top"/>
          </w:tcPr>
          <w:p w14:paraId="3C46E75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504" w:type="dxa"/>
            <w:vAlign w:val="top"/>
          </w:tcPr>
          <w:p w14:paraId="515704D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1299" w:type="dxa"/>
            <w:vAlign w:val="top"/>
          </w:tcPr>
          <w:p w14:paraId="35CA6BC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123 traumatic OHCA cases (66 adrenaline, 57 placebo)</w:t>
            </w:r>
          </w:p>
        </w:tc>
        <w:tc>
          <w:tcPr>
            <w:tcW w:w="3184" w:type="dxa"/>
            <w:vAlign w:val="top"/>
          </w:tcPr>
          <w:p w14:paraId="39A6D93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Adrenaline vs. placebo (unadjusted OR=3.3, 95%CI:1.1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9.6; adjusted OR=5.6, 95%CI:1.6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20.4)</w:t>
            </w:r>
          </w:p>
        </w:tc>
        <w:tc>
          <w:tcPr>
            <w:tcW w:w="2633" w:type="dxa"/>
            <w:vAlign w:val="top"/>
          </w:tcPr>
          <w:p w14:paraId="6A5904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Adrenaline vs. placebo: Survival to 30 days (1.5% vs. 0%, adjusted OR=2.0, 95%CI:0.3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15.4, p=0.5); Survival to hospital discharge (1.5% vs. 0%, adjusted OR=2.0, 95%CI:0.3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15.4, p=0.5)</w:t>
            </w:r>
          </w:p>
        </w:tc>
      </w:tr>
      <w:tr w14:paraId="12616097">
        <w:tc>
          <w:tcPr>
            <w:tcW w:w="2041" w:type="dxa"/>
            <w:vAlign w:val="top"/>
          </w:tcPr>
          <w:p w14:paraId="641FA07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Cheng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"https://doi.org/10.1016/j.injury.2025.112262"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10.1016/j.injury.2025.112262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4A3138E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28F88168">
            <w:pPr>
              <w:pStyle w:val="12"/>
              <w:ind w:left="0" w:leftChars="0"/>
              <w:rPr>
                <w:rFonts w:hint="default" w:ascii="Times New Roman Regular" w:hAnsi="Times New Roman Regular" w:eastAsia="等线" w:cs="Times New Roman Regular"/>
                <w:sz w:val="24"/>
                <w:szCs w:val="24"/>
                <w:lang w:val="en-US"/>
              </w:rPr>
            </w:pPr>
            <w:r>
              <w:rPr>
                <w:rFonts w:hint="default" w:ascii="Times New Roman Regular" w:hAnsi="Times New Roman Regular" w:cs="Times New Roman Regular"/>
                <w:sz w:val="24"/>
                <w:szCs w:val="24"/>
              </w:rPr>
              <w:t xml:space="preserve">Tainan, </w:t>
            </w:r>
            <w:r>
              <w:rPr>
                <w:rFonts w:hint="default" w:ascii="Times New Roman Regular" w:hAnsi="Times New Roman Regular" w:cs="Times New Roman Regular"/>
                <w:sz w:val="24"/>
                <w:szCs w:val="24"/>
                <w:lang w:val="en-US"/>
              </w:rPr>
              <w:t>China</w:t>
            </w:r>
          </w:p>
        </w:tc>
        <w:tc>
          <w:tcPr>
            <w:tcW w:w="1504" w:type="dxa"/>
            <w:vAlign w:val="top"/>
          </w:tcPr>
          <w:p w14:paraId="4EE5A6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January 2016 - December 2022</w:t>
            </w:r>
          </w:p>
        </w:tc>
        <w:tc>
          <w:tcPr>
            <w:tcW w:w="1299" w:type="dxa"/>
            <w:vAlign w:val="top"/>
          </w:tcPr>
          <w:p w14:paraId="17DF45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136 TCA patients (78 PEA, 58 asystole)</w:t>
            </w:r>
          </w:p>
        </w:tc>
        <w:tc>
          <w:tcPr>
            <w:tcW w:w="3184" w:type="dxa"/>
            <w:vAlign w:val="top"/>
          </w:tcPr>
          <w:p w14:paraId="14A25E2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Initial rhythm: PEA vs. asystole (adjusted OR=2.87, 95%CI:1.33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6.18)</w:t>
            </w:r>
          </w:p>
        </w:tc>
        <w:tc>
          <w:tcPr>
            <w:tcW w:w="2633" w:type="dxa"/>
            <w:vAlign w:val="top"/>
          </w:tcPr>
          <w:p w14:paraId="3718324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significant predictors for sustained ROSC or survival to admission identified</w:t>
            </w:r>
          </w:p>
        </w:tc>
      </w:tr>
      <w:tr w14:paraId="2A5FA207">
        <w:tc>
          <w:tcPr>
            <w:tcW w:w="2041" w:type="dxa"/>
            <w:vAlign w:val="top"/>
          </w:tcPr>
          <w:p w14:paraId="493BAD3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Doan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"https://doi.org/10.1136/emermed-2021-211723"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10.1136/emermed-2021-211723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6300BD4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137A9CA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Queensland, Australia</w:t>
            </w:r>
          </w:p>
        </w:tc>
        <w:tc>
          <w:tcPr>
            <w:tcW w:w="1504" w:type="dxa"/>
            <w:vAlign w:val="top"/>
          </w:tcPr>
          <w:p w14:paraId="50AA43B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January 2007 - December 2019</w:t>
            </w:r>
          </w:p>
        </w:tc>
        <w:tc>
          <w:tcPr>
            <w:tcW w:w="1299" w:type="dxa"/>
            <w:vAlign w:val="top"/>
          </w:tcPr>
          <w:p w14:paraId="6223FB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3891 TCA patients (1497 resuscitation attempted)</w:t>
            </w:r>
          </w:p>
        </w:tc>
        <w:tc>
          <w:tcPr>
            <w:tcW w:w="3184" w:type="dxa"/>
            <w:vAlign w:val="top"/>
          </w:tcPr>
          <w:p w14:paraId="25E93A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Advanced airway management (aOR=1.84, 95%CI:1.06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3.17)- Intravenous access (aOR=5.04, 95%CI:2.43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10.45)- HARU attendance (aOR=2.54, 95%CI:1.25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5.18)</w:t>
            </w:r>
          </w:p>
        </w:tc>
        <w:tc>
          <w:tcPr>
            <w:tcW w:w="2633" w:type="dxa"/>
            <w:vAlign w:val="top"/>
          </w:tcPr>
          <w:p w14:paraId="5505593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Blunt assault vs. motor vehicle collision (aOR=4.90, 95%CI:2.13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11.29)</w:t>
            </w:r>
          </w:p>
          <w:p w14:paraId="611E9A7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Low energy fall vs. motor vehicle collision (aOR=3.53, 95%CI:1.75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7.10)</w:t>
            </w:r>
          </w:p>
        </w:tc>
      </w:tr>
      <w:tr w14:paraId="535CECAD">
        <w:tc>
          <w:tcPr>
            <w:tcW w:w="2041" w:type="dxa"/>
            <w:vAlign w:val="top"/>
          </w:tcPr>
          <w:p w14:paraId="01D3B57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Lee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"https://doi.org/10.1080/10903127.2022.2113941"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10.1080/10903127.2022.2113941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37E8E0E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 (Pan-Asian)</w:t>
            </w:r>
          </w:p>
        </w:tc>
        <w:tc>
          <w:tcPr>
            <w:tcW w:w="1728" w:type="dxa"/>
            <w:vAlign w:val="top"/>
          </w:tcPr>
          <w:p w14:paraId="2CA85C1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 Asian countries</w:t>
            </w:r>
          </w:p>
        </w:tc>
        <w:tc>
          <w:tcPr>
            <w:tcW w:w="1504" w:type="dxa"/>
            <w:vAlign w:val="top"/>
          </w:tcPr>
          <w:p w14:paraId="14294D0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2009 - 2018</w:t>
            </w:r>
          </w:p>
        </w:tc>
        <w:tc>
          <w:tcPr>
            <w:tcW w:w="1299" w:type="dxa"/>
            <w:vAlign w:val="top"/>
          </w:tcPr>
          <w:p w14:paraId="0B67B77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13631 traumatic OHCA cases</w:t>
            </w:r>
          </w:p>
        </w:tc>
        <w:tc>
          <w:tcPr>
            <w:tcW w:w="3184" w:type="dxa"/>
            <w:vAlign w:val="top"/>
          </w:tcPr>
          <w:p w14:paraId="5C5A1DC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Witnessed by EMS/private ambulance (aOR=3.12, 95%CI:2.52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3.87)- Bystander CPR (aOR=1.87, 95%CI:1.62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2.16)- Initial rhythm: Shockable (aOR=3.02, 95%CI:2.09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4.35); PEA (aOR=2.89, 95%CI:2.48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3.36) vs. asystole- Prehospital epinephrine (aOR=3.34, 95%CI:2.76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4.04)</w:t>
            </w:r>
          </w:p>
        </w:tc>
        <w:tc>
          <w:tcPr>
            <w:tcW w:w="2633" w:type="dxa"/>
            <w:vAlign w:val="top"/>
          </w:tcPr>
          <w:p w14:paraId="6A69D766">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Witnessed by EMS/private ambulance (aOR=2.95, 95%CI:1.99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4.38); Bystander CPR (aOR=2.16, 95%CI:1.71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2.72)</w:t>
            </w:r>
          </w:p>
          <w:p w14:paraId="2323437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Initial rhythm: Shockable (aOR=12.00, 95%CI:6.80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21.17); PEA (aOR=3.98, 95%CI:2.99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5.30) vs. asystole</w:t>
            </w:r>
          </w:p>
        </w:tc>
      </w:tr>
      <w:tr w14:paraId="481BF84D">
        <w:tc>
          <w:tcPr>
            <w:tcW w:w="2041" w:type="dxa"/>
            <w:vAlign w:val="top"/>
          </w:tcPr>
          <w:p w14:paraId="31C74F8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Kitano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"https://doi.org/10.1016/j.resuscitation.2021.12.023"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10.1016/j.resuscitation.2021.12.023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0E47638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6EBA9B7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43689C2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January 2014 - December 2019</w:t>
            </w:r>
          </w:p>
        </w:tc>
        <w:tc>
          <w:tcPr>
            <w:tcW w:w="1299" w:type="dxa"/>
            <w:vAlign w:val="top"/>
          </w:tcPr>
          <w:p w14:paraId="577BBC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3883 TCA cases (traffic collision-related)</w:t>
            </w:r>
          </w:p>
        </w:tc>
        <w:tc>
          <w:tcPr>
            <w:tcW w:w="3184" w:type="dxa"/>
            <w:vAlign w:val="top"/>
          </w:tcPr>
          <w:p w14:paraId="0E4A630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EMS-witnessed vs. unwitnessed (aOR=2.42, 95%CI:1.60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3.66)- Intravenous line (aOR=1.61, 95%CI:1.10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2.37)</w:t>
            </w:r>
          </w:p>
        </w:tc>
        <w:tc>
          <w:tcPr>
            <w:tcW w:w="2633" w:type="dxa"/>
            <w:vAlign w:val="top"/>
          </w:tcPr>
          <w:p w14:paraId="79C940F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EMS-witnessed vs. unwitnessed (aOR=2.42, 95%CI:1.60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3.66)</w:t>
            </w:r>
          </w:p>
          <w:p w14:paraId="6ED3D0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Bystander-witnessed vs. unwitnessed (aOR=1.40, 95%CI:0.97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2.03, p=0.07)</w:t>
            </w:r>
          </w:p>
        </w:tc>
      </w:tr>
      <w:tr w14:paraId="786D6C5F">
        <w:tc>
          <w:tcPr>
            <w:tcW w:w="2041" w:type="dxa"/>
            <w:vAlign w:val="top"/>
          </w:tcPr>
          <w:p w14:paraId="29459EF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Evans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"https://doi.org/10.1097/TA.0000000000001070"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10.1097/TA.0000000000001070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206615B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Secondary analysis of cohort studies</w:t>
            </w:r>
          </w:p>
        </w:tc>
        <w:tc>
          <w:tcPr>
            <w:tcW w:w="1728" w:type="dxa"/>
            <w:vAlign w:val="top"/>
          </w:tcPr>
          <w:p w14:paraId="2F09648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North America (12 ROC sites)</w:t>
            </w:r>
          </w:p>
        </w:tc>
        <w:tc>
          <w:tcPr>
            <w:tcW w:w="1504" w:type="dxa"/>
            <w:vAlign w:val="top"/>
          </w:tcPr>
          <w:p w14:paraId="0F6D91D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Epistry: Dec 2005 - Oct 2007; PROPHET: Jan 2010 - Jun 2011</w:t>
            </w:r>
          </w:p>
        </w:tc>
        <w:tc>
          <w:tcPr>
            <w:tcW w:w="1299" w:type="dxa"/>
            <w:vAlign w:val="top"/>
          </w:tcPr>
          <w:p w14:paraId="16A9B91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2300 TCA patients (1292 Epistry, 1008 PROPHET)</w:t>
            </w:r>
          </w:p>
        </w:tc>
        <w:tc>
          <w:tcPr>
            <w:tcW w:w="3184" w:type="dxa"/>
            <w:vAlign w:val="top"/>
          </w:tcPr>
          <w:p w14:paraId="7E797C3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ALS procedures associated with increased ROSC</w:t>
            </w:r>
          </w:p>
        </w:tc>
        <w:tc>
          <w:tcPr>
            <w:tcW w:w="2633" w:type="dxa"/>
            <w:vAlign w:val="top"/>
          </w:tcPr>
          <w:p w14:paraId="4265431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Supraglottic airway (aOR=0.27, 95%CI:0.08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0.93); Endotracheal intubation (aOR=0.37, 95%CI:0.17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0.78) vs. bag-mask ventilation (PROPHET only)</w:t>
            </w:r>
          </w:p>
        </w:tc>
      </w:tr>
      <w:tr w14:paraId="2321391F">
        <w:tc>
          <w:tcPr>
            <w:tcW w:w="2041" w:type="dxa"/>
            <w:vAlign w:val="top"/>
          </w:tcPr>
          <w:p w14:paraId="0C1BC9D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Yamamoto R et al. (10.1136/emermed-2024-214337)</w:t>
            </w:r>
          </w:p>
        </w:tc>
        <w:tc>
          <w:tcPr>
            <w:tcW w:w="1809" w:type="dxa"/>
            <w:vAlign w:val="top"/>
          </w:tcPr>
          <w:p w14:paraId="3A0A71E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46652D9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04BDF31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2019-2021</w:t>
            </w:r>
          </w:p>
        </w:tc>
        <w:tc>
          <w:tcPr>
            <w:tcW w:w="1299" w:type="dxa"/>
            <w:vAlign w:val="top"/>
          </w:tcPr>
          <w:p w14:paraId="07EF61B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1524</w:t>
            </w:r>
          </w:p>
        </w:tc>
        <w:tc>
          <w:tcPr>
            <w:tcW w:w="3184" w:type="dxa"/>
            <w:vAlign w:val="top"/>
          </w:tcPr>
          <w:p w14:paraId="4DF827B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intubation: OR 1.09, 95%CI 0.89-1.34 (no significant association)</w:t>
            </w:r>
          </w:p>
        </w:tc>
        <w:tc>
          <w:tcPr>
            <w:tcW w:w="2633" w:type="dxa"/>
            <w:vAlign w:val="top"/>
          </w:tcPr>
          <w:p w14:paraId="571BBD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intubation: OR 1.99, 95%CI 1.12-3.53 (favourable neurological outcome, GOS≥4); OR 1.43, 95%CI 1.08-1.90 (survival to discharge)</w:t>
            </w:r>
          </w:p>
        </w:tc>
      </w:tr>
      <w:tr w14:paraId="5BA804F8">
        <w:tc>
          <w:tcPr>
            <w:tcW w:w="2041" w:type="dxa"/>
            <w:vAlign w:val="top"/>
          </w:tcPr>
          <w:p w14:paraId="7C9DA64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Nishimura T et al. (10.1002/ams2.786)</w:t>
            </w:r>
          </w:p>
        </w:tc>
        <w:tc>
          <w:tcPr>
            <w:tcW w:w="1809" w:type="dxa"/>
            <w:vAlign w:val="top"/>
          </w:tcPr>
          <w:p w14:paraId="2D52CAC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 (Propensity Score Matching)</w:t>
            </w:r>
          </w:p>
        </w:tc>
        <w:tc>
          <w:tcPr>
            <w:tcW w:w="1728" w:type="dxa"/>
            <w:vAlign w:val="top"/>
          </w:tcPr>
          <w:p w14:paraId="57593C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42BCCB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2004-2017</w:t>
            </w:r>
          </w:p>
        </w:tc>
        <w:tc>
          <w:tcPr>
            <w:tcW w:w="1299" w:type="dxa"/>
            <w:vAlign w:val="top"/>
          </w:tcPr>
          <w:p w14:paraId="044409C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1346 (after matching: 673 AAM vs 673 non-AAM)</w:t>
            </w:r>
          </w:p>
        </w:tc>
        <w:tc>
          <w:tcPr>
            <w:tcW w:w="3184" w:type="dxa"/>
            <w:vAlign w:val="top"/>
          </w:tcPr>
          <w:p w14:paraId="5760AAA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advanced airway management (AAM): OR 2.05, 95%CI 1.51-2.78</w:t>
            </w:r>
          </w:p>
        </w:tc>
        <w:tc>
          <w:tcPr>
            <w:tcW w:w="2633" w:type="dxa"/>
            <w:vAlign w:val="top"/>
          </w:tcPr>
          <w:p w14:paraId="543E4AB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AAM: OR 1.12, 95%CI 0.70-1.76 (no significant association with survival to discharge)</w:t>
            </w:r>
          </w:p>
        </w:tc>
      </w:tr>
      <w:tr w14:paraId="28083296">
        <w:tc>
          <w:tcPr>
            <w:tcW w:w="2041" w:type="dxa"/>
            <w:vAlign w:val="top"/>
          </w:tcPr>
          <w:p w14:paraId="1C83120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Vianen NJ et al. (10.1007/s00068-022-01941-y)</w:t>
            </w:r>
          </w:p>
        </w:tc>
        <w:tc>
          <w:tcPr>
            <w:tcW w:w="1809" w:type="dxa"/>
            <w:vAlign w:val="top"/>
          </w:tcPr>
          <w:p w14:paraId="4EABD4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 and Meta-Analysis</w:t>
            </w:r>
          </w:p>
        </w:tc>
        <w:tc>
          <w:tcPr>
            <w:tcW w:w="1728" w:type="dxa"/>
            <w:vAlign w:val="top"/>
          </w:tcPr>
          <w:p w14:paraId="68631EA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Multiple</w:t>
            </w:r>
          </w:p>
        </w:tc>
        <w:tc>
          <w:tcPr>
            <w:tcW w:w="1504" w:type="dxa"/>
            <w:vAlign w:val="top"/>
          </w:tcPr>
          <w:p w14:paraId="349CBDF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1299" w:type="dxa"/>
            <w:vAlign w:val="top"/>
          </w:tcPr>
          <w:p w14:paraId="4CED937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36 studies included</w:t>
            </w:r>
          </w:p>
        </w:tc>
        <w:tc>
          <w:tcPr>
            <w:tcW w:w="3184" w:type="dxa"/>
            <w:vAlign w:val="top"/>
          </w:tcPr>
          <w:p w14:paraId="3893DF5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motion on ultrasound: OR 33.91, 95%CI 1.87-613.42; Shockable rhythm: OR 7.29, 95%CI 5.09-10.44</w:t>
            </w:r>
          </w:p>
        </w:tc>
        <w:tc>
          <w:tcPr>
            <w:tcW w:w="2633" w:type="dxa"/>
            <w:vAlign w:val="top"/>
          </w:tcPr>
          <w:p w14:paraId="0974050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Shockable rhythm: aOR 1.12, 95%CI 1.03-1.21; Presence of out-of-hospital physicians: ~2-fold increase in survival (6.1% vs 2.4%)</w:t>
            </w:r>
          </w:p>
        </w:tc>
      </w:tr>
      <w:tr w14:paraId="302B0232">
        <w:tc>
          <w:tcPr>
            <w:tcW w:w="2041" w:type="dxa"/>
            <w:vAlign w:val="top"/>
          </w:tcPr>
          <w:p w14:paraId="60E83E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Tran A et al. (10.1016/j.resuscitation.2020.07.017)</w:t>
            </w:r>
          </w:p>
        </w:tc>
        <w:tc>
          <w:tcPr>
            <w:tcW w:w="1809" w:type="dxa"/>
            <w:vAlign w:val="top"/>
          </w:tcPr>
          <w:p w14:paraId="4BB2FF1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 and Meta-Analysis</w:t>
            </w:r>
          </w:p>
        </w:tc>
        <w:tc>
          <w:tcPr>
            <w:tcW w:w="1728" w:type="dxa"/>
            <w:vAlign w:val="top"/>
          </w:tcPr>
          <w:p w14:paraId="4278B3F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Multiple</w:t>
            </w:r>
          </w:p>
        </w:tc>
        <w:tc>
          <w:tcPr>
            <w:tcW w:w="1504" w:type="dxa"/>
            <w:vAlign w:val="top"/>
          </w:tcPr>
          <w:p w14:paraId="28ED469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1299" w:type="dxa"/>
            <w:vAlign w:val="top"/>
          </w:tcPr>
          <w:p w14:paraId="1E4D387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53 studies, &gt;37,000 patients</w:t>
            </w:r>
          </w:p>
        </w:tc>
        <w:tc>
          <w:tcPr>
            <w:tcW w:w="3184" w:type="dxa"/>
            <w:vAlign w:val="top"/>
          </w:tcPr>
          <w:p w14:paraId="479926E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Shockable rhythm: OR 7.29, 95%CI 5.09-10.44; Cardiac motion on ultrasound: OR 33.91, 95%CI 1.87-613.42</w:t>
            </w:r>
          </w:p>
        </w:tc>
        <w:tc>
          <w:tcPr>
            <w:tcW w:w="2633" w:type="dxa"/>
            <w:vAlign w:val="top"/>
          </w:tcPr>
          <w:p w14:paraId="1C2384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Shockable rhythm: OR 7.29, 95%CI 5.09-10.44; Mechanism of injury not an independent prognostic factor</w:t>
            </w:r>
          </w:p>
        </w:tc>
      </w:tr>
      <w:tr w14:paraId="51CB4F3E">
        <w:tc>
          <w:tcPr>
            <w:tcW w:w="2041" w:type="dxa"/>
            <w:vAlign w:val="top"/>
          </w:tcPr>
          <w:p w14:paraId="709F329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Chiang W-C et al. (10.1186/s13049-015-0102-8)</w:t>
            </w:r>
          </w:p>
        </w:tc>
        <w:tc>
          <w:tcPr>
            <w:tcW w:w="1809" w:type="dxa"/>
            <w:vAlign w:val="top"/>
          </w:tcPr>
          <w:p w14:paraId="7E109BA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7B4C8ADE">
            <w:pPr>
              <w:pStyle w:val="12"/>
              <w:ind w:left="0" w:leftChars="0"/>
              <w:rPr>
                <w:rFonts w:hint="eastAsia" w:ascii="Times New Roman Regular" w:hAnsi="Times New Roman Regular" w:eastAsia="DengXian" w:cs="Times New Roman Regular"/>
                <w:sz w:val="24"/>
                <w:szCs w:val="24"/>
                <w:lang w:val="en-US" w:eastAsia="zh-CN"/>
              </w:rPr>
            </w:pPr>
            <w:r>
              <w:rPr>
                <w:rFonts w:hint="eastAsia" w:ascii="Times New Roman Regular" w:hAnsi="Times New Roman Regular" w:cs="Times New Roman Regular"/>
                <w:sz w:val="24"/>
                <w:szCs w:val="24"/>
                <w:lang w:val="en-US" w:eastAsia="zh-CN"/>
              </w:rPr>
              <w:t>Chinese Taiwan</w:t>
            </w:r>
          </w:p>
        </w:tc>
        <w:tc>
          <w:tcPr>
            <w:tcW w:w="1504" w:type="dxa"/>
            <w:vAlign w:val="top"/>
          </w:tcPr>
          <w:p w14:paraId="515D508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1299" w:type="dxa"/>
            <w:vAlign w:val="top"/>
          </w:tcPr>
          <w:p w14:paraId="5DCF880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514</w:t>
            </w:r>
          </w:p>
        </w:tc>
        <w:tc>
          <w:tcPr>
            <w:tcW w:w="3184" w:type="dxa"/>
            <w:vAlign w:val="top"/>
          </w:tcPr>
          <w:p w14:paraId="6A0B0E9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intravenous epinephrine: associated with increased prehospital ROSC (no specific OR/95%CI reported)</w:t>
            </w:r>
          </w:p>
        </w:tc>
        <w:tc>
          <w:tcPr>
            <w:tcW w:w="2633" w:type="dxa"/>
            <w:vAlign w:val="top"/>
          </w:tcPr>
          <w:p w14:paraId="5A7C303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intravenous epinephrine: no significant association with survival to discharge (no specific OR/95%CI reported)</w:t>
            </w:r>
          </w:p>
        </w:tc>
      </w:tr>
      <w:tr w14:paraId="293C6D02">
        <w:tc>
          <w:tcPr>
            <w:tcW w:w="2041" w:type="dxa"/>
            <w:vAlign w:val="top"/>
          </w:tcPr>
          <w:p w14:paraId="16BFF5A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Aoki M et al. (10.1038/s41598-019-46434-8)</w:t>
            </w:r>
          </w:p>
        </w:tc>
        <w:tc>
          <w:tcPr>
            <w:tcW w:w="1809" w:type="dxa"/>
            <w:vAlign w:val="top"/>
          </w:tcPr>
          <w:p w14:paraId="6ADFBC2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0BE4D99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4A28E44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1299" w:type="dxa"/>
            <w:vAlign w:val="top"/>
          </w:tcPr>
          <w:p w14:paraId="722003B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5204</w:t>
            </w:r>
          </w:p>
        </w:tc>
        <w:tc>
          <w:tcPr>
            <w:tcW w:w="3184" w:type="dxa"/>
            <w:vAlign w:val="top"/>
          </w:tcPr>
          <w:p w14:paraId="698625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epinephrine administration: associated with increased prehospital ROSC (no specific OR/95%CI reported)</w:t>
            </w:r>
          </w:p>
        </w:tc>
        <w:tc>
          <w:tcPr>
            <w:tcW w:w="2633" w:type="dxa"/>
            <w:vAlign w:val="top"/>
          </w:tcPr>
          <w:p w14:paraId="4361D9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Prehospital epinephrine administration: associated with lower survival to discharge (no specific OR/95%CI reported)</w:t>
            </w:r>
          </w:p>
        </w:tc>
      </w:tr>
      <w:tr w14:paraId="386D8540">
        <w:tc>
          <w:tcPr>
            <w:tcW w:w="2041" w:type="dxa"/>
            <w:vAlign w:val="top"/>
          </w:tcPr>
          <w:p w14:paraId="3CC4C88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Peters et al. (10.1097/MEJ.0000000000000337)</w:t>
            </w:r>
          </w:p>
        </w:tc>
        <w:tc>
          <w:tcPr>
            <w:tcW w:w="1809" w:type="dxa"/>
            <w:vAlign w:val="top"/>
          </w:tcPr>
          <w:p w14:paraId="1AAFCB3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18AE6C9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The Netherlands</w:t>
            </w:r>
          </w:p>
        </w:tc>
        <w:tc>
          <w:tcPr>
            <w:tcW w:w="1504" w:type="dxa"/>
            <w:vAlign w:val="top"/>
          </w:tcPr>
          <w:p w14:paraId="24B67CC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2014</w:t>
            </w:r>
          </w:p>
        </w:tc>
        <w:tc>
          <w:tcPr>
            <w:tcW w:w="1299" w:type="dxa"/>
            <w:vAlign w:val="top"/>
          </w:tcPr>
          <w:p w14:paraId="1DE4BC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144 TCA patients (267 thoracostomies)</w:t>
            </w:r>
          </w:p>
        </w:tc>
        <w:tc>
          <w:tcPr>
            <w:tcW w:w="3184" w:type="dxa"/>
            <w:vAlign w:val="top"/>
          </w:tcPr>
          <w:p w14:paraId="629835D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TP presence: 6/14 (42.9%) of TP patients achieved ROSC vs 16/130 (12.3%) of non-TP patients (OR not explicitly calculated, but trend observed)</w:t>
            </w:r>
          </w:p>
        </w:tc>
        <w:tc>
          <w:tcPr>
            <w:tcW w:w="2633" w:type="dxa"/>
            <w:vAlign w:val="top"/>
          </w:tcPr>
          <w:p w14:paraId="4A64A78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significant predictors identified; only 2 (1.4%) survived to discharge, neither with TP</w:t>
            </w:r>
          </w:p>
        </w:tc>
      </w:tr>
      <w:tr w14:paraId="479B81D5">
        <w:tc>
          <w:tcPr>
            <w:tcW w:w="2041" w:type="dxa"/>
            <w:vAlign w:val="top"/>
          </w:tcPr>
          <w:p w14:paraId="66A3222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Beysard et al. (10.1016/j.resplu.2025.100870)</w:t>
            </w:r>
          </w:p>
        </w:tc>
        <w:tc>
          <w:tcPr>
            <w:tcW w:w="1809" w:type="dxa"/>
            <w:vAlign w:val="top"/>
          </w:tcPr>
          <w:p w14:paraId="3758649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1728" w:type="dxa"/>
            <w:vAlign w:val="top"/>
          </w:tcPr>
          <w:p w14:paraId="5AAA490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Switzerland</w:t>
            </w:r>
          </w:p>
        </w:tc>
        <w:tc>
          <w:tcPr>
            <w:tcW w:w="1504" w:type="dxa"/>
            <w:vAlign w:val="top"/>
          </w:tcPr>
          <w:p w14:paraId="04C61F8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2024</w:t>
            </w:r>
          </w:p>
        </w:tc>
        <w:tc>
          <w:tcPr>
            <w:tcW w:w="1299" w:type="dxa"/>
            <w:vAlign w:val="top"/>
          </w:tcPr>
          <w:p w14:paraId="03EB9B1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473 TCAs (247 with resuscitation attempts)</w:t>
            </w:r>
          </w:p>
        </w:tc>
        <w:tc>
          <w:tcPr>
            <w:tcW w:w="3184" w:type="dxa"/>
            <w:vAlign w:val="top"/>
          </w:tcPr>
          <w:p w14:paraId="4E540C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Thoracostomy performance: 27/148 (18.2%) of thoracostomy patients achieved ROSC vs not reported for non-thoracostomy (OR not calculated)</w:t>
            </w:r>
          </w:p>
        </w:tc>
        <w:tc>
          <w:tcPr>
            <w:tcW w:w="2633" w:type="dxa"/>
            <w:vAlign w:val="top"/>
          </w:tcPr>
          <w:p w14:paraId="0720087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Thoracostomy performance: 9/148 (6.1%) survived at 48h vs 2/75 (2.7%) of non-thoracostomy (OR=2.33, 95%CI: 0.48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11.21, p=0.342)</w:t>
            </w:r>
          </w:p>
        </w:tc>
      </w:tr>
      <w:tr w14:paraId="39FB7F03">
        <w:tc>
          <w:tcPr>
            <w:tcW w:w="2041" w:type="dxa"/>
            <w:vAlign w:val="top"/>
          </w:tcPr>
          <w:p w14:paraId="1586B1A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Dickson et al. (10.1016/j.jemermed.2018.05.027)</w:t>
            </w:r>
          </w:p>
        </w:tc>
        <w:tc>
          <w:tcPr>
            <w:tcW w:w="1809" w:type="dxa"/>
            <w:vAlign w:val="top"/>
          </w:tcPr>
          <w:p w14:paraId="6851DD0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case series</w:t>
            </w:r>
          </w:p>
        </w:tc>
        <w:tc>
          <w:tcPr>
            <w:tcW w:w="1728" w:type="dxa"/>
            <w:vAlign w:val="top"/>
          </w:tcPr>
          <w:p w14:paraId="1031E61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504" w:type="dxa"/>
            <w:vAlign w:val="top"/>
          </w:tcPr>
          <w:p w14:paraId="749F66E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2017</w:t>
            </w:r>
          </w:p>
        </w:tc>
        <w:tc>
          <w:tcPr>
            <w:tcW w:w="1299" w:type="dxa"/>
            <w:vAlign w:val="top"/>
          </w:tcPr>
          <w:p w14:paraId="334C53F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57 TCA patients</w:t>
            </w:r>
          </w:p>
        </w:tc>
        <w:tc>
          <w:tcPr>
            <w:tcW w:w="3184" w:type="dxa"/>
            <w:vAlign w:val="top"/>
          </w:tcPr>
          <w:p w14:paraId="0C174C9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Air return: 11/18 (61.1%) of air return patients achieved ROSC vs 3/39 (7.7%) of non-air return (OR=16.54, 95%CI: 3.68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74.52, p&lt;0.001)</w:t>
            </w:r>
          </w:p>
        </w:tc>
        <w:tc>
          <w:tcPr>
            <w:tcW w:w="2633" w:type="dxa"/>
            <w:vAlign w:val="top"/>
          </w:tcPr>
          <w:p w14:paraId="2372CEC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Blunt trauma: 4/40 (10%) of blunt trauma survived to discharge vs 0/17 (0%) of penetrating (OR not calculated); initial rhythm PEA: 4/37 (10.8%) survived vs 0/15 (0%) asystole (OR not calculated)</w:t>
            </w:r>
          </w:p>
        </w:tc>
      </w:tr>
      <w:tr w14:paraId="1B98D629">
        <w:tc>
          <w:tcPr>
            <w:tcW w:w="2041" w:type="dxa"/>
            <w:vAlign w:val="top"/>
          </w:tcPr>
          <w:p w14:paraId="678C81D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Hannon et al. (10.1111/1742-6723.13549)</w:t>
            </w:r>
          </w:p>
        </w:tc>
        <w:tc>
          <w:tcPr>
            <w:tcW w:w="1809" w:type="dxa"/>
            <w:vAlign w:val="top"/>
          </w:tcPr>
          <w:p w14:paraId="346A098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713F72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Australia</w:t>
            </w:r>
          </w:p>
        </w:tc>
        <w:tc>
          <w:tcPr>
            <w:tcW w:w="1504" w:type="dxa"/>
            <w:vAlign w:val="top"/>
          </w:tcPr>
          <w:p w14:paraId="48BA0D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2018</w:t>
            </w:r>
          </w:p>
        </w:tc>
        <w:tc>
          <w:tcPr>
            <w:tcW w:w="1299" w:type="dxa"/>
            <w:vAlign w:val="top"/>
          </w:tcPr>
          <w:p w14:paraId="7A585BD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103 trauma patients (179 finger thoracostomies)</w:t>
            </w:r>
          </w:p>
        </w:tc>
        <w:tc>
          <w:tcPr>
            <w:tcW w:w="3184" w:type="dxa"/>
            <w:vAlign w:val="top"/>
          </w:tcPr>
          <w:p w14:paraId="19757E6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Cardiac arrest setting: 3/32 (9.4%) of cardiac arrest patients achieved ROSC vs 21/71 (29.6%) of non-cardiac arrest (OR=0.25, 95%CI: 0.07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0.88, p=0.03)</w:t>
            </w:r>
          </w:p>
        </w:tc>
        <w:tc>
          <w:tcPr>
            <w:tcW w:w="2633" w:type="dxa"/>
            <w:vAlign w:val="top"/>
          </w:tcPr>
          <w:p w14:paraId="5DA15B8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significant predictors identified; 3 (2.9%) survived to discharge</w:t>
            </w:r>
          </w:p>
        </w:tc>
      </w:tr>
      <w:tr w14:paraId="743290BB">
        <w:tc>
          <w:tcPr>
            <w:tcW w:w="2041" w:type="dxa"/>
            <w:vAlign w:val="top"/>
          </w:tcPr>
          <w:p w14:paraId="5A491C0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Quinn et al. (10.1111/1742-6723.13392)</w:t>
            </w:r>
          </w:p>
        </w:tc>
        <w:tc>
          <w:tcPr>
            <w:tcW w:w="1809" w:type="dxa"/>
            <w:vAlign w:val="top"/>
          </w:tcPr>
          <w:p w14:paraId="70FC5E1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review</w:t>
            </w:r>
          </w:p>
        </w:tc>
        <w:tc>
          <w:tcPr>
            <w:tcW w:w="1728" w:type="dxa"/>
            <w:vAlign w:val="top"/>
          </w:tcPr>
          <w:p w14:paraId="30BCA5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Australia</w:t>
            </w:r>
          </w:p>
        </w:tc>
        <w:tc>
          <w:tcPr>
            <w:tcW w:w="1504" w:type="dxa"/>
            <w:vAlign w:val="top"/>
          </w:tcPr>
          <w:p w14:paraId="07CB5AB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2019</w:t>
            </w:r>
          </w:p>
        </w:tc>
        <w:tc>
          <w:tcPr>
            <w:tcW w:w="1299" w:type="dxa"/>
            <w:vAlign w:val="top"/>
          </w:tcPr>
          <w:p w14:paraId="1AB6D5A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 paediatric TCA patients</w:t>
            </w:r>
          </w:p>
        </w:tc>
        <w:tc>
          <w:tcPr>
            <w:tcW w:w="3184" w:type="dxa"/>
            <w:vAlign w:val="top"/>
          </w:tcPr>
          <w:p w14:paraId="5495854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Thoracostomy: All 14 patients achieved effective decompression (ROSC trend observed but OR not calculated)</w:t>
            </w:r>
          </w:p>
        </w:tc>
        <w:tc>
          <w:tcPr>
            <w:tcW w:w="2633" w:type="dxa"/>
            <w:vAlign w:val="top"/>
          </w:tcPr>
          <w:p w14:paraId="031839C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significant predictors identified; 11 (78.6%) survived to discharge</w:t>
            </w:r>
          </w:p>
        </w:tc>
      </w:tr>
      <w:tr w14:paraId="34D88788">
        <w:tc>
          <w:tcPr>
            <w:tcW w:w="2041" w:type="dxa"/>
            <w:vAlign w:val="top"/>
          </w:tcPr>
          <w:p w14:paraId="460687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Almond et al. (10.1186/s13049-022-00997-4)</w:t>
            </w:r>
          </w:p>
        </w:tc>
        <w:tc>
          <w:tcPr>
            <w:tcW w:w="1809" w:type="dxa"/>
            <w:vAlign w:val="top"/>
          </w:tcPr>
          <w:p w14:paraId="021D3A4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case series</w:t>
            </w:r>
          </w:p>
        </w:tc>
        <w:tc>
          <w:tcPr>
            <w:tcW w:w="1728" w:type="dxa"/>
            <w:vAlign w:val="top"/>
          </w:tcPr>
          <w:p w14:paraId="147DC57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504" w:type="dxa"/>
            <w:vAlign w:val="top"/>
          </w:tcPr>
          <w:p w14:paraId="59DC5D9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2021</w:t>
            </w:r>
          </w:p>
        </w:tc>
        <w:tc>
          <w:tcPr>
            <w:tcW w:w="1299" w:type="dxa"/>
            <w:vAlign w:val="top"/>
          </w:tcPr>
          <w:p w14:paraId="65C352B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44 RT patients</w:t>
            </w:r>
          </w:p>
        </w:tc>
        <w:tc>
          <w:tcPr>
            <w:tcW w:w="3184" w:type="dxa"/>
            <w:vAlign w:val="top"/>
          </w:tcPr>
          <w:p w14:paraId="58AC4B6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Blunt trauma: 9/26 (34.6%) achieved ROSC vs 2/18 (11.1%) of penetrating (OR=4.00, 95%CI: 0.75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21.33, p=0.08)</w:t>
            </w:r>
          </w:p>
        </w:tc>
        <w:tc>
          <w:tcPr>
            <w:tcW w:w="2633" w:type="dxa"/>
            <w:vAlign w:val="top"/>
          </w:tcPr>
          <w:p w14:paraId="3EC2C73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survivors to discharge</w:t>
            </w:r>
          </w:p>
        </w:tc>
      </w:tr>
      <w:tr w14:paraId="04CF9DA1">
        <w:tc>
          <w:tcPr>
            <w:tcW w:w="2041" w:type="dxa"/>
            <w:vAlign w:val="top"/>
          </w:tcPr>
          <w:p w14:paraId="7141CD7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Nevins et al. (10.1007/s00068-018-0982-z)</w:t>
            </w:r>
          </w:p>
        </w:tc>
        <w:tc>
          <w:tcPr>
            <w:tcW w:w="1809" w:type="dxa"/>
            <w:vAlign w:val="top"/>
          </w:tcPr>
          <w:p w14:paraId="080406B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w:t>
            </w:r>
          </w:p>
        </w:tc>
        <w:tc>
          <w:tcPr>
            <w:tcW w:w="1728" w:type="dxa"/>
            <w:vAlign w:val="top"/>
          </w:tcPr>
          <w:p w14:paraId="05EC327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Global</w:t>
            </w:r>
          </w:p>
        </w:tc>
        <w:tc>
          <w:tcPr>
            <w:tcW w:w="1504" w:type="dxa"/>
            <w:vAlign w:val="top"/>
          </w:tcPr>
          <w:p w14:paraId="628430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2016</w:t>
            </w:r>
          </w:p>
        </w:tc>
        <w:tc>
          <w:tcPr>
            <w:tcW w:w="1299" w:type="dxa"/>
            <w:vAlign w:val="top"/>
          </w:tcPr>
          <w:p w14:paraId="5013047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3251 EDT patients</w:t>
            </w:r>
          </w:p>
        </w:tc>
        <w:tc>
          <w:tcPr>
            <w:tcW w:w="3184" w:type="dxa"/>
            <w:vAlign w:val="top"/>
          </w:tcPr>
          <w:p w14:paraId="1C354F2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Penetrating vs blunt: OR=2.10, 95%CI: 1.30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3.39, p=0.0028; SOL in field vs no SOL: OR=19.39, 95%CI: 2.54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147.76, p&lt;0.0001</w:t>
            </w:r>
          </w:p>
        </w:tc>
        <w:tc>
          <w:tcPr>
            <w:tcW w:w="2633" w:type="dxa"/>
            <w:vAlign w:val="top"/>
          </w:tcPr>
          <w:p w14:paraId="774B850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Penetrating vs blunt: OR=2.10, 95%CI: 1.30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3.39, p=0.0028; stab vs gunshot: OR=5.45, 95%CI: 3.56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8.34, p&lt;0.0001; SOL in field vs no SOL: OR=19.39, 95%CI: 2.54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147.76, p&lt;0.0001</w:t>
            </w:r>
          </w:p>
        </w:tc>
      </w:tr>
      <w:tr w14:paraId="10FD6D6B">
        <w:tc>
          <w:tcPr>
            <w:tcW w:w="2041" w:type="dxa"/>
            <w:vAlign w:val="top"/>
          </w:tcPr>
          <w:p w14:paraId="3BBDFEB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Atkins et al. (10.1016/j.injury.2023.111033)</w:t>
            </w:r>
          </w:p>
        </w:tc>
        <w:tc>
          <w:tcPr>
            <w:tcW w:w="1809" w:type="dxa"/>
            <w:vAlign w:val="top"/>
          </w:tcPr>
          <w:p w14:paraId="40B7573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6F1717E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504" w:type="dxa"/>
            <w:vAlign w:val="top"/>
          </w:tcPr>
          <w:p w14:paraId="4F5EB0A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2021</w:t>
            </w:r>
          </w:p>
        </w:tc>
        <w:tc>
          <w:tcPr>
            <w:tcW w:w="1299" w:type="dxa"/>
            <w:vAlign w:val="top"/>
          </w:tcPr>
          <w:p w14:paraId="2D4C223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13115 penetrating TCA patients</w:t>
            </w:r>
          </w:p>
        </w:tc>
        <w:tc>
          <w:tcPr>
            <w:tcW w:w="3184" w:type="dxa"/>
            <w:vAlign w:val="top"/>
          </w:tcPr>
          <w:p w14:paraId="40F239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Thoracostomy: OR=0.82, 95%CI: 0.56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1.21, p=0.32 (no significant association with mortality, ROSC not separately reported)</w:t>
            </w:r>
          </w:p>
        </w:tc>
        <w:tc>
          <w:tcPr>
            <w:tcW w:w="2633" w:type="dxa"/>
            <w:vAlign w:val="top"/>
          </w:tcPr>
          <w:p w14:paraId="690911C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Thoracostomy: OR=0.82, 95%CI: 0.56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1.21, p=0.32 (no significant association); university-teaching hospital vs non-teaching: OR=0.44, 95%CI: 0.06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3.05, p=0.41 (no significant difference)</w:t>
            </w:r>
          </w:p>
        </w:tc>
      </w:tr>
      <w:tr w14:paraId="288F5AE5">
        <w:tc>
          <w:tcPr>
            <w:tcW w:w="2041" w:type="dxa"/>
            <w:vAlign w:val="top"/>
          </w:tcPr>
          <w:p w14:paraId="7C2A8CD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Harfouche et al. (10.1136/tsaco-2024-001730)</w:t>
            </w:r>
          </w:p>
        </w:tc>
        <w:tc>
          <w:tcPr>
            <w:tcW w:w="1809" w:type="dxa"/>
            <w:vAlign w:val="top"/>
          </w:tcPr>
          <w:p w14:paraId="6C7C9E6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review/meta-analysis</w:t>
            </w:r>
          </w:p>
        </w:tc>
        <w:tc>
          <w:tcPr>
            <w:tcW w:w="1728" w:type="dxa"/>
            <w:vAlign w:val="top"/>
          </w:tcPr>
          <w:p w14:paraId="4A3872A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Global</w:t>
            </w:r>
          </w:p>
        </w:tc>
        <w:tc>
          <w:tcPr>
            <w:tcW w:w="1504" w:type="dxa"/>
            <w:vAlign w:val="top"/>
          </w:tcPr>
          <w:p w14:paraId="621FF9A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1946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2024</w:t>
            </w:r>
          </w:p>
        </w:tc>
        <w:tc>
          <w:tcPr>
            <w:tcW w:w="1299" w:type="dxa"/>
            <w:vAlign w:val="top"/>
          </w:tcPr>
          <w:p w14:paraId="34CB065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31 studies (varies by analysis)</w:t>
            </w:r>
          </w:p>
        </w:tc>
        <w:tc>
          <w:tcPr>
            <w:tcW w:w="3184" w:type="dxa"/>
            <w:vAlign w:val="top"/>
          </w:tcPr>
          <w:p w14:paraId="4D5EB35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REBOA vs RT in TCA: OR=0.32, 95%CI: 0.15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0.69, p=0.004 (mortality OR, ROSC trend inferred)</w:t>
            </w:r>
          </w:p>
        </w:tc>
        <w:tc>
          <w:tcPr>
            <w:tcW w:w="2633" w:type="dxa"/>
            <w:vAlign w:val="top"/>
          </w:tcPr>
          <w:p w14:paraId="77D0B5F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REBOA vs RT in TCA: OR=0.32, 95%CI: 0.15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0.69, p=0.004; REBOA in PAS: MD=-1.06L blood loss, 95%CI: -1.57 to -0.56, p&lt;0.0001</w:t>
            </w:r>
          </w:p>
        </w:tc>
      </w:tr>
      <w:tr w14:paraId="44FD9781">
        <w:tc>
          <w:tcPr>
            <w:tcW w:w="2041" w:type="dxa"/>
            <w:vAlign w:val="top"/>
          </w:tcPr>
          <w:p w14:paraId="1A90764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Yamamoto et al. (10.1002/emp2.12177)</w:t>
            </w:r>
          </w:p>
        </w:tc>
        <w:tc>
          <w:tcPr>
            <w:tcW w:w="1809" w:type="dxa"/>
            <w:vAlign w:val="top"/>
          </w:tcPr>
          <w:p w14:paraId="402D462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4CBF86C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066272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2019</w:t>
            </w:r>
          </w:p>
        </w:tc>
        <w:tc>
          <w:tcPr>
            <w:tcW w:w="1299" w:type="dxa"/>
            <w:vAlign w:val="top"/>
          </w:tcPr>
          <w:p w14:paraId="05C5CFC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1483 TCA patients</w:t>
            </w:r>
          </w:p>
        </w:tc>
        <w:tc>
          <w:tcPr>
            <w:tcW w:w="3184" w:type="dxa"/>
            <w:vAlign w:val="top"/>
          </w:tcPr>
          <w:p w14:paraId="3C0AFC5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REBOA vs RT: OR=4.78, 95%CI: 1.61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14.19, p=0.01 (survival OR, ROSC trend inferred)</w:t>
            </w:r>
          </w:p>
        </w:tc>
        <w:tc>
          <w:tcPr>
            <w:tcW w:w="2633" w:type="dxa"/>
            <w:vAlign w:val="top"/>
          </w:tcPr>
          <w:p w14:paraId="401FB6F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REBOA vs RT: OR=3.73, 95%CI: 1.90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7.32, p&lt;0.001; laparotomy: 12.0% vs 0.9% survival (OR not calculated)</w:t>
            </w:r>
          </w:p>
        </w:tc>
      </w:tr>
      <w:tr w14:paraId="1128838D">
        <w:tc>
          <w:tcPr>
            <w:tcW w:w="2041" w:type="dxa"/>
            <w:vAlign w:val="top"/>
          </w:tcPr>
          <w:p w14:paraId="66882C2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Nakashima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"https://doi.org/10.1016/j.jss.2023.11.063"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10.1016/j.jss.2023.11.063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5EDFC1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1728" w:type="dxa"/>
            <w:vAlign w:val="top"/>
          </w:tcPr>
          <w:p w14:paraId="2B4F327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United States</w:t>
            </w:r>
          </w:p>
        </w:tc>
        <w:tc>
          <w:tcPr>
            <w:tcW w:w="1504" w:type="dxa"/>
            <w:vAlign w:val="top"/>
          </w:tcPr>
          <w:p w14:paraId="546F860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August 01, 2017-July 31, 2022</w:t>
            </w:r>
          </w:p>
        </w:tc>
        <w:tc>
          <w:tcPr>
            <w:tcW w:w="1299" w:type="dxa"/>
            <w:vAlign w:val="top"/>
          </w:tcPr>
          <w:p w14:paraId="64C6A60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445</w:t>
            </w:r>
          </w:p>
        </w:tc>
        <w:tc>
          <w:tcPr>
            <w:tcW w:w="3184" w:type="dxa"/>
            <w:vAlign w:val="top"/>
          </w:tcPr>
          <w:p w14:paraId="7BEDAED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433ABCD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 significant difference in survival odds between COVID and Pre-COVID eras (OR 1.04, 95% CI: 0.25, 4.31, adjusted P=0.961)</w:t>
            </w:r>
          </w:p>
        </w:tc>
      </w:tr>
      <w:tr w14:paraId="294E739E">
        <w:tc>
          <w:tcPr>
            <w:tcW w:w="2041" w:type="dxa"/>
            <w:vAlign w:val="top"/>
          </w:tcPr>
          <w:p w14:paraId="6DFA3E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Selesner et al. (10.1097/TA.0000000000003879)</w:t>
            </w:r>
          </w:p>
        </w:tc>
        <w:tc>
          <w:tcPr>
            <w:tcW w:w="1809" w:type="dxa"/>
            <w:vAlign w:val="top"/>
          </w:tcPr>
          <w:p w14:paraId="7853408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Systematic Review</w:t>
            </w:r>
          </w:p>
        </w:tc>
        <w:tc>
          <w:tcPr>
            <w:tcW w:w="1728" w:type="dxa"/>
            <w:vAlign w:val="top"/>
          </w:tcPr>
          <w:p w14:paraId="34870CB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Multinational</w:t>
            </w:r>
          </w:p>
        </w:tc>
        <w:tc>
          <w:tcPr>
            <w:tcW w:w="1504" w:type="dxa"/>
            <w:vAlign w:val="top"/>
          </w:tcPr>
          <w:p w14:paraId="5A3E67C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w:t>
            </w:r>
          </w:p>
        </w:tc>
        <w:tc>
          <w:tcPr>
            <w:tcW w:w="1299" w:type="dxa"/>
            <w:vAlign w:val="top"/>
          </w:tcPr>
          <w:p w14:paraId="4F1C4B5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319</w:t>
            </w:r>
          </w:p>
        </w:tc>
        <w:tc>
          <w:tcPr>
            <w:tcW w:w="3184" w:type="dxa"/>
            <w:vAlign w:val="top"/>
          </w:tcPr>
          <w:p w14:paraId="7FD8A9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5D9AC8DF">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For PICO 1 (penetrating thoracic injury with SOL): HS RR 11.1 (95% CI: 6.18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19.8, p&lt;0.0001); NIS RR 10.0 (95% CI: 3.93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25.4, p&lt;0.0001)</w:t>
            </w:r>
          </w:p>
          <w:p w14:paraId="387893E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For PICO 2 (penetrating thoracic injury without SOL): HS RR 26.0 (95% CI: 4.83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139.6, p=0.0001); NIS RR 21.6 (95% CI: 6.51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72.0, p&lt;0.0001)</w:t>
            </w:r>
          </w:p>
          <w:p w14:paraId="04C513D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For PICO 3 (penetrating abdominopelvic injury with SOL): HS RR 5.88 (95% CI: 0.86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40.1, p=0.07); NIS RR 6.67 (95% CI: 0.97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45.7, p=0.05)</w:t>
            </w:r>
          </w:p>
          <w:p w14:paraId="6C2A8FB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For PICO 4 (penetrating abdominopelvic injury without SOL): HS RR 52.6 (95% CI: 3.42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810.6, p=0.005); NIS RR 58.5 (95% CI: 7.79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439.3, p=0.0001)</w:t>
            </w:r>
          </w:p>
          <w:p w14:paraId="2846D8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For PICO 5 (blunt injury with SOL): HS RR 11.1 (95% CI: 3.05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40.5, p=0.0003); NIS RR 7.41 (95% CI: 0.79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69.8, p=0.08)</w:t>
            </w:r>
          </w:p>
        </w:tc>
      </w:tr>
      <w:tr w14:paraId="699E00C9">
        <w:tc>
          <w:tcPr>
            <w:tcW w:w="2041" w:type="dxa"/>
            <w:vAlign w:val="top"/>
          </w:tcPr>
          <w:p w14:paraId="2D9F871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Agostinucci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"https://doi.org/10.1111/ijn.13244"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10.1111/ijn.13244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2D3DCAE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1728" w:type="dxa"/>
            <w:vAlign w:val="top"/>
          </w:tcPr>
          <w:p w14:paraId="3B1C5D5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1504" w:type="dxa"/>
            <w:vAlign w:val="top"/>
          </w:tcPr>
          <w:p w14:paraId="468F7AD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January 2013-March 2021</w:t>
            </w:r>
          </w:p>
        </w:tc>
        <w:tc>
          <w:tcPr>
            <w:tcW w:w="1299" w:type="dxa"/>
            <w:vAlign w:val="top"/>
          </w:tcPr>
          <w:p w14:paraId="6BFA57F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3964</w:t>
            </w:r>
          </w:p>
        </w:tc>
        <w:tc>
          <w:tcPr>
            <w:tcW w:w="3184" w:type="dxa"/>
            <w:vAlign w:val="top"/>
          </w:tcPr>
          <w:p w14:paraId="34D7B2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7271894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IOVA group had lower 30-day survival (1% vs. 7%, p&lt;0.0001)</w:t>
            </w:r>
          </w:p>
        </w:tc>
      </w:tr>
      <w:tr w14:paraId="7A3FEB36">
        <w:tc>
          <w:tcPr>
            <w:tcW w:w="2041" w:type="dxa"/>
            <w:vAlign w:val="top"/>
          </w:tcPr>
          <w:p w14:paraId="5EE75A8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Smida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"https://doi.org/10.1007/s00068-023-02279-9"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10.1007/s00068-023-02279-9</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586C258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1728" w:type="dxa"/>
            <w:vAlign w:val="top"/>
          </w:tcPr>
          <w:p w14:paraId="60EF03F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United States</w:t>
            </w:r>
          </w:p>
        </w:tc>
        <w:tc>
          <w:tcPr>
            <w:tcW w:w="1504" w:type="dxa"/>
            <w:vAlign w:val="top"/>
          </w:tcPr>
          <w:p w14:paraId="3F19EC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2018-2021</w:t>
            </w:r>
          </w:p>
        </w:tc>
        <w:tc>
          <w:tcPr>
            <w:tcW w:w="1299" w:type="dxa"/>
            <w:vAlign w:val="top"/>
          </w:tcPr>
          <w:p w14:paraId="01FDCB8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4942</w:t>
            </w:r>
          </w:p>
        </w:tc>
        <w:tc>
          <w:tcPr>
            <w:tcW w:w="3184" w:type="dxa"/>
            <w:vAlign w:val="top"/>
          </w:tcPr>
          <w:p w14:paraId="79829B9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On-scene vascular access (aOR: 2.14, 95% CI: 1.31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3.49)- Each 1-min increase in time to vascular access (aOR: 0.97, 95% CI: 0.94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0.99)- Each 1-min increase in time to epinephrine (aOR: 0.95, 95% CI: 0.92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0.98)</w:t>
            </w:r>
          </w:p>
        </w:tc>
        <w:tc>
          <w:tcPr>
            <w:tcW w:w="2633" w:type="dxa"/>
            <w:vAlign w:val="top"/>
          </w:tcPr>
          <w:p w14:paraId="6FE26FB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ROSC at ED was associated with increased survival to discharge (aOR: 9.12, 95% CI: 1.98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42.03)</w:t>
            </w:r>
          </w:p>
        </w:tc>
      </w:tr>
      <w:tr w14:paraId="56F0852F">
        <w:tc>
          <w:tcPr>
            <w:tcW w:w="2041" w:type="dxa"/>
            <w:vAlign w:val="top"/>
          </w:tcPr>
          <w:p w14:paraId="24543A4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Kim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"https://doi.org/10.22514/sv.2023.128"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10.22514/sv.2023.128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692A69D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1728" w:type="dxa"/>
            <w:vAlign w:val="top"/>
          </w:tcPr>
          <w:p w14:paraId="6963CFD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Republic of Korea</w:t>
            </w:r>
          </w:p>
        </w:tc>
        <w:tc>
          <w:tcPr>
            <w:tcW w:w="1504" w:type="dxa"/>
            <w:vAlign w:val="top"/>
          </w:tcPr>
          <w:p w14:paraId="07942F8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2014-2019</w:t>
            </w:r>
          </w:p>
        </w:tc>
        <w:tc>
          <w:tcPr>
            <w:tcW w:w="1299" w:type="dxa"/>
            <w:vAlign w:val="top"/>
          </w:tcPr>
          <w:p w14:paraId="6C8705B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20247</w:t>
            </w:r>
          </w:p>
        </w:tc>
        <w:tc>
          <w:tcPr>
            <w:tcW w:w="3184" w:type="dxa"/>
            <w:vAlign w:val="top"/>
          </w:tcPr>
          <w:p w14:paraId="38047F1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5255BAA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hydration for non-shockable rhythm (aOR: 1.27, 95% CI: 1.13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1.42)</w:t>
            </w:r>
          </w:p>
          <w:p w14:paraId="631EB00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Shockable rhythm vs. non-shockable rhythm (aOR: 2.06, 95% CI: 1.61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2.63)</w:t>
            </w:r>
          </w:p>
          <w:p w14:paraId="400C807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Prehospital hydration vs. non-hydration (aOR: 1.32, 95% CI: 1.18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1.48)</w:t>
            </w:r>
          </w:p>
        </w:tc>
      </w:tr>
      <w:tr w14:paraId="7041AE5A">
        <w:tc>
          <w:tcPr>
            <w:tcW w:w="2041" w:type="dxa"/>
            <w:vAlign w:val="top"/>
          </w:tcPr>
          <w:p w14:paraId="1A2B44C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Benhamed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"https://doi.org/10.1097/TA.0000000000003474"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10.1097/TA.0000000000003474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2BCE7FB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1728" w:type="dxa"/>
            <w:vAlign w:val="top"/>
          </w:tcPr>
          <w:p w14:paraId="10AADB7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France</w:t>
            </w:r>
          </w:p>
        </w:tc>
        <w:tc>
          <w:tcPr>
            <w:tcW w:w="1504" w:type="dxa"/>
            <w:vAlign w:val="top"/>
          </w:tcPr>
          <w:p w14:paraId="62916E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July 2011-November 2020</w:t>
            </w:r>
          </w:p>
        </w:tc>
        <w:tc>
          <w:tcPr>
            <w:tcW w:w="1299" w:type="dxa"/>
            <w:vAlign w:val="top"/>
          </w:tcPr>
          <w:p w14:paraId="512597B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4922</w:t>
            </w:r>
          </w:p>
        </w:tc>
        <w:tc>
          <w:tcPr>
            <w:tcW w:w="3184" w:type="dxa"/>
            <w:vAlign w:val="top"/>
          </w:tcPr>
          <w:p w14:paraId="28310A6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PEA (OR: 1.81, 95% CI: 1.40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2.35, p&lt;0.001)- Shockable rhythm (OR: 1.83, 95% CI: 1.12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2.98, p=0.016)- Spontaneous activity (OR: 3.66, 95% CI: 2.70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4.96, p&lt;0.001)- Gasping (OR: 1.40, 95% CI: 1.02</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1.94, p=0.042)- IV fluid resuscitation (OR: 3.19, 95% CI: 2.69</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3.78, p&lt;0.001)- Packed red cells transfusion (OR: 2.54, 95% CI: 1.84</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3.51, p&lt;0.001)- External hemorrhage control (OR: 1.74, 95% CI: 1.31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2.30, p&lt;0.001)</w:t>
            </w:r>
          </w:p>
        </w:tc>
        <w:tc>
          <w:tcPr>
            <w:tcW w:w="2633" w:type="dxa"/>
            <w:vAlign w:val="top"/>
          </w:tcPr>
          <w:p w14:paraId="65F5473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Shockable rhythm (OR: 4.45, 95% CI: 1.47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13.48, p=0.008)</w:t>
            </w:r>
          </w:p>
          <w:p w14:paraId="02A6425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Spontaneous activity (OR: 4.75, 95% CI: 2.43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9.30, p&lt;0.001)</w:t>
            </w:r>
          </w:p>
          <w:p w14:paraId="1CBE5C7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Gasping (OR: 4.27, 95% CI: 1.96</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9.31, p&lt;0.001)</w:t>
            </w:r>
          </w:p>
          <w:p w14:paraId="7599EB2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 40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64 years vs. 18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39 years (OR: 0.52, 95% CI: 0.28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0.98, p=0.042)</w:t>
            </w:r>
          </w:p>
          <w:p w14:paraId="53BF61F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 65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79 years vs. 18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39 years (OR: 0.15, 95% CI: 0.05</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0.42, p&lt;0.001)</w:t>
            </w:r>
          </w:p>
          <w:p w14:paraId="38DC10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Age ≥80 years vs. 18</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39 years (OR: 0.12, 95% CI: 0.03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0.49, p=0.003)</w:t>
            </w:r>
          </w:p>
        </w:tc>
      </w:tr>
      <w:tr w14:paraId="5A78AFFA">
        <w:tc>
          <w:tcPr>
            <w:tcW w:w="2041" w:type="dxa"/>
            <w:vAlign w:val="top"/>
          </w:tcPr>
          <w:p w14:paraId="1FC6FB3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Witt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"https://doi.org/10.1080/10903127.2025.2461283"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10.1080/10903127.2025.2461283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0FB759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466D929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United States</w:t>
            </w:r>
          </w:p>
        </w:tc>
        <w:tc>
          <w:tcPr>
            <w:tcW w:w="1504" w:type="dxa"/>
            <w:vAlign w:val="top"/>
          </w:tcPr>
          <w:p w14:paraId="3083F51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2011-2017</w:t>
            </w:r>
          </w:p>
        </w:tc>
        <w:tc>
          <w:tcPr>
            <w:tcW w:w="1299" w:type="dxa"/>
            <w:vAlign w:val="top"/>
          </w:tcPr>
          <w:p w14:paraId="783AE59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1631</w:t>
            </w:r>
          </w:p>
        </w:tc>
        <w:tc>
          <w:tcPr>
            <w:tcW w:w="3184" w:type="dxa"/>
            <w:vAlign w:val="top"/>
          </w:tcPr>
          <w:p w14:paraId="22BB09F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7A9462B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Overall: prehospital epinephrine (aRR 0.33, 95% CI 0.23</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0.46)</w:t>
            </w:r>
          </w:p>
          <w:p w14:paraId="1E45834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Blunt mechanism: prehospital epinephrine (aRR 0.20, 95% CI 0.11</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0.37)</w:t>
            </w:r>
          </w:p>
          <w:p w14:paraId="2B5BEFA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Penetrating mechanism: prehospital epinephrine (aRR 0.62, 95% CI 0.30</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1.28)</w:t>
            </w:r>
          </w:p>
          <w:p w14:paraId="203F989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 &lt;18: prehospital epinephrine (aRR 0.33, 95% CI 0.17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0.67)</w:t>
            </w:r>
          </w:p>
          <w:p w14:paraId="4BE07F7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Initial shockable rhythm: prehospital epinephrine (aRR 0.24, 95% CI 0.07</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0.86)</w:t>
            </w:r>
          </w:p>
        </w:tc>
      </w:tr>
      <w:tr w14:paraId="36803120">
        <w:tc>
          <w:tcPr>
            <w:tcW w:w="2041" w:type="dxa"/>
            <w:vAlign w:val="top"/>
          </w:tcPr>
          <w:p w14:paraId="22A47EE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Aoki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"https://doi.org/10.1038/s41598-019-46460-w"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10.1038/s41598-019-46460-w</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1601407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Prospective Population-based Observational Study</w:t>
            </w:r>
          </w:p>
        </w:tc>
        <w:tc>
          <w:tcPr>
            <w:tcW w:w="1728" w:type="dxa"/>
            <w:vAlign w:val="top"/>
          </w:tcPr>
          <w:p w14:paraId="19469F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123345C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January 1, 2012-December 31, 2015</w:t>
            </w:r>
          </w:p>
        </w:tc>
        <w:tc>
          <w:tcPr>
            <w:tcW w:w="1299" w:type="dxa"/>
            <w:vAlign w:val="top"/>
          </w:tcPr>
          <w:p w14:paraId="74DE34E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5204</w:t>
            </w:r>
          </w:p>
        </w:tc>
        <w:tc>
          <w:tcPr>
            <w:tcW w:w="3184" w:type="dxa"/>
            <w:vAlign w:val="top"/>
          </w:tcPr>
          <w:p w14:paraId="10B7063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Prehospital epinephrine administration (OR 3.784, 95%CI 2.102-6.812)- Propensity score-matched prehospital epinephrine administration (OR 6.870, 95%CI 3.326-14.192)</w:t>
            </w:r>
          </w:p>
        </w:tc>
        <w:tc>
          <w:tcPr>
            <w:tcW w:w="2633" w:type="dxa"/>
            <w:vAlign w:val="top"/>
          </w:tcPr>
          <w:p w14:paraId="4F3E302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epinephrine administration (OR 1.495, 95%CI 0.758-2.946)</w:t>
            </w:r>
          </w:p>
          <w:p w14:paraId="2FFEC0B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Propensity score-matched prehospital epinephrine administration (OR 2.363, 95%CI 0.606-9.223)</w:t>
            </w:r>
          </w:p>
        </w:tc>
      </w:tr>
      <w:tr w14:paraId="4CD8FB38">
        <w:tc>
          <w:tcPr>
            <w:tcW w:w="2041" w:type="dxa"/>
            <w:vAlign w:val="top"/>
          </w:tcPr>
          <w:p w14:paraId="592767D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Ahmed (10.14423/SMJ.0000000000000434)</w:t>
            </w:r>
          </w:p>
        </w:tc>
        <w:tc>
          <w:tcPr>
            <w:tcW w:w="1809" w:type="dxa"/>
            <w:vAlign w:val="top"/>
          </w:tcPr>
          <w:p w14:paraId="1BFC9B9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4B8E5BF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United States</w:t>
            </w:r>
          </w:p>
        </w:tc>
        <w:tc>
          <w:tcPr>
            <w:tcW w:w="1504" w:type="dxa"/>
            <w:vAlign w:val="top"/>
          </w:tcPr>
          <w:p w14:paraId="498DB36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2007-2010</w:t>
            </w:r>
          </w:p>
        </w:tc>
        <w:tc>
          <w:tcPr>
            <w:tcW w:w="1299" w:type="dxa"/>
            <w:vAlign w:val="top"/>
          </w:tcPr>
          <w:p w14:paraId="662D681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1269</w:t>
            </w:r>
          </w:p>
        </w:tc>
        <w:tc>
          <w:tcPr>
            <w:tcW w:w="3184" w:type="dxa"/>
            <w:vAlign w:val="top"/>
          </w:tcPr>
          <w:p w14:paraId="2BCC11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36DED1A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Helicopter transportation (Absolute Risk Reduction 0.066, 95%CI 0.008-0.125; Relative Risk 1.65, 95%CI 1.099-2.495)</w:t>
            </w:r>
          </w:p>
        </w:tc>
      </w:tr>
      <w:tr w14:paraId="60C8AFB9">
        <w:tc>
          <w:tcPr>
            <w:tcW w:w="2041" w:type="dxa"/>
            <w:vAlign w:val="top"/>
          </w:tcPr>
          <w:p w14:paraId="0DE6988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Fitzgerald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"https://doi.org/10.1111/1742-6723.13530"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10.1111/1742-6723.13530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43D702C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3A46B3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Australia</w:t>
            </w:r>
          </w:p>
        </w:tc>
        <w:tc>
          <w:tcPr>
            <w:tcW w:w="1504" w:type="dxa"/>
            <w:vAlign w:val="top"/>
          </w:tcPr>
          <w:p w14:paraId="4AC9572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July 1, 2009-June 30, 2017</w:t>
            </w:r>
          </w:p>
        </w:tc>
        <w:tc>
          <w:tcPr>
            <w:tcW w:w="1299" w:type="dxa"/>
            <w:vAlign w:val="top"/>
          </w:tcPr>
          <w:p w14:paraId="48A7BA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32</w:t>
            </w:r>
          </w:p>
        </w:tc>
        <w:tc>
          <w:tcPr>
            <w:tcW w:w="3184" w:type="dxa"/>
            <w:vAlign w:val="top"/>
          </w:tcPr>
          <w:p w14:paraId="32C06ED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RT performed &gt;30 min after arrival (OR 11.11, 95%CI 1.48-83.59)- Traumatic cardiac arrest during RT (OR 18.33, 95%CI 2.39-140.39)</w:t>
            </w:r>
          </w:p>
        </w:tc>
        <w:tc>
          <w:tcPr>
            <w:tcW w:w="2633" w:type="dxa"/>
            <w:vAlign w:val="top"/>
          </w:tcPr>
          <w:p w14:paraId="7E3AFDB8">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RT performed ≤30 min after arrival (OR 0.09, 95%CI 0.01-0.67)</w:t>
            </w:r>
          </w:p>
          <w:p w14:paraId="231A9E0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Traumatic cardiac arrest during RT (OR 18.33, 95%CI 2.4-140.4)</w:t>
            </w:r>
          </w:p>
        </w:tc>
      </w:tr>
      <w:tr w14:paraId="4FD68D8A">
        <w:tc>
          <w:tcPr>
            <w:tcW w:w="2041" w:type="dxa"/>
            <w:vAlign w:val="top"/>
          </w:tcPr>
          <w:p w14:paraId="44AC011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Tsutsumi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"https://doi.org/10.1016/j.injury.2017.09.005"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10.1016/j.injury.2017.09.005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249875A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4CD1200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03ED499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2004-2015</w:t>
            </w:r>
          </w:p>
        </w:tc>
        <w:tc>
          <w:tcPr>
            <w:tcW w:w="1299" w:type="dxa"/>
            <w:vAlign w:val="top"/>
          </w:tcPr>
          <w:p w14:paraId="2321C8A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4313</w:t>
            </w:r>
          </w:p>
        </w:tc>
        <w:tc>
          <w:tcPr>
            <w:tcW w:w="3184" w:type="dxa"/>
            <w:vAlign w:val="top"/>
          </w:tcPr>
          <w:p w14:paraId="6EF14E6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Spinal immobilization (OR 0.48, 95%CI 0.27-0.87)</w:t>
            </w:r>
          </w:p>
        </w:tc>
        <w:tc>
          <w:tcPr>
            <w:tcW w:w="2633" w:type="dxa"/>
            <w:vAlign w:val="top"/>
          </w:tcPr>
          <w:p w14:paraId="1C53B1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Spinal immobilization (OR 0.64, 95%CI 0.42-0.98)</w:t>
            </w:r>
          </w:p>
        </w:tc>
      </w:tr>
      <w:tr w14:paraId="1093D7D3">
        <w:tc>
          <w:tcPr>
            <w:tcW w:w="2041" w:type="dxa"/>
            <w:vAlign w:val="top"/>
          </w:tcPr>
          <w:p w14:paraId="11F6628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Obara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"https://doi.org/10.1016/j.resplu.2024.100701"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10.1016/j.resplu.2024.100701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0D0D949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58AC59C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2D0C48D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2019-2021</w:t>
            </w:r>
          </w:p>
        </w:tc>
        <w:tc>
          <w:tcPr>
            <w:tcW w:w="1299" w:type="dxa"/>
            <w:vAlign w:val="top"/>
          </w:tcPr>
          <w:p w14:paraId="1E2BA7F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1981</w:t>
            </w:r>
          </w:p>
        </w:tc>
        <w:tc>
          <w:tcPr>
            <w:tcW w:w="3184" w:type="dxa"/>
            <w:vAlign w:val="top"/>
          </w:tcPr>
          <w:p w14:paraId="2F91F63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17D5168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Presence of SOLs at hospital arrival (OR 1.96, 95%CI 1.20-2.72)</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 Presence of SOLs for favorable neurological outcome (GOS 4-5) (OR 2.42, 95%CI 1.14-3.70)</w:t>
            </w:r>
          </w:p>
        </w:tc>
      </w:tr>
      <w:tr w14:paraId="5CE5BFB9">
        <w:tc>
          <w:tcPr>
            <w:tcW w:w="2041" w:type="dxa"/>
            <w:vAlign w:val="top"/>
          </w:tcPr>
          <w:p w14:paraId="2B62C0F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Jakob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"https://doi.org/10.1186/s13049-023-01107-8"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10.1186/s13049-023-01107-8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6E00C41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25EE560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Switzerland</w:t>
            </w:r>
          </w:p>
        </w:tc>
        <w:tc>
          <w:tcPr>
            <w:tcW w:w="1504" w:type="dxa"/>
            <w:vAlign w:val="top"/>
          </w:tcPr>
          <w:p w14:paraId="4DD3E6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January 1, 2011-December 31, 2021</w:t>
            </w:r>
          </w:p>
        </w:tc>
        <w:tc>
          <w:tcPr>
            <w:tcW w:w="1299" w:type="dxa"/>
            <w:vAlign w:val="top"/>
          </w:tcPr>
          <w:p w14:paraId="679E4DB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5534</w:t>
            </w:r>
          </w:p>
        </w:tc>
        <w:tc>
          <w:tcPr>
            <w:tcW w:w="3184" w:type="dxa"/>
            <w:vAlign w:val="top"/>
          </w:tcPr>
          <w:p w14:paraId="22131CB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3EAC279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Motorcycle crash (OR 1.82, 95%CI 1.31-2.52, p&lt;0.001)</w:t>
            </w:r>
          </w:p>
          <w:p w14:paraId="7DD7EBA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Winter sports injury (OR 1.70, 95%CI 1.08-2.69, p=0.022)</w:t>
            </w:r>
          </w:p>
          <w:p w14:paraId="5399942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Thoracic trauma (OR 1.79, 95%CI 1.40-2.30, p&lt;0.001)</w:t>
            </w:r>
          </w:p>
          <w:p w14:paraId="0E38E02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On-scene time per 10min increase (OR 1.65, 95%CI 1.56-1.75, p&lt;0.001)</w:t>
            </w:r>
          </w:p>
          <w:p w14:paraId="5A6AC2C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Household injury (OR 0.46, 95%CI 0.31-0.67, p&lt;0.001)</w:t>
            </w:r>
          </w:p>
          <w:p w14:paraId="12248BC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Upper extremity trauma (OR 0.44, 95%CI 0.30-0.65, p&lt;0.001)</w:t>
            </w:r>
          </w:p>
          <w:p w14:paraId="7FE985E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Response time per 10min increase (OR 0.85, 95%CI 0.75-0.96, p=0.010)</w:t>
            </w:r>
          </w:p>
        </w:tc>
      </w:tr>
      <w:tr w14:paraId="0C5345EA">
        <w:tc>
          <w:tcPr>
            <w:tcW w:w="2041" w:type="dxa"/>
            <w:vAlign w:val="top"/>
          </w:tcPr>
          <w:p w14:paraId="33CFDA0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Naito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"https://doi.org/10.1186/s12873-021-00499-z"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10.1186/s12873-021-00499-z</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2DDB260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Observational Study</w:t>
            </w:r>
          </w:p>
        </w:tc>
        <w:tc>
          <w:tcPr>
            <w:tcW w:w="1728" w:type="dxa"/>
            <w:vAlign w:val="top"/>
          </w:tcPr>
          <w:p w14:paraId="735C5EA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Japan</w:t>
            </w:r>
          </w:p>
        </w:tc>
        <w:tc>
          <w:tcPr>
            <w:tcW w:w="1504" w:type="dxa"/>
            <w:vAlign w:val="top"/>
          </w:tcPr>
          <w:p w14:paraId="60F4775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January 2004-December 2017</w:t>
            </w:r>
          </w:p>
        </w:tc>
        <w:tc>
          <w:tcPr>
            <w:tcW w:w="1299" w:type="dxa"/>
            <w:vAlign w:val="top"/>
          </w:tcPr>
          <w:p w14:paraId="68E47BE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5336</w:t>
            </w:r>
          </w:p>
        </w:tc>
        <w:tc>
          <w:tcPr>
            <w:tcW w:w="3184" w:type="dxa"/>
            <w:vAlign w:val="top"/>
          </w:tcPr>
          <w:p w14:paraId="416A264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095382A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Transport time ≥15min vs. &lt;15min for sustained TCA (RR 0.47, 95%CI 0.23-0.97)</w:t>
            </w:r>
          </w:p>
        </w:tc>
      </w:tr>
      <w:tr w14:paraId="02240654">
        <w:tc>
          <w:tcPr>
            <w:tcW w:w="2041" w:type="dxa"/>
            <w:vAlign w:val="top"/>
          </w:tcPr>
          <w:p w14:paraId="276A111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Bradley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"https://doi.org/10.1097/TA.0000000000001227"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10.1097/TA.0000000000001227</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01A5C5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Prospective Observational Study</w:t>
            </w:r>
          </w:p>
        </w:tc>
        <w:tc>
          <w:tcPr>
            <w:tcW w:w="1728" w:type="dxa"/>
            <w:vAlign w:val="top"/>
          </w:tcPr>
          <w:p w14:paraId="208930F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United States</w:t>
            </w:r>
          </w:p>
        </w:tc>
        <w:tc>
          <w:tcPr>
            <w:tcW w:w="1504" w:type="dxa"/>
            <w:vAlign w:val="top"/>
          </w:tcPr>
          <w:p w14:paraId="25BA16D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April 2014-December 2014</w:t>
            </w:r>
          </w:p>
        </w:tc>
        <w:tc>
          <w:tcPr>
            <w:tcW w:w="1299" w:type="dxa"/>
            <w:vAlign w:val="top"/>
          </w:tcPr>
          <w:p w14:paraId="403E2C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33</w:t>
            </w:r>
          </w:p>
        </w:tc>
        <w:tc>
          <w:tcPr>
            <w:tcW w:w="3184" w:type="dxa"/>
            <w:vAlign w:val="top"/>
          </w:tcPr>
          <w:p w14:paraId="7CEF1A0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significant difference in ROSC between OCCM and CCC-only groups (23.5% vs. 38.9%, p=0.53)</w:t>
            </w:r>
          </w:p>
        </w:tc>
        <w:tc>
          <w:tcPr>
            <w:tcW w:w="2633" w:type="dxa"/>
            <w:vAlign w:val="top"/>
          </w:tcPr>
          <w:p w14:paraId="7AAAFC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significant difference in survival between OCCM and CCC-only groups (p&gt;0.05)</w:t>
            </w:r>
          </w:p>
        </w:tc>
      </w:tr>
      <w:tr w14:paraId="5197A0CC">
        <w:tc>
          <w:tcPr>
            <w:tcW w:w="2041" w:type="dxa"/>
            <w:vAlign w:val="top"/>
          </w:tcPr>
          <w:p w14:paraId="313D01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Balian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"https://doi.org/10.1016/j.resuscitation.2020.09.018"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10.1016/j.resuscitation.2020.09.018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358DBF6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Case Series</w:t>
            </w:r>
          </w:p>
        </w:tc>
        <w:tc>
          <w:tcPr>
            <w:tcW w:w="1728" w:type="dxa"/>
            <w:vAlign w:val="top"/>
          </w:tcPr>
          <w:p w14:paraId="130F749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Australia</w:t>
            </w:r>
          </w:p>
        </w:tc>
        <w:tc>
          <w:tcPr>
            <w:tcW w:w="1504" w:type="dxa"/>
            <w:vAlign w:val="top"/>
          </w:tcPr>
          <w:p w14:paraId="7E17FEC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June 2015-August 2019</w:t>
            </w:r>
          </w:p>
        </w:tc>
        <w:tc>
          <w:tcPr>
            <w:tcW w:w="1299" w:type="dxa"/>
            <w:vAlign w:val="top"/>
          </w:tcPr>
          <w:p w14:paraId="13672AB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18</w:t>
            </w:r>
          </w:p>
        </w:tc>
        <w:tc>
          <w:tcPr>
            <w:tcW w:w="3184" w:type="dxa"/>
            <w:vAlign w:val="top"/>
          </w:tcPr>
          <w:p w14:paraId="15295EE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Mean rise in ETCO₂ after AAJT application (24.0 mmHg, 95%CI 12.6-35.4, p=0.003)</w:t>
            </w:r>
          </w:p>
        </w:tc>
        <w:tc>
          <w:tcPr>
            <w:tcW w:w="2633" w:type="dxa"/>
            <w:vAlign w:val="top"/>
          </w:tcPr>
          <w:p w14:paraId="2B1AF1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survivors to hospital discharge</w:t>
            </w:r>
          </w:p>
        </w:tc>
      </w:tr>
      <w:tr w14:paraId="1A7DEFD7">
        <w:tc>
          <w:tcPr>
            <w:tcW w:w="2041" w:type="dxa"/>
            <w:vAlign w:val="top"/>
          </w:tcPr>
          <w:p w14:paraId="2DC6FF4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Irfan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"https://doi.org/10.1186/s12245-022-00454-0"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10.1186/s12245-022-00454-0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0192F56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58D4385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Qatar</w:t>
            </w:r>
          </w:p>
        </w:tc>
        <w:tc>
          <w:tcPr>
            <w:tcW w:w="1504" w:type="dxa"/>
            <w:vAlign w:val="top"/>
          </w:tcPr>
          <w:p w14:paraId="6182D3F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2010-2015</w:t>
            </w:r>
          </w:p>
        </w:tc>
        <w:tc>
          <w:tcPr>
            <w:tcW w:w="1299" w:type="dxa"/>
            <w:vAlign w:val="top"/>
          </w:tcPr>
          <w:p w14:paraId="009984D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609 (410 OHTCA, 199 IHCAT)</w:t>
            </w:r>
          </w:p>
        </w:tc>
        <w:tc>
          <w:tcPr>
            <w:tcW w:w="3184" w:type="dxa"/>
            <w:vAlign w:val="top"/>
          </w:tcPr>
          <w:p w14:paraId="31D4D4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Initial shockable rhythm (OR 3.51, 95%CI 1.6-7.7, p=0.002)- Higher pre-hospital GCS (OR 1.4, 95%CI 1.3-1.6, p&lt;0.001)- Cardiac re-arrest (OR 6.0, 95%CI 3.3-10.8, p&lt;0.001)</w:t>
            </w:r>
          </w:p>
        </w:tc>
        <w:tc>
          <w:tcPr>
            <w:tcW w:w="2633" w:type="dxa"/>
            <w:vAlign w:val="top"/>
          </w:tcPr>
          <w:p w14:paraId="18A5648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IHCAT vs. OHTCA (OR 6.3, 95%CI 1.3-31.2, p=0.025)</w:t>
            </w:r>
          </w:p>
          <w:p w14:paraId="35759D7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Spinal injury (OR 3.5, 95%CI 1.5-8.3, p=0.004)</w:t>
            </w:r>
          </w:p>
          <w:p w14:paraId="1ED375F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Abdominal injury (OR 2.0, 95%CI 1.0-3.8, p=0.037)</w:t>
            </w:r>
          </w:p>
        </w:tc>
      </w:tr>
      <w:tr w14:paraId="4D070FE1">
        <w:tc>
          <w:tcPr>
            <w:tcW w:w="2041" w:type="dxa"/>
            <w:vAlign w:val="top"/>
          </w:tcPr>
          <w:p w14:paraId="37E1340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Wolthers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"https://doi.org/10.1097/MEJ.0000000000001108"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10.1097/MEJ.0000000000001108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792E59D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Cohort Study</w:t>
            </w:r>
          </w:p>
        </w:tc>
        <w:tc>
          <w:tcPr>
            <w:tcW w:w="1728" w:type="dxa"/>
            <w:vAlign w:val="top"/>
          </w:tcPr>
          <w:p w14:paraId="3C035D7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Denmark</w:t>
            </w:r>
          </w:p>
        </w:tc>
        <w:tc>
          <w:tcPr>
            <w:tcW w:w="1504" w:type="dxa"/>
            <w:vAlign w:val="top"/>
          </w:tcPr>
          <w:p w14:paraId="67F59D3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2016-2021</w:t>
            </w:r>
          </w:p>
        </w:tc>
        <w:tc>
          <w:tcPr>
            <w:tcW w:w="1299" w:type="dxa"/>
            <w:vAlign w:val="top"/>
          </w:tcPr>
          <w:p w14:paraId="5F225BC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223</w:t>
            </w:r>
          </w:p>
        </w:tc>
        <w:tc>
          <w:tcPr>
            <w:tcW w:w="3184" w:type="dxa"/>
            <w:vAlign w:val="top"/>
          </w:tcPr>
          <w:p w14:paraId="6EACF6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Initial shockable cardiac rhythm (OR 3.78, 95%CI 1.33-11.00)- Endotracheal intubation (OR 7.10, 95%CI 2.55-22.85)- Thoracostomy (OR 0.35, 95%CI 0.13-0.91)</w:t>
            </w:r>
          </w:p>
        </w:tc>
        <w:tc>
          <w:tcPr>
            <w:tcW w:w="2633" w:type="dxa"/>
            <w:vAlign w:val="top"/>
          </w:tcPr>
          <w:p w14:paraId="6CC95AA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Initial shockable rhythm (p&lt;0.001)</w:t>
            </w:r>
          </w:p>
          <w:p w14:paraId="51565B9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Endotracheal intubation (p=0.001)</w:t>
            </w:r>
          </w:p>
          <w:p w14:paraId="79B4A73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Time on scene &lt;26 minutes (p=0.02)</w:t>
            </w:r>
          </w:p>
        </w:tc>
      </w:tr>
      <w:tr w14:paraId="692D72E8">
        <w:tc>
          <w:tcPr>
            <w:tcW w:w="2041" w:type="dxa"/>
            <w:vAlign w:val="top"/>
          </w:tcPr>
          <w:p w14:paraId="40FEBC0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McWilliam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"https://doi.org/10.1016/j.jemermed.2025.03.002"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10.1016/j.jemermed.2025.03.002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366FD93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1080F47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USA</w:t>
            </w:r>
          </w:p>
        </w:tc>
        <w:tc>
          <w:tcPr>
            <w:tcW w:w="1504" w:type="dxa"/>
            <w:vAlign w:val="top"/>
          </w:tcPr>
          <w:p w14:paraId="77936B5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2014-2022</w:t>
            </w:r>
          </w:p>
        </w:tc>
        <w:tc>
          <w:tcPr>
            <w:tcW w:w="1299" w:type="dxa"/>
            <w:vAlign w:val="top"/>
          </w:tcPr>
          <w:p w14:paraId="40C667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244</w:t>
            </w:r>
          </w:p>
        </w:tc>
        <w:tc>
          <w:tcPr>
            <w:tcW w:w="3184" w:type="dxa"/>
            <w:vAlign w:val="top"/>
          </w:tcPr>
          <w:p w14:paraId="0CBFF90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Penetrating trauma (OR 2.22, 95%CI not reported, p=0.02)- Prehospital thoracostomy (OR 2.18, 95%CI not reported, p=0.01)</w:t>
            </w:r>
          </w:p>
        </w:tc>
        <w:tc>
          <w:tcPr>
            <w:tcW w:w="2633" w:type="dxa"/>
            <w:vAlign w:val="top"/>
          </w:tcPr>
          <w:p w14:paraId="2B0B041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Pulse on ED arrival (35% survival rate)</w:t>
            </w:r>
          </w:p>
          <w:p w14:paraId="2CA0BE8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Penetrating trauma (associated with pulse on arrival)</w:t>
            </w:r>
          </w:p>
        </w:tc>
      </w:tr>
      <w:tr w14:paraId="4F17025D">
        <w:tc>
          <w:tcPr>
            <w:tcW w:w="2041" w:type="dxa"/>
            <w:vAlign w:val="top"/>
          </w:tcPr>
          <w:p w14:paraId="318384F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von Vopelius-Feldt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"https://doi.org/10.1016/j.resplu.2025.101012"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10.1016/j.resplu.2025.101012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183E00D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Autopsy Series</w:t>
            </w:r>
          </w:p>
        </w:tc>
        <w:tc>
          <w:tcPr>
            <w:tcW w:w="1728" w:type="dxa"/>
            <w:vAlign w:val="top"/>
          </w:tcPr>
          <w:p w14:paraId="158A80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Canada</w:t>
            </w:r>
          </w:p>
        </w:tc>
        <w:tc>
          <w:tcPr>
            <w:tcW w:w="1504" w:type="dxa"/>
            <w:vAlign w:val="top"/>
          </w:tcPr>
          <w:p w14:paraId="0892F8F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2018-2022</w:t>
            </w:r>
          </w:p>
        </w:tc>
        <w:tc>
          <w:tcPr>
            <w:tcW w:w="1299" w:type="dxa"/>
            <w:vAlign w:val="top"/>
          </w:tcPr>
          <w:p w14:paraId="668A0C5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172</w:t>
            </w:r>
          </w:p>
        </w:tc>
        <w:tc>
          <w:tcPr>
            <w:tcW w:w="3184" w:type="dxa"/>
            <w:vAlign w:val="top"/>
          </w:tcPr>
          <w:p w14:paraId="70A7B0C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1237743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significant predictors with RR/OR and 95%CI reported</w:t>
            </w:r>
          </w:p>
        </w:tc>
      </w:tr>
      <w:tr w14:paraId="681167EA">
        <w:tc>
          <w:tcPr>
            <w:tcW w:w="2041" w:type="dxa"/>
            <w:vAlign w:val="top"/>
          </w:tcPr>
          <w:p w14:paraId="4B62DEF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Perkins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"https://doi.org/10.1001/jamasurg.2024.7245"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10.1001/jamasurg.2024.7245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3C58930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5A75DF5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504" w:type="dxa"/>
            <w:vAlign w:val="top"/>
          </w:tcPr>
          <w:p w14:paraId="40A2C93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1999-2019</w:t>
            </w:r>
          </w:p>
        </w:tc>
        <w:tc>
          <w:tcPr>
            <w:tcW w:w="1299" w:type="dxa"/>
            <w:vAlign w:val="top"/>
          </w:tcPr>
          <w:p w14:paraId="1AE4A6C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601</w:t>
            </w:r>
          </w:p>
        </w:tc>
        <w:tc>
          <w:tcPr>
            <w:tcW w:w="3184" w:type="dxa"/>
            <w:vAlign w:val="top"/>
          </w:tcPr>
          <w:p w14:paraId="330D699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0718EE9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Cause of TCA (cardiac tamponade vs. others: aOR 21.1, 95%CI 8.1-54.7, p&lt;0.001)</w:t>
            </w:r>
          </w:p>
          <w:p w14:paraId="33CC317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TCA duration &lt;1 minute (aOR 20.9, 95%CI 4.4-100.6, p&lt;0.001)</w:t>
            </w:r>
          </w:p>
          <w:p w14:paraId="3F3727E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Absence of internal cardiac massage (aOR 0.2, 95%CI 0.06-0.5, p=0.001)</w:t>
            </w:r>
          </w:p>
        </w:tc>
      </w:tr>
      <w:tr w14:paraId="331418E8">
        <w:tc>
          <w:tcPr>
            <w:tcW w:w="2041" w:type="dxa"/>
            <w:vAlign w:val="top"/>
          </w:tcPr>
          <w:p w14:paraId="5202D4D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Vassallo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"https://doi.org/10.1136/archdischild-2018-314985"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10.1136/archdischild-2018-314985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1E887C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Analysis</w:t>
            </w:r>
          </w:p>
        </w:tc>
        <w:tc>
          <w:tcPr>
            <w:tcW w:w="1728" w:type="dxa"/>
            <w:vAlign w:val="top"/>
          </w:tcPr>
          <w:p w14:paraId="435FAB8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504" w:type="dxa"/>
            <w:vAlign w:val="top"/>
          </w:tcPr>
          <w:p w14:paraId="43D971B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2006-2015</w:t>
            </w:r>
          </w:p>
        </w:tc>
        <w:tc>
          <w:tcPr>
            <w:tcW w:w="1299" w:type="dxa"/>
            <w:vAlign w:val="top"/>
          </w:tcPr>
          <w:p w14:paraId="741F239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129</w:t>
            </w:r>
          </w:p>
        </w:tc>
        <w:tc>
          <w:tcPr>
            <w:tcW w:w="3184" w:type="dxa"/>
            <w:vAlign w:val="top"/>
          </w:tcPr>
          <w:p w14:paraId="7B27A7C5">
            <w:pPr>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07DC4309">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only TCA vs. pre-hospital + in-hospital TCA (13.0% vs. 1.2%, p&lt;0.05)</w:t>
            </w:r>
          </w:p>
          <w:p w14:paraId="249301C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Transport to paediatric MTC (OR not reported, 10.3% survival)</w:t>
            </w:r>
          </w:p>
        </w:tc>
      </w:tr>
      <w:tr w14:paraId="7938CEE7">
        <w:tc>
          <w:tcPr>
            <w:tcW w:w="2041" w:type="dxa"/>
            <w:shd w:val="clear"/>
            <w:vAlign w:val="top"/>
          </w:tcPr>
          <w:p w14:paraId="088F21E2">
            <w:pPr>
              <w:pStyle w:val="12"/>
              <w:ind w:left="0" w:leftChars="0"/>
              <w:rPr>
                <w:rFonts w:hint="default" w:ascii="Times New Roman Regular" w:hAnsi="Times New Roman Regular" w:eastAsia="DengXian" w:cs="Times New Roman Regular"/>
                <w:sz w:val="24"/>
                <w:szCs w:val="24"/>
                <w:lang w:val="en-US" w:eastAsia="zh-CN" w:bidi="ar-SA"/>
              </w:rPr>
            </w:pPr>
            <w:r>
              <w:rPr>
                <w:rFonts w:hint="default" w:ascii="Times New Roman Regular" w:hAnsi="Times New Roman Regular" w:cs="Times New Roman Regular"/>
                <w:sz w:val="24"/>
                <w:szCs w:val="24"/>
                <w:lang w:val="en-US"/>
              </w:rPr>
              <w:t xml:space="preserve">Beck </w:t>
            </w:r>
            <w:r>
              <w:rPr>
                <w:rFonts w:hint="default" w:ascii="Times New Roman Regular" w:hAnsi="Times New Roman Regular" w:cs="Times New Roman Regular"/>
                <w:sz w:val="24"/>
                <w:szCs w:val="24"/>
              </w:rPr>
              <w:t xml:space="preserve">et al. </w:t>
            </w:r>
            <w:r>
              <w:rPr>
                <w:rFonts w:hint="default" w:ascii="Times New Roman Regular" w:hAnsi="Times New Roman Regular" w:cs="Times New Roman Regular"/>
                <w:sz w:val="24"/>
                <w:szCs w:val="24"/>
                <w:lang w:val="en-US"/>
              </w:rPr>
              <w:t>(10.1136/emermed-2016-206330)</w:t>
            </w:r>
          </w:p>
        </w:tc>
        <w:tc>
          <w:tcPr>
            <w:tcW w:w="1809" w:type="dxa"/>
            <w:vAlign w:val="top"/>
          </w:tcPr>
          <w:p w14:paraId="0E2F47E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Retrospective Cohort Study</w:t>
            </w:r>
          </w:p>
        </w:tc>
        <w:tc>
          <w:tcPr>
            <w:tcW w:w="1728" w:type="dxa"/>
            <w:vAlign w:val="top"/>
          </w:tcPr>
          <w:p w14:paraId="6C91E09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Australia</w:t>
            </w:r>
          </w:p>
        </w:tc>
        <w:tc>
          <w:tcPr>
            <w:tcW w:w="1504" w:type="dxa"/>
            <w:vAlign w:val="top"/>
          </w:tcPr>
          <w:p w14:paraId="247A5500">
            <w:pPr>
              <w:pStyle w:val="12"/>
              <w:ind w:left="0" w:leftChars="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2008-2014</w:t>
            </w:r>
          </w:p>
        </w:tc>
        <w:tc>
          <w:tcPr>
            <w:tcW w:w="1299" w:type="dxa"/>
            <w:vAlign w:val="top"/>
          </w:tcPr>
          <w:p w14:paraId="2EA43BC8">
            <w:pPr>
              <w:pStyle w:val="12"/>
              <w:ind w:left="0" w:leftChars="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660</w:t>
            </w:r>
          </w:p>
        </w:tc>
        <w:tc>
          <w:tcPr>
            <w:tcW w:w="3184" w:type="dxa"/>
            <w:vAlign w:val="top"/>
          </w:tcPr>
          <w:p w14:paraId="14DB02DB">
            <w:pPr>
              <w:ind w:left="0" w:leftChars="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S</w:t>
            </w:r>
            <w:r>
              <w:rPr>
                <w:rFonts w:hint="default" w:ascii="Times New Roman Regular" w:hAnsi="Times New Roman Regular" w:cs="Times New Roman Regular"/>
                <w:sz w:val="24"/>
                <w:szCs w:val="24"/>
              </w:rPr>
              <w:t>hockable</w:t>
            </w:r>
            <w:r>
              <w:rPr>
                <w:rFonts w:hint="default" w:ascii="Times New Roman Regular" w:hAnsi="Times New Roman Regular" w:cs="Times New Roman Regular"/>
                <w:sz w:val="24"/>
                <w:szCs w:val="24"/>
                <w:lang w:val="en-US"/>
              </w:rPr>
              <w:t xml:space="preserve"> rhythm (aOR=3.65, 95% CI 1.64-8.11)</w:t>
            </w:r>
          </w:p>
          <w:p w14:paraId="78CD636D">
            <w:pPr>
              <w:ind w:left="0" w:leftChars="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PEA (aOR=2.15, 95% CI 1.36-3.39)</w:t>
            </w:r>
          </w:p>
          <w:p w14:paraId="3190D0D6">
            <w:pPr>
              <w:ind w:left="0" w:leftChars="0"/>
              <w:rPr>
                <w:rFonts w:hint="default" w:ascii="Times New Roman Regular" w:hAnsi="Times New Roman Regular" w:cs="Times New Roman Regular"/>
                <w:sz w:val="24"/>
                <w:szCs w:val="24"/>
                <w:lang w:val="en-US"/>
              </w:rPr>
            </w:pPr>
          </w:p>
        </w:tc>
        <w:tc>
          <w:tcPr>
            <w:tcW w:w="2633" w:type="dxa"/>
            <w:vAlign w:val="top"/>
          </w:tcPr>
          <w:p w14:paraId="41DDF6A0">
            <w:pPr>
              <w:ind w:left="0" w:leftChars="0"/>
              <w:jc w:val="left"/>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Survial to hospital:</w:t>
            </w:r>
          </w:p>
          <w:p w14:paraId="1E58C461">
            <w:pPr>
              <w:ind w:left="0" w:leftChars="0"/>
              <w:jc w:val="left"/>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Penetrating trauma (aOR=0.27, 95% CI 0.08-0.91)</w:t>
            </w:r>
          </w:p>
          <w:p w14:paraId="1C6E3CA3">
            <w:pPr>
              <w:ind w:left="0" w:leftChars="0"/>
              <w:jc w:val="left"/>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Rural (aOR=0.39, 95% CI 0.19-0.8)</w:t>
            </w:r>
          </w:p>
          <w:p w14:paraId="4B892798">
            <w:pPr>
              <w:pStyle w:val="12"/>
              <w:ind w:left="0" w:leftChars="0"/>
              <w:rPr>
                <w:rFonts w:hint="default" w:ascii="Times New Roman Regular" w:hAnsi="Times New Roman Regular" w:cs="Times New Roman Regular"/>
                <w:sz w:val="24"/>
                <w:szCs w:val="24"/>
              </w:rPr>
            </w:pPr>
          </w:p>
        </w:tc>
      </w:tr>
      <w:tr w14:paraId="37110E4F">
        <w:tc>
          <w:tcPr>
            <w:tcW w:w="2041" w:type="dxa"/>
            <w:vAlign w:val="top"/>
          </w:tcPr>
          <w:p w14:paraId="532E29D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Barnard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"https://doi.org/10.1016/j.resuscitation.2016.11.001"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10.1016/j.resuscitation.2016.11.001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vAlign w:val="top"/>
          </w:tcPr>
          <w:p w14:paraId="4DFCE28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Analysis</w:t>
            </w:r>
          </w:p>
        </w:tc>
        <w:tc>
          <w:tcPr>
            <w:tcW w:w="1728" w:type="dxa"/>
            <w:vAlign w:val="top"/>
          </w:tcPr>
          <w:p w14:paraId="65A037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UK</w:t>
            </w:r>
          </w:p>
        </w:tc>
        <w:tc>
          <w:tcPr>
            <w:tcW w:w="1504" w:type="dxa"/>
            <w:vAlign w:val="top"/>
          </w:tcPr>
          <w:p w14:paraId="126812D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2009-2015</w:t>
            </w:r>
          </w:p>
        </w:tc>
        <w:tc>
          <w:tcPr>
            <w:tcW w:w="1299" w:type="dxa"/>
            <w:vAlign w:val="top"/>
          </w:tcPr>
          <w:p w14:paraId="5C46C9B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705</w:t>
            </w:r>
          </w:p>
        </w:tc>
        <w:tc>
          <w:tcPr>
            <w:tcW w:w="3184" w:type="dxa"/>
            <w:vAlign w:val="top"/>
          </w:tcPr>
          <w:p w14:paraId="12A7F76B">
            <w:pPr>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vAlign w:val="top"/>
          </w:tcPr>
          <w:p w14:paraId="0EF0EF5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only TCA vs. ED only TCA (11.5% vs. 3.9%, p&lt;0.02)</w:t>
            </w:r>
          </w:p>
          <w:p w14:paraId="3B68EBF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Isolated severe TBI vs. TBI + haemorrhage (15.2% vs. 2.2%, p&lt;0.001)</w:t>
            </w:r>
          </w:p>
        </w:tc>
      </w:tr>
      <w:tr w14:paraId="109B5A03">
        <w:tc>
          <w:tcPr>
            <w:tcW w:w="2041" w:type="dxa"/>
            <w:tcBorders>
              <w:bottom w:val="single" w:color="auto" w:sz="4" w:space="0"/>
            </w:tcBorders>
            <w:vAlign w:val="top"/>
          </w:tcPr>
          <w:p w14:paraId="1BB544D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Djarv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"https://doi.org/10.1186/s13049-018-0500-7"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10.1186/s13049-018-0500-7</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1809" w:type="dxa"/>
            <w:tcBorders>
              <w:bottom w:val="single" w:color="auto" w:sz="4" w:space="0"/>
            </w:tcBorders>
            <w:vAlign w:val="top"/>
          </w:tcPr>
          <w:p w14:paraId="579B004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Population-based Cohort Study</w:t>
            </w:r>
          </w:p>
        </w:tc>
        <w:tc>
          <w:tcPr>
            <w:tcW w:w="1728" w:type="dxa"/>
            <w:tcBorders>
              <w:bottom w:val="single" w:color="auto" w:sz="4" w:space="0"/>
            </w:tcBorders>
            <w:vAlign w:val="top"/>
          </w:tcPr>
          <w:p w14:paraId="76390D1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Sweden</w:t>
            </w:r>
          </w:p>
        </w:tc>
        <w:tc>
          <w:tcPr>
            <w:tcW w:w="1504" w:type="dxa"/>
            <w:tcBorders>
              <w:bottom w:val="single" w:color="auto" w:sz="4" w:space="0"/>
            </w:tcBorders>
            <w:vAlign w:val="top"/>
          </w:tcPr>
          <w:p w14:paraId="4A14ED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1990-2016</w:t>
            </w:r>
          </w:p>
        </w:tc>
        <w:tc>
          <w:tcPr>
            <w:tcW w:w="1299" w:type="dxa"/>
            <w:tcBorders>
              <w:bottom w:val="single" w:color="auto" w:sz="4" w:space="0"/>
            </w:tcBorders>
            <w:vAlign w:val="top"/>
          </w:tcPr>
          <w:p w14:paraId="0AE03B1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1774</w:t>
            </w:r>
          </w:p>
        </w:tc>
        <w:tc>
          <w:tcPr>
            <w:tcW w:w="3184" w:type="dxa"/>
            <w:tcBorders>
              <w:bottom w:val="single" w:color="auto" w:sz="4" w:space="0"/>
            </w:tcBorders>
            <w:vAlign w:val="top"/>
          </w:tcPr>
          <w:p w14:paraId="161C084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t>
            </w:r>
          </w:p>
        </w:tc>
        <w:tc>
          <w:tcPr>
            <w:tcW w:w="2633" w:type="dxa"/>
            <w:tcBorders>
              <w:bottom w:val="single" w:color="auto" w:sz="4" w:space="0"/>
            </w:tcBorders>
            <w:vAlign w:val="top"/>
          </w:tcPr>
          <w:p w14:paraId="74C3C49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Bystander witnessed (aOR 2.67, 95%CI 1.15-6.22)</w:t>
            </w:r>
          </w:p>
          <w:p w14:paraId="5C54A58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Initial shockable rhythm (aOR 8.94, 95%CI 4.27-18.69)</w:t>
            </w:r>
          </w:p>
          <w:p w14:paraId="5A1502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Adrenaline administration (aOR 0.35, 95%CI 0.17-0.73)</w:t>
            </w:r>
          </w:p>
        </w:tc>
      </w:tr>
    </w:tbl>
    <w:p w14:paraId="71490A5E">
      <w:pPr>
        <w:pStyle w:val="12"/>
        <w:jc w:val="both"/>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Only studies primarily focused on human clinical or epidemiological data concerning TCA outcomes, and reporting OR/RR with 95% CI, were included.</w:t>
      </w:r>
      <w:r>
        <w:rPr>
          <w:rFonts w:hint="default" w:ascii="Times New Roman Regular" w:hAnsi="Times New Roman Regular" w:cs="Times New Roman Regular"/>
          <w:sz w:val="24"/>
          <w:szCs w:val="24"/>
          <w:lang w:val="en-US" w:eastAsia="zh-CN"/>
        </w:rPr>
        <w:t xml:space="preserve"> Animal/basic studies, case reports, and studies lacking quantitative predictor analysis were excluded.</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lang w:val="en-US" w:eastAsia="zh-CN"/>
        </w:rPr>
        <w:t>Predictors for ROSC refer to variables found to be independently associated with the likelihood of achieving return of spontaneous circulation after traumatic cardiac arrest; predictors for survival/mortality refer to variables independently associated with survival/mortality to hospital discharge or longer-term outcomes. Since risk factors for mortality and survival rates are placed in the same column box, this is likely to cause misunderstandings regarding their positive and negative impacts. Therefore, for readers who have questions about this, it is recommended that they refer to the original research paper. ROSC, return of spontaneous circulation; TCA, traumatic cardiac arrest; OR, odds ratio; RR, relative risk; aOR, adjusted odds ratio; CI, confidence interval; ED, emergency department; EMS, emergency medical services; PEA, pulseless electrical activity; SOL, signs of life; ALS, advanced life support; REBOA, resuscitative endovascular balloon occlusion of the aorta; RT, resuscitative thoracotomy; MTC, major trauma center; TBI, traumatic brain injury; HARU, high acuity response unit; GCS, Glasgow Coma Scale; IHCAT, in-hospital cardiac arrest of trauma; OHTCA, out-of-hospital traumatic cardiac arrest.</w:t>
      </w:r>
    </w:p>
    <w:p w14:paraId="74765193">
      <w:pPr>
        <w:pStyle w:val="12"/>
        <w:jc w:val="both"/>
        <w:rPr>
          <w:rFonts w:hint="default" w:ascii="Times New Roman Regular" w:hAnsi="Times New Roman Regular" w:cs="Times New Roman Regular"/>
          <w:sz w:val="24"/>
          <w:szCs w:val="24"/>
          <w:lang w:val="en-US" w:eastAsia="zh-CN"/>
        </w:rPr>
      </w:pPr>
    </w:p>
    <w:p w14:paraId="23ABC841">
      <w:pPr>
        <w:pStyle w:val="12"/>
        <w:jc w:val="both"/>
        <w:rPr>
          <w:rFonts w:hint="default" w:ascii="Times New Roman Regular" w:hAnsi="Times New Roman Regular" w:cs="Times New Roman Regular"/>
          <w:sz w:val="24"/>
          <w:szCs w:val="24"/>
          <w:lang w:val="en-US" w:eastAsia="zh-CN"/>
        </w:rPr>
      </w:pPr>
    </w:p>
    <w:p w14:paraId="190C257F">
      <w:pPr>
        <w:pStyle w:val="12"/>
        <w:jc w:val="both"/>
        <w:rPr>
          <w:rFonts w:hint="default" w:ascii="Times New Roman Regular" w:hAnsi="Times New Roman Regular" w:cs="Times New Roman Regular"/>
          <w:sz w:val="24"/>
          <w:szCs w:val="24"/>
          <w:lang w:val="en-US" w:eastAsia="zh-CN"/>
        </w:rPr>
      </w:pPr>
    </w:p>
    <w:p w14:paraId="6B3D1876">
      <w:pPr>
        <w:pStyle w:val="12"/>
        <w:jc w:val="both"/>
        <w:rPr>
          <w:rFonts w:hint="default" w:ascii="Times New Roman Regular" w:hAnsi="Times New Roman Regular" w:cs="Times New Roman Regular"/>
          <w:sz w:val="24"/>
          <w:szCs w:val="24"/>
          <w:lang w:val="en-US" w:eastAsia="zh-CN"/>
        </w:rPr>
      </w:pPr>
    </w:p>
    <w:p w14:paraId="569A475F">
      <w:pPr>
        <w:rPr>
          <w:rFonts w:hint="default" w:ascii="Times New Roman Regular" w:hAnsi="Times New Roman Regular" w:cs="Times New Roman Regular"/>
          <w:sz w:val="24"/>
          <w:szCs w:val="24"/>
          <w:lang w:val="en-US"/>
        </w:rPr>
      </w:pPr>
      <w:r>
        <w:rPr>
          <w:rFonts w:hint="default" w:ascii="Times New Roman Regular" w:hAnsi="Times New Roman Regular" w:eastAsia="DengXian" w:cs="Times New Roman Regular"/>
          <w:b/>
          <w:bCs/>
          <w:sz w:val="24"/>
          <w:szCs w:val="24"/>
          <w:lang w:val="en-US" w:eastAsia="zh-CN" w:bidi="ar-SA"/>
        </w:rPr>
        <w:t>eTable 5. Variations in traumatic cardiac arrest definitions across the literature</w:t>
      </w:r>
    </w:p>
    <w:tbl>
      <w:tblPr>
        <w:tblStyle w:val="8"/>
        <w:tblW w:w="142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788"/>
        <w:gridCol w:w="3919"/>
        <w:gridCol w:w="3054"/>
        <w:gridCol w:w="4454"/>
      </w:tblGrid>
      <w:tr w14:paraId="207B4BC7">
        <w:tc>
          <w:tcPr>
            <w:tcW w:w="2788" w:type="dxa"/>
            <w:tcBorders>
              <w:top w:val="single" w:color="auto" w:sz="4" w:space="0"/>
              <w:bottom w:val="single" w:color="auto" w:sz="4" w:space="0"/>
            </w:tcBorders>
            <w:tcMar>
              <w:top w:w="60" w:type="dxa"/>
              <w:left w:w="120" w:type="dxa"/>
              <w:bottom w:w="30" w:type="dxa"/>
              <w:right w:w="120" w:type="dxa"/>
            </w:tcMar>
          </w:tcPr>
          <w:p w14:paraId="3E4463D7">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Author (DOI)</w:t>
            </w:r>
          </w:p>
        </w:tc>
        <w:tc>
          <w:tcPr>
            <w:tcW w:w="3919" w:type="dxa"/>
            <w:tcBorders>
              <w:top w:val="single" w:color="auto" w:sz="4" w:space="0"/>
              <w:bottom w:val="single" w:color="auto" w:sz="4" w:space="0"/>
            </w:tcBorders>
            <w:tcMar>
              <w:top w:w="60" w:type="dxa"/>
              <w:left w:w="120" w:type="dxa"/>
              <w:bottom w:w="30" w:type="dxa"/>
              <w:right w:w="120" w:type="dxa"/>
            </w:tcMar>
          </w:tcPr>
          <w:p w14:paraId="0DAFEA53">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Definition of TCA</w:t>
            </w:r>
          </w:p>
        </w:tc>
        <w:tc>
          <w:tcPr>
            <w:tcW w:w="3054" w:type="dxa"/>
            <w:tcBorders>
              <w:top w:val="single" w:color="auto" w:sz="4" w:space="0"/>
              <w:bottom w:val="single" w:color="auto" w:sz="4" w:space="0"/>
            </w:tcBorders>
            <w:tcMar>
              <w:top w:w="60" w:type="dxa"/>
              <w:left w:w="120" w:type="dxa"/>
              <w:bottom w:w="30" w:type="dxa"/>
              <w:right w:w="120" w:type="dxa"/>
            </w:tcMar>
          </w:tcPr>
          <w:p w14:paraId="030D86D3">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 xml:space="preserve">Inclusion </w:t>
            </w:r>
            <w:r>
              <w:rPr>
                <w:rFonts w:hint="eastAsia" w:ascii="Times New Roman Bold" w:hAnsi="Times New Roman Bold" w:cs="Times New Roman Bold"/>
                <w:b/>
                <w:bCs/>
                <w:sz w:val="24"/>
                <w:szCs w:val="24"/>
                <w:lang w:val="en-US" w:eastAsia="zh-CN"/>
              </w:rPr>
              <w:t>c</w:t>
            </w:r>
            <w:r>
              <w:rPr>
                <w:rFonts w:hint="default" w:ascii="Times New Roman Bold" w:hAnsi="Times New Roman Bold" w:cs="Times New Roman Bold"/>
                <w:b/>
                <w:bCs/>
                <w:sz w:val="24"/>
                <w:szCs w:val="24"/>
              </w:rPr>
              <w:t>riteria</w:t>
            </w:r>
          </w:p>
        </w:tc>
        <w:tc>
          <w:tcPr>
            <w:tcW w:w="4454" w:type="dxa"/>
            <w:tcBorders>
              <w:top w:val="single" w:color="auto" w:sz="4" w:space="0"/>
              <w:bottom w:val="single" w:color="auto" w:sz="4" w:space="0"/>
            </w:tcBorders>
            <w:tcMar>
              <w:top w:w="60" w:type="dxa"/>
              <w:left w:w="120" w:type="dxa"/>
              <w:bottom w:w="30" w:type="dxa"/>
              <w:right w:w="120" w:type="dxa"/>
            </w:tcMar>
          </w:tcPr>
          <w:p w14:paraId="71F3EE6D">
            <w:pPr>
              <w:pStyle w:val="12"/>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 xml:space="preserve">Exclusion </w:t>
            </w:r>
            <w:r>
              <w:rPr>
                <w:rFonts w:hint="eastAsia" w:ascii="Times New Roman Bold" w:hAnsi="Times New Roman Bold" w:cs="Times New Roman Bold"/>
                <w:b/>
                <w:bCs/>
                <w:sz w:val="24"/>
                <w:szCs w:val="24"/>
                <w:lang w:val="en-US" w:eastAsia="zh-CN"/>
              </w:rPr>
              <w:t>c</w:t>
            </w:r>
            <w:r>
              <w:rPr>
                <w:rFonts w:hint="default" w:ascii="Times New Roman Bold" w:hAnsi="Times New Roman Bold" w:cs="Times New Roman Bold"/>
                <w:b/>
                <w:bCs/>
                <w:sz w:val="24"/>
                <w:szCs w:val="24"/>
              </w:rPr>
              <w:t>riteria</w:t>
            </w:r>
          </w:p>
        </w:tc>
      </w:tr>
      <w:tr w14:paraId="41907B35">
        <w:tc>
          <w:tcPr>
            <w:tcW w:w="2788" w:type="dxa"/>
            <w:tcMar>
              <w:top w:w="60" w:type="dxa"/>
              <w:left w:w="120" w:type="dxa"/>
              <w:bottom w:w="30" w:type="dxa"/>
              <w:right w:w="120" w:type="dxa"/>
            </w:tcMar>
          </w:tcPr>
          <w:p w14:paraId="23AEA98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Seewald 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"https://doi.org/10.1186/s12873-022-00714-5"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10.1186/s12873-022-00714-5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tcMar>
              <w:top w:w="60" w:type="dxa"/>
              <w:left w:w="120" w:type="dxa"/>
              <w:bottom w:w="30" w:type="dxa"/>
              <w:right w:w="120" w:type="dxa"/>
            </w:tcMar>
          </w:tcPr>
          <w:p w14:paraId="19AC5B8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OHCA</w:t>
            </w:r>
            <w:r>
              <w:rPr>
                <w:rFonts w:hint="default" w:ascii="Times New Roman Regular" w:hAnsi="Times New Roman Regular" w:cs="Times New Roman Regular"/>
                <w:sz w:val="24"/>
                <w:szCs w:val="24"/>
              </w:rPr>
              <w:t xml:space="preserve"> due to major trauma where </w:t>
            </w:r>
            <w:r>
              <w:rPr>
                <w:rFonts w:hint="default" w:ascii="Times New Roman Regular" w:hAnsi="Times New Roman Regular" w:cs="Times New Roman Regular"/>
                <w:sz w:val="24"/>
                <w:szCs w:val="24"/>
                <w:lang w:val="en-US"/>
              </w:rPr>
              <w:t>CPR</w:t>
            </w:r>
            <w:r>
              <w:rPr>
                <w:rFonts w:hint="default" w:ascii="Times New Roman Regular" w:hAnsi="Times New Roman Regular" w:cs="Times New Roman Regular"/>
                <w:sz w:val="24"/>
                <w:szCs w:val="24"/>
              </w:rPr>
              <w:t xml:space="preserve"> was started.</w:t>
            </w:r>
          </w:p>
        </w:tc>
        <w:tc>
          <w:tcPr>
            <w:tcW w:w="3054" w:type="dxa"/>
            <w:tcMar>
              <w:top w:w="60" w:type="dxa"/>
              <w:left w:w="120" w:type="dxa"/>
              <w:bottom w:w="30" w:type="dxa"/>
              <w:right w:w="120" w:type="dxa"/>
            </w:tcMar>
          </w:tcPr>
          <w:p w14:paraId="78CCA10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OHCA secondary to major trauma between 2014</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2019.</w:t>
            </w:r>
          </w:p>
          <w:p w14:paraId="12CA5D0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CPR started.</w:t>
            </w:r>
          </w:p>
          <w:p w14:paraId="5E13550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Data from German Resuscitation Registry (GRR) or TraumaRegister DGU®.</w:t>
            </w:r>
          </w:p>
        </w:tc>
        <w:tc>
          <w:tcPr>
            <w:tcW w:w="4454" w:type="dxa"/>
            <w:tcMar>
              <w:top w:w="60" w:type="dxa"/>
              <w:left w:w="120" w:type="dxa"/>
              <w:bottom w:w="30" w:type="dxa"/>
              <w:right w:w="120" w:type="dxa"/>
            </w:tcMar>
          </w:tcPr>
          <w:p w14:paraId="6336583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Missing data for blood pressure or heart rate on hospital admission.</w:t>
            </w:r>
          </w:p>
          <w:p w14:paraId="709DAE2C">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Ongoing CPR on admission.</w:t>
            </w:r>
          </w:p>
          <w:p w14:paraId="2A30B9E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Missing trauma mechanism.</w:t>
            </w:r>
          </w:p>
          <w:p w14:paraId="52C9531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Aetiology other than trauma.</w:t>
            </w:r>
          </w:p>
        </w:tc>
      </w:tr>
      <w:tr w14:paraId="4ED022A3">
        <w:tc>
          <w:tcPr>
            <w:tcW w:w="2788" w:type="dxa"/>
            <w:tcMar>
              <w:top w:w="60" w:type="dxa"/>
              <w:left w:w="120" w:type="dxa"/>
              <w:bottom w:w="30" w:type="dxa"/>
              <w:right w:w="120" w:type="dxa"/>
            </w:tcMar>
          </w:tcPr>
          <w:p w14:paraId="38E73C8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Khalifa A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"https://doi.org/10.1016/j.ajem.2021.01.020"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10.1016/j.ajem.2021.01.020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tcMar>
              <w:top w:w="60" w:type="dxa"/>
              <w:left w:w="120" w:type="dxa"/>
              <w:bottom w:w="30" w:type="dxa"/>
              <w:right w:w="120" w:type="dxa"/>
            </w:tcMar>
          </w:tcPr>
          <w:p w14:paraId="47E1765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Torso trauma patients with no recorded vital signs (pulse=0, SBP=0, respiratory rate=0, GCS=3) in the </w:t>
            </w:r>
            <w:r>
              <w:rPr>
                <w:rFonts w:hint="default" w:ascii="Times New Roman Regular" w:hAnsi="Times New Roman Regular" w:cs="Times New Roman Regular"/>
                <w:sz w:val="24"/>
                <w:szCs w:val="24"/>
                <w:lang w:val="en-US"/>
              </w:rPr>
              <w:t>ED</w:t>
            </w:r>
            <w:r>
              <w:rPr>
                <w:rFonts w:hint="default" w:ascii="Times New Roman Regular" w:hAnsi="Times New Roman Regular" w:cs="Times New Roman Regular"/>
                <w:sz w:val="24"/>
                <w:szCs w:val="24"/>
              </w:rPr>
              <w:t xml:space="preserve"> who underwent resuscitation following traumatic cardiac arrest.</w:t>
            </w:r>
          </w:p>
        </w:tc>
        <w:tc>
          <w:tcPr>
            <w:tcW w:w="3054" w:type="dxa"/>
            <w:tcMar>
              <w:top w:w="60" w:type="dxa"/>
              <w:left w:w="120" w:type="dxa"/>
              <w:bottom w:w="30" w:type="dxa"/>
              <w:right w:w="120" w:type="dxa"/>
            </w:tcMar>
          </w:tcPr>
          <w:p w14:paraId="0F0E0EE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Blunt and penetrating torso trauma without vital signs in the ED (2007</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p w14:paraId="3DFFAC8B">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Directly sent to a trauma center without transfer.</w:t>
            </w:r>
          </w:p>
        </w:tc>
        <w:tc>
          <w:tcPr>
            <w:tcW w:w="4454" w:type="dxa"/>
            <w:tcMar>
              <w:top w:w="60" w:type="dxa"/>
              <w:left w:w="120" w:type="dxa"/>
              <w:bottom w:w="30" w:type="dxa"/>
              <w:right w:w="120" w:type="dxa"/>
            </w:tcMar>
          </w:tcPr>
          <w:p w14:paraId="6BD5E57E">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Isolated head injuries.</w:t>
            </w:r>
          </w:p>
          <w:p w14:paraId="4D6CEF3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Transfers from other hospitals.</w:t>
            </w:r>
          </w:p>
          <w:p w14:paraId="2722332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Missing values.</w:t>
            </w:r>
          </w:p>
        </w:tc>
      </w:tr>
      <w:tr w14:paraId="0BBD062D">
        <w:tc>
          <w:tcPr>
            <w:tcW w:w="2788" w:type="dxa"/>
            <w:tcMar>
              <w:top w:w="60" w:type="dxa"/>
              <w:left w:w="120" w:type="dxa"/>
              <w:bottom w:w="30" w:type="dxa"/>
              <w:right w:w="120" w:type="dxa"/>
            </w:tcMar>
          </w:tcPr>
          <w:p w14:paraId="32EC950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Irfan FB et al. (10.1016/j.ijcard.2017.03.134)</w:t>
            </w:r>
          </w:p>
        </w:tc>
        <w:tc>
          <w:tcPr>
            <w:tcW w:w="3919" w:type="dxa"/>
            <w:tcMar>
              <w:top w:w="60" w:type="dxa"/>
              <w:left w:w="120" w:type="dxa"/>
              <w:bottom w:w="30" w:type="dxa"/>
              <w:right w:w="120" w:type="dxa"/>
            </w:tcMar>
          </w:tcPr>
          <w:p w14:paraId="05A9A24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OHTCA</w:t>
            </w:r>
            <w:r>
              <w:rPr>
                <w:rFonts w:hint="default" w:ascii="Times New Roman Regular" w:hAnsi="Times New Roman Regular" w:cs="Times New Roman Regular"/>
                <w:sz w:val="24"/>
                <w:szCs w:val="24"/>
              </w:rPr>
              <w:t>: Cardiac arrest in a trauma patient confirmed by absence of signs of circulation or abnormal cardiac arrest rhythm occurring outside a hospital setting, with prehospital CPR provided by EMS.</w:t>
            </w:r>
          </w:p>
          <w:p w14:paraId="2263291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IHTCA</w:t>
            </w:r>
            <w:r>
              <w:rPr>
                <w:rFonts w:hint="default" w:ascii="Times New Roman Regular" w:hAnsi="Times New Roman Regular" w:cs="Times New Roman Regular"/>
                <w:sz w:val="24"/>
                <w:szCs w:val="24"/>
              </w:rPr>
              <w:t>: Cardiac arrest in a trauma patient confirmed by absence of signs of circulation or abnormal cardiac arrest rhythm occurring inside a hospital setting, not a cardiac rearrest.</w:t>
            </w:r>
          </w:p>
        </w:tc>
        <w:tc>
          <w:tcPr>
            <w:tcW w:w="3054" w:type="dxa"/>
            <w:tcMar>
              <w:top w:w="60" w:type="dxa"/>
              <w:left w:w="120" w:type="dxa"/>
              <w:bottom w:w="30" w:type="dxa"/>
              <w:right w:w="120" w:type="dxa"/>
            </w:tcMar>
          </w:tcPr>
          <w:p w14:paraId="12B1B4D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Adult (≥18 years) OHTCA patients resuscitated by EMS in Qatar (2010</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2015).</w:t>
            </w:r>
          </w:p>
        </w:tc>
        <w:tc>
          <w:tcPr>
            <w:tcW w:w="4454" w:type="dxa"/>
            <w:tcMar>
              <w:top w:w="60" w:type="dxa"/>
              <w:left w:w="120" w:type="dxa"/>
              <w:bottom w:w="30" w:type="dxa"/>
              <w:right w:w="120" w:type="dxa"/>
            </w:tcMar>
          </w:tcPr>
          <w:p w14:paraId="2597A487">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IHTCA patients.</w:t>
            </w:r>
          </w:p>
          <w:p w14:paraId="0B7B0D3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OHTCA patients with clear signs of death (decapitation, incineration, decomposition, rigor mortis, dependent lividity).</w:t>
            </w:r>
          </w:p>
          <w:p w14:paraId="3A9789C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OHTCA due to drowning, electrocution, conflagration, burns.</w:t>
            </w:r>
          </w:p>
          <w:p w14:paraId="6834BA3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 &lt;18 years.- Missing data.</w:t>
            </w:r>
          </w:p>
        </w:tc>
      </w:tr>
      <w:tr w14:paraId="576C3082">
        <w:tc>
          <w:tcPr>
            <w:tcW w:w="2788" w:type="dxa"/>
            <w:tcMar>
              <w:top w:w="60" w:type="dxa"/>
              <w:left w:w="120" w:type="dxa"/>
              <w:bottom w:w="30" w:type="dxa"/>
              <w:right w:w="120" w:type="dxa"/>
            </w:tcMar>
          </w:tcPr>
          <w:p w14:paraId="429BC94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Yamamoto R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"https://doi.org/10.1186/s13049-019-0657-8"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10.1186/s13049-019-0657-8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tcMar>
              <w:top w:w="60" w:type="dxa"/>
              <w:left w:w="120" w:type="dxa"/>
              <w:bottom w:w="30" w:type="dxa"/>
              <w:right w:w="120" w:type="dxa"/>
            </w:tcMar>
          </w:tcPr>
          <w:p w14:paraId="4AD71356">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Traumatic OHCA diagnosed by treating physicians based on history of OHCA and/or clinical findings; drowning and hanging not considered traumatic OHCA.</w:t>
            </w:r>
          </w:p>
        </w:tc>
        <w:tc>
          <w:tcPr>
            <w:tcW w:w="3054" w:type="dxa"/>
            <w:tcMar>
              <w:top w:w="60" w:type="dxa"/>
              <w:left w:w="120" w:type="dxa"/>
              <w:bottom w:w="30" w:type="dxa"/>
              <w:right w:w="120" w:type="dxa"/>
            </w:tcMar>
          </w:tcPr>
          <w:p w14:paraId="47DEF29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Adult patients (≥15 years) with traumatic OHCA from the SOS-KANTO 2012 study (2012</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2013).</w:t>
            </w:r>
          </w:p>
          <w:p w14:paraId="571DAF7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Available data on epinephrine administration during in-hospital resuscitation.</w:t>
            </w:r>
          </w:p>
        </w:tc>
        <w:tc>
          <w:tcPr>
            <w:tcW w:w="4454" w:type="dxa"/>
            <w:tcMar>
              <w:top w:w="60" w:type="dxa"/>
              <w:left w:w="120" w:type="dxa"/>
              <w:bottom w:w="30" w:type="dxa"/>
              <w:right w:w="120" w:type="dxa"/>
            </w:tcMar>
          </w:tcPr>
          <w:p w14:paraId="22C569B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Missing survival data 7 days after injury.- Missing data on epinephrine administration.</w:t>
            </w:r>
          </w:p>
        </w:tc>
      </w:tr>
      <w:tr w14:paraId="6444D027">
        <w:tc>
          <w:tcPr>
            <w:tcW w:w="2788" w:type="dxa"/>
            <w:tcMar>
              <w:top w:w="60" w:type="dxa"/>
              <w:left w:w="120" w:type="dxa"/>
              <w:bottom w:w="30" w:type="dxa"/>
              <w:right w:w="120" w:type="dxa"/>
            </w:tcMar>
          </w:tcPr>
          <w:p w14:paraId="10E567FF">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Koh EY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"https://doi.org/10.1097/TA.0000000000004094"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10.1097/TA.0000000000004094</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tcMar>
              <w:top w:w="60" w:type="dxa"/>
              <w:left w:w="120" w:type="dxa"/>
              <w:bottom w:w="30" w:type="dxa"/>
              <w:right w:w="120" w:type="dxa"/>
            </w:tcMar>
          </w:tcPr>
          <w:p w14:paraId="34C58D4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Traumatic cardiac arrest defined as receiving cardiopulmonary resuscitation in the emergency department immediately prior to or during the initiation of emergency hemorrhage control procedure (REBOA or RT).</w:t>
            </w:r>
          </w:p>
        </w:tc>
        <w:tc>
          <w:tcPr>
            <w:tcW w:w="3054" w:type="dxa"/>
            <w:tcMar>
              <w:top w:w="60" w:type="dxa"/>
              <w:left w:w="120" w:type="dxa"/>
              <w:bottom w:w="30" w:type="dxa"/>
              <w:right w:w="120" w:type="dxa"/>
            </w:tcMar>
          </w:tcPr>
          <w:p w14:paraId="73CB19D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from the Emergent Truncal Hemorrhage Control study (2017</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2018) with traumatic cardiac arrest before initiating hemorrhage control.</w:t>
            </w:r>
          </w:p>
        </w:tc>
        <w:tc>
          <w:tcPr>
            <w:tcW w:w="4454" w:type="dxa"/>
            <w:tcMar>
              <w:top w:w="60" w:type="dxa"/>
              <w:left w:w="120" w:type="dxa"/>
              <w:bottom w:w="30" w:type="dxa"/>
              <w:right w:w="120" w:type="dxa"/>
            </w:tcMar>
          </w:tcPr>
          <w:p w14:paraId="1655820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who achieved ROSC before emergency hemorrhage control procedure.</w:t>
            </w:r>
          </w:p>
        </w:tc>
      </w:tr>
      <w:tr w14:paraId="2653AAC2">
        <w:tc>
          <w:tcPr>
            <w:tcW w:w="2788" w:type="dxa"/>
            <w:tcMar>
              <w:top w:w="60" w:type="dxa"/>
              <w:left w:w="120" w:type="dxa"/>
              <w:bottom w:w="30" w:type="dxa"/>
              <w:right w:w="120" w:type="dxa"/>
            </w:tcMar>
          </w:tcPr>
          <w:p w14:paraId="190EAB4D">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Vianen NJ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"https://doi.org/10.1007/s00068-022-01941-y"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10.1007/s00068-022-01941-y</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tcMar>
              <w:top w:w="60" w:type="dxa"/>
              <w:left w:w="120" w:type="dxa"/>
              <w:bottom w:w="30" w:type="dxa"/>
              <w:right w:w="120" w:type="dxa"/>
            </w:tcMar>
          </w:tcPr>
          <w:p w14:paraId="11BC1980">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Prehospital </w:t>
            </w: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refers to circulatory arrest after trauma requiring urgent action; no strict operational definition beyond studies' own TCA criteria.</w:t>
            </w:r>
          </w:p>
        </w:tc>
        <w:tc>
          <w:tcPr>
            <w:tcW w:w="3054" w:type="dxa"/>
            <w:tcMar>
              <w:top w:w="60" w:type="dxa"/>
              <w:left w:w="120" w:type="dxa"/>
              <w:bottom w:w="30" w:type="dxa"/>
              <w:right w:w="120" w:type="dxa"/>
            </w:tcMar>
          </w:tcPr>
          <w:p w14:paraId="7E77D5B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Primary studies (1995</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2020) reporting outcomes of prehospital TCA patients.</w:t>
            </w:r>
          </w:p>
          <w:p w14:paraId="0D0EEC1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Articles in English, French, German, or Dutch.</w:t>
            </w:r>
          </w:p>
          <w:p w14:paraId="17B21D95">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NOS score ≥6.</w:t>
            </w:r>
          </w:p>
          <w:p w14:paraId="4776110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Low risk of bias.</w:t>
            </w:r>
          </w:p>
        </w:tc>
        <w:tc>
          <w:tcPr>
            <w:tcW w:w="4454" w:type="dxa"/>
            <w:tcMar>
              <w:top w:w="60" w:type="dxa"/>
              <w:left w:w="120" w:type="dxa"/>
              <w:bottom w:w="30" w:type="dxa"/>
              <w:right w:w="120" w:type="dxa"/>
            </w:tcMar>
          </w:tcPr>
          <w:p w14:paraId="4D85DC42">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Studies with &gt;10% pediatric patients.- Military/combat patients.</w:t>
            </w:r>
          </w:p>
          <w:p w14:paraId="22A43918">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Studies evaluating only specific treatments (e.g., thoracotomy, REBOA).</w:t>
            </w:r>
          </w:p>
          <w:p w14:paraId="01473434">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Letters, expert opinions, systematic reviews, meta-analyses, animal studies.</w:t>
            </w:r>
          </w:p>
          <w:p w14:paraId="7564C2B1">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Unavailable full text.</w:t>
            </w:r>
          </w:p>
          <w:p w14:paraId="03A59203">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Published before 1995.</w:t>
            </w:r>
          </w:p>
        </w:tc>
      </w:tr>
      <w:tr w14:paraId="711A0567">
        <w:tc>
          <w:tcPr>
            <w:tcW w:w="2788" w:type="dxa"/>
            <w:tcMar>
              <w:top w:w="60" w:type="dxa"/>
              <w:left w:w="120" w:type="dxa"/>
              <w:bottom w:w="30" w:type="dxa"/>
              <w:right w:w="120" w:type="dxa"/>
            </w:tcMar>
            <w:vAlign w:val="top"/>
          </w:tcPr>
          <w:p w14:paraId="6C3678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Irfan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"https://doi.org/10.1186/s12245-022-00454-0"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10.1186/s12245-022-00454-0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tcMar>
              <w:top w:w="60" w:type="dxa"/>
              <w:left w:w="120" w:type="dxa"/>
              <w:bottom w:w="30" w:type="dxa"/>
              <w:right w:w="120" w:type="dxa"/>
            </w:tcMar>
            <w:vAlign w:val="top"/>
          </w:tcPr>
          <w:p w14:paraId="4259741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"Cessation of circulatory activity in a trauma patient confirmed by the absence of signs of circulation or abnormal cardiac arrest rhythm inside a hospital setting, which was not cardiac re-arrest." (IHCAT); "Cessation of circulatory activity in a trauma patient that is confirmed by the absence of signs of circulation and that occurs outside of a hospital setting." (OHTCA)</w:t>
            </w:r>
          </w:p>
        </w:tc>
        <w:tc>
          <w:tcPr>
            <w:tcW w:w="3054" w:type="dxa"/>
            <w:tcMar>
              <w:top w:w="60" w:type="dxa"/>
              <w:left w:w="120" w:type="dxa"/>
              <w:bottom w:w="30" w:type="dxa"/>
              <w:right w:w="120" w:type="dxa"/>
            </w:tcMar>
            <w:vAlign w:val="top"/>
          </w:tcPr>
          <w:p w14:paraId="159DB7F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IHCAT: Adult (＞18 years) trauma patients with absence of circulation signs or abnormal cardiac arrest rhythm, received CPR in ED/hospital, no time limit between trauma and arrest.</w:t>
            </w:r>
          </w:p>
          <w:p w14:paraId="4E62F5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OHTCA: Adult trauma patients with pre-hospital cardiac arrest confirmed by EMS, received pre-hospital CPR.</w:t>
            </w:r>
          </w:p>
        </w:tc>
        <w:tc>
          <w:tcPr>
            <w:tcW w:w="4454" w:type="dxa"/>
            <w:tcMar>
              <w:top w:w="60" w:type="dxa"/>
              <w:left w:w="120" w:type="dxa"/>
              <w:bottom w:w="30" w:type="dxa"/>
              <w:right w:w="120" w:type="dxa"/>
            </w:tcMar>
            <w:vAlign w:val="top"/>
          </w:tcPr>
          <w:p w14:paraId="0B5A590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Trauma patients with clear signs of death, injuries due to drowning, electrocution, or burns.</w:t>
            </w:r>
          </w:p>
        </w:tc>
      </w:tr>
      <w:tr w14:paraId="73C714E9">
        <w:tc>
          <w:tcPr>
            <w:tcW w:w="2788" w:type="dxa"/>
            <w:vAlign w:val="top"/>
          </w:tcPr>
          <w:p w14:paraId="1FB5929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Wolthers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"https://doi.org/10.1097/MEJ.0000000000001108"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10.1097/MEJ.0000000000001108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76036FB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resulting from blunt, penetrating or burn injury, according to the Utstein template."</w:t>
            </w:r>
          </w:p>
        </w:tc>
        <w:tc>
          <w:tcPr>
            <w:tcW w:w="3054" w:type="dxa"/>
            <w:vAlign w:val="top"/>
          </w:tcPr>
          <w:p w14:paraId="3B67413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All patients with TCA in Denmark (2016-2021) assessed by Danish HEMS physician, all age groups, including those declared dead on scene.</w:t>
            </w:r>
          </w:p>
        </w:tc>
        <w:tc>
          <w:tcPr>
            <w:tcW w:w="4454" w:type="dxa"/>
            <w:vAlign w:val="top"/>
          </w:tcPr>
          <w:p w14:paraId="5346DFD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HEMS dispatched but not arrived.</w:t>
            </w:r>
          </w:p>
          <w:p w14:paraId="6741513A">
            <w:pPr>
              <w:pStyle w:val="12"/>
              <w:ind w:left="0" w:leftChars="0"/>
              <w:rPr>
                <w:rFonts w:hint="default" w:ascii="Times New Roman Regular" w:hAnsi="Times New Roman Regular" w:eastAsia="等线" w:cs="Times New Roman Regular"/>
                <w:sz w:val="24"/>
                <w:szCs w:val="24"/>
              </w:rPr>
            </w:pPr>
            <w:r>
              <w:rPr>
                <w:rFonts w:hint="eastAsia" w:ascii="Times New Roman Regular" w:hAnsi="Times New Roman Regular" w:cs="Times New Roman Regular"/>
                <w:sz w:val="24"/>
                <w:szCs w:val="24"/>
                <w:lang w:val="en-US" w:eastAsia="zh-CN"/>
              </w:rPr>
              <w:t>-</w:t>
            </w:r>
            <w:r>
              <w:rPr>
                <w:rFonts w:hint="default" w:ascii="Times New Roman Regular" w:hAnsi="Times New Roman Regular" w:cs="Times New Roman Regular"/>
                <w:sz w:val="24"/>
                <w:szCs w:val="24"/>
              </w:rPr>
              <w:t xml:space="preserve"> Cardiac arrest due to hanging, drowning, electrocution.- Patients without valid personal identification numbers.</w:t>
            </w:r>
          </w:p>
        </w:tc>
      </w:tr>
      <w:tr w14:paraId="1F463D5C">
        <w:tc>
          <w:tcPr>
            <w:tcW w:w="2788" w:type="dxa"/>
            <w:vAlign w:val="top"/>
          </w:tcPr>
          <w:p w14:paraId="6D4C91E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Almutairi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"https://doi.org/10.7759/cureus.39598"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10.7759/cureus.39598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7F3B4EF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"The cessation of cardiac pumping activity secondary to blunt or penetrating trauma."</w:t>
            </w:r>
          </w:p>
        </w:tc>
        <w:tc>
          <w:tcPr>
            <w:tcW w:w="3054" w:type="dxa"/>
            <w:vAlign w:val="top"/>
          </w:tcPr>
          <w:p w14:paraId="43A7E7D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Pediatric patients (≤14 years) admitted to ED with traumatic cardiac arrest in ED (2005-2021); drowning patients included as traumatic.</w:t>
            </w:r>
          </w:p>
        </w:tc>
        <w:tc>
          <w:tcPr>
            <w:tcW w:w="4454" w:type="dxa"/>
            <w:vAlign w:val="top"/>
          </w:tcPr>
          <w:p w14:paraId="62D423F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Non-traumatic cardiac arrest cases, patients older than 14 years.</w:t>
            </w:r>
          </w:p>
        </w:tc>
      </w:tr>
      <w:tr w14:paraId="23DBAFB3">
        <w:tc>
          <w:tcPr>
            <w:tcW w:w="2788" w:type="dxa"/>
            <w:vAlign w:val="top"/>
          </w:tcPr>
          <w:p w14:paraId="5FC0716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Alhasan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"https://doi.org/10.1097/MD.0000000000020520"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10.1097/MD.0000000000020520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2A46618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resulting from an external application of kinetic energy."</w:t>
            </w:r>
          </w:p>
        </w:tc>
        <w:tc>
          <w:tcPr>
            <w:tcW w:w="3054" w:type="dxa"/>
            <w:vAlign w:val="top"/>
          </w:tcPr>
          <w:p w14:paraId="60BF646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Adult patients (＞18 years) with TCA activated EMS, treated/transported by EMS; mechanisms include RTA, FFH, slip/fall, assaults.</w:t>
            </w:r>
          </w:p>
        </w:tc>
        <w:tc>
          <w:tcPr>
            <w:tcW w:w="4454" w:type="dxa"/>
            <w:vAlign w:val="top"/>
          </w:tcPr>
          <w:p w14:paraId="1A86251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Cardiac arrest of non-traumatic etiology.- Resuscitation not attempted (decapitation, rigor mortis, dependent lividity).</w:t>
            </w:r>
          </w:p>
        </w:tc>
      </w:tr>
      <w:tr w14:paraId="4B0392D3">
        <w:tc>
          <w:tcPr>
            <w:tcW w:w="2788" w:type="dxa"/>
            <w:vAlign w:val="top"/>
          </w:tcPr>
          <w:p w14:paraId="3B2E6B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Vassallo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"https://doi.org/10.1136/archdischild-2018-314985"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10.1136/archdischild-2018-314985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3B2EA1D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"A </w:t>
            </w:r>
            <w:r>
              <w:rPr>
                <w:rFonts w:hint="default" w:ascii="Times New Roman Regular" w:hAnsi="Times New Roman Regular" w:cs="Times New Roman Regular"/>
                <w:sz w:val="24"/>
                <w:szCs w:val="24"/>
                <w:lang w:val="en-US"/>
              </w:rPr>
              <w:t>GCS</w:t>
            </w:r>
            <w:r>
              <w:rPr>
                <w:rFonts w:hint="default" w:ascii="Times New Roman Regular" w:hAnsi="Times New Roman Regular" w:cs="Times New Roman Regular"/>
                <w:sz w:val="24"/>
                <w:szCs w:val="24"/>
              </w:rPr>
              <w:t xml:space="preserve"> score of 3 and a pulse or blood pressure of zero" with primary traumatic mechanism of injury.</w:t>
            </w:r>
          </w:p>
        </w:tc>
        <w:tc>
          <w:tcPr>
            <w:tcW w:w="3054" w:type="dxa"/>
            <w:vAlign w:val="top"/>
          </w:tcPr>
          <w:p w14:paraId="39394D0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Pediatric/adolescent patients (＜18 years) with TCA (2006-2015) in TARN database, met TARN inclusion criteria (admission ≥3 days, ICU/HDU, transfer for specialist care).</w:t>
            </w:r>
          </w:p>
        </w:tc>
        <w:tc>
          <w:tcPr>
            <w:tcW w:w="4454" w:type="dxa"/>
            <w:vAlign w:val="top"/>
          </w:tcPr>
          <w:p w14:paraId="455BF88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Asphyxia/suffocation, drowning, high-voltage electrical injury as cause of arrest.- No recorded GCS.</w:t>
            </w:r>
          </w:p>
          <w:p w14:paraId="6C075B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Non-energy transfer mechanisms.</w:t>
            </w:r>
          </w:p>
        </w:tc>
      </w:tr>
      <w:tr w14:paraId="2830B41F">
        <w:tc>
          <w:tcPr>
            <w:tcW w:w="2788" w:type="dxa"/>
            <w:vAlign w:val="top"/>
          </w:tcPr>
          <w:p w14:paraId="3C76F1A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Barnard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"https://doi.org/10.1016/j.resuscitation.2016.11.001"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10.1016/j.resuscitation.2016.11.001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05AADE1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 patient who has sustained trauma with agonal or absent spontaneous respiration and absence of a central pulse."</w:t>
            </w:r>
          </w:p>
        </w:tc>
        <w:tc>
          <w:tcPr>
            <w:tcW w:w="3054" w:type="dxa"/>
            <w:vAlign w:val="top"/>
          </w:tcPr>
          <w:p w14:paraId="3AF30EE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of all ages with TCA (pre-hospital or ED) in TARN database (2009-2015), met TARN inclusion criteria.</w:t>
            </w:r>
          </w:p>
        </w:tc>
        <w:tc>
          <w:tcPr>
            <w:tcW w:w="4454" w:type="dxa"/>
            <w:vAlign w:val="top"/>
          </w:tcPr>
          <w:p w14:paraId="4180E8E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recorded GCS.- AIS codes for asphyxia/suffocation, drowning, high-voltage electrical injury, burns.</w:t>
            </w:r>
          </w:p>
          <w:p w14:paraId="5B32527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TCA occurring in hospital after ED discharge.</w:t>
            </w:r>
          </w:p>
        </w:tc>
      </w:tr>
      <w:tr w14:paraId="340B70E1">
        <w:tc>
          <w:tcPr>
            <w:tcW w:w="2788" w:type="dxa"/>
            <w:vAlign w:val="top"/>
          </w:tcPr>
          <w:p w14:paraId="3D78978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Djarv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"https://doi.org/10.1186/s13049-018-0500-7"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10.1186/s13049-018-0500-7</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608243D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"An OHCA with traumatic aetiology which, according to Utstein, is defined as 'cardiac arrest directly caused by blunt, penetrating or burn injury'."</w:t>
            </w:r>
          </w:p>
        </w:tc>
        <w:tc>
          <w:tcPr>
            <w:tcW w:w="3054" w:type="dxa"/>
            <w:vAlign w:val="top"/>
          </w:tcPr>
          <w:p w14:paraId="78B6EB1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TCA cases in Swedish Registry for Cardiopulmonary Resuscitation (1990-2016); OHCA with EMS-assessed traumatic aetiology.</w:t>
            </w:r>
          </w:p>
        </w:tc>
        <w:tc>
          <w:tcPr>
            <w:tcW w:w="4454" w:type="dxa"/>
            <w:vAlign w:val="top"/>
          </w:tcPr>
          <w:p w14:paraId="0A2E02A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Hypoxic cases (hanging, drowning), choking, suicide, drug overdose.</w:t>
            </w:r>
          </w:p>
        </w:tc>
      </w:tr>
      <w:tr w14:paraId="03A0E599">
        <w:tc>
          <w:tcPr>
            <w:tcW w:w="2788" w:type="dxa"/>
            <w:vAlign w:val="top"/>
          </w:tcPr>
          <w:p w14:paraId="6043E0B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Beck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"https://doi.org/10.1016/j.resuscitation.2016.11.011"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10.1016/j.resuscitation.2016.11.011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6B42BE2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Traumatic </w:t>
            </w:r>
            <w:r>
              <w:rPr>
                <w:rFonts w:hint="default" w:ascii="Times New Roman Regular" w:hAnsi="Times New Roman Regular" w:cs="Times New Roman Regular"/>
                <w:sz w:val="24"/>
                <w:szCs w:val="24"/>
                <w:lang w:val="en-US"/>
              </w:rPr>
              <w:t>OHCA</w:t>
            </w:r>
            <w:r>
              <w:rPr>
                <w:rFonts w:hint="default" w:ascii="Times New Roman Regular" w:hAnsi="Times New Roman Regular" w:cs="Times New Roman Regular"/>
                <w:sz w:val="24"/>
                <w:szCs w:val="24"/>
              </w:rPr>
              <w:t xml:space="preserve"> caused by trauma, excluding cases with hanging or drowning mechanisms.</w:t>
            </w:r>
          </w:p>
        </w:tc>
        <w:tc>
          <w:tcPr>
            <w:tcW w:w="3054" w:type="dxa"/>
            <w:vAlign w:val="top"/>
          </w:tcPr>
          <w:p w14:paraId="77A2B4F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Cases of traumatic OHCA in Victoria, Australia between July 2008 and June 2014.- Aged ≥16 years.</w:t>
            </w:r>
          </w:p>
        </w:tc>
        <w:tc>
          <w:tcPr>
            <w:tcW w:w="4454" w:type="dxa"/>
            <w:vAlign w:val="top"/>
          </w:tcPr>
          <w:p w14:paraId="615C11F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Aged &lt;16 years.</w:t>
            </w:r>
          </w:p>
          <w:p w14:paraId="0B43AB8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Mechanism of injury was hanging or drowning.</w:t>
            </w:r>
          </w:p>
        </w:tc>
      </w:tr>
      <w:tr w14:paraId="5B8DC1C7">
        <w:tc>
          <w:tcPr>
            <w:tcW w:w="2788" w:type="dxa"/>
            <w:vAlign w:val="top"/>
          </w:tcPr>
          <w:p w14:paraId="3CF3590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Wang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"https://doi.org/10.1186/s13049-025-01335-0"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10.1186/s13049-025-01335-0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019B0D6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 sudden loss of heart function caused by severe trauma such as blunt, penetrating, or other injuries, leading to the cessation of cardiac mechanical activity.</w:t>
            </w:r>
          </w:p>
        </w:tc>
        <w:tc>
          <w:tcPr>
            <w:tcW w:w="3054" w:type="dxa"/>
            <w:vAlign w:val="top"/>
          </w:tcPr>
          <w:p w14:paraId="6188133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Adults (age &gt;18 years) with TCA admitted to emergency departments in Taoyuan City between January 2016 and December 2022.</w:t>
            </w:r>
          </w:p>
          <w:p w14:paraId="28AE29E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Transported by EMS.</w:t>
            </w:r>
          </w:p>
        </w:tc>
        <w:tc>
          <w:tcPr>
            <w:tcW w:w="4454" w:type="dxa"/>
            <w:vAlign w:val="top"/>
          </w:tcPr>
          <w:p w14:paraId="1753D30E">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Pronounced dead at the scene.</w:t>
            </w:r>
          </w:p>
          <w:p w14:paraId="71BB86B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Incomplete outcome or EMS time data.</w:t>
            </w:r>
          </w:p>
          <w:p w14:paraId="00E93C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TCA due to hanging.</w:t>
            </w:r>
          </w:p>
        </w:tc>
      </w:tr>
      <w:tr w14:paraId="739F9BA8">
        <w:tc>
          <w:tcPr>
            <w:tcW w:w="2788" w:type="dxa"/>
            <w:vAlign w:val="top"/>
          </w:tcPr>
          <w:p w14:paraId="45A5357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Ji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"https://doi.org/10.1016/j.resplu.2025.100890"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10.1016/j.resplu.2025.100890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6B61F09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secondary to trauma.</w:t>
            </w:r>
          </w:p>
        </w:tc>
        <w:tc>
          <w:tcPr>
            <w:tcW w:w="3054" w:type="dxa"/>
            <w:vAlign w:val="top"/>
          </w:tcPr>
          <w:p w14:paraId="39AF0E9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Adults with trauma-related out-of-hospital cardiac arrest enrolled in the PARAMEDIC2 trial.</w:t>
            </w:r>
          </w:p>
          <w:p w14:paraId="5AF269D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Randomised to receive adrenaline or placebo.</w:t>
            </w:r>
          </w:p>
        </w:tc>
        <w:tc>
          <w:tcPr>
            <w:tcW w:w="4454" w:type="dxa"/>
            <w:vAlign w:val="top"/>
          </w:tcPr>
          <w:p w14:paraId="5F8625E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Pregnant patients.</w:t>
            </w:r>
          </w:p>
          <w:p w14:paraId="7C2A49B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Aged &lt;16 years.</w:t>
            </w:r>
          </w:p>
          <w:p w14:paraId="2534AC0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Cardiac arrest secondary to asthma or anaphylaxis.</w:t>
            </w:r>
          </w:p>
          <w:p w14:paraId="56888B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Already received adrenaline.</w:t>
            </w:r>
          </w:p>
        </w:tc>
      </w:tr>
      <w:tr w14:paraId="64E71860">
        <w:tc>
          <w:tcPr>
            <w:tcW w:w="2788" w:type="dxa"/>
            <w:vAlign w:val="top"/>
          </w:tcPr>
          <w:p w14:paraId="7C5013C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Cheng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"https://doi.org/10.1016/j.injury.2025.112262"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10.1016/j.injury.2025.112262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0C3BA00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caused by a prior traumatic event, with ultrasound-detected cardiac activity during resuscitation excluding the diagnosis of cardiac arrest.</w:t>
            </w:r>
          </w:p>
        </w:tc>
        <w:tc>
          <w:tcPr>
            <w:tcW w:w="3054" w:type="dxa"/>
            <w:vAlign w:val="top"/>
          </w:tcPr>
          <w:p w14:paraId="038E19D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with TCA transported by EMS to a tertiary trauma center in Tainan, Taiwan between 2016 and 2022.</w:t>
            </w:r>
          </w:p>
          <w:p w14:paraId="5F4AC22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Presented with non-shockable rhythms (PEA or asystole).</w:t>
            </w:r>
          </w:p>
        </w:tc>
        <w:tc>
          <w:tcPr>
            <w:tcW w:w="4454" w:type="dxa"/>
            <w:vAlign w:val="top"/>
          </w:tcPr>
          <w:p w14:paraId="7525D8B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Non-traumatic cardiac arrests.</w:t>
            </w:r>
          </w:p>
          <w:p w14:paraId="188AED2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ROSC.</w:t>
            </w:r>
          </w:p>
          <w:p w14:paraId="5B9A033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Atypical trauma mechanisms (hanging, burns, drowning, electrocution, lightning strikes).- Aged &lt;18 years.</w:t>
            </w:r>
          </w:p>
          <w:p w14:paraId="2FDBDF18">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Pregnant patients.</w:t>
            </w:r>
          </w:p>
          <w:p w14:paraId="73F5A2C9">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Referred from other hospitals.</w:t>
            </w:r>
          </w:p>
          <w:p w14:paraId="6A63483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Incomplete data.- Initial shockable rhythms (ventricular tachycardia or ventricular fibrillation).</w:t>
            </w:r>
          </w:p>
        </w:tc>
      </w:tr>
      <w:tr w14:paraId="036925F8">
        <w:tc>
          <w:tcPr>
            <w:tcW w:w="2788" w:type="dxa"/>
            <w:vAlign w:val="top"/>
          </w:tcPr>
          <w:p w14:paraId="167A982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Doan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"https://doi.org/10.1136/emermed-2021-211723"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10.1136/emermed-2021-211723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37C7D2C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resulting from blunt, penetrating or burn injury, excluding hanging, drowning, electrocution, asphyxiation, foreign body airway obstruction and intoxication.</w:t>
            </w:r>
          </w:p>
        </w:tc>
        <w:tc>
          <w:tcPr>
            <w:tcW w:w="3054" w:type="dxa"/>
            <w:vAlign w:val="top"/>
          </w:tcPr>
          <w:p w14:paraId="2748E32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Adult (≥18 years) out-of-hospital TCA attended by Queensland Ambulance Service paramedics between 1 January 2007 and 31 December 2019.</w:t>
            </w:r>
          </w:p>
          <w:p w14:paraId="0952586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Known mechanism of injury.</w:t>
            </w:r>
          </w:p>
        </w:tc>
        <w:tc>
          <w:tcPr>
            <w:tcW w:w="4454" w:type="dxa"/>
            <w:vAlign w:val="top"/>
          </w:tcPr>
          <w:p w14:paraId="33E862A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Unknown mechanism of injury.</w:t>
            </w:r>
          </w:p>
          <w:p w14:paraId="31F4897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Patients pronounced dead on paramedic arrival (obvious signs of death, injuries incompatible with life, resuscitation endangers clinicians, lawful direction to not resuscitate).</w:t>
            </w:r>
          </w:p>
        </w:tc>
      </w:tr>
      <w:tr w14:paraId="5C52A5EF">
        <w:tc>
          <w:tcPr>
            <w:tcW w:w="2788" w:type="dxa"/>
            <w:vAlign w:val="top"/>
          </w:tcPr>
          <w:p w14:paraId="78C63E3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Lee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"https://doi.org/10.1080/10903127.2022.2113941"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10.1080/10903127.2022.2113941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7292E6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 patient who had an out-of-hospital injury such as blunt trauma, penetrating trauma, or burns, and had absence of pulse, unresponsiveness, and apnea, as assessed by EMS personnel.</w:t>
            </w:r>
          </w:p>
        </w:tc>
        <w:tc>
          <w:tcPr>
            <w:tcW w:w="3054" w:type="dxa"/>
            <w:vAlign w:val="top"/>
          </w:tcPr>
          <w:p w14:paraId="1A5B702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with out-of-hospital traumatic cardiac arrest in the PAROS registry between 2009 and 2018.</w:t>
            </w:r>
          </w:p>
          <w:p w14:paraId="23EE17D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Aged ≥18 years.- Resuscitation attempted.</w:t>
            </w:r>
          </w:p>
          <w:p w14:paraId="222C348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outcomes reported.</w:t>
            </w:r>
          </w:p>
        </w:tc>
        <w:tc>
          <w:tcPr>
            <w:tcW w:w="4454" w:type="dxa"/>
            <w:vAlign w:val="top"/>
          </w:tcPr>
          <w:p w14:paraId="28655027">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Resuscitation not attempted (immediately pronounced dead, "do not resuscitate" orders).</w:t>
            </w:r>
          </w:p>
          <w:p w14:paraId="1ADF8A9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Aged &lt;18 years.- Missing survival to discharge outcomes.</w:t>
            </w:r>
          </w:p>
        </w:tc>
      </w:tr>
      <w:tr w14:paraId="69541832">
        <w:tc>
          <w:tcPr>
            <w:tcW w:w="2788" w:type="dxa"/>
            <w:vAlign w:val="top"/>
          </w:tcPr>
          <w:p w14:paraId="7D6D10C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Escutnaire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"https://doi.org/10.1016/j.resuscitation.2018.07.032"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10.1016/j.resuscitation.2018.07.032</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0654A87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Traumatic </w:t>
            </w:r>
            <w:r>
              <w:rPr>
                <w:rFonts w:hint="default" w:ascii="Times New Roman Regular" w:hAnsi="Times New Roman Regular" w:cs="Times New Roman Regular"/>
                <w:sz w:val="24"/>
                <w:szCs w:val="24"/>
                <w:lang w:val="en-US"/>
              </w:rPr>
              <w:t>OHCA</w:t>
            </w:r>
            <w:r>
              <w:rPr>
                <w:rFonts w:hint="default" w:ascii="Times New Roman Regular" w:hAnsi="Times New Roman Regular" w:cs="Times New Roman Regular"/>
                <w:sz w:val="24"/>
                <w:szCs w:val="24"/>
              </w:rPr>
              <w:t xml:space="preserve"> as defined by Utstein-style criteria, caused by trauma.</w:t>
            </w:r>
          </w:p>
        </w:tc>
        <w:tc>
          <w:tcPr>
            <w:tcW w:w="3054" w:type="dxa"/>
            <w:vAlign w:val="top"/>
          </w:tcPr>
          <w:p w14:paraId="214E667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Traumatic OHCA in France between 1st July 2011 and 1st January 2017.</w:t>
            </w:r>
          </w:p>
          <w:p w14:paraId="73B7D74F">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MMT dispatched.</w:t>
            </w:r>
          </w:p>
          <w:p w14:paraId="4F26171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Survival data available if admitted alive.</w:t>
            </w:r>
          </w:p>
        </w:tc>
        <w:tc>
          <w:tcPr>
            <w:tcW w:w="4454" w:type="dxa"/>
            <w:vAlign w:val="top"/>
          </w:tcPr>
          <w:p w14:paraId="59ACC55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Other aetiologies (asphyxia, overdose, electrocution, drowning) or unknown aetiology.</w:t>
            </w:r>
          </w:p>
          <w:p w14:paraId="54CDF93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Positive signs of death at MMT arrival (decay, rigor mortis).</w:t>
            </w:r>
          </w:p>
          <w:p w14:paraId="3E31518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Prolonged cardiac arrest with no resuscitation attempt.- Missing mandatory data.</w:t>
            </w:r>
          </w:p>
        </w:tc>
      </w:tr>
      <w:tr w14:paraId="4DDBC5F6">
        <w:tc>
          <w:tcPr>
            <w:tcW w:w="2788" w:type="dxa"/>
            <w:vAlign w:val="top"/>
          </w:tcPr>
          <w:p w14:paraId="3055961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Evans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"https://doi.org/10.1097/TA.0000000000001070"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10.1097/TA.0000000000001070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0128FDD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Traumatic arrest defined as having occurred if a patient was known to have received prehospital CPR by EMS providers (includes patients who died on scene and were not transported).</w:t>
            </w:r>
          </w:p>
        </w:tc>
        <w:tc>
          <w:tcPr>
            <w:tcW w:w="3054" w:type="dxa"/>
            <w:vAlign w:val="top"/>
          </w:tcPr>
          <w:p w14:paraId="67A6335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with blunt or penetrating injury who received prehospital CPR, from ROC Epistry</w:t>
            </w:r>
          </w:p>
          <w:p w14:paraId="64C2736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-Trauma (December 2005-October 2007) and PROPHET (January 2010-June 2011) registries.</w:t>
            </w:r>
          </w:p>
          <w:p w14:paraId="416345D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Epistry-Trauma: SBP ≤90, RR &lt;10 or &gt;29, GCS ≤12, intubated in field, or died in field.</w:t>
            </w:r>
          </w:p>
          <w:p w14:paraId="7CC0F83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PROPHET: SBP ≤90 or GCS ≤8, transported to Level I/II trauma center or died en route.</w:t>
            </w:r>
          </w:p>
        </w:tc>
        <w:tc>
          <w:tcPr>
            <w:tcW w:w="4454" w:type="dxa"/>
            <w:vAlign w:val="top"/>
          </w:tcPr>
          <w:p w14:paraId="0E63198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Unknown survival to discharge status.- Non-blunt/non-penetrating injury.</w:t>
            </w:r>
          </w:p>
          <w:p w14:paraId="36AC2EF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PROPHET: Declaration of non-survivability without EMS treatment, hanging, drowning, primary burn, or blunt/penetrating injury with burn &gt;20% TBSA.</w:t>
            </w:r>
          </w:p>
        </w:tc>
      </w:tr>
      <w:tr w14:paraId="03595E0E">
        <w:tc>
          <w:tcPr>
            <w:tcW w:w="2788" w:type="dxa"/>
            <w:vAlign w:val="top"/>
          </w:tcPr>
          <w:p w14:paraId="4263AF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Kitano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"https://doi.org/10.1016/j.resuscitation.2021.12.023"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10.1016/j.resuscitation.2021.12.023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6E809AB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Traumatic cardiac arrest caused by traffic collisions.</w:t>
            </w:r>
          </w:p>
        </w:tc>
        <w:tc>
          <w:tcPr>
            <w:tcW w:w="3054" w:type="dxa"/>
            <w:vAlign w:val="top"/>
          </w:tcPr>
          <w:p w14:paraId="62CB8C5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with TCA caused by traffic collisions registered in the Japanese Utstein Registry between 2014 and 2019.</w:t>
            </w:r>
          </w:p>
          <w:p w14:paraId="0AAA186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Treated by EMS.</w:t>
            </w:r>
          </w:p>
        </w:tc>
        <w:tc>
          <w:tcPr>
            <w:tcW w:w="4454" w:type="dxa"/>
            <w:vAlign w:val="top"/>
          </w:tcPr>
          <w:p w14:paraId="2B001C9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Missing data on bystander type.</w:t>
            </w:r>
          </w:p>
          <w:p w14:paraId="3029CD89">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Aged &lt;18 years.-</w:t>
            </w:r>
          </w:p>
          <w:p w14:paraId="5B07D4C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Non-TCA cases.</w:t>
            </w:r>
          </w:p>
          <w:p w14:paraId="3911DE2F">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Doctor’s car dispatched.</w:t>
            </w:r>
          </w:p>
          <w:p w14:paraId="21EB6A5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data on 1-month survival.</w:t>
            </w:r>
          </w:p>
          <w:p w14:paraId="4740C40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Illogical time values.</w:t>
            </w:r>
          </w:p>
        </w:tc>
      </w:tr>
      <w:tr w14:paraId="7D9263FC">
        <w:tc>
          <w:tcPr>
            <w:tcW w:w="2788" w:type="dxa"/>
            <w:vAlign w:val="top"/>
          </w:tcPr>
          <w:p w14:paraId="15D9FA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Faulkner J et al. (10.1177/00031348221091937)</w:t>
            </w:r>
          </w:p>
        </w:tc>
        <w:tc>
          <w:tcPr>
            <w:tcW w:w="3919" w:type="dxa"/>
            <w:vAlign w:val="top"/>
          </w:tcPr>
          <w:p w14:paraId="456E261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18 and younger with no signs of life (defined as 0 for pulse and 0 for systolic blood pressure on ED arrival; NA for either vital reading was excluded).</w:t>
            </w:r>
          </w:p>
        </w:tc>
        <w:tc>
          <w:tcPr>
            <w:tcW w:w="3054" w:type="dxa"/>
            <w:vAlign w:val="top"/>
          </w:tcPr>
          <w:p w14:paraId="233B087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≤18 years old.</w:t>
            </w:r>
          </w:p>
          <w:p w14:paraId="796D7FA6">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 signs of life (pulse=0, systolic blood pressure=0) on ED arrival.</w:t>
            </w:r>
          </w:p>
          <w:p w14:paraId="73B9E89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Data from NTDB 2007-2016.</w:t>
            </w:r>
          </w:p>
        </w:tc>
        <w:tc>
          <w:tcPr>
            <w:tcW w:w="4454" w:type="dxa"/>
            <w:vAlign w:val="top"/>
          </w:tcPr>
          <w:p w14:paraId="7EC32DA6">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with NA for pulse or systolic blood pressure.</w:t>
            </w:r>
          </w:p>
          <w:p w14:paraId="5C553C7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Patients with abnormal GCS scores that made "signs of life" indicator unreliable.</w:t>
            </w:r>
          </w:p>
        </w:tc>
      </w:tr>
      <w:tr w14:paraId="34952305">
        <w:tc>
          <w:tcPr>
            <w:tcW w:w="2788" w:type="dxa"/>
            <w:vAlign w:val="top"/>
          </w:tcPr>
          <w:p w14:paraId="04D82B4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Talmy T et al. (10.1080/10903127.2023.2241542)</w:t>
            </w:r>
          </w:p>
        </w:tc>
        <w:tc>
          <w:tcPr>
            <w:tcW w:w="3919" w:type="dxa"/>
            <w:vAlign w:val="top"/>
          </w:tcPr>
          <w:p w14:paraId="26C9AC0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Cases where the IDF-MC TCA protocol was initiated (patients with loss of vital signs, receiving TCA-specific interventions, or pronounced dead on scene/transport).</w:t>
            </w:r>
          </w:p>
        </w:tc>
        <w:tc>
          <w:tcPr>
            <w:tcW w:w="3054" w:type="dxa"/>
            <w:vAlign w:val="top"/>
          </w:tcPr>
          <w:p w14:paraId="35D80E49">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Cases from IDF-TR 1997-2022 where TCA protocol was initiated.</w:t>
            </w:r>
          </w:p>
          <w:p w14:paraId="4155AAD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Manual review confirmed TCA (loss of vital signs, TCA interventions).</w:t>
            </w:r>
          </w:p>
        </w:tc>
        <w:tc>
          <w:tcPr>
            <w:tcW w:w="4454" w:type="dxa"/>
            <w:vAlign w:val="top"/>
          </w:tcPr>
          <w:p w14:paraId="08D50B6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Interventions performed outside TCA protocol (e.g., with measurable vital signs).</w:t>
            </w:r>
          </w:p>
          <w:p w14:paraId="6B8F884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Cases with undocumented but intact vital signs.</w:t>
            </w:r>
          </w:p>
          <w:p w14:paraId="1D4D22A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Insufficient documentation to confirm TCA.</w:t>
            </w:r>
          </w:p>
          <w:p w14:paraId="7898295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TCA protocol initiated before loss of vital signs.</w:t>
            </w:r>
          </w:p>
        </w:tc>
      </w:tr>
      <w:tr w14:paraId="707CDFC4">
        <w:tc>
          <w:tcPr>
            <w:tcW w:w="2788" w:type="dxa"/>
            <w:vAlign w:val="top"/>
          </w:tcPr>
          <w:p w14:paraId="6D3696C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Weegenaar C et al. (10.1186/s13049-024-01304-z)</w:t>
            </w:r>
          </w:p>
        </w:tc>
        <w:tc>
          <w:tcPr>
            <w:tcW w:w="3919" w:type="dxa"/>
            <w:vAlign w:val="top"/>
          </w:tcPr>
          <w:p w14:paraId="29B0343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An unresponsive pulseless patient following trauma.</w:t>
            </w:r>
          </w:p>
        </w:tc>
        <w:tc>
          <w:tcPr>
            <w:tcW w:w="3054" w:type="dxa"/>
            <w:vAlign w:val="top"/>
          </w:tcPr>
          <w:p w14:paraId="50A7793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Prehospital patients with traumatic cardiac arrest.</w:t>
            </w:r>
          </w:p>
          <w:p w14:paraId="35DD899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Literature published in English 2014-2023.</w:t>
            </w:r>
          </w:p>
        </w:tc>
        <w:tc>
          <w:tcPr>
            <w:tcW w:w="4454" w:type="dxa"/>
            <w:vAlign w:val="top"/>
          </w:tcPr>
          <w:p w14:paraId="38FE530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Hangings, electrocutions, drownings (different mechanisms/resuscitation considerations).</w:t>
            </w:r>
          </w:p>
        </w:tc>
      </w:tr>
      <w:tr w14:paraId="24555329">
        <w:tc>
          <w:tcPr>
            <w:tcW w:w="2788" w:type="dxa"/>
            <w:vAlign w:val="top"/>
          </w:tcPr>
          <w:p w14:paraId="2C187DC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Rickard AC et al. (10.1136/emermed-2017-207226)</w:t>
            </w:r>
          </w:p>
        </w:tc>
        <w:tc>
          <w:tcPr>
            <w:tcW w:w="3919" w:type="dxa"/>
            <w:vAlign w:val="top"/>
          </w:tcPr>
          <w:p w14:paraId="21C500C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following a primary traumatic mechanism of injury (energy transfer or body cavity penetration); excludes asphyxia, drowning, electrocution.</w:t>
            </w:r>
          </w:p>
        </w:tc>
        <w:tc>
          <w:tcPr>
            <w:tcW w:w="3054" w:type="dxa"/>
            <w:vAlign w:val="top"/>
          </w:tcPr>
          <w:p w14:paraId="7DC003D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Experts in paediatric emergency medicine, anaesthesia, ICU, surgery, etc.</w:t>
            </w:r>
          </w:p>
          <w:p w14:paraId="39F2DEF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Statements related to diagnosis/management of paediatric TCA.</w:t>
            </w:r>
          </w:p>
        </w:tc>
        <w:tc>
          <w:tcPr>
            <w:tcW w:w="4454" w:type="dxa"/>
            <w:vAlign w:val="top"/>
          </w:tcPr>
          <w:p w14:paraId="3B9BFD2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Non-traumatic cardiac arrest.</w:t>
            </w:r>
          </w:p>
          <w:p w14:paraId="02C6E23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Mechanisms like drowning, electrocution.</w:t>
            </w:r>
          </w:p>
        </w:tc>
      </w:tr>
      <w:tr w14:paraId="65D3686B">
        <w:tc>
          <w:tcPr>
            <w:tcW w:w="2788" w:type="dxa"/>
            <w:vAlign w:val="top"/>
          </w:tcPr>
          <w:p w14:paraId="5C1EF2D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Vassallo J et al. (10.1136/emermed-2018-207739)</w:t>
            </w:r>
          </w:p>
        </w:tc>
        <w:tc>
          <w:tcPr>
            <w:tcW w:w="3919" w:type="dxa"/>
            <w:vAlign w:val="top"/>
          </w:tcPr>
          <w:p w14:paraId="17701F7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following a primary traumatic mechanism of injury (energy transfer or traumatic body cavity penetration); patients with no palpable central pulse and agonal/absent spontaneous respirations.</w:t>
            </w:r>
          </w:p>
        </w:tc>
        <w:tc>
          <w:tcPr>
            <w:tcW w:w="3054" w:type="dxa"/>
            <w:vAlign w:val="top"/>
          </w:tcPr>
          <w:p w14:paraId="6E3A66E0">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Paediatric patients (0-16 years) with traumatic cardiac arrest.</w:t>
            </w:r>
          </w:p>
          <w:p w14:paraId="64DFFFF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Consensus meeting participants (experts in paediatrics, emergency medicine, etc.).</w:t>
            </w:r>
          </w:p>
        </w:tc>
        <w:tc>
          <w:tcPr>
            <w:tcW w:w="4454" w:type="dxa"/>
            <w:vAlign w:val="top"/>
          </w:tcPr>
          <w:p w14:paraId="085BF35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Cardiac arrest from asphyxia, drowning, electrocution.</w:t>
            </w:r>
          </w:p>
          <w:p w14:paraId="7A2F58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Patients with AIS=6 (lethal trauma) or missing data.</w:t>
            </w:r>
          </w:p>
        </w:tc>
      </w:tr>
      <w:tr w14:paraId="339E55F6">
        <w:tc>
          <w:tcPr>
            <w:tcW w:w="2788" w:type="dxa"/>
            <w:vAlign w:val="top"/>
          </w:tcPr>
          <w:p w14:paraId="7A8628F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Yamamoto R et al. (10.1136/emermed-2024-214337)</w:t>
            </w:r>
          </w:p>
        </w:tc>
        <w:tc>
          <w:tcPr>
            <w:tcW w:w="3919" w:type="dxa"/>
            <w:vAlign w:val="top"/>
          </w:tcPr>
          <w:p w14:paraId="196B0A7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Traumatic out-of-hospital cardiac arrest (t-OHCA) defined as trauma patients with cardiac arrest at the scene (no measurable BP and unresponsive to stimuli on EMS arrival).</w:t>
            </w:r>
          </w:p>
        </w:tc>
        <w:tc>
          <w:tcPr>
            <w:tcW w:w="3054" w:type="dxa"/>
            <w:vAlign w:val="top"/>
          </w:tcPr>
          <w:p w14:paraId="7D4B3071">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Adults (≥18 years) with t-OHCA.</w:t>
            </w:r>
          </w:p>
          <w:p w14:paraId="291AD3F8">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Required airway management (intubation, supraglottic device, manual manoeuvre) prehospital.</w:t>
            </w:r>
          </w:p>
          <w:p w14:paraId="0B9AF4D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Data from JTDB 2019-2021.</w:t>
            </w:r>
          </w:p>
        </w:tc>
        <w:tc>
          <w:tcPr>
            <w:tcW w:w="4454" w:type="dxa"/>
            <w:vAlign w:val="top"/>
          </w:tcPr>
          <w:p w14:paraId="72047E9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Transported from another hospital.- Transportation time &gt;60 min.</w:t>
            </w:r>
          </w:p>
          <w:p w14:paraId="42B6523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Missing outcome values.</w:t>
            </w:r>
          </w:p>
        </w:tc>
      </w:tr>
      <w:tr w14:paraId="6389F7D5">
        <w:tc>
          <w:tcPr>
            <w:tcW w:w="2788" w:type="dxa"/>
            <w:vAlign w:val="top"/>
          </w:tcPr>
          <w:p w14:paraId="50F81A3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Nishimura T et al. (10.1002/ams2.786)</w:t>
            </w:r>
          </w:p>
        </w:tc>
        <w:tc>
          <w:tcPr>
            <w:tcW w:w="3919" w:type="dxa"/>
            <w:vAlign w:val="top"/>
          </w:tcPr>
          <w:p w14:paraId="5F13728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EMS-witnessed traumatic OHCA: traumatic cardiac arrest occurring after leaving the scene, receiving CPR during transport; excludes OHCA at scene (no BP/heart rate).</w:t>
            </w:r>
          </w:p>
        </w:tc>
        <w:tc>
          <w:tcPr>
            <w:tcW w:w="3054" w:type="dxa"/>
            <w:vAlign w:val="top"/>
          </w:tcPr>
          <w:p w14:paraId="0631AE46">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≥16 years old.</w:t>
            </w:r>
          </w:p>
          <w:p w14:paraId="5D6793C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EMS-witnessed traumatic OHCA.</w:t>
            </w:r>
          </w:p>
          <w:p w14:paraId="37B1E5A5">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Received CPR during transport.</w:t>
            </w:r>
          </w:p>
          <w:p w14:paraId="6902341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Data from JTDB 2004-2017.</w:t>
            </w:r>
          </w:p>
        </w:tc>
        <w:tc>
          <w:tcPr>
            <w:tcW w:w="4454" w:type="dxa"/>
            <w:vAlign w:val="top"/>
          </w:tcPr>
          <w:p w14:paraId="2A5D68BB">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OHCA at scene (no BP/heart rate).</w:t>
            </w:r>
          </w:p>
          <w:p w14:paraId="3B2C5C53">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AIS=6 (lethal trauma) or 9 (unknown/missing AIS).</w:t>
            </w:r>
          </w:p>
          <w:p w14:paraId="26D5F3D2">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Missing ROSC data.</w:t>
            </w:r>
          </w:p>
          <w:p w14:paraId="3EABDD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Burns, unknown prehospital AAM use.</w:t>
            </w:r>
          </w:p>
        </w:tc>
      </w:tr>
      <w:tr w14:paraId="7B3CA638">
        <w:tc>
          <w:tcPr>
            <w:tcW w:w="2788" w:type="dxa"/>
            <w:vAlign w:val="top"/>
          </w:tcPr>
          <w:p w14:paraId="638EFB2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Aziz S et al. (10.1136/emermed-2020-210305)</w:t>
            </w:r>
          </w:p>
        </w:tc>
        <w:tc>
          <w:tcPr>
            <w:tcW w:w="3919" w:type="dxa"/>
            <w:vAlign w:val="top"/>
          </w:tcPr>
          <w:p w14:paraId="5857150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refers to cardiac arrest secondary to traumatic injury (included in cases where scalpel cricothyroidotomy was performed for TCA).</w:t>
            </w:r>
          </w:p>
        </w:tc>
        <w:tc>
          <w:tcPr>
            <w:tcW w:w="3054" w:type="dxa"/>
            <w:vAlign w:val="top"/>
          </w:tcPr>
          <w:p w14:paraId="4B84B064">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Patients who underwent scalpel cricothyroidotomy by the prehospital trauma service 2000-2019.</w:t>
            </w:r>
          </w:p>
          <w:p w14:paraId="502C563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Traumatic injury as cause of arrest/airway emergency.</w:t>
            </w:r>
          </w:p>
        </w:tc>
        <w:tc>
          <w:tcPr>
            <w:tcW w:w="4454" w:type="dxa"/>
            <w:vAlign w:val="top"/>
          </w:tcPr>
          <w:p w14:paraId="01BC9F0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Scalpel cricothyroidotomy performed before arrival of the advanced trauma team.</w:t>
            </w:r>
          </w:p>
          <w:p w14:paraId="038EEB9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Intubation through tracheolaryngeal defects.</w:t>
            </w:r>
          </w:p>
        </w:tc>
      </w:tr>
      <w:tr w14:paraId="2AD92D34">
        <w:tc>
          <w:tcPr>
            <w:tcW w:w="2788" w:type="dxa"/>
            <w:vAlign w:val="top"/>
          </w:tcPr>
          <w:p w14:paraId="2BF745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Joost Petersa,c, et al. (10.1097/MEJ.0000000000000337)</w:t>
            </w:r>
          </w:p>
        </w:tc>
        <w:tc>
          <w:tcPr>
            <w:tcW w:w="3919" w:type="dxa"/>
            <w:vAlign w:val="top"/>
          </w:tcPr>
          <w:p w14:paraId="08A88B2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refers to cardiac arrest caused by traumatic injuries.</w:t>
            </w:r>
          </w:p>
        </w:tc>
        <w:tc>
          <w:tcPr>
            <w:tcW w:w="3054" w:type="dxa"/>
            <w:vAlign w:val="top"/>
          </w:tcPr>
          <w:p w14:paraId="7492E7C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who underwent a single or bilateral prehospital thoracostomy in tCA, extracted from the HEMS database.</w:t>
            </w:r>
          </w:p>
        </w:tc>
        <w:tc>
          <w:tcPr>
            <w:tcW w:w="4454" w:type="dxa"/>
            <w:vAlign w:val="top"/>
          </w:tcPr>
          <w:p w14:paraId="7C1D779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explicitly stated.</w:t>
            </w:r>
          </w:p>
        </w:tc>
      </w:tr>
      <w:tr w14:paraId="3C42F170">
        <w:tc>
          <w:tcPr>
            <w:tcW w:w="2788" w:type="dxa"/>
            <w:vAlign w:val="top"/>
          </w:tcPr>
          <w:p w14:paraId="7B133DF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Nicolas Beysard,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"https://doi.org/10.1016/j.resplu.2025.100870"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10.1016/j.resplu.2025.100870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623F73B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is cardiac arrest resulting from traumatic injuries.</w:t>
            </w:r>
          </w:p>
        </w:tc>
        <w:tc>
          <w:tcPr>
            <w:tcW w:w="3054" w:type="dxa"/>
            <w:vAlign w:val="top"/>
          </w:tcPr>
          <w:p w14:paraId="00AC200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with TCA managed by physicians of the prehospital service of Lausanne University Hospital from 2012 to 2024.</w:t>
            </w:r>
          </w:p>
        </w:tc>
        <w:tc>
          <w:tcPr>
            <w:tcW w:w="4454" w:type="dxa"/>
            <w:vAlign w:val="top"/>
          </w:tcPr>
          <w:p w14:paraId="7F2807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explicitly stated.</w:t>
            </w:r>
          </w:p>
        </w:tc>
      </w:tr>
      <w:tr w14:paraId="27217E67">
        <w:tc>
          <w:tcPr>
            <w:tcW w:w="2788" w:type="dxa"/>
            <w:vAlign w:val="top"/>
          </w:tcPr>
          <w:p w14:paraId="69C8A32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Robert L. Dickson, et al. (10.1016/j.jemermed.2018.05.027)</w:t>
            </w:r>
          </w:p>
        </w:tc>
        <w:tc>
          <w:tcPr>
            <w:tcW w:w="3919" w:type="dxa"/>
            <w:vAlign w:val="top"/>
          </w:tcPr>
          <w:p w14:paraId="3AB386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is cardiac arrest caused by traumatic injuries.</w:t>
            </w:r>
          </w:p>
        </w:tc>
        <w:tc>
          <w:tcPr>
            <w:tcW w:w="3054" w:type="dxa"/>
            <w:vAlign w:val="top"/>
          </w:tcPr>
          <w:p w14:paraId="259E360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Consecutive patients with traumatic cardiac arrest where simple thoracostomy was used during resuscitation between June 1, 2013 and July 1, 2017.</w:t>
            </w:r>
          </w:p>
        </w:tc>
        <w:tc>
          <w:tcPr>
            <w:tcW w:w="4454" w:type="dxa"/>
            <w:vAlign w:val="top"/>
          </w:tcPr>
          <w:p w14:paraId="3B4FD05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explicitly stated.</w:t>
            </w:r>
          </w:p>
        </w:tc>
      </w:tr>
      <w:tr w14:paraId="6908D4D3">
        <w:tc>
          <w:tcPr>
            <w:tcW w:w="2788" w:type="dxa"/>
            <w:vAlign w:val="top"/>
          </w:tcPr>
          <w:p w14:paraId="1F71BE2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Liam HANNON, et al. (10.1111/1742-6723.13549)</w:t>
            </w:r>
          </w:p>
        </w:tc>
        <w:tc>
          <w:tcPr>
            <w:tcW w:w="3919" w:type="dxa"/>
            <w:vAlign w:val="top"/>
          </w:tcPr>
          <w:p w14:paraId="0FB9E92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is cardiac arrest secondary to traumatic injuries.</w:t>
            </w:r>
          </w:p>
        </w:tc>
        <w:tc>
          <w:tcPr>
            <w:tcW w:w="3054" w:type="dxa"/>
            <w:vAlign w:val="top"/>
          </w:tcPr>
          <w:p w14:paraId="7E480D6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Adult and paediatric trauma patients undergoing finger thoracostomy performed by paramedics on a helicopter emergency medical service between June 2015 and May 2018.</w:t>
            </w:r>
          </w:p>
        </w:tc>
        <w:tc>
          <w:tcPr>
            <w:tcW w:w="4454" w:type="dxa"/>
            <w:vAlign w:val="top"/>
          </w:tcPr>
          <w:p w14:paraId="353975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taken to non-trauma centres and those with missing data.</w:t>
            </w:r>
          </w:p>
        </w:tc>
      </w:tr>
      <w:tr w14:paraId="5974489D">
        <w:tc>
          <w:tcPr>
            <w:tcW w:w="2788" w:type="dxa"/>
            <w:vAlign w:val="top"/>
          </w:tcPr>
          <w:p w14:paraId="7F72BF0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Nuala QUINN, et al. (10.1111/1742-6723.13392)</w:t>
            </w:r>
          </w:p>
        </w:tc>
        <w:tc>
          <w:tcPr>
            <w:tcW w:w="3919" w:type="dxa"/>
            <w:vAlign w:val="top"/>
          </w:tcPr>
          <w:p w14:paraId="16AC57D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is cardiac arrest caused by traumatic injuries, often associated with conditions like tension pneumothorax and massive haemothorax.</w:t>
            </w:r>
          </w:p>
        </w:tc>
        <w:tc>
          <w:tcPr>
            <w:tcW w:w="3054" w:type="dxa"/>
            <w:vAlign w:val="top"/>
          </w:tcPr>
          <w:p w14:paraId="7FACFC9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Children undergoing thoracostomy for trauma, either pre-hospital or in the ED, from August 2016 to February 2019.</w:t>
            </w:r>
          </w:p>
        </w:tc>
        <w:tc>
          <w:tcPr>
            <w:tcW w:w="4454" w:type="dxa"/>
            <w:vAlign w:val="top"/>
          </w:tcPr>
          <w:p w14:paraId="67D2BA8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explicitly stated.</w:t>
            </w:r>
          </w:p>
        </w:tc>
      </w:tr>
      <w:tr w14:paraId="58224AB0">
        <w:tc>
          <w:tcPr>
            <w:tcW w:w="2788" w:type="dxa"/>
            <w:vAlign w:val="top"/>
          </w:tcPr>
          <w:p w14:paraId="0DF796E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Phillip Almond, et al. (10.1186/s13049-022-00997-4)</w:t>
            </w:r>
          </w:p>
        </w:tc>
        <w:tc>
          <w:tcPr>
            <w:tcW w:w="3919" w:type="dxa"/>
            <w:vAlign w:val="top"/>
          </w:tcPr>
          <w:p w14:paraId="6D50E0D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is cardiac arrest due to traumatic injuries, in which resuscitative thoracotomy may be performed to relieve cardiac tamponade and/or obtain vascular control of suspected sub-diaphragmatic haemorrhage.</w:t>
            </w:r>
          </w:p>
        </w:tc>
        <w:tc>
          <w:tcPr>
            <w:tcW w:w="3054" w:type="dxa"/>
            <w:vAlign w:val="top"/>
          </w:tcPr>
          <w:p w14:paraId="3F54A55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who underwent resuscitative thoracotomies by a helicopter emergency medical service between 1st June 2015 and 31st May 2021.</w:t>
            </w:r>
          </w:p>
        </w:tc>
        <w:tc>
          <w:tcPr>
            <w:tcW w:w="4454" w:type="dxa"/>
            <w:vAlign w:val="top"/>
          </w:tcPr>
          <w:p w14:paraId="07804BD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explicitly stated.</w:t>
            </w:r>
          </w:p>
        </w:tc>
      </w:tr>
      <w:tr w14:paraId="6B53B107">
        <w:tc>
          <w:tcPr>
            <w:tcW w:w="2788" w:type="dxa"/>
            <w:vAlign w:val="top"/>
          </w:tcPr>
          <w:p w14:paraId="418EB1C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Edward John Nevins, et al. (10.1007/s00068-018-0982-z)</w:t>
            </w:r>
          </w:p>
        </w:tc>
        <w:tc>
          <w:tcPr>
            <w:tcW w:w="3919" w:type="dxa"/>
            <w:vAlign w:val="top"/>
          </w:tcPr>
          <w:p w14:paraId="3F65DA3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Traumatic cardiac arrest is cardio-pulmonary arrest secondary to trauma, for which emergency department thoracotomy (EDT) is an accepted intervention.</w:t>
            </w:r>
          </w:p>
        </w:tc>
        <w:tc>
          <w:tcPr>
            <w:tcW w:w="3054" w:type="dxa"/>
            <w:vAlign w:val="top"/>
          </w:tcPr>
          <w:p w14:paraId="4E37ED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undergoing EDT published between 2000 and 2016, with data specific to EDT (performed in emergency department or trauma resuscitation room immediately after arrival).</w:t>
            </w:r>
          </w:p>
        </w:tc>
        <w:tc>
          <w:tcPr>
            <w:tcW w:w="4454" w:type="dxa"/>
            <w:vAlign w:val="top"/>
          </w:tcPr>
          <w:p w14:paraId="1A61699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Articles not in English, reviews, abstracts, those reporting pre-hospital/delayed/operating room thoracotomy, insufficient survival data, and duplicate cohorts.</w:t>
            </w:r>
          </w:p>
        </w:tc>
      </w:tr>
      <w:tr w14:paraId="0F5C83B2">
        <w:tc>
          <w:tcPr>
            <w:tcW w:w="2788" w:type="dxa"/>
            <w:vAlign w:val="top"/>
          </w:tcPr>
          <w:p w14:paraId="01100BC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Kathryn Atkins, et al. (10.1016/j.injury.2023.111033)</w:t>
            </w:r>
          </w:p>
        </w:tc>
        <w:tc>
          <w:tcPr>
            <w:tcW w:w="3919" w:type="dxa"/>
            <w:vAlign w:val="top"/>
          </w:tcPr>
          <w:p w14:paraId="7E2A57B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Traumatic cardiac arrest is cardiac arrest following penetrating traumatic injuries.</w:t>
            </w:r>
          </w:p>
        </w:tc>
        <w:tc>
          <w:tcPr>
            <w:tcW w:w="3054" w:type="dxa"/>
            <w:vAlign w:val="top"/>
          </w:tcPr>
          <w:p w14:paraId="3B9494D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Adults (≥16 years old) with penetrating trauma and prehospital cardiac arrest, stratified by performance of resuscitative thoracotomy.</w:t>
            </w:r>
          </w:p>
        </w:tc>
        <w:tc>
          <w:tcPr>
            <w:tcW w:w="4454" w:type="dxa"/>
            <w:vAlign w:val="top"/>
          </w:tcPr>
          <w:p w14:paraId="5E7FB75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with any documented head trauma (AIS ≥1).</w:t>
            </w:r>
          </w:p>
        </w:tc>
      </w:tr>
      <w:tr w14:paraId="3C052ACB">
        <w:tc>
          <w:tcPr>
            <w:tcW w:w="2788" w:type="dxa"/>
            <w:vAlign w:val="top"/>
          </w:tcPr>
          <w:p w14:paraId="79BF1D8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Melike N. Harfouche, et al. (10.1136/tsaco-2024-001730)</w:t>
            </w:r>
          </w:p>
        </w:tc>
        <w:tc>
          <w:tcPr>
            <w:tcW w:w="3919" w:type="dxa"/>
            <w:vAlign w:val="top"/>
          </w:tcPr>
          <w:p w14:paraId="6D190EF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lang w:val="en-US"/>
              </w:rPr>
              <w:t>TCA</w:t>
            </w:r>
            <w:r>
              <w:rPr>
                <w:rFonts w:hint="default" w:ascii="Times New Roman Regular" w:hAnsi="Times New Roman Regular" w:cs="Times New Roman Regular"/>
                <w:sz w:val="24"/>
                <w:szCs w:val="24"/>
              </w:rPr>
              <w:t xml:space="preserve"> is cardiac arrest due to traumatic causes, often involving subdiaphragmatic bleeding.</w:t>
            </w:r>
          </w:p>
        </w:tc>
        <w:tc>
          <w:tcPr>
            <w:tcW w:w="3054" w:type="dxa"/>
            <w:vAlign w:val="top"/>
          </w:tcPr>
          <w:p w14:paraId="2B10175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with TCA from studies included in the meta-analysis (1946 to 2024) evaluating REBOA.</w:t>
            </w:r>
          </w:p>
        </w:tc>
        <w:tc>
          <w:tcPr>
            <w:tcW w:w="4454" w:type="dxa"/>
            <w:vAlign w:val="top"/>
          </w:tcPr>
          <w:p w14:paraId="4BDEB32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Studies not meeting PICO criteria, overlapping populations (except larger cohorts), and those without relevant outcomes.</w:t>
            </w:r>
          </w:p>
        </w:tc>
      </w:tr>
      <w:tr w14:paraId="5D484451">
        <w:tc>
          <w:tcPr>
            <w:tcW w:w="2788" w:type="dxa"/>
            <w:vAlign w:val="top"/>
          </w:tcPr>
          <w:p w14:paraId="42A2873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Ryo Yamamoto, et al. (10.1002/emp2.12177)</w:t>
            </w:r>
          </w:p>
        </w:tc>
        <w:tc>
          <w:tcPr>
            <w:tcW w:w="3919" w:type="dxa"/>
            <w:vAlign w:val="top"/>
          </w:tcPr>
          <w:p w14:paraId="03310A7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Traumatic out-of-hospital cardiac arrest (t-OHCA) refers to out-of-hospital cardiac arrest caused by traumatic injuries.</w:t>
            </w:r>
          </w:p>
        </w:tc>
        <w:tc>
          <w:tcPr>
            <w:tcW w:w="3054" w:type="dxa"/>
            <w:vAlign w:val="top"/>
          </w:tcPr>
          <w:p w14:paraId="1E31A9B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Adult patients (≥15 years) with t-OHCA who arrived without a palpable pulse, had a GCS score of 3, and underwent aortic occlusion by RT or REBOA, with transportation time &lt;30 minutes.</w:t>
            </w:r>
          </w:p>
        </w:tc>
        <w:tc>
          <w:tcPr>
            <w:tcW w:w="4454" w:type="dxa"/>
            <w:vAlign w:val="top"/>
          </w:tcPr>
          <w:p w14:paraId="1864AE6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&lt;15 years old, those arriving with a palpable pulse or GCS &gt;3, missing survival/transportation time data, and transportation time ≥30 minutes.</w:t>
            </w:r>
          </w:p>
        </w:tc>
      </w:tr>
      <w:tr w14:paraId="57D1D3FE">
        <w:tc>
          <w:tcPr>
            <w:tcW w:w="2788" w:type="dxa"/>
            <w:vAlign w:val="top"/>
          </w:tcPr>
          <w:p w14:paraId="4B4D45D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Makoto Aoki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"https://doi.org/10.1038/s41598-019-46460-w"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10.1038/s41598-019-46460-w</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1292443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was defined as the cessation of cardiac mechanical activity, confirmed by the absence of signs of circulation. The cause of arrest was presumed to be of traumatic origin based on circumstantial evidence. Confirmation of the traumatic origin of cardiac arrest was clinically determined by the treating physicians who collaborated with the EMS personnel.</w:t>
            </w:r>
          </w:p>
        </w:tc>
        <w:tc>
          <w:tcPr>
            <w:tcW w:w="3054" w:type="dxa"/>
            <w:vAlign w:val="top"/>
          </w:tcPr>
          <w:p w14:paraId="0126D1C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This study was a post-hoc analysis of data from the All-Japan Utstein Registry, including all patients with TCA caused by traffic collisions who were treated by </w:t>
            </w:r>
            <w:r>
              <w:rPr>
                <w:rFonts w:hint="default" w:ascii="Times New Roman Regular" w:hAnsi="Times New Roman Regular" w:cs="Times New Roman Regular"/>
                <w:sz w:val="24"/>
                <w:szCs w:val="24"/>
                <w:lang w:val="en-US"/>
              </w:rPr>
              <w:t>EMS</w:t>
            </w:r>
            <w:r>
              <w:rPr>
                <w:rFonts w:hint="default" w:ascii="Times New Roman Regular" w:hAnsi="Times New Roman Regular" w:cs="Times New Roman Regular"/>
                <w:sz w:val="24"/>
                <w:szCs w:val="24"/>
              </w:rPr>
              <w:t xml:space="preserve"> from January 1, 2012, to December 31, 2015.</w:t>
            </w:r>
          </w:p>
        </w:tc>
        <w:tc>
          <w:tcPr>
            <w:tcW w:w="4454" w:type="dxa"/>
            <w:vAlign w:val="top"/>
          </w:tcPr>
          <w:p w14:paraId="01D6A41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 resuscitation; ALS performed by a physician (bias from other ALS procedures such as blood transfusion, chest tube insertion, thoracotomy, resuscitative endovascular occlusion of the aorta, etc.); unknown adrenaline use; CPR duration &lt; 1 min or &gt; 30 min; prehospital return of spontaneous circulation (ROSC) within 10 min of CPR.</w:t>
            </w:r>
          </w:p>
        </w:tc>
      </w:tr>
      <w:tr w14:paraId="7CD06206">
        <w:tc>
          <w:tcPr>
            <w:tcW w:w="2788" w:type="dxa"/>
            <w:vAlign w:val="top"/>
          </w:tcPr>
          <w:p w14:paraId="46D26AD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Yi-Chuan Chen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"https://doi.org/10.1016/j.injury.2018.07.010"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10.1016/j.injury.2018.07.010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340ED5E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TCA was defined as cardiac arrests caused by presumable traumatic events at the scene in the prehospital phase. Individuals with vital signs during initial assessment by emergency medical technicians or paramedics in the field were excluded.</w:t>
            </w:r>
          </w:p>
        </w:tc>
        <w:tc>
          <w:tcPr>
            <w:tcW w:w="3054" w:type="dxa"/>
            <w:vAlign w:val="top"/>
          </w:tcPr>
          <w:p w14:paraId="66731A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 retrospective cohort study was conducted on all adult (&gt; 18 years) TCA patients admitted to the EDs of 5 hospitals using a prospective registry system from January 2010 to December 2014. The study was conducted at 5 branches of Chang Gung Memorial Hospital, including 3 trauma centres, 1 regional hospital, and 1 local hospital.</w:t>
            </w:r>
          </w:p>
        </w:tc>
        <w:tc>
          <w:tcPr>
            <w:tcW w:w="4454" w:type="dxa"/>
            <w:vAlign w:val="top"/>
          </w:tcPr>
          <w:p w14:paraId="7254ECE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Individuals with obvious signs of death (e.g., rigor mortis, decapitation); those suffering from hanging, asphyxia, drowning; those with any type of burn injuries; those with prehospital ROSC before hospital arrival; patients who received no further resuscitation attempts after hospital arrival.</w:t>
            </w:r>
          </w:p>
        </w:tc>
      </w:tr>
      <w:tr w14:paraId="5650DF95">
        <w:tc>
          <w:tcPr>
            <w:tcW w:w="2788" w:type="dxa"/>
            <w:vAlign w:val="top"/>
          </w:tcPr>
          <w:p w14:paraId="2758827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Yusuke Tsutsumi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"https://doi.org/10.1016/j.injury.2017.09.005"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10.1016/j.injury.2017.09.005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0D65DF0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We included all adult blunt trauma patients who were already experiencing cardiac arrest when EMS personnel arrived at the injury scene. We defined cardiac arrest patients as those who underwent chest compression by emergency ambulance personnel without a palpable pulse at ambulance arrival.</w:t>
            </w:r>
          </w:p>
        </w:tc>
        <w:tc>
          <w:tcPr>
            <w:tcW w:w="3054" w:type="dxa"/>
            <w:vAlign w:val="top"/>
          </w:tcPr>
          <w:p w14:paraId="6D710C8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 retrospective cohort study was performed using data from The Japan Trauma DataBank (JTDB) 2004-2015. Included adult blunt trauma patients who were in cardiac arrest when EMS personnel arrived at the injury scene.</w:t>
            </w:r>
          </w:p>
        </w:tc>
        <w:tc>
          <w:tcPr>
            <w:tcW w:w="4454" w:type="dxa"/>
            <w:vAlign w:val="top"/>
          </w:tcPr>
          <w:p w14:paraId="340A385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Pediatric patients (aged &lt; 16 years); patients not directly transferred from the scene; patients treated by a physician at the scene; time from emergency call to EMS arrival at the scene &gt; 30 minutes; patients with an Abbreviated Injury Scale (AIS) score of 6 points for any body part.</w:t>
            </w:r>
          </w:p>
        </w:tc>
      </w:tr>
      <w:tr w14:paraId="0963D099">
        <w:tc>
          <w:tcPr>
            <w:tcW w:w="2788" w:type="dxa"/>
            <w:vAlign w:val="top"/>
          </w:tcPr>
          <w:p w14:paraId="7F1C601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Takafumi Obara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"https://doi.org/10.1016/j.resplu.2024.100701"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10.1016/j.resplu.2024.100701</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5596639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The study included patients with TCA (Revised Trauma Score [RTS] = 0 at hospital arrival).</w:t>
            </w:r>
          </w:p>
        </w:tc>
        <w:tc>
          <w:tcPr>
            <w:tcW w:w="3054" w:type="dxa"/>
            <w:vAlign w:val="top"/>
          </w:tcPr>
          <w:p w14:paraId="3EF4C24B">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 retrospective cohort study was conducted using data from the Japan Trauma Data Bank (JTDB) between January 1, 2019, and December 31, 2021.</w:t>
            </w:r>
          </w:p>
        </w:tc>
        <w:tc>
          <w:tcPr>
            <w:tcW w:w="4454" w:type="dxa"/>
            <w:vAlign w:val="top"/>
          </w:tcPr>
          <w:p w14:paraId="4119277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Patients with AIS score = 6 in any region; burn injury; missing data on signs of life (SOLs) or survival at hospital discharge.</w:t>
            </w:r>
          </w:p>
        </w:tc>
      </w:tr>
      <w:tr w14:paraId="7453B588">
        <w:tc>
          <w:tcPr>
            <w:tcW w:w="2788" w:type="dxa"/>
            <w:vAlign w:val="top"/>
          </w:tcPr>
          <w:p w14:paraId="38F910D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Jakob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"https://doi.org/10.1186/s13049-023-01107-8"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10.1186/s13049-023-01107-8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0CD1EC3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Missions in which patients were pronounced dead at the scene and assigned a NACA score of VII.</w:t>
            </w:r>
          </w:p>
        </w:tc>
        <w:tc>
          <w:tcPr>
            <w:tcW w:w="3054" w:type="dxa"/>
            <w:vAlign w:val="top"/>
          </w:tcPr>
          <w:p w14:paraId="4C8ED0A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Primary operations by Switzerland’s largest HEMS between 2011</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2021.- Adult trauma patients with life-threatening (NACA V/VI) or fatal (NACA VII) conditions.- Included missions with advanced medical interventions.</w:t>
            </w:r>
          </w:p>
        </w:tc>
        <w:tc>
          <w:tcPr>
            <w:tcW w:w="4454" w:type="dxa"/>
            <w:vAlign w:val="top"/>
          </w:tcPr>
          <w:p w14:paraId="46E1EE0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Secondary missions.- Non-trauma missions.- NACA score &lt;5.- Missing on-scene time or on-scene time &gt;240 min.- Missions without advanced medical interventions (e.g., only body recovery).</w:t>
            </w:r>
          </w:p>
        </w:tc>
      </w:tr>
      <w:tr w14:paraId="5CAB991D">
        <w:tc>
          <w:tcPr>
            <w:tcW w:w="2788" w:type="dxa"/>
            <w:vAlign w:val="top"/>
          </w:tcPr>
          <w:p w14:paraId="788275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Naito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"https://doi.org/10.1186/s12873-021-00499-z"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10.1186/s12873-021-00499-z</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666C1B25">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Trauma patients who underwent prehospital CPR. Patients with "sustained TCA" were those without prehospital ROSC.</w:t>
            </w:r>
          </w:p>
        </w:tc>
        <w:tc>
          <w:tcPr>
            <w:tcW w:w="3054" w:type="dxa"/>
            <w:vAlign w:val="top"/>
          </w:tcPr>
          <w:p w14:paraId="720FED0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Age ≥16 years.- At least one trauma with AIS score ≥3.- Prehospital CPR performed.</w:t>
            </w:r>
          </w:p>
        </w:tc>
        <w:tc>
          <w:tcPr>
            <w:tcW w:w="4454" w:type="dxa"/>
            <w:vAlign w:val="top"/>
          </w:tcPr>
          <w:p w14:paraId="68CABAB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Burn injury.- AIS score of 6 in any region.- Missing CA data or survival data.- Interfacility transport.</w:t>
            </w:r>
          </w:p>
        </w:tc>
      </w:tr>
      <w:tr w14:paraId="4334F219">
        <w:tc>
          <w:tcPr>
            <w:tcW w:w="2788" w:type="dxa"/>
            <w:vAlign w:val="top"/>
          </w:tcPr>
          <w:p w14:paraId="27DA629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Shen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"https://doi.org/10.1177/0300060520931260"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10.1177/0300060520931260</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2AFEB00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Induced by 40% blood volume haemorrhage over 20 min followed by 5 min of ventricular fibrillation.</w:t>
            </w:r>
          </w:p>
        </w:tc>
        <w:tc>
          <w:tcPr>
            <w:tcW w:w="3054" w:type="dxa"/>
            <w:vAlign w:val="top"/>
          </w:tcPr>
          <w:p w14:paraId="2E1FAE5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Male pigs (33±2 kg, 4</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6 months old).- Randomly assigned to TCA group.</w:t>
            </w:r>
          </w:p>
        </w:tc>
        <w:tc>
          <w:tcPr>
            <w:tcW w:w="4454" w:type="dxa"/>
            <w:vAlign w:val="top"/>
          </w:tcPr>
          <w:p w14:paraId="1DC1C6F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Pigs in the sham group (only intubation and monitoring, no haemorrhage/resuscitation).</w:t>
            </w:r>
          </w:p>
        </w:tc>
      </w:tr>
      <w:tr w14:paraId="321BA610">
        <w:tc>
          <w:tcPr>
            <w:tcW w:w="2788" w:type="dxa"/>
            <w:vAlign w:val="top"/>
          </w:tcPr>
          <w:p w14:paraId="306B2A0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Watts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"https://doi.org/10.1016/j.resuscitation.2019.04.048"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10.1016/j.resuscitation.2019.04.048</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509F85B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Haemorrhage-induced cardiac arrest defined by MAP ≤20 mmHg with spontaneous deterioration of arterial blood and pulse pressures over 5 min.</w:t>
            </w:r>
          </w:p>
        </w:tc>
        <w:tc>
          <w:tcPr>
            <w:tcW w:w="3054" w:type="dxa"/>
            <w:vAlign w:val="top"/>
          </w:tcPr>
          <w:p w14:paraId="27DFC6C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Juvenile Large White pigs (terminally anaesthetised, instrumented).- Underwent captive bolt thigh injury + 30% blood volume haemorrhage + further haemorrhage to MAP 20 mmHg.</w:t>
            </w:r>
          </w:p>
        </w:tc>
        <w:tc>
          <w:tcPr>
            <w:tcW w:w="4454" w:type="dxa"/>
            <w:vAlign w:val="top"/>
          </w:tcPr>
          <w:p w14:paraId="04F5011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explicit exclusion criteria stated beyond study design (e.g., not assigned to TCA groups).</w:t>
            </w:r>
          </w:p>
        </w:tc>
      </w:tr>
      <w:tr w14:paraId="052A69E4">
        <w:tc>
          <w:tcPr>
            <w:tcW w:w="2788" w:type="dxa"/>
            <w:vAlign w:val="top"/>
          </w:tcPr>
          <w:p w14:paraId="7258AEA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Rall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"https://doi.org/10.7205/MILMED-D-16-00409"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10.7205/MILMED-D-16-00409</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64D715E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Cardiac arrest defined as systolic blood pressure &lt;10 mmHg for 10 seconds.</w:t>
            </w:r>
          </w:p>
        </w:tc>
        <w:tc>
          <w:tcPr>
            <w:tcW w:w="3054" w:type="dxa"/>
            <w:vAlign w:val="top"/>
          </w:tcPr>
          <w:p w14:paraId="2DB47A0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Male Yorkshire swine (70</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90 kg, splenectomised).</w:t>
            </w:r>
          </w:p>
          <w:p w14:paraId="7F7181F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Underwent controlled haemorrhage to SBP &lt;10 mmHg.</w:t>
            </w:r>
          </w:p>
        </w:tc>
        <w:tc>
          <w:tcPr>
            <w:tcW w:w="4454" w:type="dxa"/>
            <w:vAlign w:val="top"/>
          </w:tcPr>
          <w:p w14:paraId="7EDBF34A">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Animals with ventricular fibrillation (excluded and replaced).</w:t>
            </w:r>
          </w:p>
        </w:tc>
      </w:tr>
      <w:tr w14:paraId="13AD748C">
        <w:tc>
          <w:tcPr>
            <w:tcW w:w="2788" w:type="dxa"/>
            <w:vAlign w:val="top"/>
          </w:tcPr>
          <w:p w14:paraId="6FDEDB4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Barnard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"https://doi.org/10.1371/journal.pmed.1002349"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10.1371/journal.pmed.1002349</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5C11ACC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Haemorrhage-induced cardiac arrest defined by sustained systolic blood pressure &lt;10 mmHg and electrocardiographic heart rate lower than preinjury baseline.</w:t>
            </w:r>
          </w:p>
        </w:tc>
        <w:tc>
          <w:tcPr>
            <w:tcW w:w="3054" w:type="dxa"/>
            <w:vAlign w:val="top"/>
          </w:tcPr>
          <w:p w14:paraId="5239395C">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Male Yorkshire Landrace cross swine (70</w:t>
            </w:r>
            <w:r>
              <w:rPr>
                <w:rFonts w:hint="eastAsia"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90 kg).</w:t>
            </w:r>
          </w:p>
          <w:p w14:paraId="65F9544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Underwent laparoscopic liver resection + controlled arterial haemorrhage to SBP &lt;10 mmHg.</w:t>
            </w:r>
          </w:p>
        </w:tc>
        <w:tc>
          <w:tcPr>
            <w:tcW w:w="4454" w:type="dxa"/>
            <w:vAlign w:val="top"/>
          </w:tcPr>
          <w:p w14:paraId="2678A98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Protocol violations (e.g., late IV blood infusion, catheter balloon failure, ventricular fibrillation).</w:t>
            </w:r>
          </w:p>
        </w:tc>
      </w:tr>
      <w:tr w14:paraId="2C2D57B3">
        <w:tc>
          <w:tcPr>
            <w:tcW w:w="2788" w:type="dxa"/>
            <w:vAlign w:val="top"/>
          </w:tcPr>
          <w:p w14:paraId="1B6907D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Hoops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"https://doi.org/10.1097/TA.0000000000002315"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10.1097/TA.0000000000002315</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276709E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Haemorrhage-induced traumatic cardiac arrest defined by no pulsatile waveforms on carotid arterial pressure tracing.</w:t>
            </w:r>
          </w:p>
        </w:tc>
        <w:tc>
          <w:tcPr>
            <w:tcW w:w="3054" w:type="dxa"/>
            <w:vAlign w:val="top"/>
          </w:tcPr>
          <w:p w14:paraId="2610D76A">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Male Yorkshire swine (78.8±3.9 kg).</w:t>
            </w:r>
          </w:p>
          <w:p w14:paraId="06D33D9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Underwent liver injury + controlled haemorrhage to cardiac arrest.</w:t>
            </w:r>
          </w:p>
        </w:tc>
        <w:tc>
          <w:tcPr>
            <w:tcW w:w="4454" w:type="dxa"/>
            <w:vAlign w:val="top"/>
          </w:tcPr>
          <w:p w14:paraId="4066579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explicit exclusion criteria stated beyond study design.</w:t>
            </w:r>
          </w:p>
        </w:tc>
      </w:tr>
      <w:tr w14:paraId="60B7CE42">
        <w:tc>
          <w:tcPr>
            <w:tcW w:w="2788" w:type="dxa"/>
            <w:vAlign w:val="top"/>
          </w:tcPr>
          <w:p w14:paraId="42148EE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Manning et al.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HYPERLINK "https://doi.org/10.1111/acem.12863" </w:instrText>
            </w:r>
            <w:r>
              <w:rPr>
                <w:rFonts w:hint="default" w:ascii="Times New Roman Regular" w:hAnsi="Times New Roman Regular" w:cs="Times New Roman Regular"/>
                <w:sz w:val="24"/>
                <w:szCs w:val="24"/>
              </w:rPr>
              <w:fldChar w:fldCharType="separate"/>
            </w:r>
            <w:r>
              <w:rPr>
                <w:rStyle w:val="10"/>
                <w:rFonts w:hint="default" w:ascii="Times New Roman Regular" w:hAnsi="Times New Roman Regular" w:cs="Times New Roman Regular"/>
                <w:sz w:val="24"/>
                <w:szCs w:val="24"/>
              </w:rPr>
              <w:t>10.1111/acem.12863</w:t>
            </w:r>
            <w:r>
              <w:rPr>
                <w:rStyle w:val="10"/>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w:t>
            </w:r>
          </w:p>
        </w:tc>
        <w:tc>
          <w:tcPr>
            <w:tcW w:w="3919" w:type="dxa"/>
            <w:vAlign w:val="top"/>
          </w:tcPr>
          <w:p w14:paraId="3B9E92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Haemorrhage-induced cardiac arrest defined by loss of aortic pressure fluctuations with ETCO₂ of 4 torr followed by 3 minutes of preresuscitation cardiac arrest.</w:t>
            </w:r>
          </w:p>
        </w:tc>
        <w:tc>
          <w:tcPr>
            <w:tcW w:w="3054" w:type="dxa"/>
            <w:vAlign w:val="top"/>
          </w:tcPr>
          <w:p w14:paraId="62A65B2D">
            <w:pPr>
              <w:pStyle w:val="12"/>
              <w:ind w:left="0" w:left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Male domestic swine (28.8±1.9 kg).</w:t>
            </w:r>
          </w:p>
          <w:p w14:paraId="7E9FEA0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Underwent severe haemorrhage (45 mL/kg over 10 min) + liver lobe resection.</w:t>
            </w:r>
          </w:p>
        </w:tc>
        <w:tc>
          <w:tcPr>
            <w:tcW w:w="4454" w:type="dxa"/>
            <w:vAlign w:val="top"/>
          </w:tcPr>
          <w:p w14:paraId="754DFB3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No explicit exclusion criteria stated beyond study design.</w:t>
            </w:r>
          </w:p>
        </w:tc>
      </w:tr>
      <w:tr w14:paraId="3C160E47">
        <w:tc>
          <w:tcPr>
            <w:tcW w:w="2788" w:type="dxa"/>
            <w:vAlign w:val="top"/>
          </w:tcPr>
          <w:p w14:paraId="3C740CD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Madurska et al. (10.1097/SHK.0000000000001946)</w:t>
            </w:r>
          </w:p>
        </w:tc>
        <w:tc>
          <w:tcPr>
            <w:tcW w:w="3919" w:type="dxa"/>
            <w:vAlign w:val="top"/>
          </w:tcPr>
          <w:p w14:paraId="694F249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 sustained mean arterial pressure (MAP) &lt;20 mm Hg.</w:t>
            </w:r>
          </w:p>
        </w:tc>
        <w:tc>
          <w:tcPr>
            <w:tcW w:w="3054" w:type="dxa"/>
            <w:vAlign w:val="top"/>
          </w:tcPr>
          <w:p w14:paraId="24A009C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Male adult swine (n=24) weighing 50-80 kg; housed for at least 72 h with free access to food and water; fasted for 12 h prior to proceduralization.</w:t>
            </w:r>
          </w:p>
        </w:tc>
        <w:tc>
          <w:tcPr>
            <w:tcW w:w="4454" w:type="dxa"/>
            <w:vAlign w:val="top"/>
          </w:tcPr>
          <w:p w14:paraId="55788FD8">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One animal that sustained a myocardial infarction during exsanguination was excluded.</w:t>
            </w:r>
          </w:p>
        </w:tc>
      </w:tr>
      <w:tr w14:paraId="5E0ADF86">
        <w:tc>
          <w:tcPr>
            <w:tcW w:w="2788" w:type="dxa"/>
            <w:vAlign w:val="top"/>
          </w:tcPr>
          <w:p w14:paraId="4DAB7527">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Anderson et al. (10.1016/j.jss.2020.03.026)</w:t>
            </w:r>
          </w:p>
        </w:tc>
        <w:tc>
          <w:tcPr>
            <w:tcW w:w="3919" w:type="dxa"/>
            <w:vAlign w:val="top"/>
          </w:tcPr>
          <w:p w14:paraId="0B6A173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 xml:space="preserve">Induced by hemorrhage (30% blood volume removed over 20 min) followed by ventricular fibrillation (VF) confirmed by electrocardiography, sudden loss of arterial pulsations, and </w:t>
            </w:r>
            <w:r>
              <w:rPr>
                <w:rFonts w:hint="default" w:ascii="Times New Roman Regular" w:hAnsi="Times New Roman Regular" w:cs="Times New Roman Regular"/>
                <w:sz w:val="24"/>
                <w:szCs w:val="24"/>
                <w:lang w:val="en-US"/>
              </w:rPr>
              <w:t>SBP</w:t>
            </w:r>
            <w:r>
              <w:rPr>
                <w:rFonts w:hint="default" w:ascii="Times New Roman Regular" w:hAnsi="Times New Roman Regular" w:cs="Times New Roman Regular"/>
                <w:sz w:val="24"/>
                <w:szCs w:val="24"/>
              </w:rPr>
              <w:t xml:space="preserve"> &lt;25 mm Hg.</w:t>
            </w:r>
          </w:p>
        </w:tc>
        <w:tc>
          <w:tcPr>
            <w:tcW w:w="3054" w:type="dxa"/>
            <w:vAlign w:val="top"/>
          </w:tcPr>
          <w:p w14:paraId="0153705E">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Female Yorkshire swine (n=26) weighing 25-32 kg; free from viral, bacterial, and parasitic pathogens; physical examination confirming normal heart and lung sounds; normal complete blood cell count and blood chemistry.</w:t>
            </w:r>
          </w:p>
        </w:tc>
        <w:tc>
          <w:tcPr>
            <w:tcW w:w="4454" w:type="dxa"/>
            <w:vAlign w:val="top"/>
          </w:tcPr>
          <w:p w14:paraId="2A8002F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specified.</w:t>
            </w:r>
          </w:p>
        </w:tc>
      </w:tr>
      <w:tr w14:paraId="0C388920">
        <w:tc>
          <w:tcPr>
            <w:tcW w:w="2788" w:type="dxa"/>
            <w:vAlign w:val="top"/>
          </w:tcPr>
          <w:p w14:paraId="1A96567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Lin et al. (10.1016/j.ajem.2023.12.048)</w:t>
            </w:r>
          </w:p>
        </w:tc>
        <w:tc>
          <w:tcPr>
            <w:tcW w:w="3919" w:type="dxa"/>
            <w:vAlign w:val="top"/>
          </w:tcPr>
          <w:p w14:paraId="6EFC1162">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MAP ≤10 mmHg and no pulse-induced electrical activity (PEA) after hemorrhage via right femoral artery at 2 ml·kg⁻¹·min⁻¹.</w:t>
            </w:r>
          </w:p>
        </w:tc>
        <w:tc>
          <w:tcPr>
            <w:tcW w:w="3054" w:type="dxa"/>
            <w:vAlign w:val="top"/>
          </w:tcPr>
          <w:p w14:paraId="7F84DBF0">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Male domestic Bama miniature pigs (n=22) aged 4-6 months, weighing (37.6 ± 2.5) kg; acclimated for at least 1 week; normal feeding and emotional stability.</w:t>
            </w:r>
          </w:p>
        </w:tc>
        <w:tc>
          <w:tcPr>
            <w:tcW w:w="4454" w:type="dxa"/>
            <w:vAlign w:val="top"/>
          </w:tcPr>
          <w:p w14:paraId="32ABD1D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specified.</w:t>
            </w:r>
          </w:p>
        </w:tc>
      </w:tr>
      <w:tr w14:paraId="2DC1455C">
        <w:tc>
          <w:tcPr>
            <w:tcW w:w="2788" w:type="dxa"/>
            <w:vAlign w:val="top"/>
          </w:tcPr>
          <w:p w14:paraId="3B708E5C">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Liu et al. (10.1186/s13017-018-0212-3)</w:t>
            </w:r>
          </w:p>
        </w:tc>
        <w:tc>
          <w:tcPr>
            <w:tcW w:w="3919" w:type="dxa"/>
            <w:vAlign w:val="top"/>
          </w:tcPr>
          <w:p w14:paraId="6726DCC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Induced by 40% estimated blood loss in 20 min followed by electrically induced ventricular fibrillation and respiratory suspension for 5 min.</w:t>
            </w:r>
          </w:p>
        </w:tc>
        <w:tc>
          <w:tcPr>
            <w:tcW w:w="3054" w:type="dxa"/>
            <w:vAlign w:val="top"/>
          </w:tcPr>
          <w:p w14:paraId="60E25BF4">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Male Chinese pigs (n=21) weighing 29-36 kg; no pretreatment with medications affecting hemodynamics or inflammation.</w:t>
            </w:r>
          </w:p>
        </w:tc>
        <w:tc>
          <w:tcPr>
            <w:tcW w:w="4454" w:type="dxa"/>
            <w:vAlign w:val="top"/>
          </w:tcPr>
          <w:p w14:paraId="13CD841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None specified.</w:t>
            </w:r>
          </w:p>
        </w:tc>
      </w:tr>
      <w:tr w14:paraId="0FF8E14C">
        <w:tc>
          <w:tcPr>
            <w:tcW w:w="2788" w:type="dxa"/>
            <w:vAlign w:val="top"/>
          </w:tcPr>
          <w:p w14:paraId="3690F956">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Zhang et al. (10.1007/s11596-023-2796-4)</w:t>
            </w:r>
          </w:p>
        </w:tc>
        <w:tc>
          <w:tcPr>
            <w:tcW w:w="3919" w:type="dxa"/>
            <w:vAlign w:val="top"/>
          </w:tcPr>
          <w:p w14:paraId="1936008F">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Carotid systolic pressure &lt;20 mmHg for 10 s followed by hemorrhage at 1 ml/kg/min for 10 s with visible pulse fluctuations.</w:t>
            </w:r>
          </w:p>
        </w:tc>
        <w:tc>
          <w:tcPr>
            <w:tcW w:w="3054" w:type="dxa"/>
            <w:vAlign w:val="top"/>
          </w:tcPr>
          <w:p w14:paraId="7B6A078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New Zealand rabbits (n=36) of both sexes, weighing 2.59 ± 0.22 kg, aged 9.4 ± 0.45 months; normal coagulation, blood biochemistry, and full blood count at baseline.</w:t>
            </w:r>
          </w:p>
        </w:tc>
        <w:tc>
          <w:tcPr>
            <w:tcW w:w="4454" w:type="dxa"/>
            <w:vAlign w:val="top"/>
          </w:tcPr>
          <w:p w14:paraId="66970A4D">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Rabbits with abnormalities in coagulation, blood biochemistry, or full blood count at baseline were excluded and substituted.</w:t>
            </w:r>
          </w:p>
        </w:tc>
      </w:tr>
      <w:tr w14:paraId="181953E3">
        <w:tc>
          <w:tcPr>
            <w:tcW w:w="2788" w:type="dxa"/>
            <w:tcBorders>
              <w:bottom w:val="single" w:color="auto" w:sz="4" w:space="0"/>
            </w:tcBorders>
            <w:vAlign w:val="top"/>
          </w:tcPr>
          <w:p w14:paraId="5828270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Burgert et al. (10.1016/j.ajem.2019.02.035)</w:t>
            </w:r>
          </w:p>
        </w:tc>
        <w:tc>
          <w:tcPr>
            <w:tcW w:w="3919" w:type="dxa"/>
            <w:tcBorders>
              <w:bottom w:val="single" w:color="auto" w:sz="4" w:space="0"/>
            </w:tcBorders>
            <w:vAlign w:val="top"/>
          </w:tcPr>
          <w:p w14:paraId="4A2615A3">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Induced by exsanguination of 31% estimated blood volume followed by electrical current to induce ventricular fibrillation (VF).</w:t>
            </w:r>
          </w:p>
        </w:tc>
        <w:tc>
          <w:tcPr>
            <w:tcW w:w="3054" w:type="dxa"/>
            <w:tcBorders>
              <w:bottom w:val="single" w:color="auto" w:sz="4" w:space="0"/>
            </w:tcBorders>
            <w:vAlign w:val="top"/>
          </w:tcPr>
          <w:p w14:paraId="12EE47B1">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Yorkshire-cross male swine (n=49) weighing 60-80 kg; healthy after 3-day acclimation period; no signs of illness.</w:t>
            </w:r>
          </w:p>
        </w:tc>
        <w:tc>
          <w:tcPr>
            <w:tcW w:w="4454" w:type="dxa"/>
            <w:tcBorders>
              <w:bottom w:val="single" w:color="auto" w:sz="4" w:space="0"/>
            </w:tcBorders>
            <w:vAlign w:val="top"/>
          </w:tcPr>
          <w:p w14:paraId="3B594759">
            <w:pPr>
              <w:pStyle w:val="12"/>
              <w:ind w:left="0" w:leftChars="0"/>
              <w:rPr>
                <w:rFonts w:hint="default" w:ascii="Times New Roman Regular" w:hAnsi="Times New Roman Regular" w:eastAsia="等线" w:cs="Times New Roman Regular"/>
                <w:sz w:val="24"/>
                <w:szCs w:val="24"/>
              </w:rPr>
            </w:pPr>
            <w:r>
              <w:rPr>
                <w:rFonts w:hint="default" w:ascii="Times New Roman Regular" w:hAnsi="Times New Roman Regular" w:cs="Times New Roman Regular"/>
                <w:sz w:val="24"/>
                <w:szCs w:val="24"/>
              </w:rPr>
              <w:t>Ill swine were removed from the study.</w:t>
            </w:r>
          </w:p>
        </w:tc>
      </w:tr>
    </w:tbl>
    <w:p w14:paraId="2C2B0EF3">
      <w:pPr>
        <w:pStyle w:val="12"/>
        <w:jc w:val="both"/>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TCA, traumatic cardiac arrest; OHCA, out-of-hospital cardiac arrest; CPR, cardiopulmonary resuscitation; SBP, systolic blood pressure; GCS, Glasgow Coma Scale; ED, emergency department; EMS, emergency medical services; IHTCA, in-hospital traumatic cardiac arrest; REBOA, resuscitative endovascular balloon occlusion of the aorta; RT, resuscitative thoracotomy; HEMS, helicopter emergency medical services; ICU, intensive care unit; HDU, high dependency unit; TARN, Trauma Audit and Research Network; MMT, mobile medical team; NTDB, National Trauma Data Bank;; RTA, road traffic accident; AIS, abbreviated injury scale; TBSA, total body surface area; JTDB, Japan Trauma Data Bank; RTS, revised trauma score; ROSC, return of spontaneous circulation; MAP, mean arterial pressure; VF, ventricular fibrillation; ETCO2, end-tidal carbon dioxide; FWB, fresh whole blood; HBOC, hemoglobin-based oxygen carrier; OCPR, open cardiopulmonary resuscitation; NACA, National Advisory Committee for Aeronautics score; SOL, signs of life; CA, cardiac arrest; PEA, pulseless electrical activity; CI, confidence interval; PICO, population, intervention, comparison, outcome; ALS, advanced life support.</w:t>
      </w: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DengXian">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FangSong_GB2312">
    <w:panose1 w:val="00020600040101010101"/>
    <w:charset w:val="86"/>
    <w:family w:val="auto"/>
    <w:pitch w:val="default"/>
    <w:sig w:usb0="A00002BF" w:usb1="3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2244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8A5F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68A5F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6EF824"/>
    <w:rsid w:val="004E3EC3"/>
    <w:rsid w:val="00926E7A"/>
    <w:rsid w:val="00F62436"/>
    <w:rsid w:val="0B793BF0"/>
    <w:rsid w:val="0F777D02"/>
    <w:rsid w:val="0FEF2DBA"/>
    <w:rsid w:val="11DE0F6A"/>
    <w:rsid w:val="1BF2D233"/>
    <w:rsid w:val="1DFF66C1"/>
    <w:rsid w:val="1FBB684F"/>
    <w:rsid w:val="1FBEFA23"/>
    <w:rsid w:val="1FFFD344"/>
    <w:rsid w:val="21FFBD51"/>
    <w:rsid w:val="2B6F4D45"/>
    <w:rsid w:val="32EF2F06"/>
    <w:rsid w:val="33B74CDC"/>
    <w:rsid w:val="35FF9AC1"/>
    <w:rsid w:val="372FD43A"/>
    <w:rsid w:val="3887F050"/>
    <w:rsid w:val="3ADB0278"/>
    <w:rsid w:val="3B1B8896"/>
    <w:rsid w:val="3B5EC49D"/>
    <w:rsid w:val="3B7F19CA"/>
    <w:rsid w:val="3BBD46A2"/>
    <w:rsid w:val="3DBB643E"/>
    <w:rsid w:val="3E5F9BAF"/>
    <w:rsid w:val="3EF21636"/>
    <w:rsid w:val="3F745669"/>
    <w:rsid w:val="3F773F5D"/>
    <w:rsid w:val="3F8738C1"/>
    <w:rsid w:val="3F8EFAA8"/>
    <w:rsid w:val="3FD9B619"/>
    <w:rsid w:val="3FFBDFDC"/>
    <w:rsid w:val="4AD286E5"/>
    <w:rsid w:val="4D7E08EE"/>
    <w:rsid w:val="4DF00F89"/>
    <w:rsid w:val="4DFF9E37"/>
    <w:rsid w:val="4E7FB192"/>
    <w:rsid w:val="4FBF2C18"/>
    <w:rsid w:val="51EF3FA4"/>
    <w:rsid w:val="55B7EAFC"/>
    <w:rsid w:val="577F39C2"/>
    <w:rsid w:val="57AA5F01"/>
    <w:rsid w:val="57DF37CB"/>
    <w:rsid w:val="5952DB7D"/>
    <w:rsid w:val="59D75F89"/>
    <w:rsid w:val="5B770512"/>
    <w:rsid w:val="5B9F6511"/>
    <w:rsid w:val="5BFF9F3F"/>
    <w:rsid w:val="5C7FF5D4"/>
    <w:rsid w:val="5D7E5962"/>
    <w:rsid w:val="5DD7115E"/>
    <w:rsid w:val="5DDE79F3"/>
    <w:rsid w:val="5E775DB2"/>
    <w:rsid w:val="5E7E43CD"/>
    <w:rsid w:val="5EFF9B03"/>
    <w:rsid w:val="5F2E2081"/>
    <w:rsid w:val="5F6EA1FE"/>
    <w:rsid w:val="5F6EB8DE"/>
    <w:rsid w:val="5F7F0560"/>
    <w:rsid w:val="5F7FF684"/>
    <w:rsid w:val="5FBF6370"/>
    <w:rsid w:val="5FEF592E"/>
    <w:rsid w:val="5FF268B0"/>
    <w:rsid w:val="5FF65959"/>
    <w:rsid w:val="5FFF17E6"/>
    <w:rsid w:val="5FFF1EB2"/>
    <w:rsid w:val="631D2E1C"/>
    <w:rsid w:val="64FF1002"/>
    <w:rsid w:val="676EF824"/>
    <w:rsid w:val="67F7BED7"/>
    <w:rsid w:val="6AF73600"/>
    <w:rsid w:val="6BDFBCC5"/>
    <w:rsid w:val="6CDE8680"/>
    <w:rsid w:val="6CFB6E06"/>
    <w:rsid w:val="6DA6FE29"/>
    <w:rsid w:val="6DDD1B7E"/>
    <w:rsid w:val="6DF3B1CE"/>
    <w:rsid w:val="6E2E6DAF"/>
    <w:rsid w:val="6EF04255"/>
    <w:rsid w:val="6F578FCB"/>
    <w:rsid w:val="6FDFF13B"/>
    <w:rsid w:val="6FE7F4F2"/>
    <w:rsid w:val="6FEC11CC"/>
    <w:rsid w:val="6FED0348"/>
    <w:rsid w:val="6FFDBA8C"/>
    <w:rsid w:val="6FFFD9F5"/>
    <w:rsid w:val="745DCEED"/>
    <w:rsid w:val="75B78D8E"/>
    <w:rsid w:val="75ED85B9"/>
    <w:rsid w:val="76FCD5C7"/>
    <w:rsid w:val="777FF6A3"/>
    <w:rsid w:val="777FFEBD"/>
    <w:rsid w:val="77BB4A4A"/>
    <w:rsid w:val="77FD4EE3"/>
    <w:rsid w:val="77FFD4D6"/>
    <w:rsid w:val="78D75980"/>
    <w:rsid w:val="797F4223"/>
    <w:rsid w:val="79FABD62"/>
    <w:rsid w:val="7A6E74FF"/>
    <w:rsid w:val="7AB432E7"/>
    <w:rsid w:val="7B77E758"/>
    <w:rsid w:val="7B7B87FE"/>
    <w:rsid w:val="7B951CC7"/>
    <w:rsid w:val="7BADB041"/>
    <w:rsid w:val="7BB2E757"/>
    <w:rsid w:val="7BB45109"/>
    <w:rsid w:val="7BF25893"/>
    <w:rsid w:val="7BFDB629"/>
    <w:rsid w:val="7BFDFF27"/>
    <w:rsid w:val="7BFF32AE"/>
    <w:rsid w:val="7BFF9E10"/>
    <w:rsid w:val="7C5F58E2"/>
    <w:rsid w:val="7CEFE374"/>
    <w:rsid w:val="7CF62F8A"/>
    <w:rsid w:val="7DCE531B"/>
    <w:rsid w:val="7DE9B501"/>
    <w:rsid w:val="7DF74034"/>
    <w:rsid w:val="7DFF3CC3"/>
    <w:rsid w:val="7EB61A9C"/>
    <w:rsid w:val="7ED10BE3"/>
    <w:rsid w:val="7EEB964C"/>
    <w:rsid w:val="7EFFBF05"/>
    <w:rsid w:val="7F376E4B"/>
    <w:rsid w:val="7F37B796"/>
    <w:rsid w:val="7F3F4692"/>
    <w:rsid w:val="7F3FC74F"/>
    <w:rsid w:val="7F76E033"/>
    <w:rsid w:val="7F8501C9"/>
    <w:rsid w:val="7FAA54A9"/>
    <w:rsid w:val="7FBF0ED3"/>
    <w:rsid w:val="7FBF7154"/>
    <w:rsid w:val="7FD4E18A"/>
    <w:rsid w:val="7FDBB2EE"/>
    <w:rsid w:val="7FDBF7CF"/>
    <w:rsid w:val="7FDE10E5"/>
    <w:rsid w:val="7FDFBC54"/>
    <w:rsid w:val="7FECBAB7"/>
    <w:rsid w:val="7FEECDE9"/>
    <w:rsid w:val="7FF42A68"/>
    <w:rsid w:val="7FFCDB8A"/>
    <w:rsid w:val="7FFD9954"/>
    <w:rsid w:val="7FFDBC6B"/>
    <w:rsid w:val="7FFF1801"/>
    <w:rsid w:val="7FFF84DA"/>
    <w:rsid w:val="8AFF93FC"/>
    <w:rsid w:val="8BFE70B5"/>
    <w:rsid w:val="8FD7A5D6"/>
    <w:rsid w:val="94FF5E4F"/>
    <w:rsid w:val="97BDDD67"/>
    <w:rsid w:val="9FBA3AB6"/>
    <w:rsid w:val="9FDE852A"/>
    <w:rsid w:val="9FEF4495"/>
    <w:rsid w:val="A5FD46E2"/>
    <w:rsid w:val="ABDA2A0C"/>
    <w:rsid w:val="ABDC8E2B"/>
    <w:rsid w:val="ACF50781"/>
    <w:rsid w:val="ACFD8434"/>
    <w:rsid w:val="AEB90F51"/>
    <w:rsid w:val="AFFE5D55"/>
    <w:rsid w:val="B3EDB7E3"/>
    <w:rsid w:val="B3EDDFDB"/>
    <w:rsid w:val="B67E833F"/>
    <w:rsid w:val="B7AD5CC5"/>
    <w:rsid w:val="B7E77C59"/>
    <w:rsid w:val="BA7730A8"/>
    <w:rsid w:val="BB970335"/>
    <w:rsid w:val="BBBB21F6"/>
    <w:rsid w:val="BCFDD1B0"/>
    <w:rsid w:val="BCFF4179"/>
    <w:rsid w:val="BD6D2345"/>
    <w:rsid w:val="BDFDDA99"/>
    <w:rsid w:val="BDFF8ED6"/>
    <w:rsid w:val="BE770983"/>
    <w:rsid w:val="BF55BDB8"/>
    <w:rsid w:val="BF631C3F"/>
    <w:rsid w:val="BFDA830C"/>
    <w:rsid w:val="BFDF1F30"/>
    <w:rsid w:val="BFE67DE6"/>
    <w:rsid w:val="BFEBCCC5"/>
    <w:rsid w:val="BFEF491B"/>
    <w:rsid w:val="BFFF7ADA"/>
    <w:rsid w:val="BFFFE155"/>
    <w:rsid w:val="C59B545C"/>
    <w:rsid w:val="C698DDF8"/>
    <w:rsid w:val="C7DFE305"/>
    <w:rsid w:val="CF99842D"/>
    <w:rsid w:val="CFFE7EBC"/>
    <w:rsid w:val="D2EC7053"/>
    <w:rsid w:val="D3D71193"/>
    <w:rsid w:val="D6BF8B56"/>
    <w:rsid w:val="D7FE3758"/>
    <w:rsid w:val="DAFB2CE5"/>
    <w:rsid w:val="DBA8287B"/>
    <w:rsid w:val="DDFBABA1"/>
    <w:rsid w:val="DDFFF2AA"/>
    <w:rsid w:val="DEF7F9E6"/>
    <w:rsid w:val="DEFBA7DD"/>
    <w:rsid w:val="DF8772A5"/>
    <w:rsid w:val="DFA165E9"/>
    <w:rsid w:val="DFA5615F"/>
    <w:rsid w:val="DFB79430"/>
    <w:rsid w:val="E24D99F2"/>
    <w:rsid w:val="E6F71808"/>
    <w:rsid w:val="E73700BA"/>
    <w:rsid w:val="E7DEBB70"/>
    <w:rsid w:val="E7E42AB4"/>
    <w:rsid w:val="EA74AAB3"/>
    <w:rsid w:val="EAFE3442"/>
    <w:rsid w:val="EB7F812D"/>
    <w:rsid w:val="EB9F01A4"/>
    <w:rsid w:val="EBBF275E"/>
    <w:rsid w:val="EBEFE190"/>
    <w:rsid w:val="EBFFB9B2"/>
    <w:rsid w:val="EDE9D3D6"/>
    <w:rsid w:val="EF3FD850"/>
    <w:rsid w:val="EF3FF925"/>
    <w:rsid w:val="EF79758E"/>
    <w:rsid w:val="EFB632FE"/>
    <w:rsid w:val="EFC73F55"/>
    <w:rsid w:val="EFF93174"/>
    <w:rsid w:val="EFFE836E"/>
    <w:rsid w:val="EFFF9A88"/>
    <w:rsid w:val="F37B993E"/>
    <w:rsid w:val="F39B0E77"/>
    <w:rsid w:val="F39B9ACC"/>
    <w:rsid w:val="F3DEE4AB"/>
    <w:rsid w:val="F3FE1CE8"/>
    <w:rsid w:val="F3FF1223"/>
    <w:rsid w:val="F4DBFB6E"/>
    <w:rsid w:val="F59E45EC"/>
    <w:rsid w:val="F5CFF0A3"/>
    <w:rsid w:val="F5FFC48B"/>
    <w:rsid w:val="F6BB3C24"/>
    <w:rsid w:val="F6EEC876"/>
    <w:rsid w:val="F6FF01DA"/>
    <w:rsid w:val="F7611F66"/>
    <w:rsid w:val="F76F2599"/>
    <w:rsid w:val="F7AF63C7"/>
    <w:rsid w:val="F7B5AA6F"/>
    <w:rsid w:val="F7DF70BE"/>
    <w:rsid w:val="F7EF62B7"/>
    <w:rsid w:val="F7F313F3"/>
    <w:rsid w:val="F7F6A8B8"/>
    <w:rsid w:val="F7FF2424"/>
    <w:rsid w:val="F7FF4BCA"/>
    <w:rsid w:val="F9F77B62"/>
    <w:rsid w:val="FAF772FB"/>
    <w:rsid w:val="FB6B77C7"/>
    <w:rsid w:val="FB73DED5"/>
    <w:rsid w:val="FBAEE168"/>
    <w:rsid w:val="FC5DE3F3"/>
    <w:rsid w:val="FCEB3198"/>
    <w:rsid w:val="FCFBEF60"/>
    <w:rsid w:val="FCFF96CF"/>
    <w:rsid w:val="FDE21881"/>
    <w:rsid w:val="FDF393D6"/>
    <w:rsid w:val="FDFED361"/>
    <w:rsid w:val="FE3F9E7A"/>
    <w:rsid w:val="FE6EC96E"/>
    <w:rsid w:val="FE717F56"/>
    <w:rsid w:val="FEDEF3B7"/>
    <w:rsid w:val="FF57C37F"/>
    <w:rsid w:val="FF7AD2F5"/>
    <w:rsid w:val="FF7BC184"/>
    <w:rsid w:val="FF7DAF93"/>
    <w:rsid w:val="FF97F18B"/>
    <w:rsid w:val="FF9BAEFF"/>
    <w:rsid w:val="FFC7D722"/>
    <w:rsid w:val="FFDB0342"/>
    <w:rsid w:val="FFDF321F"/>
    <w:rsid w:val="FFED5D84"/>
    <w:rsid w:val="FFEF8667"/>
    <w:rsid w:val="FFEFF41D"/>
    <w:rsid w:val="FFFB33D9"/>
    <w:rsid w:val="FFFC75C8"/>
    <w:rsid w:val="FFFCCD2E"/>
    <w:rsid w:val="FFFE105B"/>
    <w:rsid w:val="FFFF1561"/>
    <w:rsid w:val="FFFF4731"/>
    <w:rsid w:val="FFFF7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3"/>
    <w:next w:val="1"/>
    <w:qFormat/>
    <w:uiPriority w:val="0"/>
    <w:pPr>
      <w:spacing w:before="300" w:after="120" w:line="288" w:lineRule="auto"/>
      <w:outlineLvl w:val="2"/>
    </w:pPr>
    <w:rPr>
      <w:rFonts w:ascii="Arial" w:hAnsi="Arial" w:eastAsia="DengXian" w:cs="Arial"/>
      <w:b/>
      <w:bCs/>
      <w:sz w:val="30"/>
      <w:szCs w:val="30"/>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table of authorities"/>
    <w:basedOn w:val="1"/>
    <w:next w:val="1"/>
    <w:uiPriority w:val="0"/>
    <w:pPr>
      <w:ind w:left="420" w:leftChars="20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Title"/>
    <w:qFormat/>
    <w:uiPriority w:val="0"/>
    <w:pPr>
      <w:spacing w:before="480" w:after="480" w:line="288" w:lineRule="auto"/>
      <w:ind w:left="0"/>
    </w:pPr>
    <w:rPr>
      <w:rFonts w:ascii="Arial" w:hAnsi="Arial" w:eastAsia="等线" w:cs="Arial"/>
      <w:b/>
      <w:bCs/>
      <w:sz w:val="52"/>
      <w:szCs w:val="52"/>
    </w:rPr>
  </w:style>
  <w:style w:type="character" w:styleId="10">
    <w:name w:val="Hyperlink"/>
    <w:unhideWhenUsed/>
    <w:uiPriority w:val="99"/>
    <w:rPr>
      <w:color w:val="0563C1"/>
      <w:u w:val="single"/>
    </w:rPr>
  </w:style>
  <w:style w:type="paragraph" w:customStyle="1" w:styleId="11">
    <w:name w:val="目录区中2025"/>
    <w:basedOn w:val="3"/>
    <w:uiPriority w:val="0"/>
    <w:rPr>
      <w:rFonts w:eastAsia="FangSong_GB2312"/>
      <w:sz w:val="28"/>
    </w:rPr>
  </w:style>
  <w:style w:type="paragraph" w:customStyle="1" w:styleId="12">
    <w:name w:val="_Style 13"/>
    <w:uiPriority w:val="0"/>
    <w:pPr>
      <w:spacing w:before="120" w:after="120" w:line="288" w:lineRule="auto"/>
    </w:pPr>
    <w:rPr>
      <w:rFonts w:ascii="Arial" w:hAnsi="Arial" w:eastAsia="DengXian" w:cs="Arial"/>
      <w:sz w:val="22"/>
      <w:szCs w:val="22"/>
      <w:lang w:val="en-US" w:eastAsia="zh-CN" w:bidi="ar-SA"/>
    </w:rPr>
  </w:style>
  <w:style w:type="paragraph" w:customStyle="1" w:styleId="13">
    <w:name w:val="p1"/>
    <w:basedOn w:val="1"/>
    <w:uiPriority w:val="0"/>
    <w:pPr>
      <w:spacing w:before="0" w:beforeAutospacing="0" w:after="0" w:afterAutospacing="0"/>
      <w:ind w:left="0" w:right="0"/>
      <w:jc w:val="left"/>
    </w:pPr>
    <w:rPr>
      <w:rFonts w:ascii="Helvetica Neue" w:hAnsi="Helvetica Neue" w:eastAsia="Helvetica Neue" w:cs="Helvetica Neue"/>
      <w:color w:val="000000"/>
      <w:kern w:val="0"/>
      <w:sz w:val="28"/>
      <w:szCs w:val="28"/>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124</Pages>
  <Words>12075</Words>
  <Characters>80057</Characters>
  <Lines>132</Lines>
  <Paragraphs>37</Paragraphs>
  <TotalTime>0</TotalTime>
  <ScaleCrop>false</ScaleCrop>
  <LinksUpToDate>false</LinksUpToDate>
  <CharactersWithSpaces>90226</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2025-09-05T09:19:00Z</dcterms:created>
  <dc:creator>shouyinjiang</dc:creator>
  <cp:lastModifiedBy>Jansoean</cp:lastModifiedBy>
  <dcterms:modified xsi:type="dcterms:W3CDTF">2025-09-24T14:59:18Z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DA96CEA05E4B607EBA87CD68B6774CD5_43</vt:lpwstr>
  </property>
</Properties>
</file>