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70024" w14:textId="018E8096" w:rsidR="003E2F1D" w:rsidRPr="003E2F1D" w:rsidRDefault="003E2F1D" w:rsidP="00F87F4E">
      <w:pPr>
        <w:spacing w:line="240" w:lineRule="auto"/>
        <w:rPr>
          <w:b/>
          <w:bCs/>
          <w:sz w:val="24"/>
          <w:szCs w:val="24"/>
          <w:lang w:val="en-US"/>
        </w:rPr>
      </w:pPr>
      <w:r w:rsidRPr="003E2F1D">
        <w:rPr>
          <w:b/>
          <w:bCs/>
          <w:sz w:val="24"/>
          <w:szCs w:val="24"/>
          <w:lang w:val="en-US"/>
        </w:rPr>
        <w:t>Opportunities, challenges and future perspectives for target trial emulation in critical care clinical research</w:t>
      </w:r>
    </w:p>
    <w:p w14:paraId="2FEDD962" w14:textId="55DD2BFE" w:rsidR="003E2F1D" w:rsidRPr="003E2F1D" w:rsidRDefault="003E2F1D" w:rsidP="00F87F4E">
      <w:pPr>
        <w:spacing w:line="240" w:lineRule="auto"/>
        <w:rPr>
          <w:i/>
          <w:iCs/>
          <w:lang w:val="nl-NL"/>
        </w:rPr>
      </w:pPr>
      <w:r w:rsidRPr="003E2F1D">
        <w:rPr>
          <w:i/>
          <w:iCs/>
          <w:lang w:val="nl-NL"/>
        </w:rPr>
        <w:t>Carmen A.T. Reep, Evert-Jan Wils, Leo Heunks</w:t>
      </w:r>
    </w:p>
    <w:p w14:paraId="09B2EAFE" w14:textId="77777777" w:rsidR="003E2F1D" w:rsidRPr="003E2F1D" w:rsidRDefault="003E2F1D" w:rsidP="00F87F4E">
      <w:pPr>
        <w:spacing w:line="240" w:lineRule="auto"/>
        <w:rPr>
          <w:lang w:val="nl-NL"/>
        </w:rPr>
      </w:pPr>
    </w:p>
    <w:p w14:paraId="3D44CA52" w14:textId="6DF68B64" w:rsidR="003E2F1D" w:rsidRDefault="00E87DEB" w:rsidP="00F87F4E">
      <w:pPr>
        <w:spacing w:line="240" w:lineRule="auto"/>
        <w:rPr>
          <w:lang w:val="en-US"/>
        </w:rPr>
      </w:pPr>
      <w:r>
        <w:rPr>
          <w:lang w:val="en-US"/>
        </w:rPr>
        <w:t>Supplement</w:t>
      </w:r>
      <w:r w:rsidR="003E2F1D">
        <w:rPr>
          <w:lang w:val="en-US"/>
        </w:rPr>
        <w:t>al materials</w:t>
      </w:r>
    </w:p>
    <w:p w14:paraId="264E6A13" w14:textId="77777777" w:rsidR="003E2F1D" w:rsidRDefault="003E2F1D" w:rsidP="00F87F4E">
      <w:pPr>
        <w:spacing w:line="240" w:lineRule="auto"/>
        <w:rPr>
          <w:lang w:val="en-US"/>
        </w:rPr>
      </w:pPr>
      <w:r>
        <w:rPr>
          <w:lang w:val="en-US"/>
        </w:rPr>
        <w:br w:type="page"/>
      </w:r>
    </w:p>
    <w:p w14:paraId="63DBEB13" w14:textId="0FAE2C7A" w:rsidR="00FB45A3" w:rsidRDefault="00FB45A3" w:rsidP="00F87F4E">
      <w:pPr>
        <w:suppressLineNumbers/>
        <w:spacing w:line="240" w:lineRule="auto"/>
        <w:rPr>
          <w:b/>
          <w:bCs/>
          <w:color w:val="000000"/>
          <w:lang w:val="en-US"/>
        </w:rPr>
      </w:pPr>
      <w:r>
        <w:rPr>
          <w:b/>
          <w:bCs/>
          <w:color w:val="000000"/>
          <w:lang w:val="en-US"/>
        </w:rPr>
        <w:lastRenderedPageBreak/>
        <w:t xml:space="preserve">Figure </w:t>
      </w:r>
      <w:r w:rsidR="003E2F1D">
        <w:rPr>
          <w:b/>
          <w:bCs/>
          <w:color w:val="000000"/>
          <w:lang w:val="en-US"/>
        </w:rPr>
        <w:t>E</w:t>
      </w:r>
      <w:r>
        <w:rPr>
          <w:b/>
          <w:bCs/>
          <w:color w:val="000000"/>
          <w:lang w:val="en-US"/>
        </w:rPr>
        <w:t>1. Directed acyclic graph (DAG)</w:t>
      </w:r>
      <w:r w:rsidR="00F87F4E">
        <w:rPr>
          <w:b/>
          <w:bCs/>
          <w:color w:val="000000"/>
          <w:lang w:val="en-US"/>
        </w:rPr>
        <w:t xml:space="preserve"> for the switch scenario</w:t>
      </w:r>
    </w:p>
    <w:p w14:paraId="06D62334" w14:textId="60BB78EE" w:rsidR="00FB45A3" w:rsidRDefault="00304A13" w:rsidP="00F87F4E">
      <w:pPr>
        <w:suppressLineNumbers/>
        <w:spacing w:line="240" w:lineRule="auto"/>
        <w:rPr>
          <w:b/>
          <w:bCs/>
          <w:color w:val="000000"/>
          <w:lang w:val="en-US"/>
        </w:rPr>
      </w:pPr>
      <w:r>
        <w:rPr>
          <w:b/>
          <w:bCs/>
          <w:noProof/>
          <w:color w:val="000000"/>
          <w:lang w:val="en-US"/>
        </w:rPr>
        <w:drawing>
          <wp:inline distT="0" distB="0" distL="0" distR="0" wp14:anchorId="131B3DCC" wp14:editId="09B3E0D0">
            <wp:extent cx="5731510" cy="3394075"/>
            <wp:effectExtent l="0" t="0" r="2540" b="0"/>
            <wp:docPr id="2" name="Picture 2" descr="A diagram of a medical proced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iagram of a medical procedure&#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3394075"/>
                    </a:xfrm>
                    <a:prstGeom prst="rect">
                      <a:avLst/>
                    </a:prstGeom>
                  </pic:spPr>
                </pic:pic>
              </a:graphicData>
            </a:graphic>
          </wp:inline>
        </w:drawing>
      </w:r>
    </w:p>
    <w:p w14:paraId="60113990" w14:textId="3E41A0EC" w:rsidR="00FB45A3" w:rsidRDefault="00FB45A3" w:rsidP="00F87F4E">
      <w:pPr>
        <w:suppressLineNumbers/>
        <w:spacing w:line="240" w:lineRule="auto"/>
        <w:rPr>
          <w:color w:val="000000"/>
          <w:lang w:val="en-US"/>
        </w:rPr>
      </w:pPr>
      <w:r w:rsidRPr="00AA0E60">
        <w:rPr>
          <w:i/>
          <w:iCs/>
          <w:lang w:val="en-US"/>
        </w:rPr>
        <w:t xml:space="preserve">Figure </w:t>
      </w:r>
      <w:r w:rsidR="00F87F4E">
        <w:rPr>
          <w:i/>
          <w:iCs/>
          <w:lang w:val="en-US"/>
        </w:rPr>
        <w:t>E</w:t>
      </w:r>
      <w:r>
        <w:rPr>
          <w:i/>
          <w:iCs/>
          <w:lang w:val="en-US"/>
        </w:rPr>
        <w:t>1</w:t>
      </w:r>
      <w:r w:rsidRPr="00AA0E60">
        <w:rPr>
          <w:i/>
          <w:iCs/>
          <w:lang w:val="en-US"/>
        </w:rPr>
        <w:t xml:space="preserve"> caption.</w:t>
      </w:r>
      <w:r>
        <w:rPr>
          <w:lang w:val="en-US"/>
        </w:rPr>
        <w:t xml:space="preserve"> </w:t>
      </w:r>
      <w:r w:rsidR="0016008C" w:rsidRPr="0016008C">
        <w:rPr>
          <w:lang w:val="en-US"/>
        </w:rPr>
        <w:t>This figure presents a directed acyclic graph (DAG), where arrows represent causal relationships and nodes represent variables. To estimate the causal effect of the intervention (I</w:t>
      </w:r>
      <w:r w:rsidR="006F459E">
        <w:rPr>
          <w:lang w:val="en-US"/>
        </w:rPr>
        <w:t>; ventilator switch timing</w:t>
      </w:r>
      <w:r w:rsidR="0016008C" w:rsidRPr="0016008C">
        <w:rPr>
          <w:lang w:val="en-US"/>
        </w:rPr>
        <w:t>) on the outcome (O</w:t>
      </w:r>
      <w:r w:rsidR="006F459E">
        <w:rPr>
          <w:lang w:val="en-US"/>
        </w:rPr>
        <w:t>; time to successful extubation</w:t>
      </w:r>
      <w:r w:rsidR="0016008C" w:rsidRPr="0016008C">
        <w:rPr>
          <w:lang w:val="en-US"/>
        </w:rPr>
        <w:t>), confounding variables must be accounted for</w:t>
      </w:r>
      <w:r>
        <w:rPr>
          <w:lang w:val="en-US"/>
        </w:rPr>
        <w:t xml:space="preserve">. </w:t>
      </w:r>
      <w:r w:rsidR="00321AF7">
        <w:rPr>
          <w:lang w:val="en-US"/>
        </w:rPr>
        <w:t>For example, s</w:t>
      </w:r>
      <w:r w:rsidRPr="00C50340">
        <w:rPr>
          <w:color w:val="000000"/>
          <w:lang w:val="en-US"/>
        </w:rPr>
        <w:t xml:space="preserve">edation level </w:t>
      </w:r>
      <w:r w:rsidR="00627ECA">
        <w:rPr>
          <w:color w:val="000000"/>
          <w:lang w:val="en-US"/>
        </w:rPr>
        <w:t xml:space="preserve">should be accounted for </w:t>
      </w:r>
      <w:r w:rsidR="00EE7D98">
        <w:rPr>
          <w:color w:val="000000"/>
          <w:lang w:val="en-US"/>
        </w:rPr>
        <w:t>because</w:t>
      </w:r>
      <w:r>
        <w:rPr>
          <w:color w:val="000000"/>
          <w:lang w:val="en-US"/>
        </w:rPr>
        <w:t xml:space="preserve"> it </w:t>
      </w:r>
      <w:r w:rsidRPr="00C50340">
        <w:rPr>
          <w:color w:val="000000"/>
          <w:lang w:val="en-US"/>
        </w:rPr>
        <w:t>influenc</w:t>
      </w:r>
      <w:r>
        <w:rPr>
          <w:color w:val="000000"/>
          <w:lang w:val="en-US"/>
        </w:rPr>
        <w:t>es</w:t>
      </w:r>
      <w:r w:rsidRPr="00C50340">
        <w:rPr>
          <w:color w:val="000000"/>
          <w:lang w:val="en-US"/>
        </w:rPr>
        <w:t xml:space="preserve"> both switch timing (higher sedation delays switching) and IMV duration (within a</w:t>
      </w:r>
      <w:r w:rsidR="00627ECA">
        <w:rPr>
          <w:color w:val="000000"/>
          <w:lang w:val="en-US"/>
        </w:rPr>
        <w:t>n intervention</w:t>
      </w:r>
      <w:r w:rsidRPr="00C50340">
        <w:rPr>
          <w:color w:val="000000"/>
          <w:lang w:val="en-US"/>
        </w:rPr>
        <w:t xml:space="preserve"> group, higher sedation is linked to longer IMV).</w:t>
      </w:r>
      <w:r>
        <w:rPr>
          <w:color w:val="000000"/>
          <w:lang w:val="en-US"/>
        </w:rPr>
        <w:t xml:space="preserve"> </w:t>
      </w:r>
      <w:r w:rsidR="0043293A">
        <w:rPr>
          <w:color w:val="000000"/>
          <w:lang w:val="en-US"/>
        </w:rPr>
        <w:t>W</w:t>
      </w:r>
      <w:r w:rsidR="0043293A" w:rsidRPr="0043293A">
        <w:rPr>
          <w:color w:val="000000"/>
          <w:lang w:val="en-US"/>
        </w:rPr>
        <w:t xml:space="preserve">hen </w:t>
      </w:r>
      <w:r w:rsidR="00BA0568">
        <w:rPr>
          <w:color w:val="000000"/>
          <w:lang w:val="en-US"/>
        </w:rPr>
        <w:t>common caused of both intervention and outcome are unavailable, proxies can help reduce bias</w:t>
      </w:r>
      <w:r w:rsidR="009141D9" w:rsidRPr="009141D9">
        <w:rPr>
          <w:color w:val="000000"/>
        </w:rPr>
        <w:t xml:space="preserve"> (e.g., cardiovascular SOFA score</w:t>
      </w:r>
      <w:r w:rsidR="00956EBF">
        <w:rPr>
          <w:color w:val="000000"/>
        </w:rPr>
        <w:t xml:space="preserve"> or number of beds per physician</w:t>
      </w:r>
      <w:r w:rsidR="009141D9" w:rsidRPr="009141D9">
        <w:rPr>
          <w:color w:val="000000"/>
        </w:rPr>
        <w:t xml:space="preserve">) </w:t>
      </w:r>
      <w:sdt>
        <w:sdtPr>
          <w:rPr>
            <w:color w:val="000000"/>
            <w:lang w:val="en-US"/>
          </w:rPr>
          <w:tag w:val="MENDELEY_CITATION_v3_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"/>
          <w:id w:val="2070845756"/>
          <w:placeholder>
            <w:docPart w:val="9A19711DDF2C4549B0C8E3EAF6E4823B"/>
          </w:placeholder>
        </w:sdtPr>
        <w:sdtContent>
          <w:r w:rsidR="009141D9" w:rsidRPr="003E2F1D">
            <w:rPr>
              <w:color w:val="000000"/>
              <w:lang w:val="en-US"/>
            </w:rPr>
            <w:t>(1)</w:t>
          </w:r>
        </w:sdtContent>
      </w:sdt>
      <w:r w:rsidR="00625C12">
        <w:rPr>
          <w:color w:val="000000"/>
          <w:lang w:val="en-US"/>
        </w:rPr>
        <w:t xml:space="preserve">.  </w:t>
      </w:r>
    </w:p>
    <w:p w14:paraId="639CF074" w14:textId="5031DA58" w:rsidR="00AC6F51" w:rsidRDefault="00C90CBD" w:rsidP="00F87F4E">
      <w:pPr>
        <w:suppressLineNumbers/>
        <w:spacing w:line="240" w:lineRule="auto"/>
        <w:rPr>
          <w:color w:val="000000"/>
          <w:lang w:val="en-US"/>
        </w:rPr>
      </w:pPr>
      <w:r w:rsidRPr="00C90CBD">
        <w:rPr>
          <w:color w:val="000000"/>
        </w:rPr>
        <w:t xml:space="preserve">Variables that affect only the outcome, such as age, can be adjusted for to improve precision. </w:t>
      </w:r>
      <w:r w:rsidR="006854B0">
        <w:rPr>
          <w:color w:val="000000"/>
        </w:rPr>
        <w:t>In contrast, v</w:t>
      </w:r>
      <w:proofErr w:type="spellStart"/>
      <w:r w:rsidR="00FB45A3" w:rsidRPr="00C92B04">
        <w:rPr>
          <w:color w:val="000000"/>
          <w:lang w:val="en-US"/>
        </w:rPr>
        <w:t>ariables</w:t>
      </w:r>
      <w:proofErr w:type="spellEnd"/>
      <w:r w:rsidR="00FB45A3" w:rsidRPr="00C92B04">
        <w:rPr>
          <w:color w:val="000000"/>
          <w:lang w:val="en-US"/>
        </w:rPr>
        <w:t xml:space="preserve"> caused by the intervention </w:t>
      </w:r>
      <w:r w:rsidR="00A54910" w:rsidRPr="00A54910">
        <w:rPr>
          <w:color w:val="000000"/>
        </w:rPr>
        <w:t>and lying on the causal pathway to the outcome should not be controlled for</w:t>
      </w:r>
      <w:r w:rsidR="00A54910">
        <w:rPr>
          <w:color w:val="000000"/>
        </w:rPr>
        <w:t xml:space="preserve"> </w:t>
      </w:r>
      <w:sdt>
        <w:sdtPr>
          <w:rPr>
            <w:color w:val="000000"/>
            <w:lang w:val="en-US"/>
          </w:rPr>
          <w:tag w:val="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"/>
          <w:id w:val="-48537006"/>
          <w:placeholder>
            <w:docPart w:val="B7A32C8DC2B143DC9AC12ED45EDE00D7"/>
          </w:placeholder>
        </w:sdtPr>
        <w:sdtContent>
          <w:r w:rsidR="003E2F1D" w:rsidRPr="003E2F1D">
            <w:rPr>
              <w:color w:val="000000"/>
              <w:lang w:val="en-US"/>
            </w:rPr>
            <w:t>(1,2)</w:t>
          </w:r>
        </w:sdtContent>
      </w:sdt>
      <w:r w:rsidR="006854B0">
        <w:rPr>
          <w:color w:val="000000"/>
          <w:lang w:val="en-US"/>
        </w:rPr>
        <w:t xml:space="preserve">. For example, </w:t>
      </w:r>
      <w:r w:rsidR="00FB45A3" w:rsidRPr="00D700F5">
        <w:rPr>
          <w:color w:val="000000"/>
          <w:lang w:val="en-US"/>
        </w:rPr>
        <w:t>muscle weakness resulting from a delayed switch may reduce tolerance to spontaneous breathing trials, thereby delaying extubation</w:t>
      </w:r>
      <w:r w:rsidR="00FB45A3">
        <w:rPr>
          <w:color w:val="000000"/>
          <w:lang w:val="en-US"/>
        </w:rPr>
        <w:t xml:space="preserve">. </w:t>
      </w:r>
      <w:r w:rsidR="00AC6F51">
        <w:rPr>
          <w:color w:val="000000"/>
          <w:lang w:val="en-US"/>
        </w:rPr>
        <w:t xml:space="preserve"> </w:t>
      </w:r>
    </w:p>
    <w:p w14:paraId="18C8CF1B" w14:textId="5757EFF2" w:rsidR="00FB45A3" w:rsidRDefault="00865193" w:rsidP="00F87F4E">
      <w:pPr>
        <w:suppressLineNumbers/>
        <w:spacing w:line="240" w:lineRule="auto"/>
        <w:rPr>
          <w:color w:val="000000"/>
          <w:lang w:val="en-US"/>
        </w:rPr>
      </w:pPr>
      <w:proofErr w:type="spellStart"/>
      <w:r w:rsidRPr="006E25EB">
        <w:rPr>
          <w:rFonts w:eastAsia="Times New Roman"/>
          <w:i/>
          <w:iCs/>
          <w:color w:val="000000"/>
        </w:rPr>
        <w:t>DAGitty</w:t>
      </w:r>
      <w:proofErr w:type="spellEnd"/>
      <w:r w:rsidRPr="00D700F5">
        <w:rPr>
          <w:color w:val="000000"/>
          <w:lang w:val="en-US"/>
        </w:rPr>
        <w:t xml:space="preserve"> </w:t>
      </w:r>
      <w:r>
        <w:rPr>
          <w:color w:val="000000"/>
          <w:lang w:val="en-US"/>
        </w:rPr>
        <w:t>is a</w:t>
      </w:r>
      <w:r w:rsidR="00FB45A3" w:rsidRPr="00D700F5">
        <w:rPr>
          <w:color w:val="000000"/>
          <w:lang w:val="en-US"/>
        </w:rPr>
        <w:t xml:space="preserve"> useful </w:t>
      </w:r>
      <w:r>
        <w:rPr>
          <w:color w:val="000000"/>
          <w:lang w:val="en-US"/>
        </w:rPr>
        <w:t xml:space="preserve">online </w:t>
      </w:r>
      <w:r w:rsidR="00FB45A3" w:rsidRPr="00D700F5">
        <w:rPr>
          <w:color w:val="000000"/>
          <w:lang w:val="en-US"/>
        </w:rPr>
        <w:t>tool for drawing DAGs and assessing appropriate adjustment variables</w:t>
      </w:r>
      <w:r>
        <w:rPr>
          <w:color w:val="000000"/>
          <w:lang w:val="en-US"/>
        </w:rPr>
        <w:t xml:space="preserve"> </w:t>
      </w:r>
      <w:sdt>
        <w:sdtPr>
          <w:rPr>
            <w:color w:val="000000"/>
            <w:lang w:val="en-US"/>
          </w:rPr>
          <w:tag w:val="MENDELEY_CITATION_v3_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"/>
          <w:id w:val="-735780786"/>
          <w:placeholder>
            <w:docPart w:val="249DE95F87E34B74875A08C13F48B4FC"/>
          </w:placeholder>
        </w:sdtPr>
        <w:sdtContent>
          <w:r w:rsidR="003E2F1D" w:rsidRPr="003E2F1D">
            <w:rPr>
              <w:color w:val="000000"/>
              <w:lang w:val="en-US"/>
            </w:rPr>
            <w:t>(3)</w:t>
          </w:r>
        </w:sdtContent>
      </w:sdt>
      <w:r w:rsidR="00FB45A3">
        <w:rPr>
          <w:color w:val="000000"/>
          <w:lang w:val="en-US"/>
        </w:rPr>
        <w:t>.</w:t>
      </w:r>
    </w:p>
    <w:p w14:paraId="16899036" w14:textId="77777777" w:rsidR="00F87F4E" w:rsidRDefault="00F87F4E" w:rsidP="00F87F4E">
      <w:pPr>
        <w:suppressLineNumbers/>
        <w:spacing w:line="240" w:lineRule="auto"/>
        <w:rPr>
          <w:color w:val="000000"/>
          <w:lang w:val="en-US"/>
        </w:rPr>
      </w:pPr>
    </w:p>
    <w:p w14:paraId="62011712" w14:textId="090295FE" w:rsidR="003E2F1D" w:rsidRPr="003E2F1D" w:rsidRDefault="003E2F1D" w:rsidP="00F87F4E">
      <w:pPr>
        <w:suppressLineNumbers/>
        <w:spacing w:line="240" w:lineRule="auto"/>
        <w:rPr>
          <w:b/>
          <w:bCs/>
          <w:color w:val="000000"/>
          <w:lang w:val="en-US"/>
        </w:rPr>
      </w:pPr>
      <w:r w:rsidRPr="003E2F1D">
        <w:rPr>
          <w:b/>
          <w:bCs/>
          <w:color w:val="000000"/>
          <w:lang w:val="en-US"/>
        </w:rPr>
        <w:t>References</w:t>
      </w:r>
    </w:p>
    <w:sdt>
      <w:sdtPr>
        <w:rPr>
          <w:color w:val="000000"/>
          <w:lang w:val="en-US"/>
        </w:rPr>
        <w:tag w:val="MENDELEY_BIBLIOGRAPHY"/>
        <w:id w:val="1997689735"/>
        <w:placeholder>
          <w:docPart w:val="DefaultPlaceholder_-1854013440"/>
        </w:placeholder>
      </w:sdtPr>
      <w:sdtContent>
        <w:p w14:paraId="351E1356" w14:textId="00F2E759" w:rsidR="003E2F1D" w:rsidRPr="00625C12" w:rsidRDefault="003E2F1D" w:rsidP="00F87F4E">
          <w:pPr>
            <w:autoSpaceDE w:val="0"/>
            <w:autoSpaceDN w:val="0"/>
            <w:spacing w:line="240" w:lineRule="auto"/>
            <w:ind w:hanging="640"/>
            <w:divId w:val="1870483695"/>
            <w:rPr>
              <w:rFonts w:eastAsia="Times New Roman"/>
              <w:color w:val="000000"/>
              <w:kern w:val="0"/>
              <w:sz w:val="24"/>
              <w:szCs w:val="24"/>
              <w14:ligatures w14:val="none"/>
            </w:rPr>
          </w:pPr>
          <w:r w:rsidRPr="003E2F1D">
            <w:rPr>
              <w:rFonts w:eastAsia="Times New Roman"/>
              <w:color w:val="000000"/>
            </w:rPr>
            <w:t>1.</w:t>
          </w:r>
          <w:r w:rsidRPr="003E2F1D">
            <w:rPr>
              <w:rFonts w:eastAsia="Times New Roman"/>
              <w:color w:val="000000"/>
            </w:rPr>
            <w:tab/>
          </w:r>
          <w:proofErr w:type="spellStart"/>
          <w:r w:rsidRPr="003E2F1D">
            <w:rPr>
              <w:rFonts w:eastAsia="Times New Roman"/>
              <w:color w:val="000000"/>
            </w:rPr>
            <w:t>VanderWeele</w:t>
          </w:r>
          <w:proofErr w:type="spellEnd"/>
          <w:r w:rsidRPr="003E2F1D">
            <w:rPr>
              <w:rFonts w:eastAsia="Times New Roman"/>
              <w:color w:val="000000"/>
            </w:rPr>
            <w:t xml:space="preserve"> TJ. Principles of confounder selection. </w:t>
          </w:r>
          <w:proofErr w:type="spellStart"/>
          <w:r w:rsidRPr="00625C12">
            <w:rPr>
              <w:rFonts w:eastAsia="Times New Roman"/>
              <w:color w:val="000000"/>
            </w:rPr>
            <w:t>Eur</w:t>
          </w:r>
          <w:proofErr w:type="spellEnd"/>
          <w:r w:rsidRPr="00625C12">
            <w:rPr>
              <w:rFonts w:eastAsia="Times New Roman"/>
              <w:color w:val="000000"/>
            </w:rPr>
            <w:t xml:space="preserve"> J </w:t>
          </w:r>
          <w:proofErr w:type="spellStart"/>
          <w:r w:rsidRPr="00625C12">
            <w:rPr>
              <w:rFonts w:eastAsia="Times New Roman"/>
              <w:color w:val="000000"/>
            </w:rPr>
            <w:t>Epidemiol</w:t>
          </w:r>
          <w:proofErr w:type="spellEnd"/>
          <w:r w:rsidRPr="00625C12">
            <w:rPr>
              <w:rFonts w:eastAsia="Times New Roman"/>
              <w:color w:val="000000"/>
            </w:rPr>
            <w:t xml:space="preserve">. 2019 Mar 15;34(3):211. </w:t>
          </w:r>
        </w:p>
        <w:p w14:paraId="5DD88B5A" w14:textId="3D1CBC2A" w:rsidR="003E2F1D" w:rsidRPr="003E2F1D" w:rsidRDefault="003E2F1D" w:rsidP="00F87F4E">
          <w:pPr>
            <w:autoSpaceDE w:val="0"/>
            <w:autoSpaceDN w:val="0"/>
            <w:spacing w:line="240" w:lineRule="auto"/>
            <w:ind w:hanging="640"/>
            <w:divId w:val="115023134"/>
            <w:rPr>
              <w:rFonts w:eastAsia="Times New Roman"/>
              <w:color w:val="000000"/>
            </w:rPr>
          </w:pPr>
          <w:r w:rsidRPr="00625C12">
            <w:rPr>
              <w:rFonts w:eastAsia="Times New Roman"/>
              <w:color w:val="000000"/>
            </w:rPr>
            <w:t>2.</w:t>
          </w:r>
          <w:r w:rsidRPr="00625C12">
            <w:rPr>
              <w:rFonts w:eastAsia="Times New Roman"/>
              <w:color w:val="000000"/>
            </w:rPr>
            <w:tab/>
            <w:t xml:space="preserve">Tennant PWG, Murray EJ, Arnold KF, </w:t>
          </w:r>
          <w:proofErr w:type="spellStart"/>
          <w:r w:rsidRPr="00625C12">
            <w:rPr>
              <w:rFonts w:eastAsia="Times New Roman"/>
              <w:color w:val="000000"/>
            </w:rPr>
            <w:t>Berrie</w:t>
          </w:r>
          <w:proofErr w:type="spellEnd"/>
          <w:r w:rsidRPr="00625C12">
            <w:rPr>
              <w:rFonts w:eastAsia="Times New Roman"/>
              <w:color w:val="000000"/>
            </w:rPr>
            <w:t xml:space="preserve"> L, Fox MP, Gadd SC, et al. </w:t>
          </w:r>
          <w:r w:rsidRPr="003E2F1D">
            <w:rPr>
              <w:rFonts w:eastAsia="Times New Roman"/>
              <w:color w:val="000000"/>
            </w:rPr>
            <w:t>Use of directed acyclic graphs (</w:t>
          </w:r>
          <w:proofErr w:type="spellStart"/>
          <w:r w:rsidRPr="003E2F1D">
            <w:rPr>
              <w:rFonts w:eastAsia="Times New Roman"/>
              <w:color w:val="000000"/>
            </w:rPr>
            <w:t>DAGs</w:t>
          </w:r>
          <w:proofErr w:type="spellEnd"/>
          <w:r w:rsidRPr="003E2F1D">
            <w:rPr>
              <w:rFonts w:eastAsia="Times New Roman"/>
              <w:color w:val="000000"/>
            </w:rPr>
            <w:t xml:space="preserve">) to identify confounders in applied health research: review and recommendations. Int J </w:t>
          </w:r>
          <w:proofErr w:type="spellStart"/>
          <w:r w:rsidRPr="003E2F1D">
            <w:rPr>
              <w:rFonts w:eastAsia="Times New Roman"/>
              <w:color w:val="000000"/>
            </w:rPr>
            <w:t>Epidemiol</w:t>
          </w:r>
          <w:proofErr w:type="spellEnd"/>
          <w:r w:rsidRPr="003E2F1D">
            <w:rPr>
              <w:rFonts w:eastAsia="Times New Roman"/>
              <w:color w:val="000000"/>
            </w:rPr>
            <w:t>. 2021 Apr 1;50(2):620–32.</w:t>
          </w:r>
        </w:p>
        <w:p w14:paraId="5766F5FA" w14:textId="1D587393" w:rsidR="003E2F1D" w:rsidRPr="003E2F1D" w:rsidRDefault="003E2F1D" w:rsidP="00F87F4E">
          <w:pPr>
            <w:autoSpaceDE w:val="0"/>
            <w:autoSpaceDN w:val="0"/>
            <w:spacing w:line="240" w:lineRule="auto"/>
            <w:ind w:hanging="640"/>
            <w:divId w:val="335159202"/>
            <w:rPr>
              <w:rFonts w:eastAsia="Times New Roman"/>
              <w:color w:val="000000"/>
            </w:rPr>
          </w:pPr>
          <w:r w:rsidRPr="003E2F1D">
            <w:rPr>
              <w:rFonts w:eastAsia="Times New Roman"/>
              <w:color w:val="000000"/>
            </w:rPr>
            <w:t>3.</w:t>
          </w:r>
          <w:r w:rsidRPr="003E2F1D">
            <w:rPr>
              <w:rFonts w:eastAsia="Times New Roman"/>
              <w:color w:val="000000"/>
            </w:rPr>
            <w:tab/>
          </w:r>
          <w:proofErr w:type="spellStart"/>
          <w:r w:rsidRPr="003E2F1D">
            <w:rPr>
              <w:rFonts w:eastAsia="Times New Roman"/>
              <w:color w:val="000000"/>
            </w:rPr>
            <w:t>Textor</w:t>
          </w:r>
          <w:proofErr w:type="spellEnd"/>
          <w:r w:rsidRPr="003E2F1D">
            <w:rPr>
              <w:rFonts w:eastAsia="Times New Roman"/>
              <w:color w:val="000000"/>
            </w:rPr>
            <w:t xml:space="preserve"> J. Drawing and </w:t>
          </w:r>
          <w:proofErr w:type="spellStart"/>
          <w:r w:rsidRPr="003E2F1D">
            <w:rPr>
              <w:rFonts w:eastAsia="Times New Roman"/>
              <w:color w:val="000000"/>
            </w:rPr>
            <w:t>Analyzing</w:t>
          </w:r>
          <w:proofErr w:type="spellEnd"/>
          <w:r w:rsidRPr="003E2F1D">
            <w:rPr>
              <w:rFonts w:eastAsia="Times New Roman"/>
              <w:color w:val="000000"/>
            </w:rPr>
            <w:t xml:space="preserve"> Causal </w:t>
          </w:r>
          <w:proofErr w:type="spellStart"/>
          <w:r w:rsidRPr="003E2F1D">
            <w:rPr>
              <w:rFonts w:eastAsia="Times New Roman"/>
              <w:color w:val="000000"/>
            </w:rPr>
            <w:t>DAGs</w:t>
          </w:r>
          <w:proofErr w:type="spellEnd"/>
          <w:r w:rsidRPr="003E2F1D">
            <w:rPr>
              <w:rFonts w:eastAsia="Times New Roman"/>
              <w:color w:val="000000"/>
            </w:rPr>
            <w:t xml:space="preserve"> with </w:t>
          </w:r>
          <w:proofErr w:type="spellStart"/>
          <w:r w:rsidRPr="003E2F1D">
            <w:rPr>
              <w:rFonts w:eastAsia="Times New Roman"/>
              <w:color w:val="000000"/>
            </w:rPr>
            <w:t>DAGitty</w:t>
          </w:r>
          <w:proofErr w:type="spellEnd"/>
          <w:r w:rsidRPr="003E2F1D">
            <w:rPr>
              <w:rFonts w:eastAsia="Times New Roman"/>
              <w:color w:val="000000"/>
            </w:rPr>
            <w:t xml:space="preserve">. 2023; </w:t>
          </w:r>
          <w:bookmarkStart w:id="0" w:name="_Hlk202173597"/>
          <w:r w:rsidR="00F87F4E">
            <w:rPr>
              <w:rFonts w:eastAsia="Times New Roman"/>
              <w:color w:val="000000"/>
            </w:rPr>
            <w:t xml:space="preserve">Available at: </w:t>
          </w:r>
          <w:hyperlink r:id="rId6" w:history="1">
            <w:r w:rsidR="00F87F4E" w:rsidRPr="00FB3EB0">
              <w:rPr>
                <w:rStyle w:val="Hyperlink"/>
                <w:lang w:val="en-US"/>
              </w:rPr>
              <w:t>https://www.dagitty.net/dags.html</w:t>
            </w:r>
          </w:hyperlink>
          <w:bookmarkEnd w:id="0"/>
        </w:p>
        <w:p w14:paraId="03D029B0" w14:textId="23F76272" w:rsidR="00FB45A3" w:rsidRPr="00E87DEB" w:rsidRDefault="003E2F1D" w:rsidP="00F87F4E">
          <w:pPr>
            <w:spacing w:line="240" w:lineRule="auto"/>
            <w:rPr>
              <w:lang w:val="en-US"/>
            </w:rPr>
          </w:pPr>
          <w:r w:rsidRPr="003E2F1D">
            <w:rPr>
              <w:rFonts w:eastAsia="Times New Roman"/>
              <w:color w:val="000000"/>
            </w:rPr>
            <w:t> </w:t>
          </w:r>
        </w:p>
      </w:sdtContent>
    </w:sdt>
    <w:sectPr w:rsidR="00FB45A3" w:rsidRPr="00E87D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DEB"/>
    <w:rsid w:val="000003AA"/>
    <w:rsid w:val="00065B86"/>
    <w:rsid w:val="00094A8D"/>
    <w:rsid w:val="00132D7B"/>
    <w:rsid w:val="0016008C"/>
    <w:rsid w:val="001E6ED3"/>
    <w:rsid w:val="00207D5F"/>
    <w:rsid w:val="00304A13"/>
    <w:rsid w:val="00321AF7"/>
    <w:rsid w:val="00342444"/>
    <w:rsid w:val="0037085B"/>
    <w:rsid w:val="00397CDD"/>
    <w:rsid w:val="003E2F1D"/>
    <w:rsid w:val="004133C4"/>
    <w:rsid w:val="0043293A"/>
    <w:rsid w:val="004E6EBC"/>
    <w:rsid w:val="00625C12"/>
    <w:rsid w:val="00627ECA"/>
    <w:rsid w:val="006854B0"/>
    <w:rsid w:val="006E25EB"/>
    <w:rsid w:val="006F459E"/>
    <w:rsid w:val="00793A81"/>
    <w:rsid w:val="008247F5"/>
    <w:rsid w:val="00865193"/>
    <w:rsid w:val="009141D9"/>
    <w:rsid w:val="00956EBF"/>
    <w:rsid w:val="00A54910"/>
    <w:rsid w:val="00A70872"/>
    <w:rsid w:val="00AC6F51"/>
    <w:rsid w:val="00BA0568"/>
    <w:rsid w:val="00C90CBD"/>
    <w:rsid w:val="00CD682A"/>
    <w:rsid w:val="00CE7370"/>
    <w:rsid w:val="00CF372D"/>
    <w:rsid w:val="00D1264F"/>
    <w:rsid w:val="00D7781E"/>
    <w:rsid w:val="00DB1AD5"/>
    <w:rsid w:val="00E50164"/>
    <w:rsid w:val="00E87DEB"/>
    <w:rsid w:val="00EE7D98"/>
    <w:rsid w:val="00F87F4E"/>
    <w:rsid w:val="00FB45A3"/>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DE7E1"/>
  <w15:chartTrackingRefBased/>
  <w15:docId w15:val="{81EA3816-A7A2-4EA6-A6B4-32A6FFCE2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7D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87D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87DE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87DE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87DE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87D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7D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7D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7D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7DE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87DE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87DE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87DE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87DE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87D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7D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7D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7DEB"/>
    <w:rPr>
      <w:rFonts w:eastAsiaTheme="majorEastAsia" w:cstheme="majorBidi"/>
      <w:color w:val="272727" w:themeColor="text1" w:themeTint="D8"/>
    </w:rPr>
  </w:style>
  <w:style w:type="paragraph" w:styleId="Title">
    <w:name w:val="Title"/>
    <w:basedOn w:val="Normal"/>
    <w:next w:val="Normal"/>
    <w:link w:val="TitleChar"/>
    <w:uiPriority w:val="10"/>
    <w:qFormat/>
    <w:rsid w:val="00E87D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7D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7D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7D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7DEB"/>
    <w:pPr>
      <w:spacing w:before="160"/>
      <w:jc w:val="center"/>
    </w:pPr>
    <w:rPr>
      <w:i/>
      <w:iCs/>
      <w:color w:val="404040" w:themeColor="text1" w:themeTint="BF"/>
    </w:rPr>
  </w:style>
  <w:style w:type="character" w:customStyle="1" w:styleId="QuoteChar">
    <w:name w:val="Quote Char"/>
    <w:basedOn w:val="DefaultParagraphFont"/>
    <w:link w:val="Quote"/>
    <w:uiPriority w:val="29"/>
    <w:rsid w:val="00E87DEB"/>
    <w:rPr>
      <w:i/>
      <w:iCs/>
      <w:color w:val="404040" w:themeColor="text1" w:themeTint="BF"/>
    </w:rPr>
  </w:style>
  <w:style w:type="paragraph" w:styleId="ListParagraph">
    <w:name w:val="List Paragraph"/>
    <w:basedOn w:val="Normal"/>
    <w:uiPriority w:val="34"/>
    <w:qFormat/>
    <w:rsid w:val="00E87DEB"/>
    <w:pPr>
      <w:ind w:left="720"/>
      <w:contextualSpacing/>
    </w:pPr>
  </w:style>
  <w:style w:type="character" w:styleId="IntenseEmphasis">
    <w:name w:val="Intense Emphasis"/>
    <w:basedOn w:val="DefaultParagraphFont"/>
    <w:uiPriority w:val="21"/>
    <w:qFormat/>
    <w:rsid w:val="00E87DEB"/>
    <w:rPr>
      <w:i/>
      <w:iCs/>
      <w:color w:val="2F5496" w:themeColor="accent1" w:themeShade="BF"/>
    </w:rPr>
  </w:style>
  <w:style w:type="paragraph" w:styleId="IntenseQuote">
    <w:name w:val="Intense Quote"/>
    <w:basedOn w:val="Normal"/>
    <w:next w:val="Normal"/>
    <w:link w:val="IntenseQuoteChar"/>
    <w:uiPriority w:val="30"/>
    <w:qFormat/>
    <w:rsid w:val="00E87D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87DEB"/>
    <w:rPr>
      <w:i/>
      <w:iCs/>
      <w:color w:val="2F5496" w:themeColor="accent1" w:themeShade="BF"/>
    </w:rPr>
  </w:style>
  <w:style w:type="character" w:styleId="IntenseReference">
    <w:name w:val="Intense Reference"/>
    <w:basedOn w:val="DefaultParagraphFont"/>
    <w:uiPriority w:val="32"/>
    <w:qFormat/>
    <w:rsid w:val="00E87DEB"/>
    <w:rPr>
      <w:b/>
      <w:bCs/>
      <w:smallCaps/>
      <w:color w:val="2F5496" w:themeColor="accent1" w:themeShade="BF"/>
      <w:spacing w:val="5"/>
    </w:rPr>
  </w:style>
  <w:style w:type="character" w:styleId="Hyperlink">
    <w:name w:val="Hyperlink"/>
    <w:basedOn w:val="DefaultParagraphFont"/>
    <w:uiPriority w:val="99"/>
    <w:unhideWhenUsed/>
    <w:rsid w:val="00FB45A3"/>
    <w:rPr>
      <w:color w:val="0563C1" w:themeColor="hyperlink"/>
      <w:u w:val="single"/>
    </w:rPr>
  </w:style>
  <w:style w:type="character" w:styleId="PlaceholderText">
    <w:name w:val="Placeholder Text"/>
    <w:basedOn w:val="DefaultParagraphFont"/>
    <w:uiPriority w:val="99"/>
    <w:semiHidden/>
    <w:rsid w:val="003E2F1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052240">
      <w:bodyDiv w:val="1"/>
      <w:marLeft w:val="0"/>
      <w:marRight w:val="0"/>
      <w:marTop w:val="0"/>
      <w:marBottom w:val="0"/>
      <w:divBdr>
        <w:top w:val="none" w:sz="0" w:space="0" w:color="auto"/>
        <w:left w:val="none" w:sz="0" w:space="0" w:color="auto"/>
        <w:bottom w:val="none" w:sz="0" w:space="0" w:color="auto"/>
        <w:right w:val="none" w:sz="0" w:space="0" w:color="auto"/>
      </w:divBdr>
    </w:div>
    <w:div w:id="1066340872">
      <w:bodyDiv w:val="1"/>
      <w:marLeft w:val="0"/>
      <w:marRight w:val="0"/>
      <w:marTop w:val="0"/>
      <w:marBottom w:val="0"/>
      <w:divBdr>
        <w:top w:val="none" w:sz="0" w:space="0" w:color="auto"/>
        <w:left w:val="none" w:sz="0" w:space="0" w:color="auto"/>
        <w:bottom w:val="none" w:sz="0" w:space="0" w:color="auto"/>
        <w:right w:val="none" w:sz="0" w:space="0" w:color="auto"/>
      </w:divBdr>
      <w:divsChild>
        <w:div w:id="1870483695">
          <w:marLeft w:val="640"/>
          <w:marRight w:val="0"/>
          <w:marTop w:val="0"/>
          <w:marBottom w:val="0"/>
          <w:divBdr>
            <w:top w:val="none" w:sz="0" w:space="0" w:color="auto"/>
            <w:left w:val="none" w:sz="0" w:space="0" w:color="auto"/>
            <w:bottom w:val="none" w:sz="0" w:space="0" w:color="auto"/>
            <w:right w:val="none" w:sz="0" w:space="0" w:color="auto"/>
          </w:divBdr>
        </w:div>
        <w:div w:id="115023134">
          <w:marLeft w:val="640"/>
          <w:marRight w:val="0"/>
          <w:marTop w:val="0"/>
          <w:marBottom w:val="0"/>
          <w:divBdr>
            <w:top w:val="none" w:sz="0" w:space="0" w:color="auto"/>
            <w:left w:val="none" w:sz="0" w:space="0" w:color="auto"/>
            <w:bottom w:val="none" w:sz="0" w:space="0" w:color="auto"/>
            <w:right w:val="none" w:sz="0" w:space="0" w:color="auto"/>
          </w:divBdr>
        </w:div>
        <w:div w:id="335159202">
          <w:marLeft w:val="640"/>
          <w:marRight w:val="0"/>
          <w:marTop w:val="0"/>
          <w:marBottom w:val="0"/>
          <w:divBdr>
            <w:top w:val="none" w:sz="0" w:space="0" w:color="auto"/>
            <w:left w:val="none" w:sz="0" w:space="0" w:color="auto"/>
            <w:bottom w:val="none" w:sz="0" w:space="0" w:color="auto"/>
            <w:right w:val="none" w:sz="0" w:space="0" w:color="auto"/>
          </w:divBdr>
        </w:div>
      </w:divsChild>
    </w:div>
    <w:div w:id="1211379209">
      <w:bodyDiv w:val="1"/>
      <w:marLeft w:val="0"/>
      <w:marRight w:val="0"/>
      <w:marTop w:val="0"/>
      <w:marBottom w:val="0"/>
      <w:divBdr>
        <w:top w:val="none" w:sz="0" w:space="0" w:color="auto"/>
        <w:left w:val="none" w:sz="0" w:space="0" w:color="auto"/>
        <w:bottom w:val="none" w:sz="0" w:space="0" w:color="auto"/>
        <w:right w:val="none" w:sz="0" w:space="0" w:color="auto"/>
      </w:divBdr>
    </w:div>
    <w:div w:id="1755542849">
      <w:bodyDiv w:val="1"/>
      <w:marLeft w:val="0"/>
      <w:marRight w:val="0"/>
      <w:marTop w:val="0"/>
      <w:marBottom w:val="0"/>
      <w:divBdr>
        <w:top w:val="none" w:sz="0" w:space="0" w:color="auto"/>
        <w:left w:val="none" w:sz="0" w:space="0" w:color="auto"/>
        <w:bottom w:val="none" w:sz="0" w:space="0" w:color="auto"/>
        <w:right w:val="none" w:sz="0" w:space="0" w:color="auto"/>
      </w:divBdr>
    </w:div>
    <w:div w:id="200731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dagitty.net/dags.html"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A32C8DC2B143DC9AC12ED45EDE00D7"/>
        <w:category>
          <w:name w:val="General"/>
          <w:gallery w:val="placeholder"/>
        </w:category>
        <w:types>
          <w:type w:val="bbPlcHdr"/>
        </w:types>
        <w:behaviors>
          <w:behavior w:val="content"/>
        </w:behaviors>
        <w:guid w:val="{E8BB21D8-6B21-4257-9FB3-6544BA591F16}"/>
      </w:docPartPr>
      <w:docPartBody>
        <w:p w:rsidR="00732908" w:rsidRDefault="00732908" w:rsidP="00732908">
          <w:pPr>
            <w:pStyle w:val="B7A32C8DC2B143DC9AC12ED45EDE00D7"/>
          </w:pPr>
          <w:r w:rsidRPr="00BA50D6">
            <w:rPr>
              <w:rStyle w:val="PlaceholderText"/>
            </w:rPr>
            <w:t>Click or tap here to enter text.</w:t>
          </w:r>
        </w:p>
      </w:docPartBody>
    </w:docPart>
    <w:docPart>
      <w:docPartPr>
        <w:name w:val="249DE95F87E34B74875A08C13F48B4FC"/>
        <w:category>
          <w:name w:val="General"/>
          <w:gallery w:val="placeholder"/>
        </w:category>
        <w:types>
          <w:type w:val="bbPlcHdr"/>
        </w:types>
        <w:behaviors>
          <w:behavior w:val="content"/>
        </w:behaviors>
        <w:guid w:val="{5475D8E1-858D-4676-9038-5FE853E852B8}"/>
      </w:docPartPr>
      <w:docPartBody>
        <w:p w:rsidR="00732908" w:rsidRDefault="00732908" w:rsidP="00732908">
          <w:pPr>
            <w:pStyle w:val="249DE95F87E34B74875A08C13F48B4FC"/>
          </w:pPr>
          <w:r w:rsidRPr="00BA50D6">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3CFA1E03-D251-4BA2-98FD-D172F09BDF44}"/>
      </w:docPartPr>
      <w:docPartBody>
        <w:p w:rsidR="0060655D" w:rsidRDefault="00A27065">
          <w:r w:rsidRPr="006C1468">
            <w:rPr>
              <w:rStyle w:val="PlaceholderText"/>
            </w:rPr>
            <w:t>Click or tap here to enter text.</w:t>
          </w:r>
        </w:p>
      </w:docPartBody>
    </w:docPart>
    <w:docPart>
      <w:docPartPr>
        <w:name w:val="9A19711DDF2C4549B0C8E3EAF6E4823B"/>
        <w:category>
          <w:name w:val="General"/>
          <w:gallery w:val="placeholder"/>
        </w:category>
        <w:types>
          <w:type w:val="bbPlcHdr"/>
        </w:types>
        <w:behaviors>
          <w:behavior w:val="content"/>
        </w:behaviors>
        <w:guid w:val="{722A0995-CF35-4BB0-AA55-85A439394D2B}"/>
      </w:docPartPr>
      <w:docPartBody>
        <w:p w:rsidR="0060655D" w:rsidRDefault="0060655D" w:rsidP="0060655D">
          <w:pPr>
            <w:pStyle w:val="9A19711DDF2C4549B0C8E3EAF6E4823B"/>
          </w:pPr>
          <w:r w:rsidRPr="00BA50D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908"/>
    <w:rsid w:val="001E6ED3"/>
    <w:rsid w:val="00207D5F"/>
    <w:rsid w:val="00342444"/>
    <w:rsid w:val="004E6EBC"/>
    <w:rsid w:val="0060655D"/>
    <w:rsid w:val="00732908"/>
    <w:rsid w:val="00A27065"/>
    <w:rsid w:val="00DA1067"/>
    <w:rsid w:val="00FE16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655D"/>
    <w:rPr>
      <w:color w:val="666666"/>
    </w:rPr>
  </w:style>
  <w:style w:type="paragraph" w:customStyle="1" w:styleId="B7A32C8DC2B143DC9AC12ED45EDE00D7">
    <w:name w:val="B7A32C8DC2B143DC9AC12ED45EDE00D7"/>
    <w:rsid w:val="00732908"/>
  </w:style>
  <w:style w:type="paragraph" w:customStyle="1" w:styleId="249DE95F87E34B74875A08C13F48B4FC">
    <w:name w:val="249DE95F87E34B74875A08C13F48B4FC"/>
    <w:rsid w:val="00732908"/>
  </w:style>
  <w:style w:type="paragraph" w:customStyle="1" w:styleId="430DA1F4992545CF95905D13947FD167">
    <w:name w:val="430DA1F4992545CF95905D13947FD167"/>
    <w:rsid w:val="0060655D"/>
  </w:style>
  <w:style w:type="paragraph" w:customStyle="1" w:styleId="9A19711DDF2C4549B0C8E3EAF6E4823B">
    <w:name w:val="9A19711DDF2C4549B0C8E3EAF6E4823B"/>
    <w:rsid w:val="006065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CE2B221-538C-49DA-9585-70A4FFAE702D}">
  <we:reference id="WA104382081" version="1.55.1.0" store="Omex" storeType="OMEX"/>
  <we:alternateReferences>
    <we:reference id="WA104382081" version="1.55.1.0" store="WA104382081" storeType="OMEX"/>
  </we:alternateReferences>
  <we:properties>
    <we:property name="MENDELEY_CITATIONS" value="[{&quot;citationID&quot;:&quot;MENDELEY_CITATION_94166902-cb7e-48d5-be3e-650685e9c158&quot;,&quot;properties&quot;:{&quot;noteIndex&quot;:0},&quot;isEdited&quot;:false,&quot;manualOverride&quot;:{&quot;isManuallyOverridden&quot;:false,&quot;citeprocText&quot;:&quot;(1)&quot;,&quot;manualOverrideText&quot;:&quot;&quot;},&quot;citationTag&quot;:&quot;MENDELEY_CITATION_v3_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&quot;,&quot;citationItems&quot;:[{&quot;id&quot;:&quot;df031739-f80a-3399-b5d8-da325110cc2d&quot;,&quot;itemData&quot;:{&quot;type&quot;:&quot;article-journal&quot;,&quot;id&quot;:&quot;df031739-f80a-3399-b5d8-da325110cc2d&quot;,&quot;title&quot;:&quot;Principles of confounder selection&quot;,&quot;author&quot;:[{&quot;family&quot;:&quot;VanderWeele&quot;,&quot;given&quot;:&quot;Tyler J.&quot;,&quot;parse-names&quot;:false,&quot;dropping-particle&quot;:&quot;&quot;,&quot;non-dropping-particle&quot;:&quot;&quot;}],&quot;container-title&quot;:&quot;European Journal of Epidemiology&quot;,&quot;container-title-short&quot;:&quot;Eur J Epidemiol&quot;,&quot;accessed&quot;:{&quot;date-parts&quot;:[[2025,6,23]]},&quot;DOI&quot;:&quot;10.1007/S10654-019-00494-6&quot;,&quot;ISSN&quot;:&quot;15737284&quot;,&quot;PMID&quot;:&quot;30840181&quot;,&quot;URL&quot;:&quot;https://pmc.ncbi.nlm.nih.gov/articles/PMC6447501/&quot;,&quot;issued&quot;:{&quot;date-parts&quot;:[[2019,3,15]]},&quot;page&quot;:&quot;211&quot;,&quot;abstract&quot;:&quot;Selecting an appropriate set of confounders for which to control is critical for reliable causal inference. Recent theoretical and methodological developments have helped clarify a number of principles of confounder selection. When complete knowledge of a causal diagram relating all covariates to each other is available, graphical rules can be used to make decisions about covariate control. Unfortunately, such complete knowledge is often unavailable. This paper puts forward a practical approach to confounder selection decisions when the somewhat less stringent assumption is made that knowledge is available for each covariate whether it is a cause of the exposure, and whether it is a cause of the outcome. Based on recent theoretically justified developments in the causal inference literature, the following proposal is made for covariate control decisions: control for each covariate that is a cause of the exposure, or of the outcome, or of both; exclude from this set any variable known to be an instrumental variable; and include as a covariate any proxy for an unmeasured variable that is a common cause of both the exposure and the outcome. Various principles of confounder selection are then further related to statistical covariate selection methods.&quot;,&quot;publisher&quot;:&quot;Springer Netherlands&quot;,&quot;issue&quot;:&quot;3&quot;,&quot;volume&quot;:&quot;34&quot;},&quot;isTemporary&quot;:false}]},{&quot;citationID&quot;:&quot;MENDELEY_CITATION_bb3a3183-8449-4ac7-b155-99461bc4592f&quot;,&quot;properties&quot;:{&quot;noteIndex&quot;:0},&quot;isEdited&quot;:false,&quot;manualOverride&quot;:{&quot;isManuallyOverridden&quot;:false,&quot;citeprocText&quot;:&quot;(1,2)&quot;,&quot;manualOverrideText&quot;:&quot;&quot;},&quot;citationTag&quot;:&quot;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&quot;,&quot;citationItems&quot;:[{&quot;id&quot;:&quot;df031739-f80a-3399-b5d8-da325110cc2d&quot;,&quot;itemData&quot;:{&quot;type&quot;:&quot;article-journal&quot;,&quot;id&quot;:&quot;df031739-f80a-3399-b5d8-da325110cc2d&quot;,&quot;title&quot;:&quot;Principles of confounder selection&quot;,&quot;author&quot;:[{&quot;family&quot;:&quot;VanderWeele&quot;,&quot;given&quot;:&quot;Tyler J.&quot;,&quot;parse-names&quot;:false,&quot;dropping-particle&quot;:&quot;&quot;,&quot;non-dropping-particle&quot;:&quot;&quot;}],&quot;container-title&quot;:&quot;European Journal of Epidemiology&quot;,&quot;container-title-short&quot;:&quot;Eur J Epidemiol&quot;,&quot;accessed&quot;:{&quot;date-parts&quot;:[[2025,6,23]]},&quot;DOI&quot;:&quot;10.1007/S10654-019-00494-6&quot;,&quot;ISSN&quot;:&quot;15737284&quot;,&quot;PMID&quot;:&quot;30840181&quot;,&quot;URL&quot;:&quot;https://pmc.ncbi.nlm.nih.gov/articles/PMC6447501/&quot;,&quot;issued&quot;:{&quot;date-parts&quot;:[[2019,3,15]]},&quot;page&quot;:&quot;211&quot;,&quot;abstract&quot;:&quot;Selecting an appropriate set of confounders for which to control is critical for reliable causal inference. Recent theoretical and methodological developments have helped clarify a number of principles of confounder selection. When complete knowledge of a causal diagram relating all covariates to each other is available, graphical rules can be used to make decisions about covariate control. Unfortunately, such complete knowledge is often unavailable. This paper puts forward a practical approach to confounder selection decisions when the somewhat less stringent assumption is made that knowledge is available for each covariate whether it is a cause of the exposure, and whether it is a cause of the outcome. Based on recent theoretically justified developments in the causal inference literature, the following proposal is made for covariate control decisions: control for each covariate that is a cause of the exposure, or of the outcome, or of both; exclude from this set any variable known to be an instrumental variable; and include as a covariate any proxy for an unmeasured variable that is a common cause of both the exposure and the outcome. Various principles of confounder selection are then further related to statistical covariate selection methods.&quot;,&quot;publisher&quot;:&quot;Springer Netherlands&quot;,&quot;issue&quot;:&quot;3&quot;,&quot;volume&quot;:&quot;34&quot;},&quot;isTemporary&quot;:false},{&quot;id&quot;:&quot;3d325827-13dc-3145-9286-14f7c55f43dc&quot;,&quot;itemData&quot;:{&quot;type&quot;:&quot;article-journal&quot;,&quot;id&quot;:&quot;3d325827-13dc-3145-9286-14f7c55f43dc&quot;,&quot;title&quot;:&quot;Use of directed acyclic graphs (DAGs) to identify confounders in applied health research: review and recommendations&quot;,&quot;author&quot;:[{&quot;family&quot;:&quot;Tennant&quot;,&quot;given&quot;:&quot;Peter W.G.&quot;,&quot;parse-names&quot;:false,&quot;dropping-particle&quot;:&quot;&quot;,&quot;non-dropping-particle&quot;:&quot;&quot;},{&quot;family&quot;:&quot;Murray&quot;,&quot;given&quot;:&quot;Eleanor J.&quot;,&quot;parse-names&quot;:false,&quot;dropping-particle&quot;:&quot;&quot;,&quot;non-dropping-particle&quot;:&quot;&quot;},{&quot;family&quot;:&quot;Arnold&quot;,&quot;given&quot;:&quot;Kellyn F.&quot;,&quot;parse-names&quot;:false,&quot;dropping-particle&quot;:&quot;&quot;,&quot;non-dropping-particle&quot;:&quot;&quot;},{&quot;family&quot;:&quot;Berrie&quot;,&quot;given&quot;:&quot;Laurie&quot;,&quot;parse-names&quot;:false,&quot;dropping-particle&quot;:&quot;&quot;,&quot;non-dropping-particle&quot;:&quot;&quot;},{&quot;family&quot;:&quot;Fox&quot;,&quot;given&quot;:&quot;Matthew P.&quot;,&quot;parse-names&quot;:false,&quot;dropping-particle&quot;:&quot;&quot;,&quot;non-dropping-particle&quot;:&quot;&quot;},{&quot;family&quot;:&quot;Gadd&quot;,&quot;given&quot;:&quot;Sarah C.&quot;,&quot;parse-names&quot;:false,&quot;dropping-particle&quot;:&quot;&quot;,&quot;non-dropping-particle&quot;:&quot;&quot;},{&quot;family&quot;:&quot;Harrison&quot;,&quot;given&quot;:&quot;Wendy J.&quot;,&quot;parse-names&quot;:false,&quot;dropping-particle&quot;:&quot;&quot;,&quot;non-dropping-particle&quot;:&quot;&quot;},{&quot;family&quot;:&quot;Keeble&quot;,&quot;given&quot;:&quot;Claire&quot;,&quot;parse-names&quot;:false,&quot;dropping-particle&quot;:&quot;&quot;,&quot;non-dropping-particle&quot;:&quot;&quot;},{&quot;family&quot;:&quot;Ranker&quot;,&quot;given&quot;:&quot;Lynsie R.&quot;,&quot;parse-names&quot;:false,&quot;dropping-particle&quot;:&quot;&quot;,&quot;non-dropping-particle&quot;:&quot;&quot;},{&quot;family&quot;:&quot;Textor&quot;,&quot;given&quot;:&quot;Johannes&quot;,&quot;parse-names&quot;:false,&quot;dropping-particle&quot;:&quot;&quot;,&quot;non-dropping-particle&quot;:&quot;&quot;},{&quot;family&quot;:&quot;Tomova&quot;,&quot;given&quot;:&quot;Georgia D.&quot;,&quot;parse-names&quot;:false,&quot;dropping-particle&quot;:&quot;&quot;,&quot;non-dropping-particle&quot;:&quot;&quot;},{&quot;family&quot;:&quot;Gilthorpe&quot;,&quot;given&quot;:&quot;Mark S.&quot;,&quot;parse-names&quot;:false,&quot;dropping-particle&quot;:&quot;&quot;,&quot;non-dropping-particle&quot;:&quot;&quot;},{&quot;family&quot;:&quot;Ellison&quot;,&quot;given&quot;:&quot;George T.H.&quot;,&quot;parse-names&quot;:false,&quot;dropping-particle&quot;:&quot;&quot;,&quot;non-dropping-particle&quot;:&quot;&quot;}],&quot;container-title&quot;:&quot;International Journal of Epidemiology&quot;,&quot;container-title-short&quot;:&quot;Int J Epidemiol&quot;,&quot;accessed&quot;:{&quot;date-parts&quot;:[[2025,6,6]]},&quot;DOI&quot;:&quot;10.1093/IJE/DYAA213,&quot;,&quot;ISSN&quot;:&quot;14643685&quot;,&quot;PMID&quot;:&quot;33330936&quot;,&quot;URL&quot;:&quot;https://pubmed.ncbi.nlm.nih.gov/33330936/&quot;,&quot;issued&quot;:{&quot;date-parts&quot;:[[2021,4,1]]},&quot;page&quot;:&quot;620-632&quot;,&quot;abstract&quot;:&quot;Background: Directed acyclic graphs (DAGs) are an increasingly popular approach for identifying confounding variables that require conditioning when estimating causal effects. This review examined the use of DAGs in applied health research to inform recommendations for improving their transparency and utility in future research. Methods: Original health research articles published during 1999–2017 mentioning ‘directed acyclic graphs’ (or similar) or citing DAGitty were identified from Scopus, Web of Science, Medline and Embase. Data were extracted on the reporting of: estimands, DAGs and adjustment sets, alongside the characteristics of each article’s largest DAG. Results: A total of 234 articles were identified that reported using DAGs. A fifth (n ¼ 48, 21%) reported their target estimand(s) and half (n ¼ 115, 48%) reported the adjustment set(s) implied by their DAG(s). Two-thirds of the articles (n ¼ 144, 62%) made at least one DAG available. DAGs varied in size but averaged 12 nodes [interquartile range (IQR): 9–16, range: 3–28] and 29 arcs (IQR: 19–42, range: 3–99). The median saturation (i.e. percentage of total possible arcs) was 46% (IQR: 31–67, range: 12–100). 37% (n ¼ 53) of the DAGs included unobserved variables, 17% (n ¼ 25) included ‘super-nodes’ (i.e. nodes containing more than one variable) and 34% (n ¼ 49) were visually arranged so that the constituent arcs flowed in the same direction (e.g. top-to-bottom). Conclusion: There is substantial variation in the use and reporting of DAGs in applied health research. Although this partly reflects their flexibility, it also highlights some potential areas for improvement. This review hence offers several recommendations to improve the reporting and use of DAGs in future research.&quot;,&quot;publisher&quot;:&quot;Oxford University Press&quot;,&quot;issue&quot;:&quot;2&quot;,&quot;volume&quot;:&quot;50&quot;},&quot;isTemporary&quot;:false}]},{&quot;citationID&quot;:&quot;MENDELEY_CITATION_7e150596-1e6a-4261-a9f3-fe98577a2cdb&quot;,&quot;properties&quot;:{&quot;noteIndex&quot;:0},&quot;isEdited&quot;:false,&quot;manualOverride&quot;:{&quot;isManuallyOverridden&quot;:false,&quot;citeprocText&quot;:&quot;(1)&quot;,&quot;manualOverrideText&quot;:&quot;&quot;},&quot;citationTag&quot;:&quot;MENDELEY_CITATION_v3_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&quot;,&quot;citationItems&quot;:[{&quot;id&quot;:&quot;df031739-f80a-3399-b5d8-da325110cc2d&quot;,&quot;itemData&quot;:{&quot;type&quot;:&quot;article-journal&quot;,&quot;id&quot;:&quot;df031739-f80a-3399-b5d8-da325110cc2d&quot;,&quot;title&quot;:&quot;Principles of confounder selection&quot;,&quot;author&quot;:[{&quot;family&quot;:&quot;VanderWeele&quot;,&quot;given&quot;:&quot;Tyler J.&quot;,&quot;parse-names&quot;:false,&quot;dropping-particle&quot;:&quot;&quot;,&quot;non-dropping-particle&quot;:&quot;&quot;}],&quot;container-title&quot;:&quot;European Journal of Epidemiology&quot;,&quot;container-title-short&quot;:&quot;Eur J Epidemiol&quot;,&quot;accessed&quot;:{&quot;date-parts&quot;:[[2025,6,23]]},&quot;DOI&quot;:&quot;10.1007/S10654-019-00494-6&quot;,&quot;ISSN&quot;:&quot;15737284&quot;,&quot;PMID&quot;:&quot;30840181&quot;,&quot;URL&quot;:&quot;https://pmc.ncbi.nlm.nih.gov/articles/PMC6447501/&quot;,&quot;issued&quot;:{&quot;date-parts&quot;:[[2019,3,15]]},&quot;page&quot;:&quot;211&quot;,&quot;abstract&quot;:&quot;Selecting an appropriate set of confounders for which to control is critical for reliable causal inference. Recent theoretical and methodological developments have helped clarify a number of principles of confounder selection. When complete knowledge of a causal diagram relating all covariates to each other is available, graphical rules can be used to make decisions about covariate control. Unfortunately, such complete knowledge is often unavailable. This paper puts forward a practical approach to confounder selection decisions when the somewhat less stringent assumption is made that knowledge is available for each covariate whether it is a cause of the exposure, and whether it is a cause of the outcome. Based on recent theoretically justified developments in the causal inference literature, the following proposal is made for covariate control decisions: control for each covariate that is a cause of the exposure, or of the outcome, or of both; exclude from this set any variable known to be an instrumental variable; and include as a covariate any proxy for an unmeasured variable that is a common cause of both the exposure and the outcome. Various principles of confounder selection are then further related to statistical covariate selection methods.&quot;,&quot;publisher&quot;:&quot;Springer Netherlands&quot;,&quot;issue&quot;:&quot;3&quot;,&quot;volume&quot;:&quot;34&quot;},&quot;isTemporary&quot;:false}]},{&quot;citationID&quot;:&quot;MENDELEY_CITATION_b23df26c-e6cc-4151-b304-21e92afddb5d&quot;,&quot;properties&quot;:{&quot;noteIndex&quot;:0},&quot;isEdited&quot;:false,&quot;manualOverride&quot;:{&quot;isManuallyOverridden&quot;:false,&quot;citeprocText&quot;:&quot;(3)&quot;,&quot;manualOverrideText&quot;:&quot;&quot;},&quot;citationTag&quot;:&quot;MENDELEY_CITATION_v3_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&quot;,&quot;citationItems&quot;:[{&quot;id&quot;:&quot;763bf3e1-8829-3485-95e3-bcde89ff1c20&quot;,&quot;itemData&quot;:{&quot;type&quot;:&quot;article-journal&quot;,&quot;id&quot;:&quot;763bf3e1-8829-3485-95e3-bcde89ff1c20&quot;,&quot;title&quot;:&quot;Drawing and Analyzing Causal DAGs with DAGitty&quot;,&quot;author&quot;:[{&quot;family&quot;:&quot;Textor&quot;,&quot;given&quot;:&quot;Johannes&quot;,&quot;parse-names&quot;:false,&quot;dropping-particle&quot;:&quot;&quot;,&quot;non-dropping-particle&quot;:&quot;&quot;}],&quot;accessed&quot;:{&quot;date-parts&quot;:[[2025,6,23]]},&quot;issued&quot;:{&quot;date-parts&quot;:[[2023]]},&quot;container-title-short&quot;:&quot;&quot;},&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4BB820-F993-4524-8431-82084413A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300</Words>
  <Characters>1650</Characters>
  <Application>Microsoft Office Word</Application>
  <DocSecurity>0</DocSecurity>
  <Lines>13</Lines>
  <Paragraphs>3</Paragraphs>
  <ScaleCrop>false</ScaleCrop>
  <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Reep</dc:creator>
  <cp:keywords/>
  <dc:description/>
  <cp:lastModifiedBy>Carmen Reep</cp:lastModifiedBy>
  <cp:revision>35</cp:revision>
  <dcterms:created xsi:type="dcterms:W3CDTF">2025-06-24T14:00:00Z</dcterms:created>
  <dcterms:modified xsi:type="dcterms:W3CDTF">2025-09-22T08:15:00Z</dcterms:modified>
</cp:coreProperties>
</file>