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0BE3B" w14:textId="77777777" w:rsidR="00327A09" w:rsidRDefault="00327A09" w:rsidP="00327A09">
      <w:pPr>
        <w:spacing w:line="360" w:lineRule="auto"/>
        <w:jc w:val="center"/>
        <w:rPr>
          <w:rFonts w:ascii="Calibri" w:eastAsia="Calibri" w:hAnsi="Calibri" w:cs="Calibri"/>
          <w:b/>
        </w:rPr>
      </w:pPr>
      <w:r>
        <w:rPr>
          <w:rFonts w:ascii="Calibri" w:eastAsia="Calibri" w:hAnsi="Calibri" w:cs="Calibri"/>
          <w:b/>
        </w:rPr>
        <w:t>SUPPLEMENTARY MATHERIAL</w:t>
      </w:r>
    </w:p>
    <w:p w14:paraId="657D60A0" w14:textId="77777777" w:rsidR="00327A09" w:rsidRDefault="00327A09" w:rsidP="00327A09">
      <w:pPr>
        <w:spacing w:line="360" w:lineRule="auto"/>
        <w:rPr>
          <w:rFonts w:ascii="Calibri" w:eastAsia="Calibri" w:hAnsi="Calibri" w:cs="Calibri"/>
          <w:b/>
          <w:color w:val="000000"/>
        </w:rPr>
      </w:pPr>
    </w:p>
    <w:p w14:paraId="220D88B3" w14:textId="4E030902" w:rsidR="00327A09" w:rsidRDefault="00327A09" w:rsidP="00327A09">
      <w:pPr>
        <w:spacing w:line="360" w:lineRule="auto"/>
        <w:rPr>
          <w:rFonts w:ascii="Calibri" w:eastAsia="Calibri" w:hAnsi="Calibri" w:cs="Calibri"/>
          <w:b/>
          <w:color w:val="000000"/>
        </w:rPr>
      </w:pPr>
      <w:r>
        <w:rPr>
          <w:rFonts w:ascii="Calibri" w:eastAsia="Calibri" w:hAnsi="Calibri" w:cs="Calibri"/>
          <w:b/>
          <w:color w:val="000000"/>
        </w:rPr>
        <w:t>A CLINICAL GUIDE TO NON-INVASIVE RESPIRATORY SUPPORT IN ACUTE RESPIRATORY FAILURE: VENTILATION SETTINGS, TECHNICAL OPTIMIZATION AND CLINICAL INDICATIONS.</w:t>
      </w:r>
    </w:p>
    <w:p w14:paraId="0CE568CF" w14:textId="77777777" w:rsidR="00327A09" w:rsidRPr="00B86D8B" w:rsidRDefault="00327A09" w:rsidP="00327A09">
      <w:pPr>
        <w:spacing w:line="360" w:lineRule="auto"/>
        <w:rPr>
          <w:rFonts w:ascii="Calibri" w:eastAsia="Calibri" w:hAnsi="Calibri" w:cs="Calibri"/>
          <w:color w:val="000000"/>
          <w:lang w:val="it-IT"/>
        </w:rPr>
      </w:pPr>
      <w:r>
        <w:rPr>
          <w:rFonts w:ascii="Calibri" w:eastAsia="Calibri" w:hAnsi="Calibri" w:cs="Calibri"/>
          <w:color w:val="000000"/>
          <w:lang w:val="it-IT"/>
        </w:rPr>
        <w:t xml:space="preserve">Emanuele </w:t>
      </w:r>
      <w:r w:rsidRPr="00B86D8B">
        <w:rPr>
          <w:rFonts w:ascii="Calibri" w:eastAsia="Calibri" w:hAnsi="Calibri" w:cs="Calibri"/>
          <w:color w:val="000000"/>
          <w:lang w:val="it-IT"/>
        </w:rPr>
        <w:t>Rezoagli</w:t>
      </w:r>
      <w:r w:rsidRPr="00B86D8B">
        <w:rPr>
          <w:rFonts w:ascii="Calibri" w:eastAsia="Calibri" w:hAnsi="Calibri" w:cs="Calibri"/>
          <w:color w:val="000000"/>
          <w:vertAlign w:val="superscript"/>
          <w:lang w:val="it-IT"/>
        </w:rPr>
        <w:t>1,2</w:t>
      </w:r>
      <w:r w:rsidRPr="00B86D8B">
        <w:rPr>
          <w:rFonts w:ascii="Calibri" w:eastAsia="Calibri" w:hAnsi="Calibri" w:cs="Calibri"/>
          <w:color w:val="000000"/>
          <w:lang w:val="it-IT"/>
        </w:rPr>
        <w:t xml:space="preserve">, </w:t>
      </w:r>
      <w:r>
        <w:rPr>
          <w:rFonts w:ascii="Calibri" w:eastAsia="Calibri" w:hAnsi="Calibri" w:cs="Calibri"/>
          <w:color w:val="000000"/>
          <w:lang w:val="it-IT"/>
        </w:rPr>
        <w:t xml:space="preserve">Alice </w:t>
      </w:r>
      <w:r w:rsidRPr="00B86D8B">
        <w:rPr>
          <w:rFonts w:ascii="Calibri" w:eastAsia="Calibri" w:hAnsi="Calibri" w:cs="Calibri"/>
          <w:color w:val="000000"/>
          <w:lang w:val="it-IT"/>
        </w:rPr>
        <w:t>Nova</w:t>
      </w:r>
      <w:r w:rsidRPr="00B86D8B">
        <w:rPr>
          <w:rFonts w:ascii="Calibri" w:eastAsia="Calibri" w:hAnsi="Calibri" w:cs="Calibri"/>
          <w:color w:val="000000"/>
          <w:vertAlign w:val="superscript"/>
          <w:lang w:val="it-IT"/>
        </w:rPr>
        <w:t>1</w:t>
      </w:r>
      <w:r w:rsidRPr="00B86D8B">
        <w:rPr>
          <w:rFonts w:ascii="Calibri" w:eastAsia="Calibri" w:hAnsi="Calibri" w:cs="Calibri"/>
          <w:color w:val="000000"/>
          <w:lang w:val="it-IT"/>
        </w:rPr>
        <w:t xml:space="preserve">, </w:t>
      </w:r>
      <w:r>
        <w:rPr>
          <w:rFonts w:ascii="Calibri" w:eastAsia="Calibri" w:hAnsi="Calibri" w:cs="Calibri"/>
          <w:color w:val="000000"/>
          <w:lang w:val="it-IT"/>
        </w:rPr>
        <w:t xml:space="preserve">Guillame </w:t>
      </w:r>
      <w:r w:rsidRPr="00B86D8B">
        <w:rPr>
          <w:rFonts w:ascii="Calibri" w:eastAsia="Calibri" w:hAnsi="Calibri" w:cs="Calibri"/>
          <w:color w:val="000000"/>
          <w:lang w:val="it-IT"/>
        </w:rPr>
        <w:t>Carteaux</w:t>
      </w:r>
      <w:r w:rsidRPr="00B86D8B">
        <w:rPr>
          <w:rFonts w:ascii="Calibri" w:eastAsia="Calibri" w:hAnsi="Calibri" w:cs="Calibri"/>
          <w:color w:val="000000"/>
          <w:vertAlign w:val="superscript"/>
          <w:lang w:val="it-IT"/>
        </w:rPr>
        <w:t>3,4,5</w:t>
      </w:r>
      <w:r w:rsidRPr="00B86D8B">
        <w:rPr>
          <w:rFonts w:ascii="Calibri" w:eastAsia="Calibri" w:hAnsi="Calibri" w:cs="Calibri"/>
          <w:color w:val="000000"/>
          <w:lang w:val="it-IT"/>
        </w:rPr>
        <w:t xml:space="preserve">, </w:t>
      </w:r>
      <w:r>
        <w:rPr>
          <w:rFonts w:ascii="Calibri" w:eastAsia="Calibri" w:hAnsi="Calibri" w:cs="Calibri"/>
          <w:color w:val="000000"/>
          <w:lang w:val="it-IT"/>
        </w:rPr>
        <w:t xml:space="preserve">Marco </w:t>
      </w:r>
      <w:r w:rsidRPr="00B86D8B">
        <w:rPr>
          <w:rFonts w:ascii="Calibri" w:eastAsia="Calibri" w:hAnsi="Calibri" w:cs="Calibri"/>
          <w:color w:val="000000"/>
          <w:lang w:val="it-IT"/>
        </w:rPr>
        <w:t>Giani</w:t>
      </w:r>
      <w:r w:rsidRPr="00B86D8B">
        <w:rPr>
          <w:rFonts w:ascii="Calibri" w:eastAsia="Calibri" w:hAnsi="Calibri" w:cs="Calibri"/>
          <w:color w:val="000000"/>
          <w:vertAlign w:val="superscript"/>
          <w:lang w:val="it-IT"/>
        </w:rPr>
        <w:t>1,2</w:t>
      </w:r>
      <w:r w:rsidRPr="00B86D8B">
        <w:rPr>
          <w:rFonts w:ascii="Calibri" w:eastAsia="Calibri" w:hAnsi="Calibri" w:cs="Calibri"/>
          <w:color w:val="000000"/>
          <w:lang w:val="it-IT"/>
        </w:rPr>
        <w:t xml:space="preserve">, </w:t>
      </w:r>
      <w:r>
        <w:rPr>
          <w:rFonts w:ascii="Calibri" w:eastAsia="Calibri" w:hAnsi="Calibri" w:cs="Calibri"/>
          <w:color w:val="000000"/>
          <w:lang w:val="it-IT"/>
        </w:rPr>
        <w:t>Domenico Luca Grieco</w:t>
      </w:r>
      <w:r>
        <w:rPr>
          <w:rFonts w:ascii="Calibri" w:eastAsia="Calibri" w:hAnsi="Calibri" w:cs="Calibri"/>
          <w:color w:val="000000"/>
          <w:vertAlign w:val="superscript"/>
          <w:lang w:val="it-IT"/>
        </w:rPr>
        <w:t>6,7</w:t>
      </w:r>
      <w:r>
        <w:rPr>
          <w:rFonts w:ascii="Calibri" w:eastAsia="Calibri" w:hAnsi="Calibri" w:cs="Calibri"/>
          <w:color w:val="000000"/>
          <w:lang w:val="it-IT"/>
        </w:rPr>
        <w:t>, Tommaso Pettenuzzo</w:t>
      </w:r>
      <w:r>
        <w:rPr>
          <w:rFonts w:ascii="Calibri" w:eastAsia="Calibri" w:hAnsi="Calibri" w:cs="Calibri"/>
          <w:color w:val="000000"/>
          <w:vertAlign w:val="superscript"/>
          <w:lang w:val="it-IT"/>
        </w:rPr>
        <w:t>8,9</w:t>
      </w:r>
      <w:r>
        <w:rPr>
          <w:rFonts w:ascii="Calibri" w:eastAsia="Calibri" w:hAnsi="Calibri" w:cs="Calibri"/>
          <w:color w:val="000000"/>
          <w:lang w:val="it-IT"/>
        </w:rPr>
        <w:t xml:space="preserve">, Alberto </w:t>
      </w:r>
      <w:r w:rsidRPr="00B86D8B">
        <w:rPr>
          <w:rFonts w:ascii="Calibri" w:eastAsia="Calibri" w:hAnsi="Calibri" w:cs="Calibri"/>
          <w:color w:val="000000"/>
          <w:lang w:val="it-IT"/>
        </w:rPr>
        <w:t>Lucchini</w:t>
      </w:r>
      <w:r w:rsidRPr="00795669">
        <w:rPr>
          <w:rFonts w:ascii="Calibri" w:eastAsia="Calibri" w:hAnsi="Calibri" w:cs="Calibri"/>
          <w:color w:val="000000"/>
          <w:vertAlign w:val="superscript"/>
          <w:lang w:val="it-IT"/>
        </w:rPr>
        <w:t>1,</w:t>
      </w:r>
      <w:r w:rsidRPr="00B86D8B">
        <w:rPr>
          <w:rFonts w:ascii="Calibri" w:eastAsia="Calibri" w:hAnsi="Calibri" w:cs="Calibri"/>
          <w:color w:val="000000"/>
          <w:vertAlign w:val="superscript"/>
          <w:lang w:val="it-IT"/>
        </w:rPr>
        <w:t>2</w:t>
      </w:r>
      <w:r w:rsidRPr="00B86D8B">
        <w:rPr>
          <w:rFonts w:ascii="Calibri" w:eastAsia="Calibri" w:hAnsi="Calibri" w:cs="Calibri"/>
          <w:color w:val="000000"/>
          <w:lang w:val="it-IT"/>
        </w:rPr>
        <w:t xml:space="preserve">, </w:t>
      </w:r>
      <w:r>
        <w:rPr>
          <w:rFonts w:ascii="Calibri" w:eastAsia="Calibri" w:hAnsi="Calibri" w:cs="Calibri"/>
          <w:color w:val="000000"/>
          <w:lang w:val="it-IT"/>
        </w:rPr>
        <w:t>Paolo Navalesi</w:t>
      </w:r>
      <w:r>
        <w:rPr>
          <w:rFonts w:ascii="Calibri" w:eastAsia="Calibri" w:hAnsi="Calibri" w:cs="Calibri"/>
          <w:color w:val="000000"/>
          <w:vertAlign w:val="superscript"/>
          <w:lang w:val="it-IT"/>
        </w:rPr>
        <w:t>8,9</w:t>
      </w:r>
      <w:r>
        <w:rPr>
          <w:rFonts w:ascii="Calibri" w:eastAsia="Calibri" w:hAnsi="Calibri" w:cs="Calibri"/>
          <w:color w:val="000000"/>
          <w:lang w:val="it-IT"/>
        </w:rPr>
        <w:t>, Massimo Antonelli</w:t>
      </w:r>
      <w:r>
        <w:rPr>
          <w:rFonts w:ascii="Calibri" w:eastAsia="Calibri" w:hAnsi="Calibri" w:cs="Calibri"/>
          <w:color w:val="000000"/>
          <w:vertAlign w:val="superscript"/>
          <w:lang w:val="it-IT"/>
        </w:rPr>
        <w:t>6,7</w:t>
      </w:r>
      <w:r>
        <w:rPr>
          <w:rFonts w:ascii="Calibri" w:eastAsia="Calibri" w:hAnsi="Calibri" w:cs="Calibri"/>
          <w:color w:val="000000"/>
          <w:lang w:val="it-IT"/>
        </w:rPr>
        <w:t xml:space="preserve">, Giuseppe </w:t>
      </w:r>
      <w:r w:rsidRPr="00B86D8B">
        <w:rPr>
          <w:rFonts w:ascii="Calibri" w:eastAsia="Calibri" w:hAnsi="Calibri" w:cs="Calibri"/>
          <w:color w:val="000000"/>
          <w:lang w:val="it-IT"/>
        </w:rPr>
        <w:t>Foti</w:t>
      </w:r>
      <w:r w:rsidRPr="00B86D8B">
        <w:rPr>
          <w:rFonts w:ascii="Calibri" w:eastAsia="Calibri" w:hAnsi="Calibri" w:cs="Calibri"/>
          <w:color w:val="000000"/>
          <w:vertAlign w:val="superscript"/>
          <w:lang w:val="it-IT"/>
        </w:rPr>
        <w:t>1,2</w:t>
      </w:r>
      <w:r w:rsidRPr="00B86D8B">
        <w:rPr>
          <w:rFonts w:ascii="Calibri" w:eastAsia="Calibri" w:hAnsi="Calibri" w:cs="Calibri"/>
          <w:color w:val="000000"/>
          <w:lang w:val="it-IT"/>
        </w:rPr>
        <w:t xml:space="preserve">, </w:t>
      </w:r>
      <w:r>
        <w:rPr>
          <w:rFonts w:ascii="Calibri" w:eastAsia="Calibri" w:hAnsi="Calibri" w:cs="Calibri"/>
          <w:color w:val="000000"/>
          <w:lang w:val="it-IT"/>
        </w:rPr>
        <w:t xml:space="preserve">Giacomo </w:t>
      </w:r>
      <w:r w:rsidRPr="00B86D8B">
        <w:rPr>
          <w:rFonts w:ascii="Calibri" w:eastAsia="Calibri" w:hAnsi="Calibri" w:cs="Calibri"/>
          <w:color w:val="000000"/>
          <w:lang w:val="it-IT"/>
        </w:rPr>
        <w:t>Bellani</w:t>
      </w:r>
      <w:r>
        <w:rPr>
          <w:rFonts w:ascii="Calibri" w:eastAsia="Calibri" w:hAnsi="Calibri" w:cs="Calibri"/>
          <w:color w:val="000000"/>
          <w:vertAlign w:val="superscript"/>
          <w:lang w:val="it-IT"/>
        </w:rPr>
        <w:t>10</w:t>
      </w:r>
      <w:r w:rsidRPr="00B86D8B">
        <w:rPr>
          <w:rFonts w:ascii="Calibri" w:eastAsia="Calibri" w:hAnsi="Calibri" w:cs="Calibri"/>
          <w:color w:val="000000"/>
          <w:vertAlign w:val="superscript"/>
          <w:lang w:val="it-IT"/>
        </w:rPr>
        <w:t>,</w:t>
      </w:r>
      <w:r>
        <w:rPr>
          <w:rFonts w:ascii="Calibri" w:eastAsia="Calibri" w:hAnsi="Calibri" w:cs="Calibri"/>
          <w:color w:val="000000"/>
          <w:vertAlign w:val="superscript"/>
          <w:lang w:val="it-IT"/>
        </w:rPr>
        <w:t>11</w:t>
      </w:r>
      <w:r>
        <w:rPr>
          <w:rFonts w:ascii="Calibri" w:eastAsia="Calibri" w:hAnsi="Calibri" w:cs="Calibri"/>
          <w:color w:val="000000"/>
          <w:lang w:val="it-IT"/>
        </w:rPr>
        <w:t xml:space="preserve">, Lise </w:t>
      </w:r>
      <w:r w:rsidRPr="00B86D8B">
        <w:rPr>
          <w:rFonts w:ascii="Calibri" w:eastAsia="Calibri" w:hAnsi="Calibri" w:cs="Calibri"/>
          <w:color w:val="000000"/>
          <w:lang w:val="it-IT"/>
        </w:rPr>
        <w:t>Piquilloud</w:t>
      </w:r>
      <w:r>
        <w:rPr>
          <w:rFonts w:ascii="Calibri" w:eastAsia="Calibri" w:hAnsi="Calibri" w:cs="Calibri"/>
          <w:color w:val="000000"/>
          <w:vertAlign w:val="superscript"/>
          <w:lang w:val="it-IT"/>
        </w:rPr>
        <w:t>12</w:t>
      </w:r>
    </w:p>
    <w:p w14:paraId="10B2DDE8" w14:textId="77777777" w:rsidR="00327A09" w:rsidRDefault="00327A09" w:rsidP="00602D6F">
      <w:pPr>
        <w:spacing w:line="360" w:lineRule="auto"/>
        <w:jc w:val="both"/>
        <w:rPr>
          <w:rFonts w:ascii="Calibri" w:eastAsia="Calibri" w:hAnsi="Calibri" w:cs="Calibri"/>
          <w:b/>
          <w:lang w:val="it-IT"/>
        </w:rPr>
      </w:pPr>
    </w:p>
    <w:p w14:paraId="600D4774" w14:textId="38F7C2DB" w:rsidR="00602D6F" w:rsidRPr="008A74C5" w:rsidRDefault="00602D6F" w:rsidP="00602D6F">
      <w:pPr>
        <w:spacing w:line="360" w:lineRule="auto"/>
        <w:jc w:val="both"/>
        <w:rPr>
          <w:rFonts w:ascii="Calibri" w:eastAsia="Calibri" w:hAnsi="Calibri" w:cs="Calibri"/>
        </w:rPr>
      </w:pPr>
      <w:r w:rsidRPr="008A74C5">
        <w:rPr>
          <w:rFonts w:ascii="Calibri" w:eastAsia="Calibri" w:hAnsi="Calibri" w:cs="Calibri"/>
          <w:b/>
        </w:rPr>
        <w:t>Table 1</w:t>
      </w:r>
      <w:r w:rsidR="00327A09">
        <w:rPr>
          <w:rFonts w:ascii="Calibri" w:eastAsia="Calibri" w:hAnsi="Calibri" w:cs="Calibri"/>
          <w:b/>
        </w:rPr>
        <w:t>S</w:t>
      </w:r>
      <w:r w:rsidRPr="008A74C5">
        <w:rPr>
          <w:rFonts w:ascii="Calibri" w:eastAsia="Calibri" w:hAnsi="Calibri" w:cs="Calibri"/>
          <w:b/>
        </w:rPr>
        <w:t>.</w:t>
      </w:r>
      <w:r w:rsidRPr="008A74C5">
        <w:rPr>
          <w:rFonts w:ascii="Calibri" w:eastAsia="Calibri" w:hAnsi="Calibri" w:cs="Calibri"/>
        </w:rPr>
        <w:t xml:space="preserve"> Main RCTs comparing different </w:t>
      </w:r>
      <w:r w:rsidRPr="008A74C5">
        <w:rPr>
          <w:rFonts w:ascii="Calibri" w:eastAsia="Calibri" w:hAnsi="Calibri" w:cs="Calibri"/>
          <w:color w:val="000000"/>
        </w:rPr>
        <w:t>non-invasive respiratory support</w:t>
      </w:r>
      <w:r w:rsidRPr="008A74C5">
        <w:rPr>
          <w:rFonts w:ascii="Calibri" w:eastAsia="Calibri" w:hAnsi="Calibri" w:cs="Calibri"/>
        </w:rPr>
        <w:t xml:space="preserve"> techniques in CPE (chronological order of publication)</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1"/>
        <w:gridCol w:w="1819"/>
        <w:gridCol w:w="1794"/>
        <w:gridCol w:w="1555"/>
        <w:gridCol w:w="1937"/>
      </w:tblGrid>
      <w:tr w:rsidR="00602D6F" w14:paraId="18AE800F" w14:textId="77777777" w:rsidTr="004606EC">
        <w:tc>
          <w:tcPr>
            <w:tcW w:w="1911" w:type="dxa"/>
          </w:tcPr>
          <w:p w14:paraId="787B22A0"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 xml:space="preserve">Author, year, N </w:t>
            </w:r>
            <w:proofErr w:type="spellStart"/>
            <w:r w:rsidRPr="008A74C5">
              <w:rPr>
                <w:rFonts w:ascii="Calibri" w:eastAsia="Calibri" w:hAnsi="Calibri" w:cs="Calibri"/>
                <w:b/>
                <w:bCs/>
                <w:sz w:val="20"/>
                <w:szCs w:val="20"/>
              </w:rPr>
              <w:t>centers</w:t>
            </w:r>
            <w:proofErr w:type="spellEnd"/>
          </w:p>
        </w:tc>
        <w:tc>
          <w:tcPr>
            <w:tcW w:w="1819" w:type="dxa"/>
          </w:tcPr>
          <w:p w14:paraId="26EC4D23"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N Patients</w:t>
            </w:r>
          </w:p>
        </w:tc>
        <w:tc>
          <w:tcPr>
            <w:tcW w:w="1794" w:type="dxa"/>
          </w:tcPr>
          <w:p w14:paraId="5257F8AD"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Techniques</w:t>
            </w:r>
          </w:p>
        </w:tc>
        <w:tc>
          <w:tcPr>
            <w:tcW w:w="1555" w:type="dxa"/>
          </w:tcPr>
          <w:p w14:paraId="13EBF132"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Interface</w:t>
            </w:r>
          </w:p>
        </w:tc>
        <w:tc>
          <w:tcPr>
            <w:tcW w:w="1937" w:type="dxa"/>
          </w:tcPr>
          <w:p w14:paraId="5D90D7AA"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Outcomes</w:t>
            </w:r>
          </w:p>
        </w:tc>
      </w:tr>
      <w:tr w:rsidR="00602D6F" w14:paraId="5327B9E9" w14:textId="77777777" w:rsidTr="004606EC">
        <w:tc>
          <w:tcPr>
            <w:tcW w:w="1911" w:type="dxa"/>
          </w:tcPr>
          <w:p w14:paraId="7973771E" w14:textId="01EBB9C5" w:rsidR="00602D6F" w:rsidRDefault="00602D6F" w:rsidP="004606EC">
            <w:pPr>
              <w:rPr>
                <w:rFonts w:ascii="Calibri" w:eastAsia="Calibri" w:hAnsi="Calibri" w:cs="Calibri"/>
                <w:sz w:val="20"/>
                <w:szCs w:val="20"/>
              </w:rPr>
            </w:pPr>
            <w:r>
              <w:rPr>
                <w:rFonts w:ascii="Calibri" w:eastAsia="Calibri" w:hAnsi="Calibri" w:cs="Calibri"/>
                <w:sz w:val="20"/>
                <w:szCs w:val="20"/>
              </w:rPr>
              <w:t>Mehta, 1997</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{"citationID":"ZfCk7c1z","properties":{"formattedCitation":"\\super 1\\nosupersub{}","plainCitation":"1","noteIndex":0},"citationItems":[{"id":2052,"uris":["http://zotero.org/users/local/MoY6DhL4/items/QIFDDFRG"],"itemData":{"id":2052,"type":"article-journal","abstract":"Objective \n           To evaluate whether bilevel positive airway pressure, by actively assisting inhalation, more rapidly improves ventilation, acidemia, and dyspnea than continuous positive airway pressure (CPAP) in patients with acute pulmonary edema.\n          Design \n           Randomized, controlled, double-blind trial.\n          Setting \n           Emergency department in a university hospital.\n          Patients \n           Twenty-seven patients, presenting with acute pulmonary edema, characterized by dyspnea, tachypnea, tachycardia, accessory muscle use, bilateral rales, and typical findings of congestion on a chest radiograph.\n          Interventions \n           In addition to standard therapy, 13 patients were randomized to receive nasal CPAP (10 cm H2 O), and 14 patients were randomized to receive nasal bilevel positive airway pressure (inspiratory and expiratory positive airway pressures of 15 and 5 cm H2 O, respectively) in the spontaneous/timed mode that combines patient flow-triggering and backup time-triggering.\n          Measurements and Main Results \n           After 30 mins, significant reductions in breathing frequency (32 +/- 4 to 26 +/- 5 breaths/min), heart rate (110 +/- 21 to 97 +/- 20 beats/min), blood pressure (mean 117 +/- 28 to 92 +/- 18 mm Hg), and PaCO2 (56 +/- 15 to 43 +/- 9 torr [7.5 +/- 2 to 5.7 +/- 1.2 kPa]) were observed in the bilevel positive airway pressure group, as were significant improvements in arterial pH and dyspnea scores (p &lt; .05 for all of these parameters). Only breathing frequency improved significantly in the CPAP group (32 +/- 4 to 28 +/- 5 breaths/min, p &lt; .05). At 30 mins, the bilevel positive airway pressure group had greater reductions in PaCO2 (p = .057), systolic blood pressure (p = .005), and mean arterial pressure (p = .03) than the CPAP group. The myocardial infarction rate was higher in the bilevel positive airway pressure group (71%) compared with both the CPAP group (31%) and historically matched controls (38%) (p = .05). Duration of ventilator use, intensive care unit and hospital stays, and intubation and mortality rates were similar between the two groups.\n          Conclusions \n           Bilevel positive airway pressure improves ventilation and vital signs more rapidly than CPAP in patients with acute pulmonary edema. The higher rate of myocardial infarctions associated with the use of bilevel positive airway pressure highlights the need for further studies to clarify its effects on hemodynamics and infarction rates, and to determine optimal pressure settings. (Crit Care Med 1997; 25:620-628)","container-title":"Critical Care Medicine","ISSN":"1530-0293","issue":"4","language":"en-US","page":"620","source":"journals-lww-com.treadwell.idm.oclc.org","title":"Randomized, prospective trial of bilevel versus continuous positive airway pressure in acute pulmonary edema","volume":"25","author":[{"family":"Mehta","given":"Sangeeta"},{"family":"Jay","given":"Gregory D."},{"family":"Woolard","given":"Robert H."},{"family":"Hipona","given":"Rene A."},{"family":"Connolly","given":"Emily M."},{"family":"Cimini","given":"Donna M."},{"family":"Drinkwine","given":"Joseph H."},{"family":"Hill","given":"Nicholas S."}],"issued":{"date-parts":[["1997",4]]}}}],"schema":"https://github.com/citation-style-language/schema/raw/master/csl-citation.json"}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5DADB887"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N=27, CPE</w:t>
            </w:r>
          </w:p>
        </w:tc>
        <w:tc>
          <w:tcPr>
            <w:tcW w:w="1794" w:type="dxa"/>
          </w:tcPr>
          <w:p w14:paraId="6C8CEBD5"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(N=13) vs. BiPAP (N=14)</w:t>
            </w:r>
          </w:p>
          <w:p w14:paraId="75402D95" w14:textId="77777777" w:rsidR="00602D6F" w:rsidRDefault="00602D6F" w:rsidP="004606EC">
            <w:pPr>
              <w:rPr>
                <w:rFonts w:ascii="Calibri" w:eastAsia="Calibri" w:hAnsi="Calibri" w:cs="Calibri"/>
                <w:sz w:val="20"/>
                <w:szCs w:val="20"/>
              </w:rPr>
            </w:pPr>
          </w:p>
        </w:tc>
        <w:tc>
          <w:tcPr>
            <w:tcW w:w="1555" w:type="dxa"/>
          </w:tcPr>
          <w:p w14:paraId="3A2199DA" w14:textId="77777777" w:rsidR="00602D6F" w:rsidRDefault="00602D6F" w:rsidP="004606EC">
            <w:pPr>
              <w:rPr>
                <w:rFonts w:ascii="Calibri" w:eastAsia="Calibri" w:hAnsi="Calibri" w:cs="Calibri"/>
                <w:i/>
                <w:sz w:val="20"/>
                <w:szCs w:val="20"/>
              </w:rPr>
            </w:pPr>
            <w:r>
              <w:rPr>
                <w:rFonts w:ascii="Calibri" w:eastAsia="Calibri" w:hAnsi="Calibri" w:cs="Calibri"/>
                <w:sz w:val="20"/>
                <w:szCs w:val="20"/>
              </w:rPr>
              <w:t>Nasal mask</w:t>
            </w:r>
          </w:p>
        </w:tc>
        <w:tc>
          <w:tcPr>
            <w:tcW w:w="1937" w:type="dxa"/>
          </w:tcPr>
          <w:p w14:paraId="36180940" w14:textId="77777777" w:rsidR="00602D6F" w:rsidRDefault="00602D6F" w:rsidP="004606EC">
            <w:pPr>
              <w:rPr>
                <w:rFonts w:ascii="Calibri" w:eastAsia="Calibri" w:hAnsi="Calibri" w:cs="Calibri"/>
                <w:i/>
                <w:sz w:val="20"/>
                <w:szCs w:val="20"/>
              </w:rPr>
            </w:pPr>
            <w:r>
              <w:rPr>
                <w:rFonts w:ascii="Calibri" w:eastAsia="Calibri" w:hAnsi="Calibri" w:cs="Calibri"/>
                <w:i/>
                <w:sz w:val="20"/>
                <w:szCs w:val="20"/>
              </w:rPr>
              <w:t xml:space="preserve">Clinical improvement at 30 mins: </w:t>
            </w:r>
            <w:r>
              <w:rPr>
                <w:rFonts w:ascii="Calibri" w:eastAsia="Calibri" w:hAnsi="Calibri" w:cs="Calibri"/>
                <w:sz w:val="20"/>
                <w:szCs w:val="20"/>
              </w:rPr>
              <w:t>significant RR decrease with CPAP vs. significant pH, RR, HR, PaCO2, and BP improvement with BiPAP;</w:t>
            </w:r>
            <w:r>
              <w:rPr>
                <w:rFonts w:ascii="Calibri" w:eastAsia="Calibri" w:hAnsi="Calibri" w:cs="Calibri"/>
                <w:i/>
                <w:color w:val="333333"/>
                <w:sz w:val="20"/>
                <w:szCs w:val="20"/>
                <w:highlight w:val="white"/>
              </w:rPr>
              <w:t xml:space="preserve"> Incidence of AMI: </w:t>
            </w:r>
            <w:r>
              <w:rPr>
                <w:rFonts w:ascii="Calibri" w:eastAsia="Calibri" w:hAnsi="Calibri" w:cs="Calibri"/>
                <w:sz w:val="20"/>
                <w:szCs w:val="20"/>
              </w:rPr>
              <w:t>CPAP 31% vs. BiPAP 71% (p=0.06).</w:t>
            </w:r>
          </w:p>
        </w:tc>
      </w:tr>
      <w:tr w:rsidR="00602D6F" w14:paraId="01BBC860" w14:textId="77777777" w:rsidTr="004606EC">
        <w:tc>
          <w:tcPr>
            <w:tcW w:w="1911" w:type="dxa"/>
          </w:tcPr>
          <w:p w14:paraId="3613FB6F" w14:textId="03E49BC1" w:rsidR="00602D6F" w:rsidRDefault="00602D6F" w:rsidP="004606EC">
            <w:pPr>
              <w:rPr>
                <w:rFonts w:ascii="Calibri" w:eastAsia="Calibri" w:hAnsi="Calibri" w:cs="Calibri"/>
                <w:sz w:val="20"/>
                <w:szCs w:val="20"/>
              </w:rPr>
            </w:pPr>
            <w:proofErr w:type="spellStart"/>
            <w:r>
              <w:rPr>
                <w:rFonts w:ascii="Calibri" w:eastAsia="Calibri" w:hAnsi="Calibri" w:cs="Calibri"/>
                <w:sz w:val="20"/>
                <w:szCs w:val="20"/>
              </w:rPr>
              <w:t>Bellone</w:t>
            </w:r>
            <w:proofErr w:type="spellEnd"/>
            <w:r>
              <w:rPr>
                <w:rFonts w:ascii="Calibri" w:eastAsia="Calibri" w:hAnsi="Calibri" w:cs="Calibri"/>
                <w:sz w:val="20"/>
                <w:szCs w:val="20"/>
              </w:rPr>
              <w:t>, 2004</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{"citationID":"3P32HBJX","properties":{"formattedCitation":"\\super 2\\nosupersub{}","plainCitation":"2","noteIndex":0},"citationItems":[{"id":2036,"uris":["http://zotero.org/users/local/MoY6DhL4/items/XBZQAR9U"],"itemData":{"id":2036,"type":"article-journal","abstract":"OBJECTIVE: Noninvasive pressure support ventilation (NIPSV) delivered by face mask has proved an effective treatment for patients with acute pulmonary edema. However, an increase in acute myocardial infarction rate has been reported with this ventilation modality. We investigated whether the use of NIPSV increases the incidence of acute myocardial infarction compared with continuous positive airway pressure (CPAP) in patients with acute pulmonary edema.\nDESIGN: Randomized, prospective, controlled study.\nSETTING: Emergency Department, Niguarda Hospital of Milano (Italy).\nPATIENTS: Forty-six patients affected by acute pulmonary edema.\nINTERVENTIONS: The patients received either NIPSV (24 patients) or CPAP (22 patients) through a face mask.\nMEASUREMENTS AND MAIN RESULTS: Cardiac enzymes (myoglobin, creatine kinase isoenzyme MB, and troponin I) were determined and electrocardiographic and physiologic measurements made over the subsequent 36 hrs. No significant differences were observed in the incidence of acute myocardial infarction in the CPAP group (13.6%) compared with the NIPSV group (8.3%). Both modalities of noninvasive ventilation improved ventilation and vital signs in patients with acute pulmonary edema. Two patients of the NIPSV group (8.3%) and one of the CPAP group (4.5%) required endotracheal intubation because vital signs and arterial blood gases worsened 1 hr after the start of noninvasive ventilation. No significant differences were found in in-hospital mortality rate.\nCONCLUSIONS: NIPSV proved to be equally effective in improving vital signs and ventilation without increasing acute myocardial infarction rate in patients with nonischemic acute pulmonary edema in comparison to CPAP alone. However, because the study lacked statistical power and excluded patients with acute coronary syndromes, caution is still advised when applying NIPSV to the latter subgroup of patients.","container-title":"Critical Care Medicine","DOI":"10.1097/01.ccm.0000139694.47326.b6","ISSN":"0090-3493","issue":"9","journalAbbreviation":"Crit Care Med","language":"eng","note":"PMID: 15343013","page":"1860-1865","source":"PubMed","title":"Myocardial infarction rate in acute pulmonary edema: noninvasive pressure support ventilation versus continuous positive airway pressure","title-short":"Myocardial infarction rate in acute pulmonary edema","volume":"32","author":[{"family":"Bellone","given":"Andrea"},{"family":"Monari","given":"Alessandra"},{"family":"Cortellaro","given":"Francesca"},{"family":"Vettorello","given":"Marco"},{"family":"Arlati","given":"Sergio"},{"family":"Coen","given":"Daniele"}],"issued":{"date-parts":[["2004",9]]}}}],"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2</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37A1985B"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N=46, CPE</w:t>
            </w:r>
          </w:p>
        </w:tc>
        <w:tc>
          <w:tcPr>
            <w:tcW w:w="1794" w:type="dxa"/>
          </w:tcPr>
          <w:p w14:paraId="4D5EBC64"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(N=22) vs. BiPAP (N=24)</w:t>
            </w:r>
          </w:p>
        </w:tc>
        <w:tc>
          <w:tcPr>
            <w:tcW w:w="1555" w:type="dxa"/>
          </w:tcPr>
          <w:p w14:paraId="466E204B"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09D9C088" w14:textId="77777777" w:rsidR="00602D6F" w:rsidRDefault="00602D6F" w:rsidP="004606EC">
            <w:pPr>
              <w:rPr>
                <w:rFonts w:ascii="Calibri" w:eastAsia="Calibri" w:hAnsi="Calibri" w:cs="Calibri"/>
                <w:sz w:val="20"/>
                <w:szCs w:val="20"/>
              </w:rPr>
            </w:pPr>
            <w:r>
              <w:rPr>
                <w:rFonts w:ascii="Calibri" w:eastAsia="Calibri" w:hAnsi="Calibri" w:cs="Calibri"/>
                <w:i/>
                <w:color w:val="333333"/>
                <w:sz w:val="20"/>
                <w:szCs w:val="20"/>
                <w:highlight w:val="white"/>
              </w:rPr>
              <w:t>Incidence of AMI</w:t>
            </w:r>
            <w:r>
              <w:rPr>
                <w:rFonts w:ascii="Calibri" w:eastAsia="Calibri" w:hAnsi="Calibri" w:cs="Calibri"/>
                <w:color w:val="333333"/>
                <w:sz w:val="20"/>
                <w:szCs w:val="20"/>
                <w:highlight w:val="white"/>
              </w:rPr>
              <w:t xml:space="preserve">: </w:t>
            </w:r>
            <w:r>
              <w:rPr>
                <w:rFonts w:ascii="Calibri" w:eastAsia="Calibri" w:hAnsi="Calibri" w:cs="Calibri"/>
                <w:sz w:val="20"/>
                <w:szCs w:val="20"/>
              </w:rPr>
              <w:t xml:space="preserve">CPAP 13.6% vs. BiPAP 8.3% (p&gt;0.05); </w:t>
            </w:r>
            <w:r>
              <w:rPr>
                <w:rFonts w:ascii="Calibri" w:eastAsia="Calibri" w:hAnsi="Calibri" w:cs="Calibri"/>
                <w:i/>
                <w:sz w:val="20"/>
                <w:szCs w:val="20"/>
              </w:rPr>
              <w:t xml:space="preserve">EI: </w:t>
            </w:r>
            <w:r>
              <w:rPr>
                <w:rFonts w:ascii="Calibri" w:eastAsia="Calibri" w:hAnsi="Calibri" w:cs="Calibri"/>
                <w:sz w:val="20"/>
                <w:szCs w:val="20"/>
              </w:rPr>
              <w:t>CPAP 4.5% vs. BiPAP 8.3% (p&gt;0.05).</w:t>
            </w:r>
          </w:p>
        </w:tc>
      </w:tr>
      <w:tr w:rsidR="00602D6F" w14:paraId="4F8746C5" w14:textId="77777777" w:rsidTr="004606EC">
        <w:trPr>
          <w:trHeight w:val="187"/>
        </w:trPr>
        <w:tc>
          <w:tcPr>
            <w:tcW w:w="1911" w:type="dxa"/>
          </w:tcPr>
          <w:p w14:paraId="1C02A960" w14:textId="08B95C1F" w:rsidR="00602D6F" w:rsidRDefault="00602D6F" w:rsidP="004606EC">
            <w:pPr>
              <w:rPr>
                <w:rFonts w:ascii="Calibri" w:eastAsia="Calibri" w:hAnsi="Calibri" w:cs="Calibri"/>
                <w:sz w:val="20"/>
                <w:szCs w:val="20"/>
              </w:rPr>
            </w:pPr>
            <w:r>
              <w:rPr>
                <w:rFonts w:ascii="Calibri" w:eastAsia="Calibri" w:hAnsi="Calibri" w:cs="Calibri"/>
                <w:sz w:val="20"/>
                <w:szCs w:val="20"/>
              </w:rPr>
              <w:t>Crane, 2004</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{"citationID":"XLPSSzMw","properties":{"formattedCitation":"\\super 3\\nosupersub{}","plainCitation":"3","noteIndex":0},"citationItems":[{"id":2043,"uris":["http://zotero.org/users/local/MoY6DhL4/items/EE392V9G"],"itemData":{"id":2043,"type":"article-journal","abstract":"BACKGROUND: Continuous positive airways pressure (CPAP) and bilevel non-invasive ventilation may have beneficial effects in the treatment of patients with acute cardiogenic pulmonary oedema. The efficacy of both treatments was assessed in the UK emergency department setting, in a randomised comparison with standard oxygen therapy.\nMETHODS: Sixty patients presenting with acidotic (pH&lt;7.35) acute, cardiogenic pulmonary oedema, were randomly assigned conventional oxygen therapy, CPAP (10 cm H(2)O), or bilevel ventilation (IPAP 15 cm H(2)O, EPAP 5 cm H(2)O) provided by a standard ventilator through a face mask. The main end points were treatment success at two hours and in-hospital mortality. Analyses were by intention to treat.\nRESULTS: Treatment success (defined as all of respiratory rate&lt;23 bpm, oxygen saturation of&gt;90%, and arterial blood pH&gt;7.35 (that is, reversal of acidosis), at the end of the two hour study period) occurred in three (15%) patients in the control group, seven (35%) in the CPAP group, and nine (45%) in the bilevel group (p = 0.116). Fourteen (70%) of the control group patients survived to hospital discharge, compared with 20 (100%) in the CPAP group and 15 (75%) in the bilevel group (p = 0.029; Fisher's test).\nCONCLUSIONS: In this study, patients presenting with acute cardiogenic pulmonary oedema and acidosis, were more likely to survive to hospital discharge if treated with CPAP, rather than with bilevel ventilation or with conventional oxygen therapy. There was no relation between in hospital survival and early physiological changes. Survival rates were similar to other studies despite a low rate of endotracheal intubation.","container-title":"Emergency medicine journal: EMJ","DOI":"10.1136/emj.2003.005413","ISSN":"1472-0213","issue":"2","journalAbbreviation":"Emerg Med J","language":"eng","note":"PMID: 14988338\nPMCID: PMC1726258","page":"155-161","source":"PubMed","title":"Randomised controlled comparison of continuous positive airways pressure, bilevel non-invasive ventilation, and standard treatment in emergency department patients with acute cardiogenic pulmonary oedema","volume":"21","author":[{"family":"Crane","given":"S. D."},{"family":"Elliott","given":"M. W."},{"family":"Gilligan","given":"P."},{"family":"Richards","given":"K."},{"family":"Gray","given":"A. J."}],"issued":{"date-parts":[["2004",3]]}}}],"schema":"https://github.com/citation-style-language/schema/raw/master/csl-citation.json"}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3</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2D287895" w14:textId="77777777" w:rsidR="00602D6F" w:rsidRDefault="00602D6F" w:rsidP="004606EC">
            <w:pPr>
              <w:rPr>
                <w:rFonts w:ascii="Calibri" w:eastAsia="Calibri" w:hAnsi="Calibri" w:cs="Calibri"/>
              </w:rPr>
            </w:pPr>
            <w:r>
              <w:rPr>
                <w:rFonts w:ascii="Calibri" w:eastAsia="Calibri" w:hAnsi="Calibri" w:cs="Calibri"/>
                <w:sz w:val="20"/>
                <w:szCs w:val="20"/>
              </w:rPr>
              <w:t>N=60, CPE with acidosis (pH&lt;7.35)</w:t>
            </w:r>
          </w:p>
        </w:tc>
        <w:tc>
          <w:tcPr>
            <w:tcW w:w="1794" w:type="dxa"/>
          </w:tcPr>
          <w:p w14:paraId="04A6B929" w14:textId="77777777" w:rsidR="00602D6F" w:rsidRDefault="00602D6F" w:rsidP="004606EC">
            <w:pPr>
              <w:rPr>
                <w:rFonts w:ascii="Calibri" w:eastAsia="Calibri" w:hAnsi="Calibri" w:cs="Calibri"/>
              </w:rPr>
            </w:pPr>
            <w:r>
              <w:rPr>
                <w:rFonts w:ascii="Calibri" w:eastAsia="Calibri" w:hAnsi="Calibri" w:cs="Calibri"/>
                <w:sz w:val="20"/>
                <w:szCs w:val="20"/>
              </w:rPr>
              <w:t>COT (N=20) vs. CPAP (N=20) vs. BiPAP (N=20)</w:t>
            </w:r>
          </w:p>
        </w:tc>
        <w:tc>
          <w:tcPr>
            <w:tcW w:w="1555" w:type="dxa"/>
          </w:tcPr>
          <w:p w14:paraId="0B1A02E2" w14:textId="77777777" w:rsidR="00602D6F" w:rsidRDefault="00602D6F" w:rsidP="004606EC">
            <w:pPr>
              <w:rPr>
                <w:rFonts w:ascii="Calibri" w:eastAsia="Calibri" w:hAnsi="Calibri" w:cs="Calibri"/>
                <w:i/>
                <w:sz w:val="20"/>
                <w:szCs w:val="20"/>
              </w:rPr>
            </w:pPr>
            <w:r>
              <w:rPr>
                <w:rFonts w:ascii="Calibri" w:eastAsia="Calibri" w:hAnsi="Calibri" w:cs="Calibri"/>
                <w:color w:val="333333"/>
                <w:sz w:val="20"/>
                <w:szCs w:val="20"/>
                <w:highlight w:val="white"/>
              </w:rPr>
              <w:t>Facemask</w:t>
            </w:r>
          </w:p>
        </w:tc>
        <w:tc>
          <w:tcPr>
            <w:tcW w:w="1937" w:type="dxa"/>
          </w:tcPr>
          <w:p w14:paraId="7FED5949" w14:textId="77777777" w:rsidR="00602D6F" w:rsidRDefault="00602D6F" w:rsidP="004606EC">
            <w:pPr>
              <w:rPr>
                <w:rFonts w:ascii="Calibri" w:eastAsia="Calibri" w:hAnsi="Calibri" w:cs="Calibri"/>
                <w:sz w:val="20"/>
                <w:szCs w:val="20"/>
              </w:rPr>
            </w:pPr>
            <w:r>
              <w:rPr>
                <w:rFonts w:ascii="Calibri" w:eastAsia="Calibri" w:hAnsi="Calibri" w:cs="Calibri"/>
                <w:i/>
                <w:sz w:val="20"/>
                <w:szCs w:val="20"/>
              </w:rPr>
              <w:t>Treatment success:</w:t>
            </w:r>
            <w:r>
              <w:rPr>
                <w:rFonts w:ascii="Calibri" w:eastAsia="Calibri" w:hAnsi="Calibri" w:cs="Calibri"/>
                <w:sz w:val="20"/>
                <w:szCs w:val="20"/>
              </w:rPr>
              <w:t xml:space="preserve"> COT 15% vs. CPAP 35% vs. BiPAP 45% (p=0.116); </w:t>
            </w:r>
            <w:r>
              <w:rPr>
                <w:rFonts w:ascii="Calibri" w:eastAsia="Calibri" w:hAnsi="Calibri" w:cs="Calibri"/>
                <w:i/>
                <w:sz w:val="20"/>
                <w:szCs w:val="20"/>
              </w:rPr>
              <w:t>Hospital survival:</w:t>
            </w:r>
            <w:r>
              <w:rPr>
                <w:rFonts w:ascii="Calibri" w:eastAsia="Calibri" w:hAnsi="Calibri" w:cs="Calibri"/>
                <w:sz w:val="20"/>
                <w:szCs w:val="20"/>
              </w:rPr>
              <w:t xml:space="preserve"> COT 70% vs. CPAP 100% vs. BiPAP 75% (p=0.029).</w:t>
            </w:r>
          </w:p>
        </w:tc>
      </w:tr>
      <w:tr w:rsidR="00602D6F" w14:paraId="0154EC63" w14:textId="77777777" w:rsidTr="004606EC">
        <w:trPr>
          <w:trHeight w:val="187"/>
        </w:trPr>
        <w:tc>
          <w:tcPr>
            <w:tcW w:w="1911" w:type="dxa"/>
          </w:tcPr>
          <w:p w14:paraId="13B2DA25" w14:textId="6BC7FDC6" w:rsidR="00602D6F" w:rsidRDefault="00602D6F" w:rsidP="004606EC">
            <w:pPr>
              <w:rPr>
                <w:rFonts w:ascii="Calibri" w:eastAsia="Calibri" w:hAnsi="Calibri" w:cs="Calibri"/>
                <w:sz w:val="20"/>
                <w:szCs w:val="20"/>
              </w:rPr>
            </w:pPr>
            <w:r>
              <w:rPr>
                <w:rFonts w:ascii="Calibri" w:eastAsia="Calibri" w:hAnsi="Calibri" w:cs="Calibri"/>
                <w:sz w:val="20"/>
                <w:szCs w:val="20"/>
              </w:rPr>
              <w:t>Park</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{"citationID":"CK9AqBsh","properties":{"formattedCitation":"\\super 4\\nosupersub{}","plainCitation":"4","noteIndex":0},"citationItems":[{"id":2861,"uris":["http://zotero.org/users/local/MoY6DhL4/items/843AM76L"],"itemData":{"id":2861,"type":"article-journal","container-title":"Critical Care Medicine","DOI":"10.1097/01.CCM.0000147770.20400.10","ISSN":"0090-3493","issue":"12","journalAbbreviation":"Critical Care Medicine","language":"en","page":"2407-2415","source":"DOI.org (Crossref)","title":"Randomized, prospective trial of oxygen, continuous positive airway pressure, and bilevel positive airway pressure by face mask in acute cardiogenic pulmonary edema*:","title-short":"Randomized, prospective trial of oxygen, continuous positive airway pressure, and bilevel positive airway pressure by face mask in acute cardiogenic pulmonary edema*","volume":"32","author":[{"family":"Park","given":"Marcelo"},{"family":"Sangean","given":"Marcia C."},{"family":"Volpe","given":"Marcia De S."},{"family":"Feltrim","given":"Maria I. Z."},{"family":"Nozawa","given":"Emilia"},{"family":"Leite","given":"Paulo F."},{"family":"Passos Amato","given":"Marcelo B."},{"family":"Lorenzi-Filho","given":"Geraldo"}],"issued":{"date-parts":[["2004",12]]}}}],"schema":"https://github.com/citation-style-language/schema/raw/master/csl-citation.json"}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4</w:t>
            </w:r>
            <w:r>
              <w:rPr>
                <w:rFonts w:ascii="Calibri" w:eastAsia="Calibri" w:hAnsi="Calibri" w:cs="Calibri"/>
                <w:sz w:val="20"/>
                <w:szCs w:val="20"/>
              </w:rPr>
              <w:fldChar w:fldCharType="end"/>
            </w:r>
            <w:r>
              <w:rPr>
                <w:rFonts w:ascii="Calibri" w:eastAsia="Calibri" w:hAnsi="Calibri" w:cs="Calibri"/>
                <w:sz w:val="20"/>
                <w:szCs w:val="20"/>
              </w:rPr>
              <w:t>, 2004, 1 ED</w:t>
            </w:r>
          </w:p>
        </w:tc>
        <w:tc>
          <w:tcPr>
            <w:tcW w:w="1819" w:type="dxa"/>
          </w:tcPr>
          <w:p w14:paraId="4F678A78"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N=80, CPE</w:t>
            </w:r>
          </w:p>
        </w:tc>
        <w:tc>
          <w:tcPr>
            <w:tcW w:w="1794" w:type="dxa"/>
          </w:tcPr>
          <w:p w14:paraId="5237ECF1"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COT (N=26) vs. CPAP (N=27) vs. BiPAP (N=27)</w:t>
            </w:r>
          </w:p>
        </w:tc>
        <w:tc>
          <w:tcPr>
            <w:tcW w:w="1555" w:type="dxa"/>
          </w:tcPr>
          <w:p w14:paraId="4689C11A"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2DC1DD56" w14:textId="77777777" w:rsidR="00602D6F" w:rsidRDefault="00602D6F" w:rsidP="004606EC">
            <w:pPr>
              <w:rPr>
                <w:rFonts w:ascii="Calibri" w:eastAsia="Calibri" w:hAnsi="Calibri" w:cs="Calibri"/>
                <w:i/>
                <w:sz w:val="20"/>
                <w:szCs w:val="20"/>
              </w:rPr>
            </w:pPr>
            <w:r>
              <w:rPr>
                <w:rFonts w:ascii="Calibri" w:eastAsia="Calibri" w:hAnsi="Calibri" w:cs="Calibri"/>
                <w:i/>
                <w:sz w:val="20"/>
                <w:szCs w:val="20"/>
              </w:rPr>
              <w:t xml:space="preserve">EI rate at 24 hours: </w:t>
            </w:r>
            <w:r>
              <w:rPr>
                <w:rFonts w:ascii="Calibri" w:eastAsia="Calibri" w:hAnsi="Calibri" w:cs="Calibri"/>
                <w:sz w:val="20"/>
                <w:szCs w:val="20"/>
              </w:rPr>
              <w:t xml:space="preserve">COT 42% vs. CPAP 7% vs. BiPAP 7% (p=0.001); </w:t>
            </w:r>
            <w:r>
              <w:rPr>
                <w:rFonts w:ascii="Calibri" w:eastAsia="Calibri" w:hAnsi="Calibri" w:cs="Calibri"/>
                <w:i/>
                <w:sz w:val="20"/>
                <w:szCs w:val="20"/>
              </w:rPr>
              <w:t>hospital mortality</w:t>
            </w:r>
            <w:r>
              <w:rPr>
                <w:rFonts w:ascii="Calibri" w:eastAsia="Calibri" w:hAnsi="Calibri" w:cs="Calibri"/>
                <w:sz w:val="20"/>
                <w:szCs w:val="20"/>
              </w:rPr>
              <w:t>: COT 23% vs. CPAP 4% vs. BiPAP 7% (p=0.061).</w:t>
            </w:r>
          </w:p>
        </w:tc>
      </w:tr>
      <w:tr w:rsidR="00602D6F" w14:paraId="4F928763" w14:textId="77777777" w:rsidTr="004606EC">
        <w:trPr>
          <w:trHeight w:val="187"/>
        </w:trPr>
        <w:tc>
          <w:tcPr>
            <w:tcW w:w="1911" w:type="dxa"/>
          </w:tcPr>
          <w:p w14:paraId="31FD31A9" w14:textId="5C25A79E" w:rsidR="00602D6F" w:rsidRDefault="00602D6F" w:rsidP="004606EC">
            <w:pPr>
              <w:rPr>
                <w:rFonts w:ascii="Calibri" w:eastAsia="Calibri" w:hAnsi="Calibri" w:cs="Calibri"/>
                <w:sz w:val="20"/>
                <w:szCs w:val="20"/>
              </w:rPr>
            </w:pPr>
            <w:proofErr w:type="spellStart"/>
            <w:r>
              <w:rPr>
                <w:rFonts w:ascii="Calibri" w:eastAsia="Calibri" w:hAnsi="Calibri" w:cs="Calibri"/>
                <w:sz w:val="20"/>
                <w:szCs w:val="20"/>
              </w:rPr>
              <w:t>Bellone</w:t>
            </w:r>
            <w:proofErr w:type="spellEnd"/>
            <w:r>
              <w:rPr>
                <w:rFonts w:ascii="Calibri" w:eastAsia="Calibri" w:hAnsi="Calibri" w:cs="Calibri"/>
                <w:sz w:val="20"/>
                <w:szCs w:val="20"/>
              </w:rPr>
              <w:t>, 2005</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{"citationID":"DXG8pmwT","properties":{"formattedCitation":"\\super 5\\nosupersub{}","plainCitation":"5","noteIndex":0},"citationItems":[{"id":2040,"uris":["http://zotero.org/users/local/MoY6DhL4/items/BB76ZEM3"],"itemData":{"id":2040,"type":"article-journal","abstract":"OBJECTIVE: This study compared noninvasive pressure support ventilation (NIPSV) and continuous positive airway pressure (CPAP) in patients with acute hypercapnic pulmonary edema with regard to resolution time.\nDESIGN AND SETTING: Randomized prospective study in an emergency department.\nPATIENTS AND PARTICIPANTS: We randomly assigned 36 patients with respiratory failure due to acute pulmonary edema and arterial hypercapnia (PaCO(2) &gt;45 mmHg) to NIPSV (n=18) or CPAP through a face mask (n=18).\nMEASUREMENTS AND RESULTS: Electrocardiographic and physiological measurements were made over 36 h. There was no difference in resolution time defined as clinical improvement with a respiratory rate of fewer than 30 breaths/min and SpO(2)of 96% or more between CPAP and NIPSV groups. Arterial carbon dioxide tension was significantly decreased after 1 h of ventilation (CPAP, 60.5+/-13.6 to 42.8+/-4.9 mmHg; NIPSV, 65.7+/-13.6 to 44.0+/-5.5 mmHg); respective improvements were seen in pH (CPAP, 7.22+/-0.11 to 7.37+/-0.04; NIPSV, 7.19+/-0.11 to 7.38+/-0.04), SpO(2) (CPAP, 86.9+/-3.7% to 95.1+/-2.6%; NIPSV, 83.7+/-6.6% to 96.0+/-2.9%), and respiratory rate (CPAP, 37.9+/-4.5 to 21.3+/-5.1 breaths/min; NIPSV, 39.8+/-4.4 to 21.2+/-4.6 breaths/min). No significant differences were seen with regards to endotracheal intubation and in-hospital mortality.\nCONCLUSIONS: NIPSV proved as effective as CPAP in the treatment of patients with acute pulmonary edema and hypercapnia but did not improve resolution time.","container-title":"Intensive Care Medicine","DOI":"10.1007/s00134-005-2649-6","ISSN":"0342-4642","issue":"6","journalAbbreviation":"Intensive Care Med","language":"eng","note":"PMID: 15871011","page":"807-811","source":"PubMed","title":"Noninvasive pressure support ventilation vs. continuous positive airway pressure in acute hypercapnic pulmonary edema","volume":"31","author":[{"family":"Bellone","given":"Andrea"},{"family":"Vettorello","given":"Marco"},{"family":"Monari","given":"Alessandra"},{"family":"Cortellaro","given":"Francesca"},{"family":"Coen","given":"Daniele"}],"issued":{"date-parts":[["2005",6]]}}}],"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5</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5966F3DD"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N=36, CPE</w:t>
            </w:r>
          </w:p>
        </w:tc>
        <w:tc>
          <w:tcPr>
            <w:tcW w:w="1794" w:type="dxa"/>
          </w:tcPr>
          <w:p w14:paraId="5DA657F6"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(N=18) vs. BiPAP (N=18)</w:t>
            </w:r>
          </w:p>
        </w:tc>
        <w:tc>
          <w:tcPr>
            <w:tcW w:w="1555" w:type="dxa"/>
          </w:tcPr>
          <w:p w14:paraId="51896576"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1F064BB1" w14:textId="77777777" w:rsidR="00602D6F" w:rsidRDefault="00602D6F" w:rsidP="004606EC">
            <w:pPr>
              <w:rPr>
                <w:rFonts w:ascii="Calibri" w:eastAsia="Calibri" w:hAnsi="Calibri" w:cs="Calibri"/>
                <w:i/>
                <w:sz w:val="20"/>
                <w:szCs w:val="20"/>
              </w:rPr>
            </w:pPr>
            <w:r>
              <w:rPr>
                <w:rFonts w:ascii="Calibri" w:eastAsia="Calibri" w:hAnsi="Calibri" w:cs="Calibri"/>
                <w:i/>
                <w:sz w:val="20"/>
                <w:szCs w:val="20"/>
              </w:rPr>
              <w:t>Resolution time</w:t>
            </w:r>
            <w:r>
              <w:rPr>
                <w:rFonts w:ascii="Calibri" w:eastAsia="Calibri" w:hAnsi="Calibri" w:cs="Calibri"/>
                <w:sz w:val="20"/>
                <w:szCs w:val="20"/>
              </w:rPr>
              <w:t xml:space="preserve">: CPAP 29±18 vs. BiPAP 30±16 (p=0.87); </w:t>
            </w:r>
            <w:r>
              <w:rPr>
                <w:rFonts w:ascii="Calibri" w:eastAsia="Calibri" w:hAnsi="Calibri" w:cs="Calibri"/>
                <w:i/>
                <w:sz w:val="20"/>
                <w:szCs w:val="20"/>
              </w:rPr>
              <w:t>EI</w:t>
            </w:r>
            <w:r>
              <w:rPr>
                <w:rFonts w:ascii="Calibri" w:eastAsia="Calibri" w:hAnsi="Calibri" w:cs="Calibri"/>
                <w:sz w:val="20"/>
                <w:szCs w:val="20"/>
              </w:rPr>
              <w:t xml:space="preserve">: CPAP 5.5% vs. BiPAP 11.1% (p=0.50); </w:t>
            </w:r>
            <w:r>
              <w:rPr>
                <w:rFonts w:ascii="Calibri" w:eastAsia="Calibri" w:hAnsi="Calibri" w:cs="Calibri"/>
                <w:i/>
                <w:sz w:val="20"/>
                <w:szCs w:val="20"/>
              </w:rPr>
              <w:t>in-</w:t>
            </w:r>
            <w:r>
              <w:rPr>
                <w:rFonts w:ascii="Calibri" w:eastAsia="Calibri" w:hAnsi="Calibri" w:cs="Calibri"/>
                <w:i/>
                <w:sz w:val="20"/>
                <w:szCs w:val="20"/>
              </w:rPr>
              <w:lastRenderedPageBreak/>
              <w:t>hospital mortality</w:t>
            </w:r>
            <w:r>
              <w:rPr>
                <w:rFonts w:ascii="Calibri" w:eastAsia="Calibri" w:hAnsi="Calibri" w:cs="Calibri"/>
                <w:sz w:val="20"/>
                <w:szCs w:val="20"/>
              </w:rPr>
              <w:t>: CPAP 5.5% vs. BiPAP 0% (p=0.50).</w:t>
            </w:r>
          </w:p>
        </w:tc>
      </w:tr>
      <w:tr w:rsidR="00602D6F" w14:paraId="75BA4BB0" w14:textId="77777777" w:rsidTr="004606EC">
        <w:tc>
          <w:tcPr>
            <w:tcW w:w="1911" w:type="dxa"/>
          </w:tcPr>
          <w:p w14:paraId="4360C2BF" w14:textId="6F02E1DF" w:rsidR="00602D6F" w:rsidRDefault="00602D6F" w:rsidP="004606EC">
            <w:pPr>
              <w:rPr>
                <w:rFonts w:ascii="Calibri" w:eastAsia="Calibri" w:hAnsi="Calibri" w:cs="Calibri"/>
                <w:sz w:val="20"/>
                <w:szCs w:val="20"/>
              </w:rPr>
            </w:pPr>
            <w:r>
              <w:rPr>
                <w:rFonts w:ascii="Calibri" w:eastAsia="Calibri" w:hAnsi="Calibri" w:cs="Calibri"/>
                <w:sz w:val="20"/>
                <w:szCs w:val="20"/>
              </w:rPr>
              <w:lastRenderedPageBreak/>
              <w:t>Ferrari, 2007</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{"citationID":"FjwNdaMu","properties":{"formattedCitation":"\\super 6\\nosupersub{}","plainCitation":"6","noteIndex":0},"citationItems":[{"id":2046,"uris":["http://zotero.org/users/local/MoY6DhL4/items/I5IZGXIC"],"itemData":{"id":2046,"type":"article-journal","abstract":"BACKGROUND: The addition of both noninvasive continuous positive airway pressure (n-CPAP) or noninvasive intermittent positive pressure ventilation (n-IPPV) to medical treatment has been shown to improve the outcome of patients with acute cardiogenic pulmonary edema (ACPE). Previous studies indicated a potential risk of new-onset acute myocardial infarction (AMI) associated with the use of n-IPPV. Although further studies did not confirm this observation, a few recent metaanalyses could not eliminate all the doubts at this regards because of the paucity of data available and the presence of confounding factors. This study aims to assess whether the application of n-IPPV, as opposed to n-CPAP, increases the rate of AMI in ACPE patients.\nMETHODS: Fifty-two patients with severe hypoxemia consequent to ACPE were randomized to receive n-CPAP (n = 27) or n-IPPV (n = 25) in addition to medical therapy. Patients with signs of acute coronary syndrome on hospital admission were excluded from the study. Cardiac markers, ECG, and clinical/physiologic parameters were assessed at study entry, after 30 and 60 min, and every 6 h for the first 2 days.\nRESULTS: No significant difference was observed in the rate of AMI (26.9% and 16% with n-CPAP and n-IPPV, respectively, p = 0.244). Rate of intubation (p = 0.481), death (p = 0.662), and hospital stay (p = 0.529) were not different between the two groups. Both techniques were effective in improving gas exchange and vital signs in patients with ACPE.\nCONCLUSIONS: The AMI rate was not different with n-CPAP and n-IPPV, which resulted to be equally effective in the treatment of ACPE.\nTRIAL REGISTRATION: Clinicaltrials.gov Identifier: NCT00453947.","container-title":"Chest","DOI":"10.1378/chest.07-1058","ISSN":"0012-3692","issue":"6","journalAbbreviation":"Chest","language":"eng","note":"PMID: 17908705","page":"1804-1809","source":"PubMed","title":"Noninvasive positive airway pressure and risk of myocardial infarction in acute cardiogenic pulmonary edema: continuous positive airway pressure vs noninvasive positive pressure ventilation","title-short":"Noninvasive positive airway pressure and risk of myocardial infarction in acute cardiogenic pulmonary edema","volume":"132","author":[{"family":"Ferrari","given":"Giovanni"},{"family":"Olliveri","given":"Federico"},{"family":"De Filippi","given":"Giovanna"},{"family":"Milan","given":"Alberto"},{"family":"Aprà","given":"Franco"},{"family":"Boccuzzi","given":"Adriana"},{"family":"Converso","given":"Marcella"},{"family":"Navalesi","given":"Paolo"}],"issued":{"date-parts":[["2007",12]]}}}],"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6</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721BF4CC" w14:textId="77777777" w:rsidR="00602D6F" w:rsidRDefault="00602D6F" w:rsidP="004606EC">
            <w:pPr>
              <w:rPr>
                <w:rFonts w:ascii="Calibri" w:eastAsia="Calibri" w:hAnsi="Calibri" w:cs="Calibri"/>
              </w:rPr>
            </w:pPr>
            <w:r>
              <w:rPr>
                <w:rFonts w:ascii="Calibri" w:eastAsia="Calibri" w:hAnsi="Calibri" w:cs="Calibri"/>
                <w:sz w:val="20"/>
                <w:szCs w:val="20"/>
              </w:rPr>
              <w:t>N=52, CPE</w:t>
            </w:r>
          </w:p>
        </w:tc>
        <w:tc>
          <w:tcPr>
            <w:tcW w:w="1794" w:type="dxa"/>
          </w:tcPr>
          <w:p w14:paraId="358B2707" w14:textId="77777777" w:rsidR="00602D6F" w:rsidRDefault="00602D6F" w:rsidP="004606EC">
            <w:pPr>
              <w:rPr>
                <w:rFonts w:ascii="Calibri" w:eastAsia="Calibri" w:hAnsi="Calibri" w:cs="Calibri"/>
              </w:rPr>
            </w:pPr>
            <w:r>
              <w:rPr>
                <w:rFonts w:ascii="Calibri" w:eastAsia="Calibri" w:hAnsi="Calibri" w:cs="Calibri"/>
                <w:sz w:val="20"/>
                <w:szCs w:val="20"/>
              </w:rPr>
              <w:t>CPAP (N=27) vs. BiPAP (N=25)</w:t>
            </w:r>
          </w:p>
        </w:tc>
        <w:tc>
          <w:tcPr>
            <w:tcW w:w="1555" w:type="dxa"/>
          </w:tcPr>
          <w:p w14:paraId="36650731" w14:textId="77777777" w:rsidR="00602D6F" w:rsidRDefault="00602D6F" w:rsidP="004606EC">
            <w:pPr>
              <w:rPr>
                <w:rFonts w:ascii="Calibri" w:eastAsia="Calibri" w:hAnsi="Calibri" w:cs="Calibri"/>
                <w: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5CD1BFDC" w14:textId="77777777" w:rsidR="00602D6F" w:rsidRDefault="00602D6F" w:rsidP="004606EC">
            <w:pPr>
              <w:rPr>
                <w:rFonts w:ascii="Calibri" w:eastAsia="Calibri" w:hAnsi="Calibri" w:cs="Calibri"/>
                <w:i/>
                <w:sz w:val="20"/>
                <w:szCs w:val="20"/>
              </w:rPr>
            </w:pPr>
            <w:r>
              <w:rPr>
                <w:rFonts w:ascii="Calibri" w:eastAsia="Calibri" w:hAnsi="Calibri" w:cs="Calibri"/>
                <w:i/>
                <w:color w:val="333333"/>
                <w:sz w:val="20"/>
                <w:szCs w:val="20"/>
                <w:highlight w:val="white"/>
              </w:rPr>
              <w:t>Incidence of AMI:</w:t>
            </w:r>
            <w:r>
              <w:rPr>
                <w:rFonts w:ascii="Calibri" w:eastAsia="Calibri" w:hAnsi="Calibri" w:cs="Calibri"/>
                <w:sz w:val="20"/>
                <w:szCs w:val="20"/>
              </w:rPr>
              <w:t xml:space="preserve"> CPAP 26.9% vs. BiPAP 16% (p=0.244); </w:t>
            </w:r>
            <w:r>
              <w:rPr>
                <w:rFonts w:ascii="Calibri" w:eastAsia="Calibri" w:hAnsi="Calibri" w:cs="Calibri"/>
                <w:i/>
                <w:sz w:val="20"/>
                <w:szCs w:val="20"/>
              </w:rPr>
              <w:t>EI</w:t>
            </w:r>
            <w:r>
              <w:rPr>
                <w:rFonts w:ascii="Calibri" w:eastAsia="Calibri" w:hAnsi="Calibri" w:cs="Calibri"/>
                <w:i/>
                <w:color w:val="333333"/>
                <w:sz w:val="20"/>
                <w:szCs w:val="20"/>
                <w:highlight w:val="white"/>
              </w:rPr>
              <w:t>:</w:t>
            </w:r>
            <w:r>
              <w:rPr>
                <w:rFonts w:ascii="Calibri" w:eastAsia="Calibri" w:hAnsi="Calibri" w:cs="Calibri"/>
                <w:sz w:val="20"/>
                <w:szCs w:val="20"/>
              </w:rPr>
              <w:t xml:space="preserve"> CPAP 0% vs. BiPAP 4% (p=0.481); </w:t>
            </w:r>
            <w:r>
              <w:rPr>
                <w:rFonts w:ascii="Calibri" w:eastAsia="Calibri" w:hAnsi="Calibri" w:cs="Calibri"/>
                <w:i/>
                <w:sz w:val="20"/>
                <w:szCs w:val="20"/>
              </w:rPr>
              <w:t xml:space="preserve">in-hospital death: </w:t>
            </w:r>
            <w:r>
              <w:rPr>
                <w:rFonts w:ascii="Calibri" w:eastAsia="Calibri" w:hAnsi="Calibri" w:cs="Calibri"/>
                <w:sz w:val="20"/>
                <w:szCs w:val="20"/>
              </w:rPr>
              <w:t>CPAP 7.4% vs. BiPAP 12% (p=0.662).</w:t>
            </w:r>
          </w:p>
        </w:tc>
      </w:tr>
      <w:tr w:rsidR="00602D6F" w14:paraId="61FD4E8D" w14:textId="77777777" w:rsidTr="004606EC">
        <w:tc>
          <w:tcPr>
            <w:tcW w:w="1911" w:type="dxa"/>
          </w:tcPr>
          <w:p w14:paraId="06F686F1" w14:textId="55AB0AD7" w:rsidR="00602D6F" w:rsidRPr="000614B4" w:rsidRDefault="00602D6F" w:rsidP="004606EC">
            <w:pPr>
              <w:rPr>
                <w:rFonts w:ascii="Calibri" w:eastAsia="Calibri" w:hAnsi="Calibri" w:cs="Calibri"/>
                <w:sz w:val="20"/>
                <w:szCs w:val="20"/>
                <w:vertAlign w:val="superscript"/>
              </w:rPr>
            </w:pPr>
            <w:r>
              <w:rPr>
                <w:rFonts w:ascii="Calibri" w:eastAsia="Calibri" w:hAnsi="Calibri" w:cs="Calibri"/>
                <w:sz w:val="20"/>
                <w:szCs w:val="20"/>
              </w:rPr>
              <w:t>Moritz, 2007</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{"citationID":"iVxqZgAX","properties":{"formattedCitation":"\\super 7\\nosupersub{}","plainCitation":"7","noteIndex":0},"citationItems":[{"id":2054,"uris":["http://zotero.org/users/local/MoY6DhL4/items/6X5K6WAQ"],"itemData":{"id":2054,"type":"article-journal","abstract":"STUDY OBJECTIVE: Patients with acute cardiogenic pulmonary edema may develop respiratory failure. Noninvasive respiratory support should be initiated rapidly to avoid tracheal intubation. The aim of this study is to compare the efficacy of continuous positive airway pressure (CPAP) delivered by the Boussignac CPAP device and bilevel positive airway pressure (bilevel PAP) in patients with acute respiratory failure caused by acute cardiogenic pulmonary edema.\nMETHODS: This prospective multicenter randomized study was conducted in 3 emergency departments. Patients were assigned to Boussignac CPAP through a facemask or to bilevel PAP, in addition to standard therapy. The main outcome was a combined criterion (tracheal intubation, death, or acute myocardial infarction). Complications, durations of ventilation, and hospitalization were also assessed.\nRESULTS: After 1 hour of ventilation and at the end of the ventilation period, clinical parameters of respiratory distress and blood gas exchange significantly improved in each treatment arm. No significant differences were observed between the Boussignac CPAP and bilevel PAP arms for the combined criterion (5% versus 12%, respectively; odds ratio [OR] 0.4; 95% confidence interval [CI] 0.0 to 1.9) and also for severe complications (9% versus 6%; OR 1.5; 95% CI 0.3 to 9.9), duration of ventilation (median for both groups 2 hours; interquartile range [IQR] 1.2 to 3.0 hours), duration of hospitalization (CPAP 8.5 [IQR 6 to 14] days; bilevel PAP 10 [IQR 7 to 16] days), or intrahospital mortality (8% versus 14%; OR 1.8 [IQR 0.4 to 8.8]). Similar results were obtained among hypercapnic patients (PaCO2 &gt;45 mm Hg). Whatever the ventilation support used, the combined criterion and severe complications were more frequently observed among hypercapnic patients.\nCONCLUSION: Both Boussignac CPAP and bilevel PAP appeared effective in rapidly improving respiratory distress even in hypercapnic patients, but they were not different in terms of patient outcome.","container-title":"Annals of Emergency Medicine","DOI":"10.1016/j.annemergmed.2007.06.488","ISSN":"1097-6760","issue":"6","journalAbbreviation":"Ann Emerg Med","language":"eng","note":"PMID: 17764785","page":"666-675, 675.e1","source":"PubMed","title":"Continuous positive airway pressure versus bilevel noninvasive ventilation in acute cardiogenic pulmonary edema: a randomized multicenter trial","title-short":"Continuous positive airway pressure versus bilevel noninvasive ventilation in acute cardiogenic pulmonary edema","volume":"50","author":[{"family":"Moritz","given":"Fabienne"},{"family":"Brousse","given":"Benoit"},{"family":"Gellée","given":"Bruno"},{"family":"Chajara","given":"Abdesslam"},{"family":"L'Her","given":"Erwan"},{"family":"Hellot","given":"Marie-France"},{"family":"Bénichou","given":"Jacques"}],"issued":{"date-parts":[["2007",12]]}}}],"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7</w:t>
            </w:r>
            <w:r>
              <w:rPr>
                <w:rFonts w:ascii="Calibri" w:eastAsia="Calibri" w:hAnsi="Calibri" w:cs="Calibri"/>
                <w:sz w:val="20"/>
                <w:szCs w:val="20"/>
              </w:rPr>
              <w:fldChar w:fldCharType="end"/>
            </w:r>
            <w:r>
              <w:rPr>
                <w:rFonts w:ascii="Calibri" w:eastAsia="Calibri" w:hAnsi="Calibri" w:cs="Calibri"/>
                <w:sz w:val="20"/>
                <w:szCs w:val="20"/>
              </w:rPr>
              <w:t>, 3 EDs</w:t>
            </w:r>
          </w:p>
        </w:tc>
        <w:tc>
          <w:tcPr>
            <w:tcW w:w="1819" w:type="dxa"/>
          </w:tcPr>
          <w:p w14:paraId="3AA38386"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N=109, CPE</w:t>
            </w:r>
          </w:p>
        </w:tc>
        <w:tc>
          <w:tcPr>
            <w:tcW w:w="1794" w:type="dxa"/>
          </w:tcPr>
          <w:p w14:paraId="2DF97975"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(N=59) vs. BiPAP (N=50)</w:t>
            </w:r>
          </w:p>
        </w:tc>
        <w:tc>
          <w:tcPr>
            <w:tcW w:w="1555" w:type="dxa"/>
          </w:tcPr>
          <w:p w14:paraId="56B545CF"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0343FAE8" w14:textId="77777777" w:rsidR="00602D6F" w:rsidRDefault="00602D6F" w:rsidP="004606EC">
            <w:pPr>
              <w:rPr>
                <w:rFonts w:ascii="Calibri" w:eastAsia="Calibri" w:hAnsi="Calibri" w:cs="Calibri"/>
                <w:i/>
                <w:color w:val="333333"/>
                <w:sz w:val="20"/>
                <w:szCs w:val="20"/>
                <w:highlight w:val="white"/>
              </w:rPr>
            </w:pPr>
            <w:r>
              <w:rPr>
                <w:rFonts w:ascii="Calibri" w:eastAsia="Calibri" w:hAnsi="Calibri" w:cs="Calibri"/>
                <w:i/>
                <w:sz w:val="20"/>
                <w:szCs w:val="20"/>
              </w:rPr>
              <w:t>EI</w:t>
            </w:r>
            <w:r>
              <w:rPr>
                <w:rFonts w:ascii="Calibri" w:eastAsia="Calibri" w:hAnsi="Calibri" w:cs="Calibri"/>
                <w:i/>
                <w:color w:val="212121"/>
                <w:sz w:val="20"/>
                <w:szCs w:val="20"/>
                <w:highlight w:val="white"/>
              </w:rPr>
              <w:t>, death, or AMI (combined):</w:t>
            </w:r>
            <w:r>
              <w:rPr>
                <w:rFonts w:ascii="Calibri" w:eastAsia="Calibri" w:hAnsi="Calibri" w:cs="Calibri"/>
                <w:color w:val="212121"/>
                <w:sz w:val="20"/>
                <w:szCs w:val="20"/>
                <w:highlight w:val="white"/>
              </w:rPr>
              <w:t xml:space="preserve"> </w:t>
            </w:r>
            <w:r>
              <w:rPr>
                <w:rFonts w:ascii="Calibri" w:eastAsia="Calibri" w:hAnsi="Calibri" w:cs="Calibri"/>
                <w:sz w:val="20"/>
                <w:szCs w:val="20"/>
              </w:rPr>
              <w:t xml:space="preserve">CPAP </w:t>
            </w:r>
            <w:r>
              <w:rPr>
                <w:rFonts w:ascii="Calibri" w:eastAsia="Calibri" w:hAnsi="Calibri" w:cs="Calibri"/>
                <w:color w:val="212121"/>
                <w:sz w:val="20"/>
                <w:szCs w:val="20"/>
                <w:highlight w:val="white"/>
              </w:rPr>
              <w:t xml:space="preserve">5% vs. </w:t>
            </w:r>
            <w:r>
              <w:rPr>
                <w:rFonts w:ascii="Calibri" w:eastAsia="Calibri" w:hAnsi="Calibri" w:cs="Calibri"/>
                <w:sz w:val="20"/>
                <w:szCs w:val="20"/>
              </w:rPr>
              <w:t xml:space="preserve">BiPAP </w:t>
            </w:r>
            <w:r>
              <w:rPr>
                <w:rFonts w:ascii="Calibri" w:eastAsia="Calibri" w:hAnsi="Calibri" w:cs="Calibri"/>
                <w:color w:val="212121"/>
                <w:sz w:val="20"/>
                <w:szCs w:val="20"/>
                <w:highlight w:val="white"/>
              </w:rPr>
              <w:t>12% (OR 0.4, CI 95% 0.0-1.9).</w:t>
            </w:r>
          </w:p>
        </w:tc>
      </w:tr>
      <w:tr w:rsidR="00602D6F" w14:paraId="2B592C5C" w14:textId="77777777" w:rsidTr="004606EC">
        <w:tc>
          <w:tcPr>
            <w:tcW w:w="1911" w:type="dxa"/>
          </w:tcPr>
          <w:p w14:paraId="4DBB60E0" w14:textId="2CAA2C7E" w:rsidR="00602D6F" w:rsidRDefault="00602D6F" w:rsidP="004606EC">
            <w:pPr>
              <w:rPr>
                <w:rFonts w:ascii="Calibri" w:eastAsia="Calibri" w:hAnsi="Calibri" w:cs="Calibri"/>
                <w:sz w:val="20"/>
                <w:szCs w:val="20"/>
              </w:rPr>
            </w:pPr>
            <w:r>
              <w:rPr>
                <w:rFonts w:ascii="Calibri" w:eastAsia="Calibri" w:hAnsi="Calibri" w:cs="Calibri"/>
                <w:sz w:val="20"/>
                <w:szCs w:val="20"/>
              </w:rPr>
              <w:t>Gray, 2008</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{"citationID":"2m3mMXW4","properties":{"formattedCitation":"\\super 8\\nosupersub{}","plainCitation":"8","noteIndex":0},"citationItems":[{"id":2023,"uris":["http://zotero.org/users/local/MoY6DhL4/items/PV4LNJDQ"],"itemData":{"id":2023,"type":"article-journal","abstract":"BACKGROUND: Noninvasive ventilation (continuous positive airway pressure [CPAP] or noninvasive intermittent positive-pressure ventilation [NIPPV]) appears to be of benefit in the immediate treatment of patients with acute cardiogenic pulmonary edema and may reduce mortality. We conducted a study to determine whether noninvasive ventilation reduces mortality and whether there are important differences in outcome associated with the method of treatment (CPAP or NIPPV).\nMETHODS: In a multicenter, open, prospective, randomized, controlled trial, patients were assigned to standard oxygen therapy, CPAP (5 to 15 cm of water), or NIPPV (inspiratory pressure, 8 to 20 cm of water; expiratory pressure, 4 to 10 cm of water). The primary end point for the comparison between noninvasive ventilation and standard oxygen therapy was death within 7 days after the initiation of treatment, and the primary end point for the comparison between NIPPV and CPAP was death or intubation within 7 days.\nRESULTS: A total of 1069 patients (mean [+/-SD] age, 77.7+/-9.7 years; female sex, 56.9%) were assigned to standard oxygen therapy (367 patients), CPAP (346 patients), or NIPPV (356 patients). There was no significant difference in 7-day mortality between patients receiving standard oxygen therapy (9.8%) and those undergoing noninvasive ventilation (9.5%, P=0.87). There was no significant difference in the combined end point of death or intubation within 7 days between the two groups of patients undergoing noninvasive ventilation (11.7% for CPAP and 11.1% for NIPPV, P=0.81). As compared with standard oxygen therapy, noninvasive ventilation was associated with greater mean improvements at 1 hour after the beginning of treatment in patient-reported dyspnea (treatment difference, 0.7 on a visual-analogue scale ranging from 1 to 10; 95% confidence interval [CI], 0.2 to 1.3; P=0.008), heart rate (treatment difference, 4 beats per minute; 95% CI, 1 to 6; P=0.004), acidosis (treatment difference, pH 0.03; 95% CI, 0.02 to 0.04; P&lt;0.001), and hypercapnia (treatment difference, 0.7 kPa [5.2 mm Hg]; 95% CI, 0.4 to 0.9; P&lt;0.001). There were no treatment-related adverse events.\nCONCLUSIONS: In patients with acute cardiogenic pulmonary edema, noninvasive ventilation induces a more rapid improvement in respiratory distress and metabolic disturbance than does standard oxygen therapy but has no effect on short-term mortality. (Current Controlled Trials number, ISRCTN07448447.)","container-title":"The New England Journal of Medicine","DOI":"10.1056/NEJMoa0707992","ISSN":"1533-4406","issue":"2","journalAbbreviation":"N Engl J Med","language":"eng","note":"PMID: 18614781","page":"142-151","source":"PubMed","title":"Noninvasive ventilation in acute cardiogenic pulmonary edema","volume":"359","author":[{"family":"Gray","given":"Alasdair"},{"family":"Goodacre","given":"Steve"},{"family":"Newby","given":"David E."},{"family":"Masson","given":"Moyra"},{"family":"Sampson","given":"Fiona"},{"family":"Nicholl","given":"Jon"},{"literal":"3CPO Trialists"}],"issued":{"date-parts":[["2008",7,10]]}}}],"schema":"https://github.com/citation-style-language/schema/raw/master/csl-citation.json"}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8</w:t>
            </w:r>
            <w:r>
              <w:rPr>
                <w:rFonts w:ascii="Calibri" w:eastAsia="Calibri" w:hAnsi="Calibri" w:cs="Calibri"/>
                <w:sz w:val="20"/>
                <w:szCs w:val="20"/>
              </w:rPr>
              <w:fldChar w:fldCharType="end"/>
            </w:r>
            <w:r>
              <w:rPr>
                <w:rFonts w:ascii="Calibri" w:eastAsia="Calibri" w:hAnsi="Calibri" w:cs="Calibri"/>
                <w:sz w:val="20"/>
                <w:szCs w:val="20"/>
              </w:rPr>
              <w:t>, 26 EDs</w:t>
            </w:r>
          </w:p>
        </w:tc>
        <w:tc>
          <w:tcPr>
            <w:tcW w:w="1819" w:type="dxa"/>
          </w:tcPr>
          <w:p w14:paraId="28804034"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N=1156, CPE with acidosis (pH&lt;7.35)</w:t>
            </w:r>
          </w:p>
        </w:tc>
        <w:tc>
          <w:tcPr>
            <w:tcW w:w="1794" w:type="dxa"/>
          </w:tcPr>
          <w:p w14:paraId="5B2BC1A9"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COT (N=367) vs. CPAP (N=346) vs. BiPAP (N=356)</w:t>
            </w:r>
          </w:p>
        </w:tc>
        <w:tc>
          <w:tcPr>
            <w:tcW w:w="1555" w:type="dxa"/>
          </w:tcPr>
          <w:p w14:paraId="38B16821"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08F49DDF" w14:textId="77777777" w:rsidR="00602D6F" w:rsidRDefault="00602D6F" w:rsidP="004606EC">
            <w:pPr>
              <w:rPr>
                <w:rFonts w:ascii="Calibri" w:eastAsia="Calibri" w:hAnsi="Calibri" w:cs="Calibri"/>
                <w:i/>
                <w:sz w:val="20"/>
                <w:szCs w:val="20"/>
              </w:rPr>
            </w:pPr>
            <w:r>
              <w:rPr>
                <w:rFonts w:ascii="Calibri" w:eastAsia="Calibri" w:hAnsi="Calibri" w:cs="Calibri"/>
                <w:i/>
                <w:sz w:val="20"/>
                <w:szCs w:val="20"/>
              </w:rPr>
              <w:t xml:space="preserve">7-days mortality: </w:t>
            </w:r>
            <w:r>
              <w:rPr>
                <w:rFonts w:ascii="Calibri" w:eastAsia="Calibri" w:hAnsi="Calibri" w:cs="Calibri"/>
                <w:sz w:val="20"/>
                <w:szCs w:val="20"/>
              </w:rPr>
              <w:t xml:space="preserve">COT 9.8% vs. NIV (CPAP or BiPAP) 9.5% (p=0.87); </w:t>
            </w:r>
            <w:r>
              <w:rPr>
                <w:rFonts w:ascii="Calibri" w:eastAsia="Calibri" w:hAnsi="Calibri" w:cs="Calibri"/>
                <w:i/>
                <w:sz w:val="20"/>
                <w:szCs w:val="20"/>
              </w:rPr>
              <w:t>mortality or EI (combined) within 7 days</w:t>
            </w:r>
            <w:r>
              <w:rPr>
                <w:rFonts w:ascii="Calibri" w:eastAsia="Calibri" w:hAnsi="Calibri" w:cs="Calibri"/>
                <w:sz w:val="20"/>
                <w:szCs w:val="20"/>
              </w:rPr>
              <w:t>: CPAP 11.7% vs. BiPAP 11.1% (p=0.81).</w:t>
            </w:r>
          </w:p>
        </w:tc>
      </w:tr>
      <w:tr w:rsidR="00602D6F" w14:paraId="37D33D91" w14:textId="77777777" w:rsidTr="004606EC">
        <w:tc>
          <w:tcPr>
            <w:tcW w:w="1911" w:type="dxa"/>
          </w:tcPr>
          <w:p w14:paraId="17078FAE" w14:textId="006FDA11" w:rsidR="00602D6F" w:rsidRDefault="00602D6F" w:rsidP="004606EC">
            <w:pPr>
              <w:rPr>
                <w:rFonts w:ascii="Calibri" w:eastAsia="Calibri" w:hAnsi="Calibri" w:cs="Calibri"/>
                <w:sz w:val="20"/>
                <w:szCs w:val="20"/>
              </w:rPr>
            </w:pPr>
            <w:r>
              <w:rPr>
                <w:rFonts w:ascii="Calibri" w:eastAsia="Calibri" w:hAnsi="Calibri" w:cs="Calibri"/>
                <w:sz w:val="20"/>
                <w:szCs w:val="20"/>
              </w:rPr>
              <w:t>Ferrari, 2010</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{"citationID":"EaDpui0T","properties":{"formattedCitation":"\\super 9\\nosupersub{}","plainCitation":"9","noteIndex":0},"citationItems":[{"id":2048,"uris":["http://zotero.org/users/local/MoY6DhL4/items/8LJ64SD5"],"itemData":{"id":2048,"type":"article-journal","abstract":"BACKGROUND: Both non-invasive continuous positive airway pressure (nCPAP) and non-invasive pressure support ventilation (nPSV) have been shown to be effective treatment for acute cardiogenic pulmonary edema (ACPE). In patients with severe ACPE who are treated with standard medical treatment, the baseline intubation rate is approximately 24%.\nSTUDY OBJECTIVE: This study was conducted to compare the endotracheal intubation (ETI) rate using two techniques, nCPAP vs. nPSV. In addition, mortality rate, improvement in gas exchange, duration of ventilation, and hospital length of stay were also assessed.\nMETHODS: This prospective, multi-center, randomized study enrolled 80 patients with ACPE who were randomized to receive nCPAP or nPSV (40 patients in each group) via an oronasal mask. Inclusion criteria were severe dyspnea, respiratory rate &gt; 30 breaths/min, use of respiratory accessory muscles, or PaO(2)/FiO(2) &lt; 200.\nRESULTS: ETI was required in 0 (0%) and in 3 (7.5%) patients in the nCPAP group and in the nPSV group, respectively (p = 0.241). No significant difference was observed in in-hospital mortality: 2 (5%) vs. 7 (17.5%) in nCPAP and nPSV groups, respectively (p = 0.154). No difference in hospital length of stay was observed between the two groups, nor was there a difference observed in duration of ventilation, despite a trend for reduced time with nPSV vs. nCPAP (5.91 ± 4.01 vs. 8.46 ± 7.14 h, respectively, p = 0.052). Both nCPAP and nPSV were effective in improving gas exchange, including in the subgroup of hypercapnic patients.\nCONCLUSIONS: Both methods are effective treatment for patients with ACPE. Non-invasive CPAP should be considered as the first line of treatment because it is easier to use and less expensive than non-invasive PSV.","container-title":"The Journal of Emergency Medicine","DOI":"10.1016/j.jemermed.2009.07.042","ISSN":"0736-4679","issue":"5","journalAbbreviation":"J Emerg Med","language":"eng","note":"PMID: 19818574","page":"676-684","source":"PubMed","title":"Continuous positive airway pressure vs. pressure support ventilation in acute cardiogenic pulmonary edema: a randomized trial","title-short":"Continuous positive airway pressure vs. pressure support ventilation in acute cardiogenic pulmonary edema","volume":"39","author":[{"family":"Ferrari","given":"Giovanni"},{"family":"Milan","given":"Alberto"},{"family":"Groff","given":"Paolo"},{"family":"Pagnozzi","given":"Fiammetta"},{"family":"Mazzone","given":"Marinella"},{"family":"Molino","given":"Paola"},{"family":"Aprà","given":"Franco"}],"issued":{"date-parts":[["2010",11]]}}}],"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9</w:t>
            </w:r>
            <w:r>
              <w:rPr>
                <w:rFonts w:ascii="Calibri" w:eastAsia="Calibri" w:hAnsi="Calibri" w:cs="Calibri"/>
                <w:sz w:val="20"/>
                <w:szCs w:val="20"/>
              </w:rPr>
              <w:fldChar w:fldCharType="end"/>
            </w:r>
            <w:r>
              <w:rPr>
                <w:rFonts w:ascii="Calibri" w:eastAsia="Calibri" w:hAnsi="Calibri" w:cs="Calibri"/>
                <w:sz w:val="20"/>
                <w:szCs w:val="20"/>
              </w:rPr>
              <w:t>, 3 EDs</w:t>
            </w:r>
          </w:p>
        </w:tc>
        <w:tc>
          <w:tcPr>
            <w:tcW w:w="1819" w:type="dxa"/>
          </w:tcPr>
          <w:p w14:paraId="181FB9EA"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N=80, CPE</w:t>
            </w:r>
          </w:p>
        </w:tc>
        <w:tc>
          <w:tcPr>
            <w:tcW w:w="1794" w:type="dxa"/>
          </w:tcPr>
          <w:p w14:paraId="142C0639"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(N=40) vs. BiPAP (N=40)</w:t>
            </w:r>
          </w:p>
        </w:tc>
        <w:tc>
          <w:tcPr>
            <w:tcW w:w="1555" w:type="dxa"/>
          </w:tcPr>
          <w:p w14:paraId="77F785BB" w14:textId="77777777" w:rsidR="00602D6F" w:rsidRDefault="00602D6F" w:rsidP="004606EC">
            <w:pPr>
              <w:rPr>
                <w:rFonts w:ascii="Calibri" w:eastAsia="Calibri" w:hAnsi="Calibri" w:cs="Calibri"/>
                <w:i/>
                <w:sz w:val="20"/>
                <w:szCs w:val="20"/>
              </w:rPr>
            </w:pPr>
            <w:r>
              <w:rPr>
                <w:rFonts w:ascii="Calibri" w:eastAsia="Calibri" w:hAnsi="Calibri" w:cs="Calibri"/>
                <w:color w:val="333333"/>
                <w:sz w:val="20"/>
                <w:szCs w:val="20"/>
                <w:highlight w:val="white"/>
              </w:rPr>
              <w:t>Facemask</w:t>
            </w:r>
          </w:p>
        </w:tc>
        <w:tc>
          <w:tcPr>
            <w:tcW w:w="1937" w:type="dxa"/>
          </w:tcPr>
          <w:p w14:paraId="6DD24CA5" w14:textId="77777777" w:rsidR="00602D6F" w:rsidRDefault="00602D6F" w:rsidP="004606EC">
            <w:pPr>
              <w:rPr>
                <w:rFonts w:ascii="Calibri" w:eastAsia="Calibri" w:hAnsi="Calibri" w:cs="Calibri"/>
                <w:i/>
                <w:color w:val="333333"/>
                <w:sz w:val="20"/>
                <w:szCs w:val="20"/>
                <w:highlight w:val="white"/>
              </w:rPr>
            </w:pPr>
            <w:r>
              <w:rPr>
                <w:rFonts w:ascii="Calibri" w:eastAsia="Calibri" w:hAnsi="Calibri" w:cs="Calibri"/>
                <w:i/>
                <w:sz w:val="20"/>
                <w:szCs w:val="20"/>
              </w:rPr>
              <w:t>EI</w:t>
            </w:r>
            <w:r>
              <w:rPr>
                <w:rFonts w:ascii="Calibri" w:eastAsia="Calibri" w:hAnsi="Calibri" w:cs="Calibri"/>
                <w:i/>
                <w:color w:val="333333"/>
                <w:sz w:val="20"/>
                <w:szCs w:val="20"/>
                <w:highlight w:val="white"/>
              </w:rPr>
              <w:t>:</w:t>
            </w:r>
            <w:r>
              <w:rPr>
                <w:rFonts w:ascii="Calibri" w:eastAsia="Calibri" w:hAnsi="Calibri" w:cs="Calibri"/>
                <w:sz w:val="20"/>
                <w:szCs w:val="20"/>
              </w:rPr>
              <w:t xml:space="preserve"> CPAP 0% vs. 7.5% (p=0.241);</w:t>
            </w:r>
            <w:r>
              <w:rPr>
                <w:rFonts w:ascii="Calibri" w:eastAsia="Calibri" w:hAnsi="Calibri" w:cs="Calibri"/>
                <w:i/>
                <w:sz w:val="20"/>
                <w:szCs w:val="20"/>
              </w:rPr>
              <w:t xml:space="preserve"> in-hospital mortality: </w:t>
            </w:r>
            <w:r>
              <w:rPr>
                <w:rFonts w:ascii="Calibri" w:eastAsia="Calibri" w:hAnsi="Calibri" w:cs="Calibri"/>
                <w:sz w:val="20"/>
                <w:szCs w:val="20"/>
              </w:rPr>
              <w:t>CPAP 5% vs. BiPAP 17.5% (p=0.154).</w:t>
            </w:r>
          </w:p>
        </w:tc>
      </w:tr>
      <w:tr w:rsidR="00602D6F" w14:paraId="287D921B" w14:textId="77777777" w:rsidTr="004606EC">
        <w:tc>
          <w:tcPr>
            <w:tcW w:w="1911" w:type="dxa"/>
          </w:tcPr>
          <w:p w14:paraId="3DEDC59C" w14:textId="27FE4160" w:rsidR="00602D6F" w:rsidRDefault="00602D6F" w:rsidP="004606EC">
            <w:pPr>
              <w:rPr>
                <w:rFonts w:ascii="Calibri" w:eastAsia="Calibri" w:hAnsi="Calibri" w:cs="Calibri"/>
                <w:sz w:val="20"/>
                <w:szCs w:val="20"/>
              </w:rPr>
            </w:pPr>
            <w:proofErr w:type="spellStart"/>
            <w:r>
              <w:rPr>
                <w:rFonts w:ascii="Calibri" w:eastAsia="Calibri" w:hAnsi="Calibri" w:cs="Calibri"/>
                <w:sz w:val="20"/>
                <w:szCs w:val="20"/>
              </w:rPr>
              <w:t>Liesching</w:t>
            </w:r>
            <w:proofErr w:type="spellEnd"/>
            <w:r>
              <w:rPr>
                <w:rFonts w:ascii="Calibri" w:eastAsia="Calibri" w:hAnsi="Calibri" w:cs="Calibri"/>
                <w:sz w:val="20"/>
                <w:szCs w:val="20"/>
              </w:rPr>
              <w:t>, 2014</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{"citationID":"JDv0XQLU","properties":{"formattedCitation":"\\super 10\\nosupersub{}","plainCitation":"10","noteIndex":0},"citationItems":[{"id":2050,"uris":["http://zotero.org/users/local/MoY6DhL4/items/5KMFFM9J"],"itemData":{"id":2050,"type":"article-journal","abstract":"BACKGROUND: Studies have shown different clinical outcomes of noninvasive positive pressure ventilation (NPPV) from those of continuous positive airway pressure (CPAP).\nOBJECTIVE: We evaluated whether bilevel positive airway pressure (BPAP) more rapidly improves dyspnea, ventilation, and acidemia without increasing the myocardial infarction (MI) rate compared to continuous positive pressure ventilation (CPAP) in patients with acute cardiogenic pulmonary edema (APE).\nMETHODS: Patients with APE were randomized to either BPAP or CPAP. Vital signs and dyspnea scores were recorded at baseline, 30 min, 1 h, and 3 h. Blood gases were obtained at baseline, 30 min, and 1 h. Patients were monitored for MI, endotracheal intubation (ETI), lengths of stay (LOS), and hospital mortality.\nRESULTS: Fourteen patients received CPAP and 13 received BPAP. The two groups were similar at baseline (ejection fraction, dyspnea, vital signs, acidemia/oxygenation) and received similar medical treatment. At 30 min, PaO2:FIO2 was improved in the BPAP group compared to baseline (283 vs. 132, p &lt; 0.05) and the CPAP group (283 vs. 189, p &lt; 0.05). Thirty-minute dyspnea scores were lower in the BPAP group compared to the CPAP group (p = 0.05). Fewer BPAP patients required intensive care unit (ICU) admission (38% vs. 92%, p &lt; 0.05). There were no differences between groups in MI or ETI rate, LOS, or mortality.\nCONCLUSIONS: Compared to CPAP to treat APE, BPAP more rapidly improves oxygenation and dyspnea scores, and reduces the need for ICU admission. Further, BPAP does not increase MI rate compared to CPAP.","container-title":"The Journal of Emergency Medicine","DOI":"10.1016/j.jemermed.2013.08.015","ISSN":"0736-4679","issue":"1","journalAbbreviation":"J Emerg Med","language":"eng","note":"PMID: 24071031","page":"130-140","source":"PubMed","title":"fr","volume":"46","author":[{"family":"Liesching","given":"Timothy"},{"family":"Nelson","given":"David L."},{"family":"Cormier","given":"Karen L."},{"family":"Sucov","given":"Andrew"},{"family":"Short","given":"Kathy"},{"family":"Warburton","given":"Rod"},{"family":"Hill","given":"Nicholas S."}],"issued":{"date-parts":[["2014",1]]}}}],"schema":"https://github.com/citation-style-language/schema/raw/master/csl-citation.json"}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10</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65C2B4A8"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N=27, CPE</w:t>
            </w:r>
          </w:p>
        </w:tc>
        <w:tc>
          <w:tcPr>
            <w:tcW w:w="1794" w:type="dxa"/>
          </w:tcPr>
          <w:p w14:paraId="799979B4"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(N=14) vs. BiPAP (N=13)</w:t>
            </w:r>
          </w:p>
        </w:tc>
        <w:tc>
          <w:tcPr>
            <w:tcW w:w="1555" w:type="dxa"/>
          </w:tcPr>
          <w:p w14:paraId="0FDEE515"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Oronasal mask</w:t>
            </w:r>
          </w:p>
        </w:tc>
        <w:tc>
          <w:tcPr>
            <w:tcW w:w="1937" w:type="dxa"/>
          </w:tcPr>
          <w:p w14:paraId="7506FF50" w14:textId="77777777" w:rsidR="00602D6F" w:rsidRDefault="00602D6F" w:rsidP="004606EC">
            <w:pPr>
              <w:rPr>
                <w:rFonts w:ascii="Calibri" w:eastAsia="Calibri" w:hAnsi="Calibri" w:cs="Calibri"/>
                <w:i/>
                <w:sz w:val="20"/>
                <w:szCs w:val="20"/>
              </w:rPr>
            </w:pPr>
            <w:r>
              <w:rPr>
                <w:rFonts w:ascii="Calibri" w:eastAsia="Calibri" w:hAnsi="Calibri" w:cs="Calibri"/>
                <w:i/>
                <w:color w:val="333333"/>
                <w:sz w:val="20"/>
                <w:szCs w:val="20"/>
                <w:highlight w:val="white"/>
              </w:rPr>
              <w:t>Incidence of AMI:</w:t>
            </w:r>
            <w:r>
              <w:rPr>
                <w:rFonts w:ascii="Calibri" w:eastAsia="Calibri" w:hAnsi="Calibri" w:cs="Calibri"/>
                <w:sz w:val="20"/>
                <w:szCs w:val="20"/>
              </w:rPr>
              <w:t xml:space="preserve"> CPAP 0% vs. BiPAP 7.7% (p=0.97); </w:t>
            </w:r>
            <w:r>
              <w:rPr>
                <w:rFonts w:ascii="Calibri" w:eastAsia="Calibri" w:hAnsi="Calibri" w:cs="Calibri"/>
                <w:i/>
                <w:sz w:val="20"/>
                <w:szCs w:val="20"/>
              </w:rPr>
              <w:t>ICU admission:</w:t>
            </w:r>
            <w:r>
              <w:rPr>
                <w:rFonts w:ascii="Calibri" w:eastAsia="Calibri" w:hAnsi="Calibri" w:cs="Calibri"/>
                <w:sz w:val="20"/>
                <w:szCs w:val="20"/>
              </w:rPr>
              <w:t xml:space="preserve"> CPAP 92% vs. BiPAP 38% (p&lt;0.05); hospital</w:t>
            </w:r>
            <w:r>
              <w:rPr>
                <w:rFonts w:ascii="Calibri" w:eastAsia="Calibri" w:hAnsi="Calibri" w:cs="Calibri"/>
                <w:i/>
                <w:sz w:val="20"/>
                <w:szCs w:val="20"/>
              </w:rPr>
              <w:t xml:space="preserve"> mortality</w:t>
            </w:r>
            <w:r>
              <w:rPr>
                <w:rFonts w:ascii="Calibri" w:eastAsia="Calibri" w:hAnsi="Calibri" w:cs="Calibri"/>
                <w:sz w:val="20"/>
                <w:szCs w:val="20"/>
              </w:rPr>
              <w:t xml:space="preserve">: CPAP 14.3 % vs. BiPAP 7.7% (p=0.084); </w:t>
            </w:r>
            <w:r>
              <w:rPr>
                <w:rFonts w:ascii="Calibri" w:eastAsia="Calibri" w:hAnsi="Calibri" w:cs="Calibri"/>
                <w:i/>
                <w:sz w:val="20"/>
                <w:szCs w:val="20"/>
              </w:rPr>
              <w:t>clinical improvement</w:t>
            </w:r>
            <w:r>
              <w:rPr>
                <w:rFonts w:ascii="Calibri" w:eastAsia="Calibri" w:hAnsi="Calibri" w:cs="Calibri"/>
                <w:sz w:val="20"/>
                <w:szCs w:val="20"/>
              </w:rPr>
              <w:t>: lower dyspnoea score and higher PaO</w:t>
            </w:r>
            <w:r>
              <w:rPr>
                <w:rFonts w:ascii="Calibri" w:eastAsia="Calibri" w:hAnsi="Calibri" w:cs="Calibri"/>
                <w:sz w:val="20"/>
                <w:szCs w:val="20"/>
                <w:vertAlign w:val="subscript"/>
              </w:rPr>
              <w:t>2</w:t>
            </w:r>
            <w:r>
              <w:rPr>
                <w:rFonts w:ascii="Calibri" w:eastAsia="Calibri" w:hAnsi="Calibri" w:cs="Calibri"/>
                <w:sz w:val="20"/>
                <w:szCs w:val="20"/>
              </w:rPr>
              <w:t>/FiO</w:t>
            </w:r>
            <w:r>
              <w:rPr>
                <w:rFonts w:ascii="Calibri" w:eastAsia="Calibri" w:hAnsi="Calibri" w:cs="Calibri"/>
                <w:sz w:val="20"/>
                <w:szCs w:val="20"/>
                <w:vertAlign w:val="subscript"/>
              </w:rPr>
              <w:t>2</w:t>
            </w:r>
            <w:r>
              <w:rPr>
                <w:rFonts w:ascii="Calibri" w:eastAsia="Calibri" w:hAnsi="Calibri" w:cs="Calibri"/>
                <w:sz w:val="20"/>
                <w:szCs w:val="20"/>
              </w:rPr>
              <w:t xml:space="preserve"> after 30 minutes in BiPAP vs. CPAP (p&lt;0.05).</w:t>
            </w:r>
          </w:p>
        </w:tc>
      </w:tr>
      <w:tr w:rsidR="00602D6F" w14:paraId="475111B2" w14:textId="77777777" w:rsidTr="004606EC">
        <w:tc>
          <w:tcPr>
            <w:tcW w:w="1911" w:type="dxa"/>
          </w:tcPr>
          <w:p w14:paraId="745ADAD1" w14:textId="3E01DC47" w:rsidR="00602D6F" w:rsidRDefault="00602D6F" w:rsidP="004606EC">
            <w:pPr>
              <w:rPr>
                <w:rFonts w:ascii="Calibri" w:eastAsia="Calibri" w:hAnsi="Calibri" w:cs="Calibri"/>
                <w:sz w:val="20"/>
                <w:szCs w:val="20"/>
              </w:rPr>
            </w:pPr>
            <w:r>
              <w:rPr>
                <w:rFonts w:ascii="Calibri" w:eastAsia="Calibri" w:hAnsi="Calibri" w:cs="Calibri"/>
                <w:sz w:val="20"/>
                <w:szCs w:val="20"/>
              </w:rPr>
              <w:t>Osman, 2021</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{"citationID":"rDlavS0C","properties":{"formattedCitation":"\\super 11\\nosupersub{}","plainCitation":"11","noteIndex":0},"citationItems":[{"id":2065,"uris":["http://zotero.org/users/local/MoY6DhL4/items/WDKYTG2R"],"itemData":{"id":2065,"type":"article-journal","abstract":"AIMS: Non-invasive ventilation represents an established treatment for acute cardiogenic pulmonary oedema (ACPO) although no data regarding the best ventilatory strategy are available. We aimed to compare the effectiveness of helmet CPAP (hCPAP) and high flow nasal cannula (HFNC) in the early treatment of ACPO.\nMETHODS AND RESULTS: Single-centre randomized controlled trial of patients admitted to the emergency department due to ACPO with hypoxemia and dyspnoea on face mask oxygen therapy. Patients were randomly assigned with a 1:1 ratio to receive hCPAP or HFNC and FiO2 set to achieve an arterial oxygen saturation &gt;94%. The primary outcome was a reduction in respiratory rate; secondary outcomes included changes in heart rate, PaO2/FiO2 ratio, Heart rate, Acidosis, Consciousness, Oxygenation, and Respiratory rate (HACOR) score, Dyspnoea Scale, and intubation rate. Data were collected before hCPAP/HFNC placement and after 1 h of treatment. Amongst 188 patients randomized, hCPAP was more effective than HFNC in reducing respiratory rate [-12 (95% CI; 11-13) vs. -9 (95% CI; 8-10), P &lt; 0.001] and was associated with greater heart rate reduction [-20 (95% CI; 17-23) vs. -15 (95% CI; 12-18), P = 0.042], P/F ratio improvement [+149 (95% CI; 135-163) vs. +120 (95% CI; 107-132), P = 0.003] as well as in HACOR scores [6 (0-12) vs. 4 (2-9), P &lt; 0.001] and Dyspnoea Scale [4 (1-7) vs. 3.5 (1-6), P = 0.003]. No differences in intubation rate were noted (P = 0.321).\nCONCLUSION: Amongst patients with ACPO, hCPAP resulted in a greater short-term improvement in respiratory and hemodynamic parameters as compared with HFNC.\nTRIAL REGISTRATION: Clinical trial submission: NMRR-17-1839-36966 (IIR). Registry name: Medical Research and Ethics Committee of Malaysia Ministry of Health. Clinicaltrials.gov identifier: NCT04005092. URL registry: https://clinicaltrials.gov/ct2/show/NCT04005092.","container-title":"European Heart Journal. Acute Cardiovascular Care","DOI":"10.1093/ehjacc/zuab078","ISSN":"2048-8734","issue":"10","journalAbbreviation":"Eur Heart J Acute Cardiovasc Care","language":"eng","note":"PMID: 34632507","page":"1103-1111","source":"PubMed","title":"Helmet continuous positive airway pressure vs. high flow nasal cannula oxygen in acute cardiogenic pulmonary oedema: a randomized controlled trial","title-short":"Helmet continuous positive airway pressure vs. high flow nasal cannula oxygen in acute cardiogenic pulmonary oedema","volume":"10","author":[{"family":"Osman","given":"Adi"},{"family":"Via","given":"Gabriele"},{"family":"Sallehuddin","given":"Roslanuddin Mohd"},{"family":"Ahmad","given":"Azma Haryaty"},{"family":"Fei","given":"Sow Kai"},{"family":"Azil","given":"Azlizawati"},{"family":"Mojoli","given":"Francesco"},{"family":"Fong","given":"Chan Pei"},{"family":"Tavazzi","given":"Guido"}],"issued":{"date-parts":[["2021",12,18]]}}}],"schema":"https://github.com/citation-style-language/schema/raw/master/csl-citation.json"}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11</w:t>
            </w:r>
            <w:r>
              <w:rPr>
                <w:rFonts w:ascii="Calibri" w:eastAsia="Calibri" w:hAnsi="Calibri" w:cs="Calibri"/>
                <w:sz w:val="20"/>
                <w:szCs w:val="20"/>
              </w:rPr>
              <w:fldChar w:fldCharType="end"/>
            </w:r>
            <w:r>
              <w:rPr>
                <w:rFonts w:ascii="Calibri" w:eastAsia="Calibri" w:hAnsi="Calibri" w:cs="Calibri"/>
                <w:sz w:val="20"/>
                <w:szCs w:val="20"/>
              </w:rPr>
              <w:t>, 1 ED</w:t>
            </w:r>
          </w:p>
        </w:tc>
        <w:tc>
          <w:tcPr>
            <w:tcW w:w="1819" w:type="dxa"/>
          </w:tcPr>
          <w:p w14:paraId="5C8968ED"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N=188, CPE</w:t>
            </w:r>
          </w:p>
        </w:tc>
        <w:tc>
          <w:tcPr>
            <w:tcW w:w="1794" w:type="dxa"/>
          </w:tcPr>
          <w:p w14:paraId="1E8B469C" w14:textId="241BB422" w:rsidR="00602D6F" w:rsidRDefault="00602D6F" w:rsidP="004606EC">
            <w:pPr>
              <w:rPr>
                <w:rFonts w:ascii="Calibri" w:eastAsia="Calibri" w:hAnsi="Calibri" w:cs="Calibri"/>
                <w:sz w:val="20"/>
                <w:szCs w:val="20"/>
              </w:rPr>
            </w:pPr>
            <w:r>
              <w:rPr>
                <w:rFonts w:ascii="Calibri" w:eastAsia="Calibri" w:hAnsi="Calibri" w:cs="Calibri"/>
                <w:sz w:val="20"/>
                <w:szCs w:val="20"/>
              </w:rPr>
              <w:t>HFN</w:t>
            </w:r>
            <w:r w:rsidR="00327A09">
              <w:rPr>
                <w:rFonts w:ascii="Calibri" w:eastAsia="Calibri" w:hAnsi="Calibri" w:cs="Calibri"/>
                <w:sz w:val="20"/>
                <w:szCs w:val="20"/>
              </w:rPr>
              <w:t>T</w:t>
            </w:r>
            <w:r>
              <w:rPr>
                <w:rFonts w:ascii="Calibri" w:eastAsia="Calibri" w:hAnsi="Calibri" w:cs="Calibri"/>
                <w:sz w:val="20"/>
                <w:szCs w:val="20"/>
              </w:rPr>
              <w:t xml:space="preserve"> (N=94) vs. CPAP (N=94)</w:t>
            </w:r>
          </w:p>
        </w:tc>
        <w:tc>
          <w:tcPr>
            <w:tcW w:w="1555" w:type="dxa"/>
          </w:tcPr>
          <w:p w14:paraId="60208179"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Helmet</w:t>
            </w:r>
          </w:p>
        </w:tc>
        <w:tc>
          <w:tcPr>
            <w:tcW w:w="1937" w:type="dxa"/>
          </w:tcPr>
          <w:p w14:paraId="5A13DEA4" w14:textId="3B16F0D8" w:rsidR="00602D6F" w:rsidRDefault="00602D6F" w:rsidP="004606EC">
            <w:pPr>
              <w:rPr>
                <w:rFonts w:ascii="Calibri" w:eastAsia="Calibri" w:hAnsi="Calibri" w:cs="Calibri"/>
                <w:i/>
                <w:color w:val="333333"/>
                <w:sz w:val="20"/>
                <w:szCs w:val="20"/>
                <w:highlight w:val="white"/>
              </w:rPr>
            </w:pPr>
            <w:r>
              <w:rPr>
                <w:rFonts w:ascii="Calibri" w:eastAsia="Calibri" w:hAnsi="Calibri" w:cs="Calibri"/>
                <w:i/>
                <w:color w:val="333333"/>
                <w:sz w:val="20"/>
                <w:szCs w:val="20"/>
                <w:highlight w:val="white"/>
              </w:rPr>
              <w:t xml:space="preserve">Mean RR change at 1h: </w:t>
            </w:r>
            <w:r w:rsidR="00327A09">
              <w:rPr>
                <w:rFonts w:ascii="Calibri" w:eastAsia="Calibri" w:hAnsi="Calibri" w:cs="Calibri"/>
                <w:sz w:val="20"/>
                <w:szCs w:val="20"/>
              </w:rPr>
              <w:t xml:space="preserve">HFNT </w:t>
            </w:r>
            <w:r>
              <w:rPr>
                <w:rFonts w:ascii="Calibri" w:eastAsia="Calibri" w:hAnsi="Calibri" w:cs="Calibri"/>
                <w:color w:val="333333"/>
                <w:sz w:val="20"/>
                <w:szCs w:val="20"/>
                <w:highlight w:val="white"/>
              </w:rPr>
              <w:t>-9 vs CPAP -12 (p&lt;0.001);</w:t>
            </w:r>
            <w:r>
              <w:rPr>
                <w:rFonts w:ascii="Calibri" w:eastAsia="Calibri" w:hAnsi="Calibri" w:cs="Calibri"/>
                <w:i/>
                <w:color w:val="333333"/>
                <w:sz w:val="20"/>
                <w:szCs w:val="20"/>
                <w:highlight w:val="white"/>
              </w:rPr>
              <w:t xml:space="preserve"> Mean HR change at 1h: </w:t>
            </w:r>
            <w:r w:rsidR="00327A09">
              <w:rPr>
                <w:rFonts w:ascii="Calibri" w:eastAsia="Calibri" w:hAnsi="Calibri" w:cs="Calibri"/>
                <w:sz w:val="20"/>
                <w:szCs w:val="20"/>
              </w:rPr>
              <w:t xml:space="preserve">HFNT </w:t>
            </w:r>
            <w:r>
              <w:rPr>
                <w:rFonts w:ascii="Calibri" w:eastAsia="Calibri" w:hAnsi="Calibri" w:cs="Calibri"/>
                <w:color w:val="333333"/>
                <w:sz w:val="20"/>
                <w:szCs w:val="20"/>
                <w:highlight w:val="white"/>
              </w:rPr>
              <w:t>-15 vs CPAP -20 (p=0.042);</w:t>
            </w:r>
            <w:r>
              <w:rPr>
                <w:rFonts w:ascii="Calibri" w:eastAsia="Calibri" w:hAnsi="Calibri" w:cs="Calibri"/>
                <w:i/>
                <w:color w:val="333333"/>
                <w:sz w:val="20"/>
                <w:szCs w:val="20"/>
                <w:highlight w:val="white"/>
              </w:rPr>
              <w:t xml:space="preserve"> Mean</w:t>
            </w:r>
            <w:r>
              <w:rPr>
                <w:rFonts w:ascii="Calibri" w:eastAsia="Calibri" w:hAnsi="Calibri" w:cs="Calibri"/>
                <w:i/>
                <w:sz w:val="20"/>
                <w:szCs w:val="20"/>
              </w:rPr>
              <w:t xml:space="preserve"> PaO2/FiO</w:t>
            </w:r>
            <w:r>
              <w:rPr>
                <w:rFonts w:ascii="Calibri" w:eastAsia="Calibri" w:hAnsi="Calibri" w:cs="Calibri"/>
                <w:i/>
                <w:sz w:val="20"/>
                <w:szCs w:val="20"/>
                <w:vertAlign w:val="subscript"/>
              </w:rPr>
              <w:t>2</w:t>
            </w:r>
            <w:r>
              <w:rPr>
                <w:rFonts w:ascii="Calibri" w:eastAsia="Calibri" w:hAnsi="Calibri" w:cs="Calibri"/>
                <w:i/>
                <w:color w:val="333333"/>
                <w:sz w:val="20"/>
                <w:szCs w:val="20"/>
                <w:highlight w:val="white"/>
              </w:rPr>
              <w:t xml:space="preserve"> change at 1h: </w:t>
            </w:r>
            <w:r w:rsidR="00327A09">
              <w:rPr>
                <w:rFonts w:ascii="Calibri" w:eastAsia="Calibri" w:hAnsi="Calibri" w:cs="Calibri"/>
                <w:sz w:val="20"/>
                <w:szCs w:val="20"/>
              </w:rPr>
              <w:t xml:space="preserve">HFNT </w:t>
            </w:r>
            <w:r>
              <w:rPr>
                <w:rFonts w:ascii="Calibri" w:eastAsia="Calibri" w:hAnsi="Calibri" w:cs="Calibri"/>
                <w:color w:val="333333"/>
                <w:sz w:val="20"/>
                <w:szCs w:val="20"/>
                <w:highlight w:val="white"/>
              </w:rPr>
              <w:t>120 vs CPAP 149 (p=0.003);</w:t>
            </w:r>
            <w:r>
              <w:rPr>
                <w:rFonts w:ascii="Calibri" w:eastAsia="Calibri" w:hAnsi="Calibri" w:cs="Calibri"/>
                <w:i/>
                <w:color w:val="333333"/>
                <w:sz w:val="20"/>
                <w:szCs w:val="20"/>
                <w:highlight w:val="white"/>
              </w:rPr>
              <w:t xml:space="preserve"> median </w:t>
            </w:r>
            <w:r>
              <w:rPr>
                <w:rFonts w:ascii="Calibri" w:eastAsia="Calibri" w:hAnsi="Calibri" w:cs="Calibri"/>
                <w:i/>
                <w:sz w:val="20"/>
                <w:szCs w:val="20"/>
              </w:rPr>
              <w:t xml:space="preserve">HACOR score </w:t>
            </w:r>
            <w:r>
              <w:rPr>
                <w:rFonts w:ascii="Calibri" w:eastAsia="Calibri" w:hAnsi="Calibri" w:cs="Calibri"/>
                <w:i/>
                <w:sz w:val="20"/>
                <w:szCs w:val="20"/>
              </w:rPr>
              <w:lastRenderedPageBreak/>
              <w:t>change:</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color w:val="333333"/>
                <w:sz w:val="20"/>
                <w:szCs w:val="20"/>
                <w:highlight w:val="white"/>
              </w:rPr>
              <w:t>4[-2; 9] vs CPAP 6[0; -12] (p&lt;0.001);</w:t>
            </w:r>
            <w:r>
              <w:rPr>
                <w:rFonts w:ascii="Calibri" w:eastAsia="Calibri" w:hAnsi="Calibri" w:cs="Calibri"/>
                <w:i/>
                <w:color w:val="333333"/>
                <w:sz w:val="20"/>
                <w:szCs w:val="20"/>
                <w:highlight w:val="white"/>
              </w:rPr>
              <w:t xml:space="preserve"> median </w:t>
            </w:r>
            <w:proofErr w:type="spellStart"/>
            <w:r>
              <w:rPr>
                <w:rFonts w:ascii="Calibri" w:eastAsia="Calibri" w:hAnsi="Calibri" w:cs="Calibri"/>
                <w:i/>
                <w:color w:val="333333"/>
                <w:sz w:val="20"/>
                <w:szCs w:val="20"/>
                <w:highlight w:val="white"/>
              </w:rPr>
              <w:t>dyspnea</w:t>
            </w:r>
            <w:proofErr w:type="spellEnd"/>
            <w:r>
              <w:rPr>
                <w:rFonts w:ascii="Calibri" w:eastAsia="Calibri" w:hAnsi="Calibri" w:cs="Calibri"/>
                <w:i/>
                <w:color w:val="333333"/>
                <w:sz w:val="20"/>
                <w:szCs w:val="20"/>
                <w:highlight w:val="white"/>
              </w:rPr>
              <w:t xml:space="preserve"> scale</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color w:val="333333"/>
                <w:sz w:val="20"/>
                <w:szCs w:val="20"/>
                <w:highlight w:val="white"/>
              </w:rPr>
              <w:t>-3.5[-1; -6] vs CPAP -4 [-1;-7] (p 0.003).</w:t>
            </w:r>
          </w:p>
        </w:tc>
      </w:tr>
      <w:tr w:rsidR="00602D6F" w14:paraId="4E3E9A24" w14:textId="77777777" w:rsidTr="004606EC">
        <w:tc>
          <w:tcPr>
            <w:tcW w:w="1911" w:type="dxa"/>
          </w:tcPr>
          <w:p w14:paraId="0C20A485" w14:textId="68DA9F78" w:rsidR="00602D6F" w:rsidRDefault="00602D6F" w:rsidP="004606EC">
            <w:pPr>
              <w:rPr>
                <w:rFonts w:ascii="Calibri" w:eastAsia="Calibri" w:hAnsi="Calibri" w:cs="Calibri"/>
                <w:sz w:val="20"/>
                <w:szCs w:val="20"/>
              </w:rPr>
            </w:pPr>
            <w:r>
              <w:rPr>
                <w:rFonts w:ascii="Calibri" w:eastAsia="Calibri" w:hAnsi="Calibri" w:cs="Calibri"/>
                <w:sz w:val="20"/>
                <w:szCs w:val="20"/>
              </w:rPr>
              <w:lastRenderedPageBreak/>
              <w:t>Marjanovic</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{"citationID":"OMEZsCO9","properties":{"formattedCitation":"\\super 12\\nosupersub{}","plainCitation":"12","noteIndex":0},"citationItems":[{"id":2056,"uris":["http://zotero.org/users/local/MoY6DhL4/items/PMG5HBHD"],"itemData":{"id":2056,"type":"article-journal","abstract":"BACKGROUND: Whether high-flow nasal oxygen can improve clinical signs of acute respiratory failure in acute heart failure (AHF) is uncertain.\nOBJECTIVE: To compare the effect of high-flow oxygen with noninvasive ventilation (NIV) on respiratory rate in patients admitted to an emergency department (ED) for AHF-related acute respiratory failure.\nDESIGN, SETTINGS AND PARTICIPANTS: Multicenter, randomized pilot study in three French EDs. Adult patients with acute respiratory failure due to suspected AHF were included. Key exclusion criteria were urgent need for intubation, Glasgow Coma Scale &lt;13 points or hemodynamic instability.\nINTERVENTION: Patients were randomly assigned to receive high-flow oxygen (minimum 50 l/min) or noninvasive bilevel positive pressure ventilation.\nOUTCOMES MEASURE: The primary outcome was change in respiratory rate within the first hour of treatment and was analyzed with a linear mixed model. Secondary outcomes included changes in pulse oximetry, heart rate, blood pressure, blood gas samples, comfort, treatment failure and mortality.\nMAIN RESULTS: Among the 145 eligible patients in the three participating centers, 60 patients were included in the analysis [median age 86 (interquartile range (IQR), 90; 92) years]. There was a median respiratory rate of 30.5 (IQR, 28; 33) and 29.5 (IQR, 27; 35) breaths/min in the high-flow oxygen and NIV groups respectively, with a median change of -10 (IQR, -12; -8) with high-flow nasal oxygen and -7 (IQR, -11; -5) breaths/min with NIV [estimated difference -2.6 breaths/min (95% confidence interval (CI), -0.5-5.7), P  = 0.052] at 60 min. There was a median SpO 2 of 95 (IQR, 92; 97) and 96 (IQR, 93; 97) in the high-flow oxygen and NIV groups respectively, with a median change at 60 min of 2 (IQR, 0; 5) with high-flow nasal oxygen and 2 (IQR, -1; 5) % with NIV [estimated difference 0.8% (95% CI, -1.1-2.8), P  = 0.60]. PaO 2 , PaCO 2 and pH did not differ at 1 h between groups, nor did treatment failure, intubation and mortality rates.\nCONCLUSION: In this pilot study, we did not observe a statistically significant difference in changes in respiratory rate among patients with acute respiratory failure due to AHF and managed with high-flow oxygen or NIV. However, the point estimate and its large confidence interval may suggest a benefit of high-flow oxygen.\nTRIAL REGISTRATION: NCT04971213 ( https://clinicaltrials.gov ).","container-title":"European Journal of Emergency Medicine: Official Journal of the European Society for Emergency Medicine","DOI":"10.1097/MEJ.0000000000001128","ISSN":"1473-5695","issue":"4","journalAbbreviation":"Eur J Emerg Med","language":"eng","note":"PMID: 38364020","page":"267-275","source":"PubMed","title":"High-flow nasal cannula oxygen versus noninvasive ventilation for the management of acute cardiogenic pulmonary edema: a randomized controlled pilot study","title-short":"High-flow nasal cannula oxygen versus noninvasive ventilation for the management of acute cardiogenic pulmonary edema","volume":"31","author":[{"family":"Marjanovic","given":"Nicolas"},{"family":"Piton","given":"Melyne"},{"family":"Lamarre","given":"Jennifer"},{"family":"Alleyrat","given":"Camille"},{"family":"Couvreur","given":"Raphael"},{"family":"Guenezan","given":"Jérémy"},{"family":"Mimoz","given":"Olivier"},{"family":"Frat","given":"Jean-Pierre"}],"issued":{"date-parts":[["2024",8,1]]}}}],"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12</w:t>
            </w:r>
            <w:r>
              <w:rPr>
                <w:rFonts w:ascii="Calibri" w:eastAsia="Calibri" w:hAnsi="Calibri" w:cs="Calibri"/>
                <w:sz w:val="20"/>
                <w:szCs w:val="20"/>
              </w:rPr>
              <w:fldChar w:fldCharType="end"/>
            </w:r>
            <w:r>
              <w:rPr>
                <w:rFonts w:ascii="Calibri" w:eastAsia="Calibri" w:hAnsi="Calibri" w:cs="Calibri"/>
                <w:sz w:val="20"/>
                <w:szCs w:val="20"/>
              </w:rPr>
              <w:t>, 2024, 3 EDs</w:t>
            </w:r>
          </w:p>
        </w:tc>
        <w:tc>
          <w:tcPr>
            <w:tcW w:w="1819" w:type="dxa"/>
          </w:tcPr>
          <w:p w14:paraId="5B544766"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N=60, CPE</w:t>
            </w:r>
          </w:p>
        </w:tc>
        <w:tc>
          <w:tcPr>
            <w:tcW w:w="1794" w:type="dxa"/>
          </w:tcPr>
          <w:p w14:paraId="4B440007" w14:textId="128A4D16"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(N=30) vs. BiPAP (N=30)</w:t>
            </w:r>
          </w:p>
        </w:tc>
        <w:tc>
          <w:tcPr>
            <w:tcW w:w="1555" w:type="dxa"/>
          </w:tcPr>
          <w:p w14:paraId="0AC1DC92"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Unspecified</w:t>
            </w:r>
          </w:p>
        </w:tc>
        <w:tc>
          <w:tcPr>
            <w:tcW w:w="1937" w:type="dxa"/>
          </w:tcPr>
          <w:p w14:paraId="4A378037" w14:textId="5FD484FC" w:rsidR="00602D6F" w:rsidRDefault="00602D6F" w:rsidP="004606EC">
            <w:pPr>
              <w:rPr>
                <w:rFonts w:ascii="Calibri" w:eastAsia="Calibri" w:hAnsi="Calibri" w:cs="Calibri"/>
                <w:i/>
                <w:color w:val="333333"/>
                <w:sz w:val="20"/>
                <w:szCs w:val="20"/>
                <w:highlight w:val="white"/>
              </w:rPr>
            </w:pPr>
            <w:r>
              <w:rPr>
                <w:rFonts w:ascii="Calibri" w:eastAsia="Calibri" w:hAnsi="Calibri" w:cs="Calibri"/>
                <w:i/>
                <w:color w:val="333333"/>
                <w:sz w:val="20"/>
                <w:szCs w:val="20"/>
                <w:highlight w:val="white"/>
              </w:rPr>
              <w:t xml:space="preserve">Median RR change at 60 min: </w:t>
            </w:r>
            <w:r w:rsidR="00327A09">
              <w:rPr>
                <w:rFonts w:ascii="Calibri" w:eastAsia="Calibri" w:hAnsi="Calibri" w:cs="Calibri"/>
                <w:sz w:val="20"/>
                <w:szCs w:val="20"/>
              </w:rPr>
              <w:t xml:space="preserve">HFNT </w:t>
            </w:r>
            <w:r>
              <w:rPr>
                <w:rFonts w:ascii="Calibri" w:eastAsia="Calibri" w:hAnsi="Calibri" w:cs="Calibri"/>
                <w:sz w:val="20"/>
                <w:szCs w:val="20"/>
              </w:rPr>
              <w:t xml:space="preserve">−10 [−12; −8] breaths/min vs. BiPAP −7 [−11; −5] breaths/min (p=0.052); </w:t>
            </w:r>
            <w:r>
              <w:rPr>
                <w:rFonts w:ascii="Calibri" w:eastAsia="Calibri" w:hAnsi="Calibri" w:cs="Calibri"/>
                <w:i/>
                <w:color w:val="212121"/>
                <w:sz w:val="20"/>
                <w:szCs w:val="20"/>
                <w:highlight w:val="white"/>
              </w:rPr>
              <w:t>median SpO</w:t>
            </w:r>
            <w:r>
              <w:rPr>
                <w:rFonts w:ascii="Calibri" w:eastAsia="Calibri" w:hAnsi="Calibri" w:cs="Calibri"/>
                <w:i/>
                <w:color w:val="212121"/>
                <w:sz w:val="20"/>
                <w:szCs w:val="20"/>
                <w:highlight w:val="white"/>
                <w:vertAlign w:val="subscript"/>
              </w:rPr>
              <w:t xml:space="preserve">2 </w:t>
            </w:r>
            <w:r>
              <w:rPr>
                <w:rFonts w:ascii="Calibri" w:eastAsia="Calibri" w:hAnsi="Calibri" w:cs="Calibri"/>
                <w:i/>
                <w:color w:val="212121"/>
                <w:sz w:val="20"/>
                <w:szCs w:val="20"/>
                <w:highlight w:val="white"/>
              </w:rPr>
              <w:t>change at 60 min</w:t>
            </w:r>
            <w:r>
              <w:rPr>
                <w:rFonts w:ascii="Calibri" w:eastAsia="Calibri" w:hAnsi="Calibri" w:cs="Calibri"/>
                <w:color w:val="212121"/>
                <w:sz w:val="20"/>
                <w:szCs w:val="20"/>
                <w:highlight w:val="white"/>
              </w:rPr>
              <w:t xml:space="preserve">: </w:t>
            </w:r>
            <w:r w:rsidR="00327A09">
              <w:rPr>
                <w:rFonts w:ascii="Calibri" w:eastAsia="Calibri" w:hAnsi="Calibri" w:cs="Calibri"/>
                <w:sz w:val="20"/>
                <w:szCs w:val="20"/>
              </w:rPr>
              <w:t xml:space="preserve">HFNT </w:t>
            </w:r>
            <w:r>
              <w:rPr>
                <w:rFonts w:ascii="Calibri" w:eastAsia="Calibri" w:hAnsi="Calibri" w:cs="Calibri"/>
                <w:color w:val="212121"/>
                <w:sz w:val="20"/>
                <w:szCs w:val="20"/>
                <w:highlight w:val="white"/>
              </w:rPr>
              <w:t xml:space="preserve">2 [0; 5] vs. </w:t>
            </w:r>
            <w:r>
              <w:rPr>
                <w:rFonts w:ascii="Calibri" w:eastAsia="Calibri" w:hAnsi="Calibri" w:cs="Calibri"/>
                <w:sz w:val="20"/>
                <w:szCs w:val="20"/>
              </w:rPr>
              <w:t xml:space="preserve">BiPAP </w:t>
            </w:r>
            <w:r>
              <w:rPr>
                <w:rFonts w:ascii="Calibri" w:eastAsia="Calibri" w:hAnsi="Calibri" w:cs="Calibri"/>
                <w:color w:val="212121"/>
                <w:sz w:val="20"/>
                <w:szCs w:val="20"/>
                <w:highlight w:val="white"/>
              </w:rPr>
              <w:t xml:space="preserve">2 [-1; 5] (p=0.60); </w:t>
            </w:r>
            <w:proofErr w:type="spellStart"/>
            <w:r>
              <w:rPr>
                <w:rFonts w:ascii="Calibri" w:eastAsia="Calibri" w:hAnsi="Calibri" w:cs="Calibri"/>
                <w:i/>
                <w:color w:val="212121"/>
                <w:sz w:val="20"/>
                <w:szCs w:val="20"/>
                <w:highlight w:val="white"/>
              </w:rPr>
              <w:t>dyspnea</w:t>
            </w:r>
            <w:proofErr w:type="spellEnd"/>
            <w:r>
              <w:rPr>
                <w:rFonts w:ascii="Calibri" w:eastAsia="Calibri" w:hAnsi="Calibri" w:cs="Calibri"/>
                <w:i/>
                <w:color w:val="212121"/>
                <w:sz w:val="20"/>
                <w:szCs w:val="20"/>
                <w:highlight w:val="white"/>
              </w:rPr>
              <w:t xml:space="preserve"> level and patient discomfort</w:t>
            </w:r>
            <w:r>
              <w:rPr>
                <w:rFonts w:ascii="Calibri" w:eastAsia="Calibri" w:hAnsi="Calibri" w:cs="Calibri"/>
                <w:color w:val="212121"/>
                <w:sz w:val="20"/>
                <w:szCs w:val="20"/>
                <w:highlight w:val="white"/>
              </w:rPr>
              <w:t>: no difference between the 2 groups.</w:t>
            </w:r>
          </w:p>
        </w:tc>
      </w:tr>
      <w:tr w:rsidR="00602D6F" w14:paraId="4AE7C08B" w14:textId="77777777" w:rsidTr="004606EC">
        <w:tc>
          <w:tcPr>
            <w:tcW w:w="1911" w:type="dxa"/>
          </w:tcPr>
          <w:p w14:paraId="52AC40F3" w14:textId="77F6B4C6"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RENOVATE Investigators and the </w:t>
            </w:r>
            <w:proofErr w:type="spellStart"/>
            <w:r>
              <w:rPr>
                <w:rFonts w:ascii="Calibri" w:eastAsia="Calibri" w:hAnsi="Calibri" w:cs="Calibri"/>
                <w:sz w:val="20"/>
                <w:szCs w:val="20"/>
              </w:rPr>
              <w:t>BRICNet</w:t>
            </w:r>
            <w:proofErr w:type="spellEnd"/>
            <w:r>
              <w:rPr>
                <w:rFonts w:ascii="Calibri" w:eastAsia="Calibri" w:hAnsi="Calibri" w:cs="Calibri"/>
                <w:sz w:val="20"/>
                <w:szCs w:val="20"/>
              </w:rPr>
              <w:t xml:space="preserve"> Authors</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{"citationID":"RgYU7E5K","properties":{"formattedCitation":"\\super 13\\nosupersub{}","plainCitation":"13","noteIndex":0},"citationItems":[{"id":2784,"uris":["http://zotero.org/users/local/MoY6DhL4/items/MHJX5L2M"],"itemData":{"id":2784,"type":"article-journal","abstract":"Importance\n              High-flow nasal oxygen (HFNO) and noninvasive ventilation (NIV) are commonly used respiratory support therapies for patients with acute respiratory failure (ARF).\n            \n            \n              Objective\n              To assess whether HFNO is noninferior to NIV on the rates of endotracheal intubation or death at 7 days in 5 patient groups with ARF.\n            \n            \n              Design, Setting, and Participants\n              This noninferiority, randomized clinical trial enrolled hospitalized adults (aged ≥18 years; classified as 5 patient groups with ARF: nonimmunocompromised with hypoxemia, immunocompromised with hypoxemia, chronic obstructive pulmonary disease [COPD] exacerbation with respiratory acidosis, acute cardiogenic pulmonary edema [ACPE], or hypoxemic COVID-19, which was added as a separate group on June 26, 2023) at 33 hospitals in Brazil between November 2019 and November 2023 (final follow-up: April 26, 2024).\n            \n            \n              Interventions\n              High-flow nasal oxygen (n = 883) or NIV (n = 883).\n            \n            \n              Main Outcomes and Measures\n              The primary outcome was endotracheal intubation or death within 7 days assessed using a bayesian hierarchical model with dynamic borrowing across patient groups. Noninferiority was defined by a posterior probability of 0.992 or greater for an odds ratio (OR) less than 1.55.\n            \n            \n              Results\n              Among 1800 patients, 1766 completed the study (mean age, 64 [SD, 17] years; 707 [40%] were women). The primary outcome of endotracheal intubation or death at 7 days occurred in 39% (344/883) in the HFNO group vs 38% (336/883) in the NIV group. In the immunocompromised with hypoxemia patient group, the primary outcome occurred in 57.1% (16/28) in the HFNO group vs 36.4% (8/22) in the NIV group; enrollment was stopped for futility (final OR, 1.07; 95% credible interval [CrI], 0.81-1.39; noninferiority posterior probability [NPP], 0.989). In the nonimmunocompromised with hypoxemia group, the primary outcome occurred in 32.5% (81/249) in the HFNO group vs 33.1% (78/236) in the NIV group (OR, 1.02 [95% CrI, 0.81-1.26]; NPP, 0.999). In the ACPE group, the primary outcome occurred in 10.3% (14/136) in the HFNO group vs 21.3% (29/136) in the NIV group (OR, 0.97 [95% CrI, 0.73-1.23]; NPP, 0.997). In the hypoxemic COVID-19 group, the primary outcome occurred in 51.3% (223/435) in the HFNO group vs 47.0% (210/447) in the NIV group (OR, 1.13 [95% CrI, 0.94-1.38]; NPP, 0.997). In the COPD exacerbation with respiratory acidosis group, the primary outcome occurred in 28.6% (10/35) in the HFNO group vs 26.2% (11/42) in the NIV group (OR, 1.05 [95% CrI, 0.79-1.36]; NPP, 0.992). However, a post hoc analysis without dynamic borrowing across the 5 ARF patient groups revealed some qualitatively different results in patients with COPD, immunocompromised patients, and patients with ACPE. The incidence of serious adverse events was similar (9.4% of patients in HFNO group vs 9.9% in NIV group).\n            \n            \n              Conclusions and Relevance\n              Compared with NIV, HFNO met prespecified criteria for noninferiority for the primary outcome of endotracheal intubation or death within 7 days in 4 of the 5 patient groups with ARF. However, the small sample sizes in some patient groups and the sensitivity of the findings to the choice of analysis model suggests the need for further study in patients with COPD, immunocompromised patients, and patients with ACPE.\n            \n            \n              Trial Registration\n              \n                ClinicalTrials.gov Identifier:\n                NCT03643939","container-title":"JAMA","DOI":"10.1001/jama.2024.26244","ISSN":"0098-7484","journalAbbreviation":"JAMA","language":"en","source":"DOI.org (Crossref)","title":"High-Flow Nasal Oxygen vs Noninvasive Ventilation in Patients With Acute Respiratory Failure: The RENOVATE Randomized Clinical Trial","title-short":"High-Flow Nasal Oxygen vs Noninvasive Ventilation in Patients With Acute Respiratory Failure","URL":"https://jamanetwork.com/journals/jama/fullarticle/2828065","author":[{"literal":"RENOVATE Investigators and the BRICNet Authors"},{"family":"Francio","given":"Fabiano"},{"family":"Weigert","given":"Renata Monteiro"},{"family":"Mattei","given":"Edna Daldania Biolchi"},{"family":"Grion","given":"Cintia Magalhaes Carvalho"},{"family":"Festti","given":"Josiane"},{"family":"Mezzaroba","given":"Ana Luiza"},{"family":"Serpa Neto","given":"Ary"},{"family":"Timenetsky","given":"Karina T."},{"family":"Nogueira","given":"Adriana Maria Simoes Orfao"},{"family":"Brito","given":"Marcus Vinicius Camargo"},{"family":"Lima","given":"Iuri Dheloi Oliveira"},{"family":"Dona","given":"Rodrigo Alexandre"},{"family":"Mafra","given":"Marina Monica Bahl"},{"family":"Starke","given":"Ana Carolina"},{"family":"Lisboa","given":"Thiago"},{"family":"Fachini","given":"Caroline"},{"family":"Torelly","given":"André"},{"family":"Biondi","given":"Rodrigo Santos"},{"family":"Souza","given":"Andre Luiz Nascimento"},{"family":"Fernandes","given":"Anderson Luiz Mendes"},{"family":"Araujo","given":"Gustavo Neves"},{"family":"Ponte","given":"Vicente"},{"family":"Antunes","given":"Maria Helena Moraes"},{"family":"Cardoso","given":"Fabio Fernandes Cardoso"},{"family":"Poersch","given":"Alice Bertotto"},{"family":"Ramires","given":"Yuri Carlotto"},{"family":"Moura","given":"Lúcio Roberto Requiao"},{"family":"Peruzzo","given":"Maria Bethania"},{"family":"Sposito","given":"Jonas"},{"family":"Piekala","given":"Daniele Martins"},{"family":"Wawrzeniak","given":"Iuri Christmann"},{"family":"Fialkow","given":"Léa"},{"family":"Dutra","given":"Marcela"},{"family":"Mazera","given":"Maiara Suelen"},{"family":"Martins","given":"Cassia Pimenta Barufi"},{"family":"Freitas","given":"Daniela Helena Machado"},{"family":"Sanches","given":"Luciana Coelho"},{"family":"Pereira","given":"Maísa Guimarães De Castro"},{"family":"Cunha","given":"Mariana Regina"},{"family":"Maia","given":"Israel S."},{"family":"Kawano-Dourado","given":"Letícia"},{"family":"Tramujas","given":"Lucas"},{"family":"De Oliveira","given":"Neymar Elias"},{"family":"Souza","given":"Rafael Naoki"},{"family":"Signorini","given":"Dhaisi Faustino"},{"family":"Pincelli","given":"Mariangela Pimentel"},{"family":"Zandonai","given":"Cássio Luis"},{"family":"Blasius","given":"Regiane Tamires"},{"family":"Freires","given":"Fabrício"},{"family":"Ferreira","given":"Vanessa Marques"},{"family":"Romano","given":"Marcelo Luz Pereira"},{"family":"Miura","given":"Mieko Claudia"},{"family":"De Censo","given":"Caroline Maschio"},{"family":"Caser","given":"Eliana Bernadete"},{"family":"Silva","given":"Betania"},{"family":"Santos Bonomo","given":"Daniela Correia"},{"family":"Arraes","given":"Jussara Alencar"},{"family":"De Alencar Filho","given":"Meton Soares"},{"family":"Álvares Horta","given":"Jacques Gabriel"},{"family":"Oliveira","given":"Déborah Campos"},{"family":"Boschi","given":"Emerson"},{"family":"Costa","given":"Rafael Lessa"},{"family":"Westphal","given":"Glauco Adrieno"},{"family":"Ramos","given":"Juliano"},{"family":"Lacerda","given":"Fábio Holanda"},{"family":"Filho","given":"Conrado Roberto Hoffmann"},{"family":"Pinheiro","given":"Bruno Valle"},{"family":"De Andrade Neumamm","given":"Leonardo Bugarin"},{"family":"Guimarães Júnior","given":"Mário Roberto Rezende"},{"family":"De Souza","given":"Davi Tamamaru"},{"family":"Ferreira","given":"Juliana Carvalho"},{"family":"Ohe","given":"Louis Nakayama"},{"family":"Schettini","given":"Daniel Almeida"},{"family":"Thompson","given":"Marlus Muri"},{"family":"De Oliveira","given":"Maria Cristina França"},{"family":"Veiga","given":"Viviane Cordeiro"},{"family":"Negrelli","given":"Karina L."},{"family":"Santos","given":"Renato H. N."},{"family":"Damiani","given":"Lucas"},{"family":"Gurgel","given":"Rodrigo M."},{"family":"Gomes","given":"Samara P. C."},{"family":"Lima","given":"Lucas M."},{"family":"Miranda","given":"Tamiris A."},{"family":"Laranjeira","given":"Ligia N."},{"family":"De Barros E Silva","given":"Pedro Gabriel Melo"},{"family":"Machado","given":"Flávia R."},{"family":"Fitzgerald","given":"Mark"},{"family":"Bosse","given":"Anna"},{"family":"Marion","given":"Joe"},{"family":"Carvalho","given":"Carlos Roberto Ribeiro"},{"family":"Brochard","given":"Laurent"},{"family":"Lewis","given":"Roger J."},{"family":"Biasi Cavalcanti","given":"Alexandre"}],"accessed":{"date-parts":[["2025",2,13]]},"issued":{"date-parts":[["2024",12,10]]}}}],"schema":"https://github.com/citation-style-language/schema/raw/master/csl-citation.json"}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13</w:t>
            </w:r>
            <w:r>
              <w:rPr>
                <w:rFonts w:ascii="Calibri" w:eastAsia="Calibri" w:hAnsi="Calibri" w:cs="Calibri"/>
                <w:sz w:val="20"/>
                <w:szCs w:val="20"/>
              </w:rPr>
              <w:fldChar w:fldCharType="end"/>
            </w:r>
            <w:r>
              <w:rPr>
                <w:rFonts w:ascii="Calibri" w:eastAsia="Calibri" w:hAnsi="Calibri" w:cs="Calibri"/>
                <w:sz w:val="20"/>
                <w:szCs w:val="20"/>
              </w:rPr>
              <w:t xml:space="preserve">, 2024, 33 </w:t>
            </w:r>
            <w:proofErr w:type="spellStart"/>
            <w:r>
              <w:rPr>
                <w:rFonts w:ascii="Calibri" w:eastAsia="Calibri" w:hAnsi="Calibri" w:cs="Calibri"/>
                <w:sz w:val="20"/>
                <w:szCs w:val="20"/>
              </w:rPr>
              <w:t>centers</w:t>
            </w:r>
            <w:proofErr w:type="spellEnd"/>
            <w:r>
              <w:rPr>
                <w:rFonts w:ascii="Calibri" w:eastAsia="Calibri" w:hAnsi="Calibri" w:cs="Calibri"/>
                <w:sz w:val="20"/>
                <w:szCs w:val="20"/>
              </w:rPr>
              <w:t xml:space="preserve"> (EDs, medical wards or ICUs)</w:t>
            </w:r>
          </w:p>
        </w:tc>
        <w:tc>
          <w:tcPr>
            <w:tcW w:w="1819" w:type="dxa"/>
          </w:tcPr>
          <w:p w14:paraId="35449D5E"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N=272, CPE subgroup</w:t>
            </w:r>
          </w:p>
        </w:tc>
        <w:tc>
          <w:tcPr>
            <w:tcW w:w="1794" w:type="dxa"/>
          </w:tcPr>
          <w:p w14:paraId="2455F8FD" w14:textId="222191DA"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(N=136) vs. BiPAP (N=136)</w:t>
            </w:r>
          </w:p>
        </w:tc>
        <w:tc>
          <w:tcPr>
            <w:tcW w:w="1555" w:type="dxa"/>
          </w:tcPr>
          <w:p w14:paraId="113DD396"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937" w:type="dxa"/>
          </w:tcPr>
          <w:p w14:paraId="0BEAD486" w14:textId="7A8790F2" w:rsidR="00602D6F" w:rsidRDefault="00602D6F" w:rsidP="004606EC">
            <w:pPr>
              <w:rPr>
                <w:rFonts w:ascii="Calibri" w:eastAsia="Calibri" w:hAnsi="Calibri" w:cs="Calibri"/>
                <w:i/>
                <w:color w:val="333333"/>
                <w:sz w:val="20"/>
                <w:szCs w:val="20"/>
                <w:highlight w:val="white"/>
              </w:rPr>
            </w:pPr>
            <w:r>
              <w:rPr>
                <w:rFonts w:ascii="Calibri" w:eastAsia="Calibri" w:hAnsi="Calibri" w:cs="Calibri"/>
                <w:i/>
                <w:sz w:val="20"/>
                <w:szCs w:val="20"/>
              </w:rPr>
              <w:t xml:space="preserve">Death or intubation (combined) within 7 days: </w:t>
            </w:r>
            <w:r w:rsidR="00327A09">
              <w:rPr>
                <w:rFonts w:ascii="Calibri" w:eastAsia="Calibri" w:hAnsi="Calibri" w:cs="Calibri"/>
                <w:sz w:val="20"/>
                <w:szCs w:val="20"/>
              </w:rPr>
              <w:t xml:space="preserve">HFNT </w:t>
            </w:r>
            <w:r>
              <w:rPr>
                <w:rFonts w:ascii="Calibri" w:eastAsia="Calibri" w:hAnsi="Calibri" w:cs="Calibri"/>
                <w:color w:val="333333"/>
                <w:sz w:val="20"/>
                <w:szCs w:val="20"/>
                <w:highlight w:val="white"/>
              </w:rPr>
              <w:t xml:space="preserve">10.3% vs. </w:t>
            </w:r>
            <w:r>
              <w:rPr>
                <w:rFonts w:ascii="Calibri" w:eastAsia="Calibri" w:hAnsi="Calibri" w:cs="Calibri"/>
                <w:sz w:val="20"/>
                <w:szCs w:val="20"/>
              </w:rPr>
              <w:t xml:space="preserve">BiPAP </w:t>
            </w:r>
            <w:r>
              <w:rPr>
                <w:rFonts w:ascii="Calibri" w:eastAsia="Calibri" w:hAnsi="Calibri" w:cs="Calibri"/>
                <w:color w:val="333333"/>
                <w:sz w:val="20"/>
                <w:szCs w:val="20"/>
                <w:highlight w:val="white"/>
              </w:rPr>
              <w:t>21.3% (OR 0.97, 95% CI 0.73-1.2; noninferiority posterior probability 0.997).</w:t>
            </w:r>
          </w:p>
        </w:tc>
      </w:tr>
    </w:tbl>
    <w:p w14:paraId="37D26040" w14:textId="633B8C1B" w:rsidR="00602D6F" w:rsidRDefault="00602D6F" w:rsidP="00602D6F">
      <w:pPr>
        <w:jc w:val="both"/>
        <w:rPr>
          <w:rFonts w:ascii="Calibri" w:eastAsia="Calibri" w:hAnsi="Calibri" w:cs="Calibri"/>
          <w:sz w:val="20"/>
          <w:szCs w:val="20"/>
        </w:rPr>
      </w:pPr>
      <w:r>
        <w:rPr>
          <w:rFonts w:ascii="Calibri" w:eastAsia="Calibri" w:hAnsi="Calibri" w:cs="Calibri"/>
          <w:sz w:val="20"/>
          <w:szCs w:val="20"/>
        </w:rPr>
        <w:t xml:space="preserve">List of abbreviations: AMI: acute myocardial infarction; BiPAP: bilevel positive airway pressure; BP: blood pressure; CPAP: continuous positive airway pressure; COT: Conventional oxygen therapy; CPE: cardiogenic pulmonary </w:t>
      </w:r>
      <w:proofErr w:type="spellStart"/>
      <w:r>
        <w:rPr>
          <w:rFonts w:ascii="Calibri" w:eastAsia="Calibri" w:hAnsi="Calibri" w:cs="Calibri"/>
          <w:sz w:val="20"/>
          <w:szCs w:val="20"/>
        </w:rPr>
        <w:t>edema</w:t>
      </w:r>
      <w:proofErr w:type="spellEnd"/>
      <w:r>
        <w:rPr>
          <w:rFonts w:ascii="Calibri" w:eastAsia="Calibri" w:hAnsi="Calibri" w:cs="Calibri"/>
          <w:sz w:val="20"/>
          <w:szCs w:val="20"/>
        </w:rPr>
        <w:t>; ED: emergency departments; EI: endotracheal intubation; FiO</w:t>
      </w:r>
      <w:r>
        <w:rPr>
          <w:rFonts w:ascii="Calibri" w:eastAsia="Calibri" w:hAnsi="Calibri" w:cs="Calibri"/>
          <w:sz w:val="20"/>
          <w:szCs w:val="20"/>
          <w:vertAlign w:val="subscript"/>
        </w:rPr>
        <w:t>2</w:t>
      </w:r>
      <w:r>
        <w:rPr>
          <w:rFonts w:ascii="Calibri" w:eastAsia="Calibri" w:hAnsi="Calibri" w:cs="Calibri"/>
          <w:sz w:val="20"/>
          <w:szCs w:val="20"/>
        </w:rPr>
        <w:t xml:space="preserve">: inspired fraction of oxygen; </w:t>
      </w:r>
      <w:r w:rsidR="00327A09">
        <w:rPr>
          <w:rFonts w:ascii="Calibri" w:eastAsia="Calibri" w:hAnsi="Calibri" w:cs="Calibri"/>
          <w:sz w:val="20"/>
          <w:szCs w:val="20"/>
        </w:rPr>
        <w:t>HFNT</w:t>
      </w:r>
      <w:r>
        <w:rPr>
          <w:rFonts w:ascii="Calibri" w:eastAsia="Calibri" w:hAnsi="Calibri" w:cs="Calibri"/>
          <w:sz w:val="20"/>
          <w:szCs w:val="20"/>
        </w:rPr>
        <w:t xml:space="preserve">: high flow nasal </w:t>
      </w:r>
      <w:r w:rsidR="00327A09">
        <w:rPr>
          <w:rFonts w:ascii="Calibri" w:eastAsia="Calibri" w:hAnsi="Calibri" w:cs="Calibri"/>
          <w:sz w:val="20"/>
          <w:szCs w:val="20"/>
        </w:rPr>
        <w:t>therapy</w:t>
      </w:r>
      <w:r>
        <w:rPr>
          <w:rFonts w:ascii="Calibri" w:eastAsia="Calibri" w:hAnsi="Calibri" w:cs="Calibri"/>
          <w:sz w:val="20"/>
          <w:szCs w:val="20"/>
        </w:rPr>
        <w:t>; HR: heart rate; ICU: intensive care unit; PaCO</w:t>
      </w:r>
      <w:r>
        <w:rPr>
          <w:rFonts w:ascii="Calibri" w:eastAsia="Calibri" w:hAnsi="Calibri" w:cs="Calibri"/>
          <w:sz w:val="20"/>
          <w:szCs w:val="20"/>
          <w:vertAlign w:val="subscript"/>
        </w:rPr>
        <w:t>2</w:t>
      </w:r>
      <w:r>
        <w:rPr>
          <w:rFonts w:ascii="Calibri" w:eastAsia="Calibri" w:hAnsi="Calibri" w:cs="Calibri"/>
          <w:sz w:val="20"/>
          <w:szCs w:val="20"/>
        </w:rPr>
        <w:t>: partial pressure of carbon dioxide; PaO</w:t>
      </w:r>
      <w:r>
        <w:rPr>
          <w:rFonts w:ascii="Calibri" w:eastAsia="Calibri" w:hAnsi="Calibri" w:cs="Calibri"/>
          <w:sz w:val="20"/>
          <w:szCs w:val="20"/>
          <w:vertAlign w:val="subscript"/>
        </w:rPr>
        <w:t>2</w:t>
      </w:r>
      <w:r>
        <w:rPr>
          <w:rFonts w:ascii="Calibri" w:eastAsia="Calibri" w:hAnsi="Calibri" w:cs="Calibri"/>
          <w:sz w:val="20"/>
          <w:szCs w:val="20"/>
        </w:rPr>
        <w:t>: partial pressure of oxygen; RR: respiratory rate.</w:t>
      </w:r>
    </w:p>
    <w:p w14:paraId="1CC3433B" w14:textId="77777777" w:rsidR="00602D6F" w:rsidRDefault="00602D6F" w:rsidP="00602D6F">
      <w:pPr>
        <w:spacing w:line="360" w:lineRule="auto"/>
        <w:jc w:val="both"/>
        <w:rPr>
          <w:rFonts w:ascii="Calibri" w:eastAsia="Calibri" w:hAnsi="Calibri" w:cs="Calibri"/>
          <w:b/>
        </w:rPr>
      </w:pPr>
    </w:p>
    <w:p w14:paraId="09F6E8F5" w14:textId="6BF83E13" w:rsidR="00602D6F" w:rsidRPr="008A74C5" w:rsidRDefault="00602D6F" w:rsidP="00602D6F">
      <w:pPr>
        <w:spacing w:line="360" w:lineRule="auto"/>
        <w:jc w:val="both"/>
        <w:rPr>
          <w:rFonts w:ascii="Calibri" w:eastAsia="Calibri" w:hAnsi="Calibri" w:cs="Calibri"/>
        </w:rPr>
      </w:pPr>
      <w:r w:rsidRPr="008A74C5">
        <w:rPr>
          <w:rFonts w:ascii="Calibri" w:eastAsia="Calibri" w:hAnsi="Calibri" w:cs="Calibri"/>
          <w:b/>
        </w:rPr>
        <w:t>Table 2</w:t>
      </w:r>
      <w:r w:rsidR="002A2E91">
        <w:rPr>
          <w:rFonts w:ascii="Calibri" w:eastAsia="Calibri" w:hAnsi="Calibri" w:cs="Calibri"/>
          <w:b/>
        </w:rPr>
        <w:t>S</w:t>
      </w:r>
      <w:r w:rsidRPr="008A74C5">
        <w:rPr>
          <w:rFonts w:ascii="Calibri" w:eastAsia="Calibri" w:hAnsi="Calibri" w:cs="Calibri"/>
          <w:b/>
        </w:rPr>
        <w:t>.</w:t>
      </w:r>
      <w:r w:rsidRPr="008A74C5">
        <w:rPr>
          <w:rFonts w:ascii="Calibri" w:eastAsia="Calibri" w:hAnsi="Calibri" w:cs="Calibri"/>
        </w:rPr>
        <w:t xml:space="preserve"> Main RCTs comparing different NRS techniques and interfaces in AHRF (chronological order of publication)</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2021"/>
        <w:gridCol w:w="1738"/>
        <w:gridCol w:w="1515"/>
        <w:gridCol w:w="1894"/>
      </w:tblGrid>
      <w:tr w:rsidR="00602D6F" w14:paraId="7827F684" w14:textId="77777777" w:rsidTr="004606EC">
        <w:tc>
          <w:tcPr>
            <w:tcW w:w="1848" w:type="dxa"/>
          </w:tcPr>
          <w:p w14:paraId="6053AD28"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 xml:space="preserve">Author, year, N </w:t>
            </w:r>
            <w:proofErr w:type="spellStart"/>
            <w:r w:rsidRPr="008A74C5">
              <w:rPr>
                <w:rFonts w:ascii="Calibri" w:eastAsia="Calibri" w:hAnsi="Calibri" w:cs="Calibri"/>
                <w:b/>
                <w:bCs/>
                <w:sz w:val="20"/>
                <w:szCs w:val="20"/>
              </w:rPr>
              <w:t>centers</w:t>
            </w:r>
            <w:proofErr w:type="spellEnd"/>
          </w:p>
        </w:tc>
        <w:tc>
          <w:tcPr>
            <w:tcW w:w="2021" w:type="dxa"/>
          </w:tcPr>
          <w:p w14:paraId="0526D38B"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N Patients</w:t>
            </w:r>
          </w:p>
        </w:tc>
        <w:tc>
          <w:tcPr>
            <w:tcW w:w="1738" w:type="dxa"/>
          </w:tcPr>
          <w:p w14:paraId="3D8E2036"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NRS techniques</w:t>
            </w:r>
          </w:p>
        </w:tc>
        <w:tc>
          <w:tcPr>
            <w:tcW w:w="1515" w:type="dxa"/>
          </w:tcPr>
          <w:p w14:paraId="1076919C"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Interface</w:t>
            </w:r>
          </w:p>
        </w:tc>
        <w:tc>
          <w:tcPr>
            <w:tcW w:w="1894" w:type="dxa"/>
          </w:tcPr>
          <w:p w14:paraId="2FBCC6EB"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Outcomes</w:t>
            </w:r>
          </w:p>
        </w:tc>
      </w:tr>
      <w:tr w:rsidR="00602D6F" w14:paraId="4ADF6BC1" w14:textId="77777777" w:rsidTr="004606EC">
        <w:tc>
          <w:tcPr>
            <w:tcW w:w="1848" w:type="dxa"/>
          </w:tcPr>
          <w:p w14:paraId="30291B4B" w14:textId="0AF6412E" w:rsidR="00602D6F" w:rsidRDefault="00602D6F" w:rsidP="004606EC">
            <w:pPr>
              <w:rPr>
                <w:rFonts w:ascii="Calibri" w:eastAsia="Calibri" w:hAnsi="Calibri" w:cs="Calibri"/>
                <w:sz w:val="20"/>
                <w:szCs w:val="20"/>
              </w:rPr>
            </w:pPr>
            <w:r>
              <w:rPr>
                <w:rFonts w:ascii="Calibri" w:eastAsia="Calibri" w:hAnsi="Calibri" w:cs="Calibri"/>
                <w:sz w:val="20"/>
                <w:szCs w:val="20"/>
              </w:rPr>
              <w:t>Frat</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{"citationID":"aJVpEEdZ","properties":{"formattedCitation":"\\super 14\\nosupersub{}","plainCitation":"14","noteIndex":0},"citationItems":[{"id":2094,"uris":["http://zotero.org/users/local/MoY6DhL4/items/YDM6KMF7"],"itemData":{"id":2094,"type":"article-journal","abstract":"BACKGROUND: Whether noninvasive ventilation should be administered in patients with acute hypoxemic respiratory failure is debated. Therapy with high-flow oxygen through a nasal cannula may offer an alternative in patients with hypoxemia.\nMETHODS: We performed a multicenter, open-label trial in which we randomly assigned patients without hypercapnia who had acute hypoxemic respiratory failure and a ratio of the partial pressure of arterial oxygen to the fraction of inspired oxygen of 300 mm Hg or less to high-flow oxygen therapy, standard oxygen therapy delivered through a face mask, or noninvasive positive-pressure ventilation. The primary outcome was the proportion of patients intubated at day 28; secondary outcomes included all-cause mortality in the intensive care unit and at 90 days and the number of ventilator-free days at day 28.\nRESULTS: A total of 310 patients were included in the analyses. The intubation rate (primary outcome) was 38% (40 of 106 patients) in the high-flow-oxygen group, 47% (44 of 94) in the standard group, and 50% (55 of 110) in the noninvasive-ventilation group (P=0.18 for all comparisons). The number of ventilator-free days at day 28 was significantly higher in the high-flow-oxygen group (24±8 days, vs. 22±10 in the standard-oxygen group and 19±12 in the noninvasive-ventilation group; P=0.02 for all comparisons). The hazard ratio for death at 90 days was 2.01 (95% confidence interval [CI], 1.01 to 3.99) with standard oxygen versus high-flow oxygen (P=0.046) and 2.50 (95% CI, 1.31 to 4.78) with noninvasive ventilation versus high-flow oxygen (P=0.006).\nCONCLUSIONS: In patients with nonhypercapnic acute hypoxemic respiratory failure, treatment with high-flow oxygen, standard oxygen, or noninvasive ventilation did not result in significantly different intubation rates. There was a significant difference in favor of high-flow oxygen in 90-day mortality. (Funded by the Programme Hospitalier de Recherche Clinique Interrégional 2010 of the French Ministry of Health; FLORALI ClinicalTrials.gov number, NCT01320384.).","container-title":"The New England Journal of Medicine","DOI":"10.1056/NEJMoa1503326","ISSN":"1533-4406","issue":"23","journalAbbreviation":"N Engl J Med","language":"eng","note":"PMID: 25981908","page":"2185-2196","source":"PubMed","title":"High-flow oxygen through nasal cannula in acute hypoxemic respiratory failure","volume":"372","author":[{"family":"Frat","given":"Jean-Pierre"},{"family":"Thille","given":"Arnaud W."},{"family":"Mercat","given":"Alain"},{"family":"Girault","given":"Christophe"},{"family":"Ragot","given":"Stéphanie"},{"family":"Perbet","given":"Sébastien"},{"family":"Prat","given":"Gwénael"},{"family":"Boulain","given":"Thierry"},{"family":"Morawiec","given":"Elise"},{"family":"Cottereau","given":"Alice"},{"family":"Devaquet","given":"Jérôme"},{"family":"Nseir","given":"Saad"},{"family":"Razazi","given":"Keyvan"},{"family":"Mira","given":"Jean-Paul"},{"family":"Argaud","given":"Laurent"},{"family":"Chakarian","given":"Jean-Charles"},{"family":"Ricard","given":"Jean-Damien"},{"family":"Wittebole","given":"Xavier"},{"family":"Chevalier","given":"Stéphanie"},{"family":"Herbland","given":"Alexandre"},{"family":"Fartoukh","given":"Muriel"},{"family":"Constantin","given":"Jean-Michel"},{"family":"Tonnelier","given":"Jean-Marie"},{"family":"Pierrot","given":"Marc"},{"family":"Mathonnet","given":"Armelle"},{"family":"Béduneau","given":"Gaëtan"},{"family":"Delétage-Métreau","given":"Céline"},{"family":"Richard","given":"Jean-Christophe M."},{"family":"Brochard","given":"Laurent"},{"family":"Robert","given":"René"},{"literal":"FLORALI Study Group"},{"literal":"REVA Network"}],"issued":{"date-parts":[["2015",6,4]]}}}],"schema":"https://github.com/citation-style-language/schema/raw/master/csl-citation.json"}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14</w:t>
            </w:r>
            <w:r>
              <w:rPr>
                <w:rFonts w:ascii="Calibri" w:eastAsia="Calibri" w:hAnsi="Calibri" w:cs="Calibri"/>
                <w:sz w:val="20"/>
                <w:szCs w:val="20"/>
              </w:rPr>
              <w:fldChar w:fldCharType="end"/>
            </w:r>
            <w:r>
              <w:rPr>
                <w:rFonts w:ascii="Calibri" w:eastAsia="Calibri" w:hAnsi="Calibri" w:cs="Calibri"/>
                <w:sz w:val="20"/>
                <w:szCs w:val="20"/>
              </w:rPr>
              <w:t>, 2015, 23 ICUs</w:t>
            </w:r>
          </w:p>
        </w:tc>
        <w:tc>
          <w:tcPr>
            <w:tcW w:w="2021" w:type="dxa"/>
          </w:tcPr>
          <w:p w14:paraId="3408D0F5"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N=310, AHRF PaO</w:t>
            </w:r>
            <w:r>
              <w:rPr>
                <w:rFonts w:ascii="Calibri" w:eastAsia="Calibri" w:hAnsi="Calibri" w:cs="Calibri"/>
                <w:sz w:val="20"/>
                <w:szCs w:val="20"/>
                <w:vertAlign w:val="subscript"/>
              </w:rPr>
              <w:t>2</w:t>
            </w:r>
            <w:r>
              <w:rPr>
                <w:rFonts w:ascii="Calibri" w:eastAsia="Calibri" w:hAnsi="Calibri" w:cs="Calibri"/>
                <w:sz w:val="20"/>
                <w:szCs w:val="20"/>
              </w:rPr>
              <w:t>/FiO</w:t>
            </w:r>
            <w:r>
              <w:rPr>
                <w:rFonts w:ascii="Calibri" w:eastAsia="Calibri" w:hAnsi="Calibri" w:cs="Calibri"/>
                <w:sz w:val="20"/>
                <w:szCs w:val="20"/>
                <w:vertAlign w:val="subscript"/>
              </w:rPr>
              <w:t>2</w:t>
            </w:r>
            <w:r>
              <w:rPr>
                <w:rFonts w:ascii="Calibri" w:eastAsia="Calibri" w:hAnsi="Calibri" w:cs="Calibri"/>
                <w:sz w:val="20"/>
                <w:szCs w:val="20"/>
              </w:rPr>
              <w:t xml:space="preserve"> </w:t>
            </w:r>
            <w:r>
              <w:rPr>
                <w:rFonts w:ascii="Calibri" w:eastAsia="Calibri" w:hAnsi="Calibri" w:cs="Calibri"/>
                <w:color w:val="040C28"/>
                <w:sz w:val="20"/>
                <w:szCs w:val="20"/>
              </w:rPr>
              <w:t>≤</w:t>
            </w:r>
            <w:r>
              <w:rPr>
                <w:rFonts w:ascii="Calibri" w:eastAsia="Calibri" w:hAnsi="Calibri" w:cs="Calibri"/>
                <w:sz w:val="20"/>
                <w:szCs w:val="20"/>
              </w:rPr>
              <w:t>300 and PaCO</w:t>
            </w:r>
            <w:r>
              <w:rPr>
                <w:rFonts w:ascii="Calibri" w:eastAsia="Calibri" w:hAnsi="Calibri" w:cs="Calibri"/>
                <w:sz w:val="20"/>
                <w:szCs w:val="20"/>
                <w:vertAlign w:val="subscript"/>
              </w:rPr>
              <w:t>2</w:t>
            </w:r>
            <w:r>
              <w:rPr>
                <w:rFonts w:ascii="Calibri" w:eastAsia="Calibri" w:hAnsi="Calibri" w:cs="Calibri"/>
                <w:sz w:val="20"/>
                <w:szCs w:val="20"/>
              </w:rPr>
              <w:t xml:space="preserve"> </w:t>
            </w:r>
            <w:r>
              <w:rPr>
                <w:rFonts w:ascii="Calibri" w:eastAsia="Calibri" w:hAnsi="Calibri" w:cs="Calibri"/>
                <w:color w:val="040C28"/>
                <w:sz w:val="20"/>
                <w:szCs w:val="20"/>
              </w:rPr>
              <w:t>≤ 45</w:t>
            </w:r>
            <w:r>
              <w:rPr>
                <w:rFonts w:ascii="Calibri" w:eastAsia="Calibri" w:hAnsi="Calibri" w:cs="Calibri"/>
                <w:sz w:val="20"/>
                <w:szCs w:val="20"/>
              </w:rPr>
              <w:t xml:space="preserve"> </w:t>
            </w:r>
          </w:p>
        </w:tc>
        <w:tc>
          <w:tcPr>
            <w:tcW w:w="1738" w:type="dxa"/>
          </w:tcPr>
          <w:p w14:paraId="51451022" w14:textId="49496D9C"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COT (N=94) vs. </w:t>
            </w:r>
            <w:r w:rsidR="00327A09">
              <w:rPr>
                <w:rFonts w:ascii="Calibri" w:eastAsia="Calibri" w:hAnsi="Calibri" w:cs="Calibri"/>
                <w:sz w:val="20"/>
                <w:szCs w:val="20"/>
              </w:rPr>
              <w:t xml:space="preserve">HFNT </w:t>
            </w:r>
            <w:r>
              <w:rPr>
                <w:rFonts w:ascii="Calibri" w:eastAsia="Calibri" w:hAnsi="Calibri" w:cs="Calibri"/>
                <w:sz w:val="20"/>
                <w:szCs w:val="20"/>
              </w:rPr>
              <w:t>(N=106) vs. BiPAP (N=110)</w:t>
            </w:r>
          </w:p>
        </w:tc>
        <w:tc>
          <w:tcPr>
            <w:tcW w:w="1515" w:type="dxa"/>
          </w:tcPr>
          <w:p w14:paraId="6188CCFB"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Facemask</w:t>
            </w:r>
          </w:p>
        </w:tc>
        <w:tc>
          <w:tcPr>
            <w:tcW w:w="1894" w:type="dxa"/>
          </w:tcPr>
          <w:p w14:paraId="582C90D9" w14:textId="571A919F" w:rsidR="00602D6F" w:rsidRDefault="00602D6F" w:rsidP="004606EC">
            <w:pPr>
              <w:rPr>
                <w:rFonts w:ascii="Calibri" w:eastAsia="Calibri" w:hAnsi="Calibri" w:cs="Calibri"/>
                <w:color w:val="212121"/>
                <w:sz w:val="20"/>
                <w:szCs w:val="20"/>
                <w:highlight w:val="white"/>
              </w:rPr>
            </w:pPr>
            <w:r>
              <w:rPr>
                <w:rFonts w:ascii="Calibri" w:eastAsia="Calibri" w:hAnsi="Calibri" w:cs="Calibri"/>
                <w:i/>
                <w:sz w:val="20"/>
                <w:szCs w:val="20"/>
              </w:rPr>
              <w:t>EI rate at 28 days:</w:t>
            </w:r>
            <w:r>
              <w:rPr>
                <w:rFonts w:ascii="Calibri" w:eastAsia="Calibri" w:hAnsi="Calibri" w:cs="Calibri"/>
                <w:sz w:val="20"/>
                <w:szCs w:val="20"/>
              </w:rPr>
              <w:t xml:space="preserve"> COT 47% vs. </w:t>
            </w:r>
            <w:r w:rsidR="00327A09">
              <w:rPr>
                <w:rFonts w:ascii="Calibri" w:eastAsia="Calibri" w:hAnsi="Calibri" w:cs="Calibri"/>
                <w:sz w:val="20"/>
                <w:szCs w:val="20"/>
              </w:rPr>
              <w:t xml:space="preserve">HFNT </w:t>
            </w:r>
            <w:r>
              <w:rPr>
                <w:rFonts w:ascii="Calibri" w:eastAsia="Calibri" w:hAnsi="Calibri" w:cs="Calibri"/>
                <w:sz w:val="20"/>
                <w:szCs w:val="20"/>
              </w:rPr>
              <w:t xml:space="preserve">38% vs. BiPAP 50% </w:t>
            </w:r>
            <w:r>
              <w:rPr>
                <w:rFonts w:ascii="Calibri" w:eastAsia="Calibri" w:hAnsi="Calibri" w:cs="Calibri"/>
                <w:color w:val="212121"/>
                <w:sz w:val="20"/>
                <w:szCs w:val="20"/>
                <w:highlight w:val="white"/>
              </w:rPr>
              <w:t xml:space="preserve">(p=0.18 for all the comparisons; OR 1.65, CI 95% 0.96-2.84 for </w:t>
            </w:r>
            <w:r>
              <w:rPr>
                <w:rFonts w:ascii="Calibri" w:eastAsia="Calibri" w:hAnsi="Calibri" w:cs="Calibri"/>
                <w:sz w:val="20"/>
                <w:szCs w:val="20"/>
              </w:rPr>
              <w:t xml:space="preserve">BiPAP vs. </w:t>
            </w:r>
            <w:r w:rsidR="00327A09">
              <w:rPr>
                <w:rFonts w:ascii="Calibri" w:eastAsia="Calibri" w:hAnsi="Calibri" w:cs="Calibri"/>
                <w:sz w:val="20"/>
                <w:szCs w:val="20"/>
              </w:rPr>
              <w:t>HFNT</w:t>
            </w:r>
            <w:r>
              <w:rPr>
                <w:rFonts w:ascii="Calibri" w:eastAsia="Calibri" w:hAnsi="Calibri" w:cs="Calibri"/>
                <w:color w:val="212121"/>
                <w:sz w:val="20"/>
                <w:szCs w:val="20"/>
                <w:highlight w:val="white"/>
              </w:rPr>
              <w:t xml:space="preserve">); </w:t>
            </w:r>
          </w:p>
          <w:p w14:paraId="40BDC29A" w14:textId="7DF50316" w:rsidR="00602D6F" w:rsidRDefault="00602D6F" w:rsidP="004606EC">
            <w:pPr>
              <w:rPr>
                <w:rFonts w:ascii="Calibri" w:eastAsia="Calibri" w:hAnsi="Calibri" w:cs="Calibri"/>
                <w:i/>
                <w:sz w:val="20"/>
                <w:szCs w:val="20"/>
              </w:rPr>
            </w:pPr>
            <w:r>
              <w:rPr>
                <w:rFonts w:ascii="Calibri" w:eastAsia="Calibri" w:hAnsi="Calibri" w:cs="Calibri"/>
                <w:i/>
                <w:sz w:val="20"/>
                <w:szCs w:val="20"/>
              </w:rPr>
              <w:t>EI rate at 28 days (</w:t>
            </w:r>
            <w:r>
              <w:rPr>
                <w:rFonts w:ascii="Calibri" w:eastAsia="Calibri" w:hAnsi="Calibri" w:cs="Calibri"/>
                <w:sz w:val="20"/>
                <w:szCs w:val="20"/>
              </w:rPr>
              <w:t>PaO</w:t>
            </w:r>
            <w:r>
              <w:rPr>
                <w:rFonts w:ascii="Calibri" w:eastAsia="Calibri" w:hAnsi="Calibri" w:cs="Calibri"/>
                <w:sz w:val="20"/>
                <w:szCs w:val="20"/>
                <w:vertAlign w:val="subscript"/>
              </w:rPr>
              <w:t>2</w:t>
            </w:r>
            <w:r>
              <w:rPr>
                <w:rFonts w:ascii="Calibri" w:eastAsia="Calibri" w:hAnsi="Calibri" w:cs="Calibri"/>
                <w:sz w:val="20"/>
                <w:szCs w:val="20"/>
              </w:rPr>
              <w:t>/FiO</w:t>
            </w:r>
            <w:r>
              <w:rPr>
                <w:rFonts w:ascii="Calibri" w:eastAsia="Calibri" w:hAnsi="Calibri" w:cs="Calibri"/>
                <w:sz w:val="20"/>
                <w:szCs w:val="20"/>
                <w:vertAlign w:val="subscript"/>
              </w:rPr>
              <w:t>2</w:t>
            </w:r>
            <w:r>
              <w:rPr>
                <w:rFonts w:ascii="Calibri" w:eastAsia="Calibri" w:hAnsi="Calibri" w:cs="Calibri"/>
                <w:sz w:val="20"/>
                <w:szCs w:val="20"/>
              </w:rPr>
              <w:t xml:space="preserve"> </w:t>
            </w:r>
            <w:r>
              <w:rPr>
                <w:rFonts w:ascii="Calibri" w:eastAsia="Calibri" w:hAnsi="Calibri" w:cs="Calibri"/>
                <w:color w:val="040C28"/>
                <w:sz w:val="20"/>
                <w:szCs w:val="20"/>
              </w:rPr>
              <w:t>≤2</w:t>
            </w:r>
            <w:r>
              <w:rPr>
                <w:rFonts w:ascii="Calibri" w:eastAsia="Calibri" w:hAnsi="Calibri" w:cs="Calibri"/>
                <w:sz w:val="20"/>
                <w:szCs w:val="20"/>
              </w:rPr>
              <w:t>00)</w:t>
            </w:r>
            <w:r>
              <w:rPr>
                <w:rFonts w:ascii="Calibri" w:eastAsia="Calibri" w:hAnsi="Calibri" w:cs="Calibri"/>
                <w:i/>
                <w:sz w:val="20"/>
                <w:szCs w:val="20"/>
              </w:rPr>
              <w:t>:</w:t>
            </w:r>
            <w:r>
              <w:rPr>
                <w:rFonts w:ascii="Calibri" w:eastAsia="Calibri" w:hAnsi="Calibri" w:cs="Calibri"/>
                <w:sz w:val="20"/>
                <w:szCs w:val="20"/>
              </w:rPr>
              <w:t xml:space="preserve"> COT 53 % vs. </w:t>
            </w:r>
            <w:r w:rsidR="00327A09">
              <w:rPr>
                <w:rFonts w:ascii="Calibri" w:eastAsia="Calibri" w:hAnsi="Calibri" w:cs="Calibri"/>
                <w:sz w:val="20"/>
                <w:szCs w:val="20"/>
              </w:rPr>
              <w:t xml:space="preserve">HFNT </w:t>
            </w:r>
            <w:r>
              <w:rPr>
                <w:rFonts w:ascii="Calibri" w:eastAsia="Calibri" w:hAnsi="Calibri" w:cs="Calibri"/>
                <w:sz w:val="20"/>
                <w:szCs w:val="20"/>
              </w:rPr>
              <w:t xml:space="preserve">35% vs. BiPAP 58% </w:t>
            </w:r>
            <w:r>
              <w:rPr>
                <w:rFonts w:ascii="Calibri" w:eastAsia="Calibri" w:hAnsi="Calibri" w:cs="Calibri"/>
                <w:color w:val="212121"/>
                <w:sz w:val="20"/>
                <w:szCs w:val="20"/>
                <w:highlight w:val="white"/>
              </w:rPr>
              <w:t>(p=0.009 for all the comparisons; OR 2.57, CI 95% 1.37-</w:t>
            </w:r>
            <w:r>
              <w:rPr>
                <w:rFonts w:ascii="Calibri" w:eastAsia="Calibri" w:hAnsi="Calibri" w:cs="Calibri"/>
                <w:color w:val="212121"/>
                <w:sz w:val="20"/>
                <w:szCs w:val="20"/>
                <w:highlight w:val="white"/>
              </w:rPr>
              <w:lastRenderedPageBreak/>
              <w:t xml:space="preserve">4.84 for </w:t>
            </w:r>
            <w:r>
              <w:rPr>
                <w:rFonts w:ascii="Calibri" w:eastAsia="Calibri" w:hAnsi="Calibri" w:cs="Calibri"/>
                <w:sz w:val="20"/>
                <w:szCs w:val="20"/>
              </w:rPr>
              <w:t>BiPAP vs. HFNO</w:t>
            </w:r>
            <w:r>
              <w:rPr>
                <w:rFonts w:ascii="Calibri" w:eastAsia="Calibri" w:hAnsi="Calibri" w:cs="Calibri"/>
                <w:color w:val="212121"/>
                <w:sz w:val="20"/>
                <w:szCs w:val="20"/>
                <w:highlight w:val="white"/>
              </w:rPr>
              <w:t xml:space="preserve">); </w:t>
            </w:r>
            <w:r>
              <w:rPr>
                <w:rFonts w:ascii="Calibri" w:eastAsia="Calibri" w:hAnsi="Calibri" w:cs="Calibri"/>
                <w:i/>
                <w:color w:val="212121"/>
                <w:sz w:val="20"/>
                <w:szCs w:val="20"/>
                <w:highlight w:val="white"/>
              </w:rPr>
              <w:t>ICU mortality:</w:t>
            </w:r>
            <w:r>
              <w:rPr>
                <w:rFonts w:ascii="Calibri" w:eastAsia="Calibri" w:hAnsi="Calibri" w:cs="Calibri"/>
                <w:color w:val="212121"/>
                <w:sz w:val="20"/>
                <w:szCs w:val="20"/>
                <w:highlight w:val="white"/>
              </w:rPr>
              <w:t xml:space="preserve"> </w:t>
            </w:r>
            <w:r>
              <w:rPr>
                <w:rFonts w:ascii="Calibri" w:eastAsia="Calibri" w:hAnsi="Calibri" w:cs="Calibri"/>
                <w:sz w:val="20"/>
                <w:szCs w:val="20"/>
              </w:rPr>
              <w:t xml:space="preserve">COT 19% vs. </w:t>
            </w:r>
            <w:r w:rsidR="00327A09">
              <w:rPr>
                <w:rFonts w:ascii="Calibri" w:eastAsia="Calibri" w:hAnsi="Calibri" w:cs="Calibri"/>
                <w:sz w:val="20"/>
                <w:szCs w:val="20"/>
              </w:rPr>
              <w:t xml:space="preserve">HFNT </w:t>
            </w:r>
            <w:r>
              <w:rPr>
                <w:rFonts w:ascii="Calibri" w:eastAsia="Calibri" w:hAnsi="Calibri" w:cs="Calibri"/>
                <w:sz w:val="20"/>
                <w:szCs w:val="20"/>
              </w:rPr>
              <w:t xml:space="preserve">11% vs. BiPAP 25% </w:t>
            </w:r>
            <w:r>
              <w:rPr>
                <w:rFonts w:ascii="Calibri" w:eastAsia="Calibri" w:hAnsi="Calibri" w:cs="Calibri"/>
                <w:color w:val="212121"/>
                <w:sz w:val="20"/>
                <w:szCs w:val="20"/>
                <w:highlight w:val="white"/>
              </w:rPr>
              <w:t xml:space="preserve">(p=0.047 for all the comparisons; OR 2.55, CI 95% 1.21-5.35 for </w:t>
            </w:r>
            <w:r>
              <w:rPr>
                <w:rFonts w:ascii="Calibri" w:eastAsia="Calibri" w:hAnsi="Calibri" w:cs="Calibri"/>
                <w:sz w:val="20"/>
                <w:szCs w:val="20"/>
              </w:rPr>
              <w:t xml:space="preserve">BiPAP vs. </w:t>
            </w:r>
            <w:r w:rsidR="00327A09">
              <w:rPr>
                <w:rFonts w:ascii="Calibri" w:eastAsia="Calibri" w:hAnsi="Calibri" w:cs="Calibri"/>
                <w:sz w:val="20"/>
                <w:szCs w:val="20"/>
              </w:rPr>
              <w:t>HFNT</w:t>
            </w:r>
            <w:r>
              <w:rPr>
                <w:rFonts w:ascii="Calibri" w:eastAsia="Calibri" w:hAnsi="Calibri" w:cs="Calibri"/>
                <w:color w:val="212121"/>
                <w:sz w:val="20"/>
                <w:szCs w:val="20"/>
                <w:highlight w:val="white"/>
              </w:rPr>
              <w:t xml:space="preserve">); 90 days mortality: </w:t>
            </w:r>
            <w:r>
              <w:rPr>
                <w:rFonts w:ascii="Calibri" w:eastAsia="Calibri" w:hAnsi="Calibri" w:cs="Calibri"/>
                <w:sz w:val="20"/>
                <w:szCs w:val="20"/>
              </w:rPr>
              <w:t xml:space="preserve">COT 23% vs. </w:t>
            </w:r>
            <w:r w:rsidR="00327A09">
              <w:rPr>
                <w:rFonts w:ascii="Calibri" w:eastAsia="Calibri" w:hAnsi="Calibri" w:cs="Calibri"/>
                <w:sz w:val="20"/>
                <w:szCs w:val="20"/>
              </w:rPr>
              <w:t xml:space="preserve">HFNT </w:t>
            </w:r>
            <w:r>
              <w:rPr>
                <w:rFonts w:ascii="Calibri" w:eastAsia="Calibri" w:hAnsi="Calibri" w:cs="Calibri"/>
                <w:sz w:val="20"/>
                <w:szCs w:val="20"/>
              </w:rPr>
              <w:t xml:space="preserve">12% vs. BiPAP 28% </w:t>
            </w:r>
            <w:r>
              <w:rPr>
                <w:rFonts w:ascii="Calibri" w:eastAsia="Calibri" w:hAnsi="Calibri" w:cs="Calibri"/>
                <w:color w:val="212121"/>
                <w:sz w:val="20"/>
                <w:szCs w:val="20"/>
                <w:highlight w:val="white"/>
              </w:rPr>
              <w:t xml:space="preserve">(p=0.02 for all the comparisons; OR 2.50, CI 95% 1.31-4.78 for </w:t>
            </w:r>
            <w:r>
              <w:rPr>
                <w:rFonts w:ascii="Calibri" w:eastAsia="Calibri" w:hAnsi="Calibri" w:cs="Calibri"/>
                <w:sz w:val="20"/>
                <w:szCs w:val="20"/>
              </w:rPr>
              <w:t xml:space="preserve">BiPAP vs. </w:t>
            </w:r>
            <w:r w:rsidR="00327A09">
              <w:rPr>
                <w:rFonts w:ascii="Calibri" w:eastAsia="Calibri" w:hAnsi="Calibri" w:cs="Calibri"/>
                <w:sz w:val="20"/>
                <w:szCs w:val="20"/>
              </w:rPr>
              <w:t>HFNT</w:t>
            </w:r>
            <w:r>
              <w:rPr>
                <w:rFonts w:ascii="Calibri" w:eastAsia="Calibri" w:hAnsi="Calibri" w:cs="Calibri"/>
                <w:color w:val="212121"/>
                <w:sz w:val="20"/>
                <w:szCs w:val="20"/>
                <w:highlight w:val="white"/>
              </w:rPr>
              <w:t>).</w:t>
            </w:r>
          </w:p>
        </w:tc>
      </w:tr>
      <w:tr w:rsidR="00602D6F" w14:paraId="12B04310" w14:textId="77777777" w:rsidTr="004606EC">
        <w:tc>
          <w:tcPr>
            <w:tcW w:w="1848" w:type="dxa"/>
          </w:tcPr>
          <w:p w14:paraId="7835B4D6" w14:textId="3B3D7BB8" w:rsidR="00602D6F" w:rsidRDefault="00602D6F" w:rsidP="004606EC">
            <w:pPr>
              <w:widowControl w:val="0"/>
              <w:rPr>
                <w:rFonts w:ascii="Calibri" w:eastAsia="Calibri" w:hAnsi="Calibri" w:cs="Calibri"/>
                <w:sz w:val="20"/>
                <w:szCs w:val="20"/>
              </w:rPr>
            </w:pPr>
            <w:r>
              <w:rPr>
                <w:rFonts w:ascii="Calibri" w:eastAsia="Calibri" w:hAnsi="Calibri" w:cs="Calibri"/>
                <w:sz w:val="20"/>
                <w:szCs w:val="20"/>
              </w:rPr>
              <w:lastRenderedPageBreak/>
              <w:t>Patel</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{"citationID":"uahC4VKz","properties":{"formattedCitation":"\\super 15\\nosupersub{}","plainCitation":"15","noteIndex":0},"citationItems":[{"id":2105,"uris":["http://zotero.org/users/local/MoY6DhL4/items/ZCXZWRSY"],"itemData":{"id":2105,"type":"article-journal","abstract":"IMPORTANCE: Noninvasive ventilation (NIV) with a face mask is relatively ineffective at preventing endotracheal intubation in patients with acute respiratory distress syndrome (ARDS). Delivery of NIV with a helmet may be a superior strategy for these patients.\nOBJECTIVE: To determine whether NIV delivered by helmet improves intubation rate among patients with ARDS.\nDESIGN, SETTING, AND PARTICIPANTS: Single-center randomized clinical trial of 83 patients with ARDS requiring NIV delivered by face mask for at least 8 hours while in the medical intensive care unit at the University of Chicago between October 3, 2012, through September 21, 2015.\nINTERVENTIONS: Patients were randomly assigned to continue face mask NIV or switch to a helmet for NIV support for a planned enrollment of 206 patients (103 patients per group). The helmet is a transparent hood that covers the entire head of the patient and has a rubber collar neck seal. Early trial termination resulted in 44 patients randomized to the helmet group and 39 to the face mask group.\nMAIN OUTCOMES AND MEASURES: The primary outcome was the proportion of patients who required endotracheal intubation. Secondary outcomes included 28-day invasive ventilator-free days (ie, days alive without mechanical ventilation), duration of ICU and hospital length of stay, and hospital and 90-day mortality.\nRESULTS: Eighty-three patients (45% women; median age, 59 years; median Acute Physiology and Chronic Health Evaluation [APACHE] II score, 26) were included in the analysis after the trial was stopped early based on predefined criteria for efficacy. The intubation rate was 61.5% (n = 24) for the face mask group and 18.2% (n = 8) for the helmet group (absolute difference, -43.3%; 95% CI, -62.4% to -24.3%; P &lt; .001). The number of ventilator-free days was significantly higher in the helmet group (28 vs 12.5, P &lt; .001). At 90 days, 15 patients (34.1%) in the helmet group died compared with 22 patients (56.4%) in the face mask group (absolute difference, -22.3%; 95% CI, -43.3 to -1.4; P = .02). Adverse events included 3 interface-related skin ulcers for each group (ie, 7.6% in the face mask group had nose ulcers and 6.8% in the helmet group had neck ulcers).\nCONCLUSIONS AND RELEVANCE: Among patients with ARDS, treatment with helmet NIV resulted in a significant reduction of intubation rates. There was also a statistically significant reduction in 90-day mortality with helmet NIV. Multicenter studies are needed to replicate these findings.\nTRIAL REGISTRATION: clinicaltrials.gov Identifier: NCT01680783.","container-title":"JAMA","DOI":"10.1001/jama.2016.6338","ISSN":"1538-3598","issue":"22","journalAbbreviation":"JAMA","language":"eng","note":"PMID: 27179847\nPMCID: PMC4967560","page":"2435-2441","source":"PubMed","title":"Effect of Noninvasive Ventilation Delivered by Helmet vs Face Mask on the Rate of Endotracheal Intubation in Patients With Acute Respiratory Distress Syndrome: A Randomized Clinical Trial","title-short":"Effect of Noninvasive Ventilation Delivered by Helmet vs Face Mask on the Rate of Endotracheal Intubation in Patients With Acute Respiratory Distress Syndrome","volume":"315","author":[{"family":"Patel","given":"Bhakti K."},{"family":"Wolfe","given":"Krysta S."},{"family":"Pohlman","given":"Anne S."},{"family":"Hall","given":"Jesse B."},{"family":"Kress","given":"John P."}],"issued":{"date-parts":[["2016",6,14]]}}}],"schema":"https://github.com/citation-style-language/schema/raw/master/csl-citation.json"}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15</w:t>
            </w:r>
            <w:r>
              <w:rPr>
                <w:rFonts w:ascii="Calibri" w:eastAsia="Calibri" w:hAnsi="Calibri" w:cs="Calibri"/>
                <w:sz w:val="20"/>
                <w:szCs w:val="20"/>
              </w:rPr>
              <w:fldChar w:fldCharType="end"/>
            </w:r>
            <w:r>
              <w:rPr>
                <w:rFonts w:ascii="Calibri" w:eastAsia="Calibri" w:hAnsi="Calibri" w:cs="Calibri"/>
                <w:sz w:val="20"/>
                <w:szCs w:val="20"/>
              </w:rPr>
              <w:t>, 2016, 1 ICU</w:t>
            </w:r>
          </w:p>
        </w:tc>
        <w:tc>
          <w:tcPr>
            <w:tcW w:w="2021" w:type="dxa"/>
          </w:tcPr>
          <w:p w14:paraId="3F675AE5"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N=83, ARDS</w:t>
            </w:r>
          </w:p>
        </w:tc>
        <w:tc>
          <w:tcPr>
            <w:tcW w:w="1738" w:type="dxa"/>
          </w:tcPr>
          <w:p w14:paraId="7B16E545"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CPAP or BiPAP</w:t>
            </w:r>
          </w:p>
        </w:tc>
        <w:tc>
          <w:tcPr>
            <w:tcW w:w="1515" w:type="dxa"/>
          </w:tcPr>
          <w:p w14:paraId="38667F5A" w14:textId="77777777" w:rsidR="00602D6F" w:rsidRDefault="00602D6F" w:rsidP="004606EC">
            <w:pPr>
              <w:rPr>
                <w:rFonts w:ascii="Calibri" w:eastAsia="Calibri" w:hAnsi="Calibri" w:cs="Calibri"/>
                <w:i/>
                <w:sz w:val="20"/>
                <w:szCs w:val="20"/>
              </w:rPr>
            </w:pPr>
            <w:r>
              <w:rPr>
                <w:rFonts w:ascii="Calibri" w:eastAsia="Calibri" w:hAnsi="Calibri" w:cs="Calibri"/>
                <w:sz w:val="20"/>
                <w:szCs w:val="20"/>
              </w:rPr>
              <w:t>Facemask</w:t>
            </w:r>
            <w:r>
              <w:rPr>
                <w:rFonts w:ascii="Calibri" w:eastAsia="Calibri" w:hAnsi="Calibri" w:cs="Calibri"/>
                <w:color w:val="333333"/>
                <w:sz w:val="20"/>
                <w:szCs w:val="20"/>
                <w:highlight w:val="white"/>
              </w:rPr>
              <w:t xml:space="preserve"> (N=39) vs. helmet (N=44)</w:t>
            </w:r>
          </w:p>
        </w:tc>
        <w:tc>
          <w:tcPr>
            <w:tcW w:w="1894" w:type="dxa"/>
          </w:tcPr>
          <w:p w14:paraId="4F308021" w14:textId="77777777" w:rsidR="00602D6F" w:rsidRDefault="00602D6F" w:rsidP="004606EC">
            <w:pPr>
              <w:rPr>
                <w:rFonts w:ascii="Calibri" w:eastAsia="Calibri" w:hAnsi="Calibri" w:cs="Calibri"/>
                <w:i/>
                <w:sz w:val="20"/>
                <w:szCs w:val="20"/>
              </w:rPr>
            </w:pPr>
            <w:r>
              <w:rPr>
                <w:rFonts w:ascii="Calibri" w:eastAsia="Calibri" w:hAnsi="Calibri" w:cs="Calibri"/>
                <w:i/>
                <w:sz w:val="20"/>
                <w:szCs w:val="20"/>
              </w:rPr>
              <w:t xml:space="preserve">EI rate: </w:t>
            </w:r>
            <w:r>
              <w:rPr>
                <w:rFonts w:ascii="Calibri" w:eastAsia="Calibri" w:hAnsi="Calibri" w:cs="Calibri"/>
                <w:sz w:val="20"/>
                <w:szCs w:val="20"/>
              </w:rPr>
              <w:t xml:space="preserve">FM 61.5% </w:t>
            </w:r>
            <w:r>
              <w:rPr>
                <w:rFonts w:ascii="Calibri" w:eastAsia="Calibri" w:hAnsi="Calibri" w:cs="Calibri"/>
                <w:color w:val="333333"/>
                <w:sz w:val="20"/>
                <w:szCs w:val="20"/>
                <w:highlight w:val="white"/>
              </w:rPr>
              <w:t xml:space="preserve">vs. helmet 18.2% (p&lt;0.001); </w:t>
            </w:r>
            <w:r>
              <w:rPr>
                <w:rFonts w:ascii="Calibri" w:eastAsia="Calibri" w:hAnsi="Calibri" w:cs="Calibri"/>
                <w:i/>
                <w:color w:val="333333"/>
                <w:sz w:val="20"/>
                <w:szCs w:val="20"/>
                <w:highlight w:val="white"/>
              </w:rPr>
              <w:t>VFDs:</w:t>
            </w:r>
            <w:r>
              <w:rPr>
                <w:rFonts w:ascii="Calibri" w:eastAsia="Calibri" w:hAnsi="Calibri" w:cs="Calibri"/>
                <w:color w:val="333333"/>
                <w:sz w:val="20"/>
                <w:szCs w:val="20"/>
                <w:highlight w:val="white"/>
              </w:rPr>
              <w:t xml:space="preserve"> </w:t>
            </w:r>
            <w:r>
              <w:rPr>
                <w:rFonts w:ascii="Calibri" w:eastAsia="Calibri" w:hAnsi="Calibri" w:cs="Calibri"/>
                <w:sz w:val="20"/>
                <w:szCs w:val="20"/>
              </w:rPr>
              <w:t xml:space="preserve">FM 12.5 </w:t>
            </w:r>
            <w:r>
              <w:rPr>
                <w:rFonts w:ascii="Calibri" w:eastAsia="Calibri" w:hAnsi="Calibri" w:cs="Calibri"/>
                <w:color w:val="333333"/>
                <w:sz w:val="20"/>
                <w:szCs w:val="20"/>
                <w:highlight w:val="white"/>
              </w:rPr>
              <w:t xml:space="preserve">vs. helmet 28 (p&lt;0.001); </w:t>
            </w:r>
            <w:r>
              <w:rPr>
                <w:rFonts w:ascii="Calibri" w:eastAsia="Calibri" w:hAnsi="Calibri" w:cs="Calibri"/>
                <w:i/>
                <w:color w:val="333333"/>
                <w:sz w:val="20"/>
                <w:szCs w:val="20"/>
                <w:highlight w:val="white"/>
              </w:rPr>
              <w:t xml:space="preserve">hospital mortality: </w:t>
            </w:r>
            <w:r>
              <w:rPr>
                <w:rFonts w:ascii="Calibri" w:eastAsia="Calibri" w:hAnsi="Calibri" w:cs="Calibri"/>
                <w:sz w:val="20"/>
                <w:szCs w:val="20"/>
              </w:rPr>
              <w:t xml:space="preserve">FM 48.7% </w:t>
            </w:r>
            <w:r>
              <w:rPr>
                <w:rFonts w:ascii="Calibri" w:eastAsia="Calibri" w:hAnsi="Calibri" w:cs="Calibri"/>
                <w:color w:val="333333"/>
                <w:sz w:val="20"/>
                <w:szCs w:val="20"/>
                <w:highlight w:val="white"/>
              </w:rPr>
              <w:t xml:space="preserve">vs. helmet 27.3% (p=0.04); </w:t>
            </w:r>
            <w:r>
              <w:rPr>
                <w:rFonts w:ascii="Calibri" w:eastAsia="Calibri" w:hAnsi="Calibri" w:cs="Calibri"/>
                <w:i/>
                <w:color w:val="333333"/>
                <w:sz w:val="20"/>
                <w:szCs w:val="20"/>
                <w:highlight w:val="white"/>
              </w:rPr>
              <w:t>90 days mortality</w:t>
            </w:r>
            <w:r>
              <w:rPr>
                <w:rFonts w:ascii="Calibri" w:eastAsia="Calibri" w:hAnsi="Calibri" w:cs="Calibri"/>
                <w:color w:val="333333"/>
                <w:sz w:val="20"/>
                <w:szCs w:val="20"/>
                <w:highlight w:val="white"/>
              </w:rPr>
              <w:t xml:space="preserve">: </w:t>
            </w:r>
            <w:r>
              <w:rPr>
                <w:rFonts w:ascii="Calibri" w:eastAsia="Calibri" w:hAnsi="Calibri" w:cs="Calibri"/>
                <w:sz w:val="20"/>
                <w:szCs w:val="20"/>
              </w:rPr>
              <w:t xml:space="preserve">FM 56.4% </w:t>
            </w:r>
            <w:r>
              <w:rPr>
                <w:rFonts w:ascii="Calibri" w:eastAsia="Calibri" w:hAnsi="Calibri" w:cs="Calibri"/>
                <w:color w:val="333333"/>
                <w:sz w:val="20"/>
                <w:szCs w:val="20"/>
                <w:highlight w:val="white"/>
              </w:rPr>
              <w:t>vs. helmet 34.1% (p=0.02).</w:t>
            </w:r>
          </w:p>
        </w:tc>
      </w:tr>
      <w:tr w:rsidR="00602D6F" w14:paraId="3F9547C5" w14:textId="77777777" w:rsidTr="004606EC">
        <w:tc>
          <w:tcPr>
            <w:tcW w:w="1848" w:type="dxa"/>
          </w:tcPr>
          <w:p w14:paraId="0F0984D2" w14:textId="1BF5B4AB" w:rsidR="00602D6F" w:rsidRDefault="00602D6F" w:rsidP="004606EC">
            <w:pPr>
              <w:rPr>
                <w:rFonts w:ascii="Calibri" w:eastAsia="Calibri" w:hAnsi="Calibri" w:cs="Calibri"/>
                <w:sz w:val="20"/>
                <w:szCs w:val="20"/>
              </w:rPr>
            </w:pPr>
            <w:r>
              <w:rPr>
                <w:rFonts w:ascii="Calibri" w:eastAsia="Calibri" w:hAnsi="Calibri" w:cs="Calibri"/>
                <w:sz w:val="20"/>
                <w:szCs w:val="20"/>
              </w:rPr>
              <w:t>Nair, 2021</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{"citationID":"D0QxjQqC","properties":{"formattedCitation":"\\super 16\\nosupersub{}","plainCitation":"16","noteIndex":0},"citationItems":[{"id":2097,"uris":["http://zotero.org/users/local/MoY6DhL4/items/LWNHN8V8"],"itemData":{"id":2097,"type":"article-journal","abstract":"BACKGROUND: Efficacy of high-flow nasal cannula (HFNC) over noninvasive ventilation (NIV) in severe coronavirus disease 2019 (COVID-19) pneumonia is not known. We aimed to assess the incidence of invasive mechanical ventilation in patients with acute hypoxemic respiratory failure due to COVID-19 treated with either HFNC or NIV.\nMETHODS: This was a single-center randomized controlled trial performed in the COVID-19 ICU of a tertiary care teaching hospital in New Delhi, India. One hundred and nine subjects with severe COVID-19 pneumonia presenting with acute hypoxemic respiratory failure were recruited and allocated to either HFNC (n = 55) or NIV (n = 54) arm. Primary outcome was intubation by 48 h. Secondary outcomes were improvement in oxygenation by 48 h, intubation rate at day 7, and in-hospital mortality.\nRESULTS: Baseline characteristics and [Formula: see text]/[Formula: see text] ratio were similar in both the groups. Intubation rate at 48 h was similar between the groups (33% NIV vs 20% HFNC, relative risk 0.6, 95% CI 0.31-1.15, P = .12). Intubation rate at day 7 was lower in the HFNC (27.27%) compared to the NIV group (46.29%) (relative risk 0.59, 95% CI 0.35-0.99, P = .045), and this difference remained significant after adjustment for the incidence of chronic kidney disease and the arterial pH (adjusted OR 0.40, 95% CI 0.17-0.93, P = .03). Hospital mortality was similar between HFNC (29.1%) and NIV (46.2%) group (relative risk 0.6, 95% CI 0.38-1.04, P = .06).\nCONCLUSIONS: We were not able to demonstrate a statistically significant improvement of oxygenation parameters nor of the intubation rate at 48 h between NIV and HFNC. These findings should be further tested in a larger randomized controlled trial. The study was registered at the Clinical Trials Registry of India (www.ctri.nic.in; reference number: CTRI/2020/07/026835) on July 27, 2020.","container-title":"Respiratory Care","DOI":"10.4187/respcare.09130","ISSN":"1943-3654","issue":"12","journalAbbreviation":"Respir Care","language":"eng","note":"PMID: 34584010","page":"1824-1830","source":"PubMed","title":"Comparison of High-Flow Nasal Cannula and Noninvasive Ventilation in Acute Hypoxemic Respiratory Failure Due to Severe COVID-19 Pneumonia","volume":"66","author":[{"family":"Nair","given":"Parvathy Ramachandran"},{"family":"Haritha","given":"Damarla"},{"family":"Behera","given":"Srikant"},{"family":"Kayina","given":"Choro Athiphro"},{"family":"Maitra","given":"Souvik"},{"family":"Anand","given":"Rahul Kumar"},{"family":"Ray","given":"Bikash Ranjan"},{"family":"Soneja","given":"Manish"},{"family":"Subramaniam","given":"Rajeshwari"},{"family":"Baidya","given":"Dalim Kumar"}],"issued":{"date-parts":[["2021",12]]}}}],"schema":"https://github.com/citation-style-language/schema/raw/master/csl-citation.json"}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16</w:t>
            </w:r>
            <w:r>
              <w:rPr>
                <w:rFonts w:ascii="Calibri" w:eastAsia="Calibri" w:hAnsi="Calibri" w:cs="Calibri"/>
                <w:sz w:val="20"/>
                <w:szCs w:val="20"/>
              </w:rPr>
              <w:fldChar w:fldCharType="end"/>
            </w:r>
            <w:r>
              <w:rPr>
                <w:rFonts w:ascii="Calibri" w:eastAsia="Calibri" w:hAnsi="Calibri" w:cs="Calibri"/>
                <w:sz w:val="20"/>
                <w:szCs w:val="20"/>
              </w:rPr>
              <w:t>, 1 ICU</w:t>
            </w:r>
          </w:p>
        </w:tc>
        <w:tc>
          <w:tcPr>
            <w:tcW w:w="2021" w:type="dxa"/>
          </w:tcPr>
          <w:p w14:paraId="7B39351E"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N=109, COVID-19 AHRF</w:t>
            </w:r>
          </w:p>
        </w:tc>
        <w:tc>
          <w:tcPr>
            <w:tcW w:w="1738" w:type="dxa"/>
          </w:tcPr>
          <w:p w14:paraId="5CB7AF04" w14:textId="5D912CEE"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(N=55) vs. BiPAP (N=54)</w:t>
            </w:r>
          </w:p>
        </w:tc>
        <w:tc>
          <w:tcPr>
            <w:tcW w:w="1515" w:type="dxa"/>
          </w:tcPr>
          <w:p w14:paraId="0DC214AF"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sz w:val="20"/>
                <w:szCs w:val="20"/>
              </w:rPr>
              <w:t>Facemask</w:t>
            </w:r>
            <w:r>
              <w:rPr>
                <w:rFonts w:ascii="Calibri" w:eastAsia="Calibri" w:hAnsi="Calibri" w:cs="Calibri"/>
                <w:color w:val="333333"/>
                <w:sz w:val="20"/>
                <w:szCs w:val="20"/>
                <w:highlight w:val="white"/>
              </w:rPr>
              <w:t xml:space="preserve"> or helmet</w:t>
            </w:r>
          </w:p>
        </w:tc>
        <w:tc>
          <w:tcPr>
            <w:tcW w:w="1894" w:type="dxa"/>
          </w:tcPr>
          <w:p w14:paraId="69A02416" w14:textId="787CE744" w:rsidR="00602D6F" w:rsidRDefault="00602D6F" w:rsidP="004606EC">
            <w:pPr>
              <w:rPr>
                <w:rFonts w:ascii="Calibri" w:eastAsia="Calibri" w:hAnsi="Calibri" w:cs="Calibri"/>
                <w:sz w:val="20"/>
                <w:szCs w:val="20"/>
              </w:rPr>
            </w:pPr>
            <w:r>
              <w:rPr>
                <w:rFonts w:ascii="Calibri" w:eastAsia="Calibri" w:hAnsi="Calibri" w:cs="Calibri"/>
                <w:i/>
                <w:sz w:val="20"/>
                <w:szCs w:val="20"/>
              </w:rPr>
              <w:t>EI rate at 48h</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20% vs. BiPAP 33% (p=0.12); </w:t>
            </w:r>
            <w:r>
              <w:rPr>
                <w:rFonts w:ascii="Calibri" w:eastAsia="Calibri" w:hAnsi="Calibri" w:cs="Calibri"/>
                <w:i/>
                <w:sz w:val="20"/>
                <w:szCs w:val="20"/>
              </w:rPr>
              <w:t>EI rate at 7 days</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27% vs. BiPAP 46% (p=0.045); </w:t>
            </w:r>
            <w:r>
              <w:rPr>
                <w:rFonts w:ascii="Calibri" w:eastAsia="Calibri" w:hAnsi="Calibri" w:cs="Calibri"/>
                <w:i/>
                <w:sz w:val="20"/>
                <w:szCs w:val="20"/>
              </w:rPr>
              <w:t>hospital mortality:</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29% vs. BiPAP 46% (p=0.06).</w:t>
            </w:r>
          </w:p>
        </w:tc>
      </w:tr>
      <w:tr w:rsidR="00602D6F" w14:paraId="551F5AC7" w14:textId="77777777" w:rsidTr="004606EC">
        <w:tc>
          <w:tcPr>
            <w:tcW w:w="1848" w:type="dxa"/>
          </w:tcPr>
          <w:p w14:paraId="5CEF19FF" w14:textId="4A4BDE6C" w:rsidR="00602D6F" w:rsidRDefault="00602D6F" w:rsidP="004606EC">
            <w:pPr>
              <w:rPr>
                <w:rFonts w:ascii="Calibri" w:eastAsia="Calibri" w:hAnsi="Calibri" w:cs="Calibri"/>
                <w:sz w:val="20"/>
                <w:szCs w:val="20"/>
              </w:rPr>
            </w:pPr>
            <w:proofErr w:type="spellStart"/>
            <w:r>
              <w:rPr>
                <w:rFonts w:ascii="Calibri" w:eastAsia="Calibri" w:hAnsi="Calibri" w:cs="Calibri"/>
                <w:sz w:val="20"/>
                <w:szCs w:val="20"/>
              </w:rPr>
              <w:t>Grieco</w:t>
            </w:r>
            <w:proofErr w:type="spellEnd"/>
            <w:r>
              <w:rPr>
                <w:rFonts w:ascii="Calibri" w:eastAsia="Calibri" w:hAnsi="Calibri" w:cs="Calibri"/>
                <w:sz w:val="20"/>
                <w:szCs w:val="20"/>
              </w:rPr>
              <w:t>, 2021</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{"citationID":"7yBmJx2S","properties":{"formattedCitation":"\\super 17\\nosupersub{}","plainCitation":"17","noteIndex":0},"citationItems":[{"id":2100,"uris":["http://zotero.org/users/local/MoY6DhL4/items/K3RCMF6M"],"itemData":{"id":2100,"type":"article-journal","abstract":"IMPORTANCE: High-flow nasal oxygen is recommended as initial treatment for acute hypoxemic respiratory failure and is widely applied in patients with COVID-19.\nOBJECTIVE: To assess whether helmet noninvasive ventilation can increase the days free of respiratory support in patients with COVID-19 compared with high-flow nasal oxygen alone.\nDESIGN, SETTING, AND PARTICIPANTS: Multicenter randomized clinical trial in 4 intensive care units (ICUs) in Italy between October and December 2020, end of follow-up February 11, 2021, including 109 patients with COVID-19 and moderate to severe hypoxemic respiratory failure (ratio of partial pressure of arterial oxygen to fraction of inspired oxygen ≤200).\nINTERVENTIONS: Participants were randomly assigned to receive continuous treatment with helmet noninvasive ventilation (positive end-expiratory pressure, 10-12 cm H2O; pressure support, 10-12 cm H2O) for at least 48 hours eventually followed by high-flow nasal oxygen (n = 54) or high-flow oxygen alone (60 L/min) (n = 55).\nMAIN OUTCOMES AND MEASURES: The primary outcome was the number of days free of respiratory support within 28 days after enrollment. Secondary outcomes included the proportion of patients who required endotracheal intubation within 28 days from study enrollment, the number of days free of invasive mechanical ventilation at day 28, the number of days free of invasive mechanical ventilation at day 60, in-ICU mortality, in-hospital mortality, 28-day mortality, 60-day mortality, ICU length of stay, and hospital length of stay.\nRESULTS: Among 110 patients who were randomized, 109 (99%) completed the trial (median age, 65 years [interquartile range {IQR}, 55-70]; 21 women [19%]). The median days free of respiratory support within 28 days after randomization were 20 (IQR, 0-25) in the helmet group and 18 (IQR, 0-22) in the high-flow nasal oxygen group, a difference that was not statistically significant (mean difference, 2 days [95% CI, -2 to 6]; P = .26). Of 9 prespecified secondary outcomes reported, 7 showed no significant difference. The rate of endotracheal intubation was significantly lower in the helmet group than in the high-flow nasal oxygen group (30% vs 51%; difference, -21% [95% CI, -38% to -3%]; P = .03). The median number of days free of invasive mechanical ventilation within 28 days was significantly higher in the helmet group than in the high-flow nasal oxygen group (28 [IQR, 13-28] vs 25 [IQR 4-28]; mean difference, 3 days [95% CI, 0-7]; P = .04). The rate of in-hospital mortality was 24% in the helmet group and 25% in the high-flow nasal oxygen group (absolute difference, -1% [95% CI, -17% to 15%]; P &gt; .99).\nCONCLUSIONS AND RELEVANCE: Among patients with COVID-19 and moderate to severe hypoxemia, treatment with helmet noninvasive ventilation, compared with high-flow nasal oxygen, resulted in no significant difference in the number of days free of respiratory support within 28 days. Further research is warranted to determine effects on other outcomes, including the need for endotracheal intubation.\nTRIAL REGISTRATION: ClinicalTrials.gov Identifier: NCT04502576.","container-title":"JAMA","DOI":"10.1001/jama.2021.4682","ISSN":"1538-3598","issue":"17","journalAbbreviation":"JAMA","language":"eng","note":"PMID: 33764378\nPMCID: PMC7995134","page":"1731-1743","source":"PubMed","title":"Effect of Helmet Noninvasive Ventilation vs High-Flow Nasal Oxygen on Days Free of Respiratory Support in Patients With COVID-19 and Moderate to Severe Hypoxemic Respiratory Failure: The HENIVOT Randomized Clinical Trial","title-short":"Effect of Helmet Noninvasive Ventilation vs High-Flow Nasal Oxygen on Days Free of Respiratory Support in Patients With COVID-19 and Moderate to Severe Hypoxemic Respiratory Failure","volume":"325","author":[{"family":"Grieco","given":"Domenico Luca"},{"family":"Menga","given":"Luca S."},{"family":"Cesarano","given":"Melania"},{"family":"Rosà","given":"Tommaso"},{"family":"Spadaro","given":"Savino"},{"family":"Bitondo","given":"Maria Maddalena"},{"family":"Montomoli","given":"Jonathan"},{"family":"Falò","given":"Giulia"},{"family":"Tonetti","given":"Tommaso"},{"family":"Cutuli","given":"Salvatore L."},{"family":"Pintaudi","given":"Gabriele"},{"family":"Tanzarella","given":"Eloisa S."},{"family":"Piervincenzi","given":"Edoardo"},{"family":"Bongiovanni","given":"Filippo"},{"family":"Dell'Anna","given":"Antonio M."},{"family":"Delle Cese","given":"Luca"},{"family":"Berardi","given":"Cecilia"},{"family":"Carelli","given":"Simone"},{"family":"Bocci","given":"Maria Grazia"},{"family":"Montini","given":"Luca"},{"family":"Bello","given":"Giuseppe"},{"family":"Natalini","given":"Daniele"},{"family":"De Pascale","given":"Gennaro"},{"family":"Velardo","given":"Matteo"},{"family":"Volta","given":"Carlo Alberto"},{"family":"Ranieri","given":"V. Marco"},{"family":"Conti","given":"Giorgio"},{"family":"Maggiore","given":"Salvatore Maurizio"},{"family":"Antonelli","given":"Massimo"},{"literal":"COVID-ICU Gemelli Study Group"}],"issued":{"date-parts":[["2021",5,4]]}}}],"schema":"https://github.com/citation-style-language/schema/raw/master/csl-citation.json"}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17</w:t>
            </w:r>
            <w:r>
              <w:rPr>
                <w:rFonts w:ascii="Calibri" w:eastAsia="Calibri" w:hAnsi="Calibri" w:cs="Calibri"/>
                <w:sz w:val="20"/>
                <w:szCs w:val="20"/>
              </w:rPr>
              <w:fldChar w:fldCharType="end"/>
            </w:r>
            <w:r>
              <w:rPr>
                <w:rFonts w:ascii="Calibri" w:eastAsia="Calibri" w:hAnsi="Calibri" w:cs="Calibri"/>
                <w:sz w:val="20"/>
                <w:szCs w:val="20"/>
              </w:rPr>
              <w:t>, 4 ICUs</w:t>
            </w:r>
          </w:p>
        </w:tc>
        <w:tc>
          <w:tcPr>
            <w:tcW w:w="2021" w:type="dxa"/>
          </w:tcPr>
          <w:p w14:paraId="5BC525C6"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N=109, COVID-19 AHRF</w:t>
            </w:r>
          </w:p>
        </w:tc>
        <w:tc>
          <w:tcPr>
            <w:tcW w:w="1738" w:type="dxa"/>
          </w:tcPr>
          <w:p w14:paraId="35470A7A" w14:textId="0D3E861F"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(N=55) vs. BiPAP (N=54)</w:t>
            </w:r>
          </w:p>
        </w:tc>
        <w:tc>
          <w:tcPr>
            <w:tcW w:w="1515" w:type="dxa"/>
          </w:tcPr>
          <w:p w14:paraId="0169B33B"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Helmet</w:t>
            </w:r>
          </w:p>
        </w:tc>
        <w:tc>
          <w:tcPr>
            <w:tcW w:w="1894" w:type="dxa"/>
          </w:tcPr>
          <w:p w14:paraId="4F0D87CB" w14:textId="0084D4E3" w:rsidR="00602D6F" w:rsidRDefault="00602D6F" w:rsidP="004606EC">
            <w:pPr>
              <w:rPr>
                <w:rFonts w:ascii="Calibri" w:eastAsia="Calibri" w:hAnsi="Calibri" w:cs="Calibri"/>
                <w:i/>
                <w:sz w:val="20"/>
                <w:szCs w:val="20"/>
              </w:rPr>
            </w:pPr>
            <w:r>
              <w:rPr>
                <w:rFonts w:ascii="Calibri" w:eastAsia="Calibri" w:hAnsi="Calibri" w:cs="Calibri"/>
                <w:i/>
                <w:color w:val="212121"/>
                <w:sz w:val="20"/>
                <w:szCs w:val="20"/>
                <w:highlight w:val="white"/>
              </w:rPr>
              <w:t>Days free of respiratory support</w:t>
            </w:r>
            <w:r>
              <w:rPr>
                <w:rFonts w:ascii="Calibri" w:eastAsia="Calibri" w:hAnsi="Calibri" w:cs="Calibri"/>
                <w:color w:val="212121"/>
                <w:sz w:val="20"/>
                <w:szCs w:val="20"/>
                <w:highlight w:val="white"/>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18 [0-22] vs. BiPAP 20 [0-25] (p=0.26); </w:t>
            </w:r>
            <w:r>
              <w:rPr>
                <w:rFonts w:ascii="Calibri" w:eastAsia="Calibri" w:hAnsi="Calibri" w:cs="Calibri"/>
                <w:i/>
                <w:color w:val="212121"/>
                <w:sz w:val="20"/>
                <w:szCs w:val="20"/>
                <w:highlight w:val="white"/>
              </w:rPr>
              <w:t>Days free of invasive ventilation</w:t>
            </w:r>
            <w:r>
              <w:rPr>
                <w:rFonts w:ascii="Calibri" w:eastAsia="Calibri" w:hAnsi="Calibri" w:cs="Calibri"/>
                <w:color w:val="212121"/>
                <w:sz w:val="20"/>
                <w:szCs w:val="20"/>
                <w:highlight w:val="white"/>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25 [4-28] vs. BiPAP 28 [13-28] (p=0.04); </w:t>
            </w:r>
            <w:r>
              <w:rPr>
                <w:rFonts w:ascii="Calibri" w:eastAsia="Calibri" w:hAnsi="Calibri" w:cs="Calibri"/>
                <w:i/>
                <w:sz w:val="20"/>
                <w:szCs w:val="20"/>
              </w:rPr>
              <w:t xml:space="preserve">EI rate: </w:t>
            </w:r>
            <w:r w:rsidR="00327A09">
              <w:rPr>
                <w:rFonts w:ascii="Calibri" w:eastAsia="Calibri" w:hAnsi="Calibri" w:cs="Calibri"/>
                <w:sz w:val="20"/>
                <w:szCs w:val="20"/>
              </w:rPr>
              <w:t xml:space="preserve">HFNT </w:t>
            </w:r>
            <w:r>
              <w:rPr>
                <w:rFonts w:ascii="Calibri" w:eastAsia="Calibri" w:hAnsi="Calibri" w:cs="Calibri"/>
                <w:sz w:val="20"/>
                <w:szCs w:val="20"/>
              </w:rPr>
              <w:t xml:space="preserve">51% vs. BiPAP 30% (p=0.03); </w:t>
            </w:r>
            <w:r>
              <w:rPr>
                <w:rFonts w:ascii="Calibri" w:eastAsia="Calibri" w:hAnsi="Calibri" w:cs="Calibri"/>
                <w:i/>
                <w:sz w:val="20"/>
                <w:szCs w:val="20"/>
              </w:rPr>
              <w:t>hospital mortality:</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25% vs. BiPAP 24% (p&gt;0.99).</w:t>
            </w:r>
          </w:p>
        </w:tc>
      </w:tr>
      <w:tr w:rsidR="00602D6F" w14:paraId="69B44279" w14:textId="77777777" w:rsidTr="004606EC">
        <w:tc>
          <w:tcPr>
            <w:tcW w:w="1848" w:type="dxa"/>
          </w:tcPr>
          <w:p w14:paraId="2EEA560B" w14:textId="7D53796C" w:rsidR="00602D6F" w:rsidRDefault="00602D6F" w:rsidP="004606EC">
            <w:pPr>
              <w:rPr>
                <w:rFonts w:ascii="Calibri" w:eastAsia="Calibri" w:hAnsi="Calibri" w:cs="Calibri"/>
                <w:sz w:val="20"/>
                <w:szCs w:val="20"/>
              </w:rPr>
            </w:pPr>
            <w:proofErr w:type="spellStart"/>
            <w:r>
              <w:rPr>
                <w:rFonts w:ascii="Calibri" w:eastAsia="Calibri" w:hAnsi="Calibri" w:cs="Calibri"/>
                <w:sz w:val="20"/>
                <w:szCs w:val="20"/>
              </w:rPr>
              <w:t>Bouadma</w:t>
            </w:r>
            <w:proofErr w:type="spellEnd"/>
            <w:r>
              <w:rPr>
                <w:rFonts w:ascii="Calibri" w:eastAsia="Calibri" w:hAnsi="Calibri" w:cs="Calibri"/>
                <w:sz w:val="20"/>
                <w:szCs w:val="20"/>
              </w:rPr>
              <w:t>, 2022</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{"citationID":"c6XD24ML","properties":{"formattedCitation":"\\super 18\\nosupersub{}","plainCitation":"18","noteIndex":0},"citationItems":[{"id":2113,"uris":["http://zotero.org/users/local/MoY6DhL4/items/3SY3DZPP"],"itemData":{"id":2113,"type":"article-journal","abstract":"IMPORTANCE: The benefit of high-dose dexamethasone and oxygenation strategies vs standard of care for patients with severe acute hypoxemic respiratory failure (AHRF) caused by COVID-19 pneumonia is debated.\nOBJECTIVES: To assess the benefit of high-dose dexamethasone compared with standard of care dexamethasone, and to assess the benefit of high-flow nasal oxygen (HFNo2) or continuous positive airway pressure (CPAP) compared with oxygen support standard of care (o2SC).\nDESIGN, SETTING, AND PARTICIPANTS: This multicenter, placebo-controlled randomized clinical trial was conducted in 19 intensive care units (ICUs) in France from April 2020 to January 2021. Eligible patients were consecutive ICU-admitted adults with COVID-19 AHRF. Randomization used a 2 × 3 factorial design for dexamethasone and oxygenation strategies; patients not eligible for at least 1 oxygenation strategy and/or already receiving invasive mechanical ventilation (IMV) were only randomized for dexamethasone. All patients were followed-up for 60 days. Data were analyzed from May 26 to July 31, 2021.\nINTERVENTIONS: Patients received standard dexamethasone (dexamethasone-phosphate 6 mg/d for 10 days [or placebo prior to RECOVERY trial results communication]) or high-dose dexamethasone (dexamethasone-phosphate 20 mg/d on days 1-5 then 10 mg/d on days 6-10). Those not requiring IMV were additionally randomized to o2SC, CPAP, or HFNo2.\nMAIN OUTCOMES AND MEASURES: The main outcomes were time to all-cause mortality, assessed at day 60, for the dexamethasone interventions, and time to IMV requirement, assessed at day 28, for the oxygenation interventions. Differences between intervention groups were calculated using proportional Cox models and expressed as hazard ratios (HRs).\nRESULTS: Among 841 screened patients, 546 patients (median [IQR] age, 67.4 [59.3-73.1] years; 414 [75.8%] men) were randomized between standard dexamethasone (276 patients, including 37 patients who received placebo) or high-dose dexamethasone (270 patients). Of these, 333 patients were randomized among o2SC (109 patients, including 56 receiving standard dexamethasone), CPAP (109 patients, including 57 receiving standard dexamethasone), and HFNo2 (115 patients, including 56 receiving standard dexamethasone). There was no difference in 60-day mortality between standard and high-dose dexamethasone groups (HR, 0.96 [95% CI, 0.69-1.33]; P = .79). There was no significant difference for the cumulative incidence of IMV criteria at day 28 among o2 support groups (o2SC vs CPAP: HR, 1.08 [95% CI, 0.71-1.63]; o2SC vs HFNo2: HR, 1.04 [95% CI, 0.69-1.55]) or 60-day mortality (o2SC vs CPAP: HR, 0.97 [95% CI, 0.58-1.61; o2SC vs HFNo2: HR, 0.89 [95% CI, 0.53-1.47]). Interactions between interventions were not significant.\nCONCLUSIONS AND RELEVANCE: In this randomized clinical trial among ICU patients with COVID-19-related AHRF, high-dose dexamethasone did not significantly improve 60-day survival. The oxygenation strategies in patients who were not initially receiving IMV did not significantly modify 28-day risk of IMV requirement.\nTRIAL REGISTRATION: ClinicalTrials.gov Identifier: NCT04344730; EudraCT: 2020-001457-43.","container-title":"JAMA internal medicine","DOI":"10.1001/jamainternmed.2022.2168","ISSN":"2168-6114","issue":"9","journalAbbreviation":"JAMA Intern Med","language":"eng","note":"PMID: 35788622\nPMCID: PMC9449796","page":"906-916","source":"PubMed","title":"High-Dose Dexamethasone and Oxygen Support Strategies in Intensive Care Unit Patients With Severe COVID-19 Acute Hypoxemic Respiratory Failure: The COVIDICUS Randomized Clinical Trial","title-short":"High-Dose Dexamethasone and Oxygen Support Strategies in Intensive Care Unit Patients With Severe COVID-19 Acute Hypoxemic Respiratory Failure","volume":"182","author":[{"family":"Bouadma","given":"Lila"},{"family":"Mekontso-Dessap","given":"Armand"},{"family":"Burdet","given":"Charles"},{"family":"Merdji","given":"Hamid"},{"family":"Poissy","given":"Julien"},{"family":"Dupuis","given":"Claire"},{"family":"Guitton","given":"Christophe"},{"family":"Schwebel","given":"Carole"},{"family":"Cohen","given":"Yves"},{"family":"Bruel","given":"Cedric"},{"family":"Marzouk","given":"Mehdi"},{"family":"Geri","given":"Guillaume"},{"family":"Cerf","given":"Charles"},{"family":"Mégarbane","given":"Bruno"},{"family":"Garçon","given":"Pierre"},{"family":"Kipnis","given":"Eric"},{"family":"Visseaux","given":"Benoit"},{"family":"Beldjoudi","given":"Naima"},{"family":"Chevret","given":"Sylvie"},{"family":"Timsit","given":"Jean-François"},{"literal":"COVIDICUS Study Group"}],"issued":{"date-parts":[["2022",9,1]]}}}],"schema":"https://github.com/citation-style-language/schema/raw/master/csl-citation.json"}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18</w:t>
            </w:r>
            <w:r>
              <w:rPr>
                <w:rFonts w:ascii="Calibri" w:eastAsia="Calibri" w:hAnsi="Calibri" w:cs="Calibri"/>
                <w:sz w:val="20"/>
                <w:szCs w:val="20"/>
              </w:rPr>
              <w:fldChar w:fldCharType="end"/>
            </w:r>
            <w:r>
              <w:rPr>
                <w:rFonts w:ascii="Calibri" w:eastAsia="Calibri" w:hAnsi="Calibri" w:cs="Calibri"/>
                <w:sz w:val="20"/>
                <w:szCs w:val="20"/>
              </w:rPr>
              <w:t>, 19 ICUs</w:t>
            </w:r>
          </w:p>
        </w:tc>
        <w:tc>
          <w:tcPr>
            <w:tcW w:w="2021" w:type="dxa"/>
          </w:tcPr>
          <w:p w14:paraId="6EF39DFD"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N=333, COVID-19 AHRF</w:t>
            </w:r>
          </w:p>
        </w:tc>
        <w:tc>
          <w:tcPr>
            <w:tcW w:w="1738" w:type="dxa"/>
          </w:tcPr>
          <w:p w14:paraId="1300E361" w14:textId="0CA3BAF0"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COT (N=109) vs. </w:t>
            </w:r>
            <w:r w:rsidR="00327A09">
              <w:rPr>
                <w:rFonts w:ascii="Calibri" w:eastAsia="Calibri" w:hAnsi="Calibri" w:cs="Calibri"/>
                <w:sz w:val="20"/>
                <w:szCs w:val="20"/>
              </w:rPr>
              <w:t xml:space="preserve">HFNT </w:t>
            </w:r>
            <w:r>
              <w:rPr>
                <w:rFonts w:ascii="Calibri" w:eastAsia="Calibri" w:hAnsi="Calibri" w:cs="Calibri"/>
                <w:sz w:val="20"/>
                <w:szCs w:val="20"/>
              </w:rPr>
              <w:t>(N=115) vs. CPAP (N=109)</w:t>
            </w:r>
          </w:p>
        </w:tc>
        <w:tc>
          <w:tcPr>
            <w:tcW w:w="1515" w:type="dxa"/>
          </w:tcPr>
          <w:p w14:paraId="241FCC71"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Oronasal mask</w:t>
            </w:r>
          </w:p>
        </w:tc>
        <w:tc>
          <w:tcPr>
            <w:tcW w:w="1894" w:type="dxa"/>
          </w:tcPr>
          <w:p w14:paraId="72F2DA79" w14:textId="48B6C773" w:rsidR="00602D6F" w:rsidRDefault="00602D6F" w:rsidP="004606EC">
            <w:pPr>
              <w:rPr>
                <w:rFonts w:ascii="Calibri" w:eastAsia="Calibri" w:hAnsi="Calibri" w:cs="Calibri"/>
                <w:i/>
                <w:color w:val="212121"/>
                <w:sz w:val="20"/>
                <w:szCs w:val="20"/>
                <w:highlight w:val="white"/>
              </w:rPr>
            </w:pPr>
            <w:r>
              <w:rPr>
                <w:rFonts w:ascii="Calibri" w:eastAsia="Calibri" w:hAnsi="Calibri" w:cs="Calibri"/>
                <w:i/>
                <w:sz w:val="20"/>
                <w:szCs w:val="20"/>
              </w:rPr>
              <w:t>EI rate at 28 days:</w:t>
            </w:r>
            <w:r>
              <w:rPr>
                <w:rFonts w:ascii="Calibri" w:eastAsia="Calibri" w:hAnsi="Calibri" w:cs="Calibri"/>
                <w:sz w:val="20"/>
                <w:szCs w:val="20"/>
              </w:rPr>
              <w:t xml:space="preserve"> COT 41.4% vs. </w:t>
            </w:r>
            <w:r w:rsidR="00327A09">
              <w:rPr>
                <w:rFonts w:ascii="Calibri" w:eastAsia="Calibri" w:hAnsi="Calibri" w:cs="Calibri"/>
                <w:sz w:val="20"/>
                <w:szCs w:val="20"/>
              </w:rPr>
              <w:t xml:space="preserve">HFNT </w:t>
            </w:r>
            <w:r>
              <w:rPr>
                <w:rFonts w:ascii="Calibri" w:eastAsia="Calibri" w:hAnsi="Calibri" w:cs="Calibri"/>
                <w:sz w:val="20"/>
                <w:szCs w:val="20"/>
              </w:rPr>
              <w:t>43.8% vs. CPAP 43% (p=0.85).</w:t>
            </w:r>
          </w:p>
        </w:tc>
      </w:tr>
      <w:tr w:rsidR="00602D6F" w14:paraId="3962AEB4" w14:textId="77777777" w:rsidTr="004606EC">
        <w:tc>
          <w:tcPr>
            <w:tcW w:w="1848" w:type="dxa"/>
          </w:tcPr>
          <w:p w14:paraId="4367192A" w14:textId="73E40790" w:rsidR="00602D6F" w:rsidRDefault="00602D6F" w:rsidP="004606EC">
            <w:pPr>
              <w:rPr>
                <w:rFonts w:ascii="Calibri" w:eastAsia="Calibri" w:hAnsi="Calibri" w:cs="Calibri"/>
                <w:sz w:val="20"/>
                <w:szCs w:val="20"/>
              </w:rPr>
            </w:pPr>
            <w:r>
              <w:rPr>
                <w:rFonts w:ascii="Calibri" w:eastAsia="Calibri" w:hAnsi="Calibri" w:cs="Calibri"/>
                <w:sz w:val="20"/>
                <w:szCs w:val="20"/>
              </w:rPr>
              <w:lastRenderedPageBreak/>
              <w:t>Arabi, 2022</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{"citationID":"f0ZSYB00","properties":{"formattedCitation":"\\super 19\\nosupersub{}","plainCitation":"19","noteIndex":0},"citationItems":[{"id":2111,"uris":["http://zotero.org/users/local/MoY6DhL4/items/3RY9KVGW"],"itemData":{"id":2111,"type":"article-journal","abstract":"IMPORTANCE: Helmet noninvasive ventilation has been used in patients with COVID-19 with the premise that helmet interface is more effective than mask interface in delivering prolonged treatments with high positive airway pressure, but data about its effectiveness are limited.\nOBJECTIVE: To evaluate whether helmet noninvasive ventilation compared with usual respiratory support reduces mortality in patients with acute hypoxemic respiratory failure due to COVID-19 pneumonia.\nDESIGN, SETTING, AND PARTICIPANTS: This was a multicenter, pragmatic, randomized clinical trial that was conducted in 8 sites in Saudi Arabia and Kuwait between February 8, 2021, and November 16, 2021. Adult patients with acute hypoxemic respiratory failure (n = 320) due to suspected or confirmed COVID-19 were included. The final follow-up date for the primary outcome was December 14, 2021.\nINTERVENTIONS: Patients were randomized to receive helmet noninvasive ventilation (n = 159) or usual respiratory support (n = 161), which included mask noninvasive ventilation, high-flow nasal oxygen, and standard oxygen.\nMAIN OUTCOMES AND MEASURES: The primary outcome was 28-day all-cause mortality. There were 12 prespecified secondary outcomes, including endotracheal intubation, barotrauma, skin pressure injury, and serious adverse events.\nRESULTS: Among 322 patients who were randomized, 320 were included in the primary analysis, all of whom completed the trial. Median age was 58 years, and 187 were men (58.4%). Within 28 days, 43 of 159 patients (27.0%) died in the helmet noninvasive ventilation group compared with 42 of 161 (26.1%) in the usual respiratory support group (risk difference, 1.0% [95% CI, -8.7% to 10.6%]; relative risk, 1.04 [95% CI, 0.72-1.49]; P = .85). Within 28 days, 75 of 159 patients (47.2%) required endotracheal intubation in the helmet noninvasive ventilation group compared with 81 of 161 (50.3%) in the usual respiratory support group (risk difference, -3.1% [95% CI, -14.1% to 7.8%]; relative risk, 0.94 [95% CI, 0.75-1.17]). There were no significant differences between the 2 groups in any of the prespecified secondary end points. Barotrauma occurred in 30 of 159 patients (18.9%) in the helmet noninvasive ventilation group and 25 of 161 (15.5%) in the usual respiratory support group. Skin pressure injury occurred in 5 of 159 patients (3.1%) in the helmet noninvasive ventilation group and 10 of 161 (6.2%) in the usual respiratory support group. There were 2 serious adverse events in the helmet noninvasive ventilation group and 1 in the usual respiratory support group.\nCONCLUSIONS AND RELEVANCE: Results of this study suggest that helmet noninvasive ventilation did not significantly reduce 28-day mortality compared with usual respiratory support among patients with acute hypoxemic respiratory failure due to COVID-19 pneumonia. However, interpretation of the findings is limited by imprecision in the effect estimate, which does not exclude potentially clinically important benefit or harm.\nTRIAL REGISTRATION: ClinicalTrials.gov Identifier: NCT04477668.","container-title":"JAMA","DOI":"10.1001/jama.2022.15599","ISSN":"1538-3598","issue":"11","journalAbbreviation":"JAMA","language":"eng","note":"PMID: 36125473\nPMCID: PMC9490511","page":"1063-1072","source":"PubMed","title":"Effect of Helmet Noninvasive Ventilation vs Usual Respiratory Support on Mortality Among Patients With Acute Hypoxemic Respiratory Failure Due to COVID-19: The HELMET-COVID Randomized Clinical Trial","title-short":"Effect of Helmet Noninvasive Ventilation vs Usual Respiratory Support on Mortality Among Patients With Acute Hypoxemic Respiratory Failure Due to COVID-19","volume":"328","author":[{"family":"Arabi","given":"Yaseen M."},{"family":"Aldekhyl","given":"Sara"},{"family":"Al Qahtani","given":"Saad"},{"family":"Al-Dorzi","given":"Hasan M."},{"family":"Abdukahil","given":"Sheryl Ann"},{"family":"Al Harbi","given":"Mohammed Khulaif"},{"family":"Al Qasim","given":"Eman"},{"family":"Kharaba","given":"Ayman"},{"family":"Albrahim","given":"Talal"},{"family":"Alshahrani","given":"Mohammed S."},{"family":"Al-Fares","given":"Abdulrahman A."},{"family":"Al Bshabshe","given":"Ali"},{"family":"Mady","given":"Ahmed"},{"family":"Al Duhailib","given":"Zainab"},{"family":"Algethamy","given":"Haifa"},{"family":"Jose","given":"Jesna"},{"family":"Al Mutairi","given":"Mohammed"},{"family":"Al Zumai","given":"Omar"},{"family":"Al Haji","given":"Hussain"},{"family":"Alaqeily","given":"Ahmed"},{"family":"Al Aseri","given":"Zohair"},{"family":"Al-Omari","given":"Awad"},{"family":"Al-Dawood","given":"Abdulaziz"},{"family":"Tlayjeh","given":"Haytham"},{"literal":"Saudi Critical Care Trials Group"}],"issued":{"date-parts":[["2022",9,20]]}}}],"schema":"https://github.com/citation-style-language/schema/raw/master/csl-citation.json"}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19</w:t>
            </w:r>
            <w:r>
              <w:rPr>
                <w:rFonts w:ascii="Calibri" w:eastAsia="Calibri" w:hAnsi="Calibri" w:cs="Calibri"/>
                <w:sz w:val="20"/>
                <w:szCs w:val="20"/>
              </w:rPr>
              <w:fldChar w:fldCharType="end"/>
            </w:r>
            <w:r>
              <w:rPr>
                <w:rFonts w:ascii="Calibri" w:eastAsia="Calibri" w:hAnsi="Calibri" w:cs="Calibri"/>
                <w:sz w:val="20"/>
                <w:szCs w:val="20"/>
              </w:rPr>
              <w:t>, 6 ICUs</w:t>
            </w:r>
          </w:p>
        </w:tc>
        <w:tc>
          <w:tcPr>
            <w:tcW w:w="2021" w:type="dxa"/>
          </w:tcPr>
          <w:p w14:paraId="653D27BD"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N=320, COVID-19 AHRF</w:t>
            </w:r>
          </w:p>
        </w:tc>
        <w:tc>
          <w:tcPr>
            <w:tcW w:w="1738" w:type="dxa"/>
          </w:tcPr>
          <w:p w14:paraId="762A6270" w14:textId="6BA3E027"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BiPAP or </w:t>
            </w:r>
            <w:r w:rsidR="00327A09">
              <w:rPr>
                <w:rFonts w:ascii="Calibri" w:eastAsia="Calibri" w:hAnsi="Calibri" w:cs="Calibri"/>
                <w:sz w:val="20"/>
                <w:szCs w:val="20"/>
              </w:rPr>
              <w:t xml:space="preserve">HFNT </w:t>
            </w:r>
            <w:r>
              <w:rPr>
                <w:rFonts w:ascii="Calibri" w:eastAsia="Calibri" w:hAnsi="Calibri" w:cs="Calibri"/>
                <w:sz w:val="20"/>
                <w:szCs w:val="20"/>
              </w:rPr>
              <w:t>or COT</w:t>
            </w:r>
          </w:p>
        </w:tc>
        <w:tc>
          <w:tcPr>
            <w:tcW w:w="1515" w:type="dxa"/>
          </w:tcPr>
          <w:p w14:paraId="530F484A" w14:textId="5B005DD9"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Helmet (N=159) vs. usual respiratory support-</w:t>
            </w:r>
            <w:r>
              <w:rPr>
                <w:rFonts w:ascii="Calibri" w:eastAsia="Calibri" w:hAnsi="Calibri" w:cs="Calibri"/>
                <w:sz w:val="20"/>
                <w:szCs w:val="20"/>
              </w:rPr>
              <w:t xml:space="preserve"> Facemask</w:t>
            </w:r>
            <w:r>
              <w:rPr>
                <w:rFonts w:ascii="Calibri" w:eastAsia="Calibri" w:hAnsi="Calibri" w:cs="Calibri"/>
                <w:color w:val="333333"/>
                <w:sz w:val="20"/>
                <w:szCs w:val="20"/>
                <w:highlight w:val="white"/>
              </w:rPr>
              <w:t xml:space="preserve">, </w:t>
            </w:r>
            <w:r w:rsidR="00327A09">
              <w:rPr>
                <w:rFonts w:ascii="Calibri" w:eastAsia="Calibri" w:hAnsi="Calibri" w:cs="Calibri"/>
                <w:sz w:val="20"/>
                <w:szCs w:val="20"/>
              </w:rPr>
              <w:t>HFNT</w:t>
            </w:r>
            <w:r>
              <w:rPr>
                <w:rFonts w:ascii="Calibri" w:eastAsia="Calibri" w:hAnsi="Calibri" w:cs="Calibri"/>
                <w:color w:val="333333"/>
                <w:sz w:val="20"/>
                <w:szCs w:val="20"/>
                <w:highlight w:val="white"/>
              </w:rPr>
              <w:t>, COT- (N=161)</w:t>
            </w:r>
          </w:p>
        </w:tc>
        <w:tc>
          <w:tcPr>
            <w:tcW w:w="1894" w:type="dxa"/>
          </w:tcPr>
          <w:p w14:paraId="0C55246A" w14:textId="77777777" w:rsidR="00602D6F" w:rsidRDefault="00602D6F" w:rsidP="004606EC">
            <w:pPr>
              <w:rPr>
                <w:rFonts w:ascii="Calibri" w:eastAsia="Calibri" w:hAnsi="Calibri" w:cs="Calibri"/>
                <w:i/>
                <w:sz w:val="20"/>
                <w:szCs w:val="20"/>
              </w:rPr>
            </w:pPr>
            <w:r>
              <w:rPr>
                <w:rFonts w:ascii="Calibri" w:eastAsia="Calibri" w:hAnsi="Calibri" w:cs="Calibri"/>
                <w:i/>
                <w:sz w:val="20"/>
                <w:szCs w:val="20"/>
              </w:rPr>
              <w:t>EI rate at 28 days:</w:t>
            </w:r>
            <w:r>
              <w:rPr>
                <w:rFonts w:ascii="Calibri" w:eastAsia="Calibri" w:hAnsi="Calibri" w:cs="Calibri"/>
                <w:color w:val="333333"/>
                <w:sz w:val="20"/>
                <w:szCs w:val="20"/>
                <w:highlight w:val="white"/>
              </w:rPr>
              <w:t xml:space="preserve"> Helmet 27% vs. usual respiratory support 26% (p=0.85); </w:t>
            </w:r>
            <w:r>
              <w:rPr>
                <w:rFonts w:ascii="Calibri" w:eastAsia="Calibri" w:hAnsi="Calibri" w:cs="Calibri"/>
                <w:i/>
                <w:color w:val="333333"/>
                <w:sz w:val="20"/>
                <w:szCs w:val="20"/>
                <w:highlight w:val="white"/>
              </w:rPr>
              <w:t xml:space="preserve">ICU </w:t>
            </w:r>
            <w:r>
              <w:rPr>
                <w:rFonts w:ascii="Calibri" w:eastAsia="Calibri" w:hAnsi="Calibri" w:cs="Calibri"/>
                <w:color w:val="333333"/>
                <w:sz w:val="20"/>
                <w:szCs w:val="20"/>
                <w:highlight w:val="white"/>
              </w:rPr>
              <w:t>m</w:t>
            </w:r>
            <w:r>
              <w:rPr>
                <w:rFonts w:ascii="Calibri" w:eastAsia="Calibri" w:hAnsi="Calibri" w:cs="Calibri"/>
                <w:i/>
                <w:sz w:val="20"/>
                <w:szCs w:val="20"/>
              </w:rPr>
              <w:t>ortality:</w:t>
            </w:r>
            <w:r>
              <w:rPr>
                <w:rFonts w:ascii="Calibri" w:eastAsia="Calibri" w:hAnsi="Calibri" w:cs="Calibri"/>
                <w:sz w:val="20"/>
                <w:szCs w:val="20"/>
              </w:rPr>
              <w:t xml:space="preserve"> </w:t>
            </w:r>
            <w:r>
              <w:rPr>
                <w:rFonts w:ascii="Calibri" w:eastAsia="Calibri" w:hAnsi="Calibri" w:cs="Calibri"/>
                <w:i/>
                <w:sz w:val="20"/>
                <w:szCs w:val="20"/>
              </w:rPr>
              <w:t xml:space="preserve"> </w:t>
            </w:r>
            <w:r>
              <w:rPr>
                <w:rFonts w:ascii="Calibri" w:eastAsia="Calibri" w:hAnsi="Calibri" w:cs="Calibri"/>
                <w:color w:val="333333"/>
                <w:sz w:val="20"/>
                <w:szCs w:val="20"/>
                <w:highlight w:val="white"/>
              </w:rPr>
              <w:t xml:space="preserve">Helmet 35% vs. usual respiratory support 37% (p=0.70); </w:t>
            </w:r>
            <w:r>
              <w:rPr>
                <w:rFonts w:ascii="Calibri" w:eastAsia="Calibri" w:hAnsi="Calibri" w:cs="Calibri"/>
                <w:i/>
                <w:color w:val="333333"/>
                <w:sz w:val="20"/>
                <w:szCs w:val="20"/>
                <w:highlight w:val="white"/>
              </w:rPr>
              <w:t>H-</w:t>
            </w:r>
            <w:r>
              <w:rPr>
                <w:rFonts w:ascii="Calibri" w:eastAsia="Calibri" w:hAnsi="Calibri" w:cs="Calibri"/>
                <w:color w:val="333333"/>
                <w:sz w:val="20"/>
                <w:szCs w:val="20"/>
                <w:highlight w:val="white"/>
              </w:rPr>
              <w:t>m</w:t>
            </w:r>
            <w:r>
              <w:rPr>
                <w:rFonts w:ascii="Calibri" w:eastAsia="Calibri" w:hAnsi="Calibri" w:cs="Calibri"/>
                <w:i/>
                <w:sz w:val="20"/>
                <w:szCs w:val="20"/>
              </w:rPr>
              <w:t>ortality:</w:t>
            </w:r>
            <w:r>
              <w:rPr>
                <w:rFonts w:ascii="Calibri" w:eastAsia="Calibri" w:hAnsi="Calibri" w:cs="Calibri"/>
                <w:sz w:val="20"/>
                <w:szCs w:val="20"/>
              </w:rPr>
              <w:t xml:space="preserve"> </w:t>
            </w:r>
            <w:r>
              <w:rPr>
                <w:rFonts w:ascii="Calibri" w:eastAsia="Calibri" w:hAnsi="Calibri" w:cs="Calibri"/>
                <w:i/>
                <w:sz w:val="20"/>
                <w:szCs w:val="20"/>
              </w:rPr>
              <w:t xml:space="preserve"> </w:t>
            </w:r>
            <w:r>
              <w:rPr>
                <w:rFonts w:ascii="Calibri" w:eastAsia="Calibri" w:hAnsi="Calibri" w:cs="Calibri"/>
                <w:color w:val="333333"/>
                <w:sz w:val="20"/>
                <w:szCs w:val="20"/>
                <w:highlight w:val="white"/>
              </w:rPr>
              <w:t>Helmet 61% vs. usual respiratory support 64% (p=0.80).</w:t>
            </w:r>
          </w:p>
        </w:tc>
      </w:tr>
      <w:tr w:rsidR="00602D6F" w14:paraId="5A99AB96" w14:textId="77777777" w:rsidTr="004606EC">
        <w:tc>
          <w:tcPr>
            <w:tcW w:w="1848" w:type="dxa"/>
          </w:tcPr>
          <w:p w14:paraId="19D51213" w14:textId="6FA8E04A" w:rsidR="00602D6F" w:rsidRDefault="00602D6F" w:rsidP="004606EC">
            <w:pPr>
              <w:rPr>
                <w:rFonts w:ascii="Calibri" w:eastAsia="Calibri" w:hAnsi="Calibri" w:cs="Calibri"/>
                <w:sz w:val="20"/>
                <w:szCs w:val="20"/>
              </w:rPr>
            </w:pPr>
            <w:proofErr w:type="spellStart"/>
            <w:r>
              <w:rPr>
                <w:rFonts w:ascii="Calibri" w:eastAsia="Calibri" w:hAnsi="Calibri" w:cs="Calibri"/>
                <w:sz w:val="20"/>
                <w:szCs w:val="20"/>
              </w:rPr>
              <w:t>Coudroy</w:t>
            </w:r>
            <w:proofErr w:type="spellEnd"/>
            <w:r>
              <w:rPr>
                <w:rFonts w:ascii="Calibri" w:eastAsia="Calibri" w:hAnsi="Calibri" w:cs="Calibri"/>
                <w:sz w:val="20"/>
                <w:szCs w:val="20"/>
              </w:rPr>
              <w:t>, 2022</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{"citationID":"zGCKOxYW","properties":{"formattedCitation":"\\super 20\\nosupersub{}","plainCitation":"20","noteIndex":0},"citationItems":[{"id":2103,"uris":["http://zotero.org/users/local/MoY6DhL4/items/CZAT7XGC"],"itemData":{"id":2103,"type":"article-journal","abstract":"BACKGROUND: Although non-invasive ventilation (NIV) is recommended for immunocompromised patients with acute respiratory failure in the intensive care unit (ICU), it might have deleterious effects in the most severe patients. High-flow nasal oxygen (HFNO) alone might be an alternative method to reduce mortality. We aimed to determine whether HFNO alone could reduce the rate of mortality at day 28 compared with HFNO alternated with NIV.\nMETHODS: FLORALI-IM is a multicentre, open-label, randomised clinical trial conducted in 29 ICUs (28 in France and one in Italy). Adult immunocompromised patients with acute respiratory failure, defined as respiratory rate of 25 breaths per min or more and a partial pressure of arterial oxygen to inspired fraction of oxygen ratio of 300 mm Hg or lower, were randomly assigned (1:1) to HFNO alone (HFNO alone group) or NIV alternating with HFNO (NIV group). Key exclusion criteria were severe hypercapnia above 50 mm Hg, patients who could strongly benefit from NIV (ie, those with underlying chronic lung disease, with cardiogenic pulmonary oedema, or who were postoperative), severe shock, impaired consciousness defined as Glasgow coma score ≤12, urgent need for intubation, do not intubate order, and contraindication to NIV. Patients were assigned using computer-generated permuted blocks and were stratified according to centre and to the type of immunosuppression using a centralised web-based management system. In the HFNO alone group, patients were continuously treated by HFNO with a gas flow rate of 60 L/min or the highest tolerated. In the NIV group, patients were treated with NIV with a first session of at least 4 h, and then by sessions for a minimal duration of 12 h a day, with a dedicated ventilator, targeting a tidal volume below 8 mL/kg of predicted bodyweight, and with a positive end-expiratory level of at least 8 cm H2O. NIV sessions were interspaced with HFNO delivered as in the HFNO alone group. The primary outcome was mortality at day 28 and was assessed in the intention-to-treat population. Secondary outcomes were mortality in the ICU, in hospital, at day 90 and at day 180, intubation at day 28, length of stay in the ICU and in hospital, number of ventilator-free days at day 28, number of oxygenation technique-free days at day 28, and efficacy and tolerance of oxygenation techniques. The trial is registered with ClinicalTrials.gov, NCT02978300, and is complete.\nFINDINGS: Between Jan 21, 2017 to March 4, 2019, of 497 eligible patients, 300 were randomly assigned but one patient withdrew consent, leaving 299 patients included in the intention-to-treat analysis (154 assigned to the HFNO alone group and 145 assigned to NIV group). Mortality rate at day 28 was 36% (95% CI 29·2 to 44·2; 56 of 154 patients) in the HFNO alone group and 35% (27·9 to 43·2; 51 of 145 patients) in the NIV group (absolute difference 1·2% [95% CI -9·6 to 11·9]; p=0·83). None of the other prespecified secondary outcomes were different between groups except for greater decreased discomfort after initiation of HFNO than with NIV (-4 mm on visual analogic scale [IQR -18 to 4] vs 0 mm [-16 to 17]; p=0·040).\nINTERPRETATION: In critically ill immunocompromised patients with acute respiratory failure, the mortality rate did not differ between HFNO alone and NIV alternating with HFNO. However, study power was limited, so results should be interpreted with caution.\nFUNDING: French Ministry of Health.","container-title":"The Lancet. Respiratory Medicine","DOI":"10.1016/S2213-2600(22)00096-0","ISSN":"2213-2619","issue":"7","journalAbbreviation":"Lancet Respir Med","language":"eng","note":"PMID: 35325620","page":"641-649","source":"PubMed","title":"High-flow nasal oxygen alone or alternating with non-invasive ventilation in critically ill immunocompromised patients with acute respiratory failure: a randomised controlled trial","title-short":"High-flow nasal oxygen alone or alternating with non-invasive ventilation in critically ill immunocompromised patients with acute respiratory failure","volume":"10","author":[{"family":"Coudroy","given":"Rémi"},{"family":"Frat","given":"Jean-Pierre"},{"family":"Ehrmann","given":"Stephan"},{"family":"Pène","given":"Frédéric"},{"family":"Decavèle","given":"Maxens"},{"family":"Terzi","given":"Nicolas"},{"family":"Prat","given":"Gwenaël"},{"family":"Garret","given":"Charlotte"},{"family":"Contou","given":"Damien"},{"family":"Gacouin","given":"Arnaud"},{"family":"Bourenne","given":"Jeremy"},{"family":"Girault","given":"Christophe"},{"family":"Vinsonneau","given":"Christophe"},{"family":"Dellamonica","given":"Jean"},{"family":"Labro","given":"Guylaine"},{"family":"Jochmans","given":"Sébastien"},{"family":"Herbland","given":"Alexandre"},{"family":"Quenot","given":"Jean-Pierre"},{"family":"Devaquet","given":"Jérôme"},{"family":"Benzekri","given":"Dalila"},{"family":"Vivier","given":"Emmanuel"},{"family":"Nseir","given":"Saad"},{"family":"Colin","given":"Gwenhaël"},{"family":"Thevenin","given":"Didier"},{"family":"Grasselli","given":"Giacomo"},{"family":"Bougon","given":"David"},{"family":"Assefi","given":"Mona"},{"family":"Guérin","given":"Claude"},{"family":"Lherm","given":"Thierry"},{"family":"Kouatchet","given":"Achille"},{"family":"Ragot","given":"Stephanie"},{"family":"Thille","given":"Arnaud W."},{"literal":"FLORALI-IM study group and the REVA Research Network"}],"issued":{"date-parts":[["2022",7]]}}}],"schema":"https://github.com/citation-style-language/schema/raw/master/csl-citation.json"}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20</w:t>
            </w:r>
            <w:r>
              <w:rPr>
                <w:rFonts w:ascii="Calibri" w:eastAsia="Calibri" w:hAnsi="Calibri" w:cs="Calibri"/>
                <w:sz w:val="20"/>
                <w:szCs w:val="20"/>
              </w:rPr>
              <w:fldChar w:fldCharType="end"/>
            </w:r>
            <w:r>
              <w:rPr>
                <w:rFonts w:ascii="Calibri" w:eastAsia="Calibri" w:hAnsi="Calibri" w:cs="Calibri"/>
                <w:sz w:val="20"/>
                <w:szCs w:val="20"/>
              </w:rPr>
              <w:t>, 29 ICUs</w:t>
            </w:r>
          </w:p>
        </w:tc>
        <w:tc>
          <w:tcPr>
            <w:tcW w:w="2021" w:type="dxa"/>
          </w:tcPr>
          <w:p w14:paraId="1E231ED9"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N=299, I</w:t>
            </w:r>
            <w:r>
              <w:rPr>
                <w:rFonts w:ascii="Calibri" w:eastAsia="Calibri" w:hAnsi="Calibri" w:cs="Calibri"/>
                <w:color w:val="212121"/>
                <w:sz w:val="20"/>
                <w:szCs w:val="20"/>
                <w:highlight w:val="white"/>
              </w:rPr>
              <w:t xml:space="preserve">mmunocompromised patients with </w:t>
            </w:r>
            <w:r>
              <w:rPr>
                <w:rFonts w:ascii="Calibri" w:eastAsia="Calibri" w:hAnsi="Calibri" w:cs="Calibri"/>
                <w:sz w:val="20"/>
                <w:szCs w:val="20"/>
              </w:rPr>
              <w:t xml:space="preserve">AHRF </w:t>
            </w:r>
          </w:p>
        </w:tc>
        <w:tc>
          <w:tcPr>
            <w:tcW w:w="1738" w:type="dxa"/>
          </w:tcPr>
          <w:p w14:paraId="44632A4C" w14:textId="553F3859"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(N=154) vs. BiPAP (N=145)</w:t>
            </w:r>
          </w:p>
        </w:tc>
        <w:tc>
          <w:tcPr>
            <w:tcW w:w="1515" w:type="dxa"/>
          </w:tcPr>
          <w:p w14:paraId="2B5A79AE"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sz w:val="20"/>
                <w:szCs w:val="20"/>
              </w:rPr>
              <w:t>Facemask</w:t>
            </w:r>
            <w:r>
              <w:rPr>
                <w:rFonts w:ascii="Calibri" w:eastAsia="Calibri" w:hAnsi="Calibri" w:cs="Calibri"/>
                <w:color w:val="333333"/>
                <w:sz w:val="20"/>
                <w:szCs w:val="20"/>
                <w:highlight w:val="white"/>
              </w:rPr>
              <w:t xml:space="preserve"> or helmet</w:t>
            </w:r>
          </w:p>
        </w:tc>
        <w:tc>
          <w:tcPr>
            <w:tcW w:w="1894" w:type="dxa"/>
          </w:tcPr>
          <w:p w14:paraId="48FADA68" w14:textId="789F6123" w:rsidR="00602D6F" w:rsidRDefault="00602D6F" w:rsidP="004606EC">
            <w:pPr>
              <w:rPr>
                <w:rFonts w:ascii="Calibri" w:eastAsia="Calibri" w:hAnsi="Calibri" w:cs="Calibri"/>
                <w:i/>
                <w:sz w:val="20"/>
                <w:szCs w:val="20"/>
              </w:rPr>
            </w:pPr>
            <w:r>
              <w:rPr>
                <w:rFonts w:ascii="Calibri" w:eastAsia="Calibri" w:hAnsi="Calibri" w:cs="Calibri"/>
                <w:i/>
                <w:sz w:val="20"/>
                <w:szCs w:val="20"/>
              </w:rPr>
              <w:t>Mortality at 28 days:</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36% vs. BiPAP 35% (p=0.83); </w:t>
            </w:r>
            <w:r>
              <w:rPr>
                <w:rFonts w:ascii="Calibri" w:eastAsia="Calibri" w:hAnsi="Calibri" w:cs="Calibri"/>
                <w:i/>
                <w:sz w:val="20"/>
                <w:szCs w:val="20"/>
              </w:rPr>
              <w:t>discomfort after initiation (assessed by VAS):</w:t>
            </w:r>
            <w:r>
              <w:rPr>
                <w:rFonts w:ascii="Calibri" w:eastAsia="Calibri" w:hAnsi="Calibri" w:cs="Calibri"/>
                <w:sz w:val="20"/>
                <w:szCs w:val="20"/>
              </w:rPr>
              <w:t xml:space="preserve"> greater with </w:t>
            </w:r>
            <w:r w:rsidR="00327A09">
              <w:rPr>
                <w:rFonts w:ascii="Calibri" w:eastAsia="Calibri" w:hAnsi="Calibri" w:cs="Calibri"/>
                <w:sz w:val="20"/>
                <w:szCs w:val="20"/>
              </w:rPr>
              <w:t xml:space="preserve">HFNT </w:t>
            </w:r>
            <w:r>
              <w:rPr>
                <w:rFonts w:ascii="Calibri" w:eastAsia="Calibri" w:hAnsi="Calibri" w:cs="Calibri"/>
                <w:sz w:val="20"/>
                <w:szCs w:val="20"/>
              </w:rPr>
              <w:t>(p=0.04).</w:t>
            </w:r>
          </w:p>
        </w:tc>
      </w:tr>
      <w:tr w:rsidR="00602D6F" w14:paraId="7587EC51" w14:textId="77777777" w:rsidTr="004606EC">
        <w:tc>
          <w:tcPr>
            <w:tcW w:w="1848" w:type="dxa"/>
          </w:tcPr>
          <w:p w14:paraId="5458713B" w14:textId="316F623C"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RENOVATE Investigators and the </w:t>
            </w:r>
            <w:proofErr w:type="spellStart"/>
            <w:r>
              <w:rPr>
                <w:rFonts w:ascii="Calibri" w:eastAsia="Calibri" w:hAnsi="Calibri" w:cs="Calibri"/>
                <w:sz w:val="20"/>
                <w:szCs w:val="20"/>
              </w:rPr>
              <w:t>BRICNet</w:t>
            </w:r>
            <w:proofErr w:type="spellEnd"/>
            <w:r>
              <w:rPr>
                <w:rFonts w:ascii="Calibri" w:eastAsia="Calibri" w:hAnsi="Calibri" w:cs="Calibri"/>
                <w:sz w:val="20"/>
                <w:szCs w:val="20"/>
              </w:rPr>
              <w:t xml:space="preserve"> Authors</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{"citationID":"xaGplKru","properties":{"formattedCitation":"\\super 13\\nosupersub{}","plainCitation":"13","noteIndex":0},"citationItems":[{"id":2784,"uris":["http://zotero.org/users/local/MoY6DhL4/items/MHJX5L2M"],"itemData":{"id":2784,"type":"article-journal","abstract":"Importance\n              High-flow nasal oxygen (HFNO) and noninvasive ventilation (NIV) are commonly used respiratory support therapies for patients with acute respiratory failure (ARF).\n            \n            \n              Objective\n              To assess whether HFNO is noninferior to NIV on the rates of endotracheal intubation or death at 7 days in 5 patient groups with ARF.\n            \n            \n              Design, Setting, and Participants\n              This noninferiority, randomized clinical trial enrolled hospitalized adults (aged ≥18 years; classified as 5 patient groups with ARF: nonimmunocompromised with hypoxemia, immunocompromised with hypoxemia, chronic obstructive pulmonary disease [COPD] exacerbation with respiratory acidosis, acute cardiogenic pulmonary edema [ACPE], or hypoxemic COVID-19, which was added as a separate group on June 26, 2023) at 33 hospitals in Brazil between November 2019 and November 2023 (final follow-up: April 26, 2024).\n            \n            \n              Interventions\n              High-flow nasal oxygen (n = 883) or NIV (n = 883).\n            \n            \n              Main Outcomes and Measures\n              The primary outcome was endotracheal intubation or death within 7 days assessed using a bayesian hierarchical model with dynamic borrowing across patient groups. Noninferiority was defined by a posterior probability of 0.992 or greater for an odds ratio (OR) less than 1.55.\n            \n            \n              Results\n              Among 1800 patients, 1766 completed the study (mean age, 64 [SD, 17] years; 707 [40%] were women). The primary outcome of endotracheal intubation or death at 7 days occurred in 39% (344/883) in the HFNO group vs 38% (336/883) in the NIV group. In the immunocompromised with hypoxemia patient group, the primary outcome occurred in 57.1% (16/28) in the HFNO group vs 36.4% (8/22) in the NIV group; enrollment was stopped for futility (final OR, 1.07; 95% credible interval [CrI], 0.81-1.39; noninferiority posterior probability [NPP], 0.989). In the nonimmunocompromised with hypoxemia group, the primary outcome occurred in 32.5% (81/249) in the HFNO group vs 33.1% (78/236) in the NIV group (OR, 1.02 [95% CrI, 0.81-1.26]; NPP, 0.999). In the ACPE group, the primary outcome occurred in 10.3% (14/136) in the HFNO group vs 21.3% (29/136) in the NIV group (OR, 0.97 [95% CrI, 0.73-1.23]; NPP, 0.997). In the hypoxemic COVID-19 group, the primary outcome occurred in 51.3% (223/435) in the HFNO group vs 47.0% (210/447) in the NIV group (OR, 1.13 [95% CrI, 0.94-1.38]; NPP, 0.997). In the COPD exacerbation with respiratory acidosis group, the primary outcome occurred in 28.6% (10/35) in the HFNO group vs 26.2% (11/42) in the NIV group (OR, 1.05 [95% CrI, 0.79-1.36]; NPP, 0.992). However, a post hoc analysis without dynamic borrowing across the 5 ARF patient groups revealed some qualitatively different results in patients with COPD, immunocompromised patients, and patients with ACPE. The incidence of serious adverse events was similar (9.4% of patients in HFNO group vs 9.9% in NIV group).\n            \n            \n              Conclusions and Relevance\n              Compared with NIV, HFNO met prespecified criteria for noninferiority for the primary outcome of endotracheal intubation or death within 7 days in 4 of the 5 patient groups with ARF. However, the small sample sizes in some patient groups and the sensitivity of the findings to the choice of analysis model suggests the need for further study in patients with COPD, immunocompromised patients, and patients with ACPE.\n            \n            \n              Trial Registration\n              \n                ClinicalTrials.gov Identifier:\n                NCT03643939","container-title":"JAMA","DOI":"10.1001/jama.2024.26244","ISSN":"0098-7484","journalAbbreviation":"JAMA","language":"en","source":"DOI.org (Crossref)","title":"High-Flow Nasal Oxygen vs Noninvasive Ventilation in Patients With Acute Respiratory Failure: The RENOVATE Randomized Clinical Trial","title-short":"High-Flow Nasal Oxygen vs Noninvasive Ventilation in Patients With Acute Respiratory Failure","URL":"https://jamanetwork.com/journals/jama/fullarticle/2828065","author":[{"literal":"RENOVATE Investigators and the BRICNet Authors"},{"family":"Francio","given":"Fabiano"},{"family":"Weigert","given":"Renata Monteiro"},{"family":"Mattei","given":"Edna Daldania Biolchi"},{"family":"Grion","given":"Cintia Magalhaes Carvalho"},{"family":"Festti","given":"Josiane"},{"family":"Mezzaroba","given":"Ana Luiza"},{"family":"Serpa Neto","given":"Ary"},{"family":"Timenetsky","given":"Karina T."},{"family":"Nogueira","given":"Adriana Maria Simoes Orfao"},{"family":"Brito","given":"Marcus Vinicius Camargo"},{"family":"Lima","given":"Iuri Dheloi Oliveira"},{"family":"Dona","given":"Rodrigo Alexandre"},{"family":"Mafra","given":"Marina Monica Bahl"},{"family":"Starke","given":"Ana Carolina"},{"family":"Lisboa","given":"Thiago"},{"family":"Fachini","given":"Caroline"},{"family":"Torelly","given":"André"},{"family":"Biondi","given":"Rodrigo Santos"},{"family":"Souza","given":"Andre Luiz Nascimento"},{"family":"Fernandes","given":"Anderson Luiz Mendes"},{"family":"Araujo","given":"Gustavo Neves"},{"family":"Ponte","given":"Vicente"},{"family":"Antunes","given":"Maria Helena Moraes"},{"family":"Cardoso","given":"Fabio Fernandes Cardoso"},{"family":"Poersch","given":"Alice Bertotto"},{"family":"Ramires","given":"Yuri Carlotto"},{"family":"Moura","given":"Lúcio Roberto Requiao"},{"family":"Peruzzo","given":"Maria Bethania"},{"family":"Sposito","given":"Jonas"},{"family":"Piekala","given":"Daniele Martins"},{"family":"Wawrzeniak","given":"Iuri Christmann"},{"family":"Fialkow","given":"Léa"},{"family":"Dutra","given":"Marcela"},{"family":"Mazera","given":"Maiara Suelen"},{"family":"Martins","given":"Cassia Pimenta Barufi"},{"family":"Freitas","given":"Daniela Helena Machado"},{"family":"Sanches","given":"Luciana Coelho"},{"family":"Pereira","given":"Maísa Guimarães De Castro"},{"family":"Cunha","given":"Mariana Regina"},{"family":"Maia","given":"Israel S."},{"family":"Kawano-Dourado","given":"Letícia"},{"family":"Tramujas","given":"Lucas"},{"family":"De Oliveira","given":"Neymar Elias"},{"family":"Souza","given":"Rafael Naoki"},{"family":"Signorini","given":"Dhaisi Faustino"},{"family":"Pincelli","given":"Mariangela Pimentel"},{"family":"Zandonai","given":"Cássio Luis"},{"family":"Blasius","given":"Regiane Tamires"},{"family":"Freires","given":"Fabrício"},{"family":"Ferreira","given":"Vanessa Marques"},{"family":"Romano","given":"Marcelo Luz Pereira"},{"family":"Miura","given":"Mieko Claudia"},{"family":"De Censo","given":"Caroline Maschio"},{"family":"Caser","given":"Eliana Bernadete"},{"family":"Silva","given":"Betania"},{"family":"Santos Bonomo","given":"Daniela Correia"},{"family":"Arraes","given":"Jussara Alencar"},{"family":"De Alencar Filho","given":"Meton Soares"},{"family":"Álvares Horta","given":"Jacques Gabriel"},{"family":"Oliveira","given":"Déborah Campos"},{"family":"Boschi","given":"Emerson"},{"family":"Costa","given":"Rafael Lessa"},{"family":"Westphal","given":"Glauco Adrieno"},{"family":"Ramos","given":"Juliano"},{"family":"Lacerda","given":"Fábio Holanda"},{"family":"Filho","given":"Conrado Roberto Hoffmann"},{"family":"Pinheiro","given":"Bruno Valle"},{"family":"De Andrade Neumamm","given":"Leonardo Bugarin"},{"family":"Guimarães Júnior","given":"Mário Roberto Rezende"},{"family":"De Souza","given":"Davi Tamamaru"},{"family":"Ferreira","given":"Juliana Carvalho"},{"family":"Ohe","given":"Louis Nakayama"},{"family":"Schettini","given":"Daniel Almeida"},{"family":"Thompson","given":"Marlus Muri"},{"family":"De Oliveira","given":"Maria Cristina França"},{"family":"Veiga","given":"Viviane Cordeiro"},{"family":"Negrelli","given":"Karina L."},{"family":"Santos","given":"Renato H. N."},{"family":"Damiani","given":"Lucas"},{"family":"Gurgel","given":"Rodrigo M."},{"family":"Gomes","given":"Samara P. C."},{"family":"Lima","given":"Lucas M."},{"family":"Miranda","given":"Tamiris A."},{"family":"Laranjeira","given":"Ligia N."},{"family":"De Barros E Silva","given":"Pedro Gabriel Melo"},{"family":"Machado","given":"Flávia R."},{"family":"Fitzgerald","given":"Mark"},{"family":"Bosse","given":"Anna"},{"family":"Marion","given":"Joe"},{"family":"Carvalho","given":"Carlos Roberto Ribeiro"},{"family":"Brochard","given":"Laurent"},{"family":"Lewis","given":"Roger J."},{"family":"Biasi Cavalcanti","given":"Alexandre"}],"accessed":{"date-parts":[["2025",2,13]]},"issued":{"date-parts":[["2024",12,10]]}}}],"schema":"https://github.com/citation-style-language/schema/raw/master/csl-citation.json"}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13</w:t>
            </w:r>
            <w:r>
              <w:rPr>
                <w:rFonts w:ascii="Calibri" w:eastAsia="Calibri" w:hAnsi="Calibri" w:cs="Calibri"/>
                <w:sz w:val="20"/>
                <w:szCs w:val="20"/>
              </w:rPr>
              <w:fldChar w:fldCharType="end"/>
            </w:r>
            <w:r>
              <w:rPr>
                <w:rFonts w:ascii="Calibri" w:eastAsia="Calibri" w:hAnsi="Calibri" w:cs="Calibri"/>
                <w:sz w:val="20"/>
                <w:szCs w:val="20"/>
              </w:rPr>
              <w:t xml:space="preserve">, 2024, 33 </w:t>
            </w:r>
            <w:proofErr w:type="spellStart"/>
            <w:r>
              <w:rPr>
                <w:rFonts w:ascii="Calibri" w:eastAsia="Calibri" w:hAnsi="Calibri" w:cs="Calibri"/>
                <w:sz w:val="20"/>
                <w:szCs w:val="20"/>
              </w:rPr>
              <w:t>centers</w:t>
            </w:r>
            <w:proofErr w:type="spellEnd"/>
            <w:r>
              <w:rPr>
                <w:rFonts w:ascii="Calibri" w:eastAsia="Calibri" w:hAnsi="Calibri" w:cs="Calibri"/>
                <w:sz w:val="20"/>
                <w:szCs w:val="20"/>
              </w:rPr>
              <w:t xml:space="preserve"> (Eds, medical wards or ICUs)</w:t>
            </w:r>
          </w:p>
        </w:tc>
        <w:tc>
          <w:tcPr>
            <w:tcW w:w="2021" w:type="dxa"/>
          </w:tcPr>
          <w:p w14:paraId="5FFCD92C"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N=485, AHRF subgroup</w:t>
            </w:r>
          </w:p>
        </w:tc>
        <w:tc>
          <w:tcPr>
            <w:tcW w:w="1738" w:type="dxa"/>
          </w:tcPr>
          <w:p w14:paraId="022446AD" w14:textId="66236857" w:rsidR="00602D6F" w:rsidRDefault="00327A09" w:rsidP="004606EC">
            <w:pPr>
              <w:rPr>
                <w:rFonts w:ascii="Calibri" w:eastAsia="Calibri" w:hAnsi="Calibri" w:cs="Calibri"/>
                <w:color w:val="333333"/>
                <w:sz w:val="20"/>
                <w:szCs w:val="20"/>
                <w:highlight w:val="white"/>
              </w:rPr>
            </w:pPr>
            <w:r>
              <w:rPr>
                <w:rFonts w:ascii="Calibri" w:eastAsia="Calibri" w:hAnsi="Calibri" w:cs="Calibri"/>
                <w:sz w:val="20"/>
                <w:szCs w:val="20"/>
              </w:rPr>
              <w:t xml:space="preserve">HFNT </w:t>
            </w:r>
            <w:r w:rsidR="00602D6F">
              <w:rPr>
                <w:rFonts w:ascii="Calibri" w:eastAsia="Calibri" w:hAnsi="Calibri" w:cs="Calibri"/>
                <w:sz w:val="20"/>
                <w:szCs w:val="20"/>
              </w:rPr>
              <w:t>(N=249) vs. BiPAP (N=236)</w:t>
            </w:r>
          </w:p>
        </w:tc>
        <w:tc>
          <w:tcPr>
            <w:tcW w:w="1515" w:type="dxa"/>
          </w:tcPr>
          <w:p w14:paraId="44B81E95"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sz w:val="20"/>
                <w:szCs w:val="20"/>
              </w:rPr>
              <w:t>Facemask</w:t>
            </w:r>
          </w:p>
        </w:tc>
        <w:tc>
          <w:tcPr>
            <w:tcW w:w="1894" w:type="dxa"/>
          </w:tcPr>
          <w:p w14:paraId="667A1BC3" w14:textId="392AE1D2" w:rsidR="00602D6F" w:rsidRDefault="00602D6F" w:rsidP="004606EC">
            <w:pPr>
              <w:rPr>
                <w:rFonts w:ascii="Calibri" w:eastAsia="Calibri" w:hAnsi="Calibri" w:cs="Calibri"/>
                <w:color w:val="333333"/>
                <w:sz w:val="20"/>
                <w:szCs w:val="20"/>
                <w:highlight w:val="white"/>
              </w:rPr>
            </w:pPr>
            <w:r>
              <w:rPr>
                <w:rFonts w:ascii="Calibri" w:eastAsia="Calibri" w:hAnsi="Calibri" w:cs="Calibri"/>
                <w:i/>
                <w:sz w:val="20"/>
                <w:szCs w:val="20"/>
              </w:rPr>
              <w:t xml:space="preserve">Death or intubation (combined) within 7 days: </w:t>
            </w:r>
            <w:r w:rsidR="00327A09">
              <w:rPr>
                <w:rFonts w:ascii="Calibri" w:eastAsia="Calibri" w:hAnsi="Calibri" w:cs="Calibri"/>
                <w:sz w:val="20"/>
                <w:szCs w:val="20"/>
              </w:rPr>
              <w:t xml:space="preserve">HFNT </w:t>
            </w:r>
            <w:r>
              <w:rPr>
                <w:rFonts w:ascii="Calibri" w:eastAsia="Calibri" w:hAnsi="Calibri" w:cs="Calibri"/>
                <w:sz w:val="20"/>
                <w:szCs w:val="20"/>
              </w:rPr>
              <w:t xml:space="preserve">32.5% </w:t>
            </w:r>
            <w:r>
              <w:rPr>
                <w:rFonts w:ascii="Calibri" w:eastAsia="Calibri" w:hAnsi="Calibri" w:cs="Calibri"/>
                <w:color w:val="333333"/>
                <w:sz w:val="20"/>
                <w:szCs w:val="20"/>
                <w:highlight w:val="white"/>
              </w:rPr>
              <w:t xml:space="preserve">vs. </w:t>
            </w:r>
            <w:r>
              <w:rPr>
                <w:rFonts w:ascii="Calibri" w:eastAsia="Calibri" w:hAnsi="Calibri" w:cs="Calibri"/>
                <w:sz w:val="20"/>
                <w:szCs w:val="20"/>
              </w:rPr>
              <w:t xml:space="preserve">BiPAP 33.1% </w:t>
            </w:r>
            <w:r>
              <w:rPr>
                <w:rFonts w:ascii="Calibri" w:eastAsia="Calibri" w:hAnsi="Calibri" w:cs="Calibri"/>
                <w:color w:val="333333"/>
                <w:sz w:val="20"/>
                <w:szCs w:val="20"/>
                <w:highlight w:val="white"/>
              </w:rPr>
              <w:t>(OR 1.02, 95% CI 0.81-1.26; noninferiority posterior probability 0.999).</w:t>
            </w:r>
          </w:p>
        </w:tc>
      </w:tr>
      <w:tr w:rsidR="00602D6F" w14:paraId="3DAA5860" w14:textId="77777777" w:rsidTr="004606EC">
        <w:tc>
          <w:tcPr>
            <w:tcW w:w="1848" w:type="dxa"/>
          </w:tcPr>
          <w:p w14:paraId="7A81CF84" w14:textId="5D462037"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RENOVATE Investigators and the </w:t>
            </w:r>
            <w:proofErr w:type="spellStart"/>
            <w:r>
              <w:rPr>
                <w:rFonts w:ascii="Calibri" w:eastAsia="Calibri" w:hAnsi="Calibri" w:cs="Calibri"/>
                <w:sz w:val="20"/>
                <w:szCs w:val="20"/>
              </w:rPr>
              <w:t>BRICNet</w:t>
            </w:r>
            <w:proofErr w:type="spellEnd"/>
            <w:r>
              <w:rPr>
                <w:rFonts w:ascii="Calibri" w:eastAsia="Calibri" w:hAnsi="Calibri" w:cs="Calibri"/>
                <w:sz w:val="20"/>
                <w:szCs w:val="20"/>
              </w:rPr>
              <w:t xml:space="preserve"> Authors</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{"citationID":"r4HLUqop","properties":{"formattedCitation":"\\super 13\\nosupersub{}","plainCitation":"13","noteIndex":0},"citationItems":[{"id":2784,"uris":["http://zotero.org/users/local/MoY6DhL4/items/MHJX5L2M"],"itemData":{"id":2784,"type":"article-journal","abstract":"Importance\n              High-flow nasal oxygen (HFNO) and noninvasive ventilation (NIV) are commonly used respiratory support therapies for patients with acute respiratory failure (ARF).\n            \n            \n              Objective\n              To assess whether HFNO is noninferior to NIV on the rates of endotracheal intubation or death at 7 days in 5 patient groups with ARF.\n            \n            \n              Design, Setting, and Participants\n              This noninferiority, randomized clinical trial enrolled hospitalized adults (aged ≥18 years; classified as 5 patient groups with ARF: nonimmunocompromised with hypoxemia, immunocompromised with hypoxemia, chronic obstructive pulmonary disease [COPD] exacerbation with respiratory acidosis, acute cardiogenic pulmonary edema [ACPE], or hypoxemic COVID-19, which was added as a separate group on June 26, 2023) at 33 hospitals in Brazil between November 2019 and November 2023 (final follow-up: April 26, 2024).\n            \n            \n              Interventions\n              High-flow nasal oxygen (n = 883) or NIV (n = 883).\n            \n            \n              Main Outcomes and Measures\n              The primary outcome was endotracheal intubation or death within 7 days assessed using a bayesian hierarchical model with dynamic borrowing across patient groups. Noninferiority was defined by a posterior probability of 0.992 or greater for an odds ratio (OR) less than 1.55.\n            \n            \n              Results\n              Among 1800 patients, 1766 completed the study (mean age, 64 [SD, 17] years; 707 [40%] were women). The primary outcome of endotracheal intubation or death at 7 days occurred in 39% (344/883) in the HFNO group vs 38% (336/883) in the NIV group. In the immunocompromised with hypoxemia patient group, the primary outcome occurred in 57.1% (16/28) in the HFNO group vs 36.4% (8/22) in the NIV group; enrollment was stopped for futility (final OR, 1.07; 95% credible interval [CrI], 0.81-1.39; noninferiority posterior probability [NPP], 0.989). In the nonimmunocompromised with hypoxemia group, the primary outcome occurred in 32.5% (81/249) in the HFNO group vs 33.1% (78/236) in the NIV group (OR, 1.02 [95% CrI, 0.81-1.26]; NPP, 0.999). In the ACPE group, the primary outcome occurred in 10.3% (14/136) in the HFNO group vs 21.3% (29/136) in the NIV group (OR, 0.97 [95% CrI, 0.73-1.23]; NPP, 0.997). In the hypoxemic COVID-19 group, the primary outcome occurred in 51.3% (223/435) in the HFNO group vs 47.0% (210/447) in the NIV group (OR, 1.13 [95% CrI, 0.94-1.38]; NPP, 0.997). In the COPD exacerbation with respiratory acidosis group, the primary outcome occurred in 28.6% (10/35) in the HFNO group vs 26.2% (11/42) in the NIV group (OR, 1.05 [95% CrI, 0.79-1.36]; NPP, 0.992). However, a post hoc analysis without dynamic borrowing across the 5 ARF patient groups revealed some qualitatively different results in patients with COPD, immunocompromised patients, and patients with ACPE. The incidence of serious adverse events was similar (9.4% of patients in HFNO group vs 9.9% in NIV group).\n            \n            \n              Conclusions and Relevance\n              Compared with NIV, HFNO met prespecified criteria for noninferiority for the primary outcome of endotracheal intubation or death within 7 days in 4 of the 5 patient groups with ARF. However, the small sample sizes in some patient groups and the sensitivity of the findings to the choice of analysis model suggests the need for further study in patients with COPD, immunocompromised patients, and patients with ACPE.\n            \n            \n              Trial Registration\n              \n                ClinicalTrials.gov Identifier:\n                NCT03643939","container-title":"JAMA","DOI":"10.1001/jama.2024.26244","ISSN":"0098-7484","journalAbbreviation":"JAMA","language":"en","source":"DOI.org (Crossref)","title":"High-Flow Nasal Oxygen vs Noninvasive Ventilation in Patients With Acute Respiratory Failure: The RENOVATE Randomized Clinical Trial","title-short":"High-Flow Nasal Oxygen vs Noninvasive Ventilation in Patients With Acute Respiratory Failure","URL":"https://jamanetwork.com/journals/jama/fullarticle/2828065","author":[{"literal":"RENOVATE Investigators and the BRICNet Authors"},{"family":"Francio","given":"Fabiano"},{"family":"Weigert","given":"Renata Monteiro"},{"family":"Mattei","given":"Edna Daldania Biolchi"},{"family":"Grion","given":"Cintia Magalhaes Carvalho"},{"family":"Festti","given":"Josiane"},{"family":"Mezzaroba","given":"Ana Luiza"},{"family":"Serpa Neto","given":"Ary"},{"family":"Timenetsky","given":"Karina T."},{"family":"Nogueira","given":"Adriana Maria Simoes Orfao"},{"family":"Brito","given":"Marcus Vinicius Camargo"},{"family":"Lima","given":"Iuri Dheloi Oliveira"},{"family":"Dona","given":"Rodrigo Alexandre"},{"family":"Mafra","given":"Marina Monica Bahl"},{"family":"Starke","given":"Ana Carolina"},{"family":"Lisboa","given":"Thiago"},{"family":"Fachini","given":"Caroline"},{"family":"Torelly","given":"André"},{"family":"Biondi","given":"Rodrigo Santos"},{"family":"Souza","given":"Andre Luiz Nascimento"},{"family":"Fernandes","given":"Anderson Luiz Mendes"},{"family":"Araujo","given":"Gustavo Neves"},{"family":"Ponte","given":"Vicente"},{"family":"Antunes","given":"Maria Helena Moraes"},{"family":"Cardoso","given":"Fabio Fernandes Cardoso"},{"family":"Poersch","given":"Alice Bertotto"},{"family":"Ramires","given":"Yuri Carlotto"},{"family":"Moura","given":"Lúcio Roberto Requiao"},{"family":"Peruzzo","given":"Maria Bethania"},{"family":"Sposito","given":"Jonas"},{"family":"Piekala","given":"Daniele Martins"},{"family":"Wawrzeniak","given":"Iuri Christmann"},{"family":"Fialkow","given":"Léa"},{"family":"Dutra","given":"Marcela"},{"family":"Mazera","given":"Maiara Suelen"},{"family":"Martins","given":"Cassia Pimenta Barufi"},{"family":"Freitas","given":"Daniela Helena Machado"},{"family":"Sanches","given":"Luciana Coelho"},{"family":"Pereira","given":"Maísa Guimarães De Castro"},{"family":"Cunha","given":"Mariana Regina"},{"family":"Maia","given":"Israel S."},{"family":"Kawano-Dourado","given":"Letícia"},{"family":"Tramujas","given":"Lucas"},{"family":"De Oliveira","given":"Neymar Elias"},{"family":"Souza","given":"Rafael Naoki"},{"family":"Signorini","given":"Dhaisi Faustino"},{"family":"Pincelli","given":"Mariangela Pimentel"},{"family":"Zandonai","given":"Cássio Luis"},{"family":"Blasius","given":"Regiane Tamires"},{"family":"Freires","given":"Fabrício"},{"family":"Ferreira","given":"Vanessa Marques"},{"family":"Romano","given":"Marcelo Luz Pereira"},{"family":"Miura","given":"Mieko Claudia"},{"family":"De Censo","given":"Caroline Maschio"},{"family":"Caser","given":"Eliana Bernadete"},{"family":"Silva","given":"Betania"},{"family":"Santos Bonomo","given":"Daniela Correia"},{"family":"Arraes","given":"Jussara Alencar"},{"family":"De Alencar Filho","given":"Meton Soares"},{"family":"Álvares Horta","given":"Jacques Gabriel"},{"family":"Oliveira","given":"Déborah Campos"},{"family":"Boschi","given":"Emerson"},{"family":"Costa","given":"Rafael Lessa"},{"family":"Westphal","given":"Glauco Adrieno"},{"family":"Ramos","given":"Juliano"},{"family":"Lacerda","given":"Fábio Holanda"},{"family":"Filho","given":"Conrado Roberto Hoffmann"},{"family":"Pinheiro","given":"Bruno Valle"},{"family":"De Andrade Neumamm","given":"Leonardo Bugarin"},{"family":"Guimarães Júnior","given":"Mário Roberto Rezende"},{"family":"De Souza","given":"Davi Tamamaru"},{"family":"Ferreira","given":"Juliana Carvalho"},{"family":"Ohe","given":"Louis Nakayama"},{"family":"Schettini","given":"Daniel Almeida"},{"family":"Thompson","given":"Marlus Muri"},{"family":"De Oliveira","given":"Maria Cristina França"},{"family":"Veiga","given":"Viviane Cordeiro"},{"family":"Negrelli","given":"Karina L."},{"family":"Santos","given":"Renato H. N."},{"family":"Damiani","given":"Lucas"},{"family":"Gurgel","given":"Rodrigo M."},{"family":"Gomes","given":"Samara P. C."},{"family":"Lima","given":"Lucas M."},{"family":"Miranda","given":"Tamiris A."},{"family":"Laranjeira","given":"Ligia N."},{"family":"De Barros E Silva","given":"Pedro Gabriel Melo"},{"family":"Machado","given":"Flávia R."},{"family":"Fitzgerald","given":"Mark"},{"family":"Bosse","given":"Anna"},{"family":"Marion","given":"Joe"},{"family":"Carvalho","given":"Carlos Roberto Ribeiro"},{"family":"Brochard","given":"Laurent"},{"family":"Lewis","given":"Roger J."},{"family":"Biasi Cavalcanti","given":"Alexandre"}],"accessed":{"date-parts":[["2025",2,13]]},"issued":{"date-parts":[["2024",12,10]]}}}],"schema":"https://github.com/citation-style-language/schema/raw/master/csl-citation.json"}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13</w:t>
            </w:r>
            <w:r>
              <w:rPr>
                <w:rFonts w:ascii="Calibri" w:eastAsia="Calibri" w:hAnsi="Calibri" w:cs="Calibri"/>
                <w:sz w:val="20"/>
                <w:szCs w:val="20"/>
              </w:rPr>
              <w:fldChar w:fldCharType="end"/>
            </w:r>
            <w:r>
              <w:rPr>
                <w:rFonts w:ascii="Calibri" w:eastAsia="Calibri" w:hAnsi="Calibri" w:cs="Calibri"/>
                <w:sz w:val="20"/>
                <w:szCs w:val="20"/>
              </w:rPr>
              <w:t xml:space="preserve">, 2024, 33 </w:t>
            </w:r>
            <w:proofErr w:type="spellStart"/>
            <w:r>
              <w:rPr>
                <w:rFonts w:ascii="Calibri" w:eastAsia="Calibri" w:hAnsi="Calibri" w:cs="Calibri"/>
                <w:sz w:val="20"/>
                <w:szCs w:val="20"/>
              </w:rPr>
              <w:t>centers</w:t>
            </w:r>
            <w:proofErr w:type="spellEnd"/>
            <w:r>
              <w:rPr>
                <w:rFonts w:ascii="Calibri" w:eastAsia="Calibri" w:hAnsi="Calibri" w:cs="Calibri"/>
                <w:sz w:val="20"/>
                <w:szCs w:val="20"/>
              </w:rPr>
              <w:t xml:space="preserve"> (Eds, medical wards or ICUs)</w:t>
            </w:r>
          </w:p>
        </w:tc>
        <w:tc>
          <w:tcPr>
            <w:tcW w:w="2021" w:type="dxa"/>
          </w:tcPr>
          <w:p w14:paraId="6102F0F7"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N=50, I</w:t>
            </w:r>
            <w:r>
              <w:rPr>
                <w:rFonts w:ascii="Calibri" w:eastAsia="Calibri" w:hAnsi="Calibri" w:cs="Calibri"/>
                <w:color w:val="212121"/>
                <w:sz w:val="20"/>
                <w:szCs w:val="20"/>
                <w:highlight w:val="white"/>
              </w:rPr>
              <w:t xml:space="preserve">mmunocompromised patients with </w:t>
            </w:r>
            <w:r>
              <w:rPr>
                <w:rFonts w:ascii="Calibri" w:eastAsia="Calibri" w:hAnsi="Calibri" w:cs="Calibri"/>
                <w:sz w:val="20"/>
                <w:szCs w:val="20"/>
              </w:rPr>
              <w:t>AHRF subgroup</w:t>
            </w:r>
          </w:p>
        </w:tc>
        <w:tc>
          <w:tcPr>
            <w:tcW w:w="1738" w:type="dxa"/>
          </w:tcPr>
          <w:p w14:paraId="48E310DE" w14:textId="74EEDB63" w:rsidR="00602D6F" w:rsidRDefault="00327A09" w:rsidP="004606EC">
            <w:pPr>
              <w:rPr>
                <w:rFonts w:ascii="Calibri" w:eastAsia="Calibri" w:hAnsi="Calibri" w:cs="Calibri"/>
                <w:color w:val="333333"/>
                <w:sz w:val="20"/>
                <w:szCs w:val="20"/>
                <w:highlight w:val="white"/>
              </w:rPr>
            </w:pPr>
            <w:r>
              <w:rPr>
                <w:rFonts w:ascii="Calibri" w:eastAsia="Calibri" w:hAnsi="Calibri" w:cs="Calibri"/>
                <w:sz w:val="20"/>
                <w:szCs w:val="20"/>
              </w:rPr>
              <w:t xml:space="preserve">HFNT </w:t>
            </w:r>
            <w:r w:rsidR="00602D6F">
              <w:rPr>
                <w:rFonts w:ascii="Calibri" w:eastAsia="Calibri" w:hAnsi="Calibri" w:cs="Calibri"/>
                <w:sz w:val="20"/>
                <w:szCs w:val="20"/>
              </w:rPr>
              <w:t>(N=28) vs. BiPAP (N=22)</w:t>
            </w:r>
          </w:p>
        </w:tc>
        <w:tc>
          <w:tcPr>
            <w:tcW w:w="1515" w:type="dxa"/>
          </w:tcPr>
          <w:p w14:paraId="4A0AE605"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sz w:val="20"/>
                <w:szCs w:val="20"/>
              </w:rPr>
              <w:t>Facemask</w:t>
            </w:r>
          </w:p>
        </w:tc>
        <w:tc>
          <w:tcPr>
            <w:tcW w:w="1894" w:type="dxa"/>
          </w:tcPr>
          <w:p w14:paraId="1F2731B3" w14:textId="1F4755BC" w:rsidR="00602D6F" w:rsidRDefault="00602D6F" w:rsidP="004606EC">
            <w:pPr>
              <w:rPr>
                <w:rFonts w:ascii="Calibri" w:eastAsia="Calibri" w:hAnsi="Calibri" w:cs="Calibri"/>
                <w:i/>
                <w:sz w:val="20"/>
                <w:szCs w:val="20"/>
              </w:rPr>
            </w:pPr>
            <w:r>
              <w:rPr>
                <w:rFonts w:ascii="Calibri" w:eastAsia="Calibri" w:hAnsi="Calibri" w:cs="Calibri"/>
                <w:i/>
                <w:sz w:val="20"/>
                <w:szCs w:val="20"/>
              </w:rPr>
              <w:t xml:space="preserve">Death or intubation (combined) within 7 days: </w:t>
            </w:r>
            <w:r w:rsidR="00327A09">
              <w:rPr>
                <w:rFonts w:ascii="Calibri" w:eastAsia="Calibri" w:hAnsi="Calibri" w:cs="Calibri"/>
                <w:sz w:val="20"/>
                <w:szCs w:val="20"/>
              </w:rPr>
              <w:t xml:space="preserve">HFNT </w:t>
            </w:r>
            <w:r>
              <w:rPr>
                <w:rFonts w:ascii="Calibri" w:eastAsia="Calibri" w:hAnsi="Calibri" w:cs="Calibri"/>
                <w:sz w:val="20"/>
                <w:szCs w:val="20"/>
              </w:rPr>
              <w:t xml:space="preserve">57.1% </w:t>
            </w:r>
            <w:r>
              <w:rPr>
                <w:rFonts w:ascii="Calibri" w:eastAsia="Calibri" w:hAnsi="Calibri" w:cs="Calibri"/>
                <w:color w:val="333333"/>
                <w:sz w:val="20"/>
                <w:szCs w:val="20"/>
                <w:highlight w:val="white"/>
              </w:rPr>
              <w:t xml:space="preserve">vs. </w:t>
            </w:r>
            <w:r>
              <w:rPr>
                <w:rFonts w:ascii="Calibri" w:eastAsia="Calibri" w:hAnsi="Calibri" w:cs="Calibri"/>
                <w:sz w:val="20"/>
                <w:szCs w:val="20"/>
              </w:rPr>
              <w:t xml:space="preserve">BiPAP 36.4% </w:t>
            </w:r>
            <w:r>
              <w:rPr>
                <w:rFonts w:ascii="Calibri" w:eastAsia="Calibri" w:hAnsi="Calibri" w:cs="Calibri"/>
                <w:color w:val="333333"/>
                <w:sz w:val="20"/>
                <w:szCs w:val="20"/>
                <w:highlight w:val="white"/>
              </w:rPr>
              <w:t>(OR 1.07, 95% CI 0.81-1.39; noninferiority posterior probability 0.989).</w:t>
            </w:r>
            <w:r>
              <w:rPr>
                <w:rFonts w:ascii="Calibri" w:eastAsia="Calibri" w:hAnsi="Calibri" w:cs="Calibri"/>
                <w:i/>
                <w:sz w:val="20"/>
                <w:szCs w:val="20"/>
              </w:rPr>
              <w:t xml:space="preserve"> </w:t>
            </w:r>
          </w:p>
        </w:tc>
      </w:tr>
      <w:tr w:rsidR="00602D6F" w14:paraId="0397C9F6" w14:textId="77777777" w:rsidTr="004606EC">
        <w:trPr>
          <w:trHeight w:val="1805"/>
        </w:trPr>
        <w:tc>
          <w:tcPr>
            <w:tcW w:w="1848" w:type="dxa"/>
          </w:tcPr>
          <w:p w14:paraId="4B0D2521" w14:textId="54C99567" w:rsidR="00602D6F" w:rsidRDefault="00000000" w:rsidP="004606EC">
            <w:pPr>
              <w:rPr>
                <w:rFonts w:ascii="Calibri" w:eastAsia="Calibri" w:hAnsi="Calibri" w:cs="Calibri"/>
                <w:sz w:val="20"/>
                <w:szCs w:val="20"/>
              </w:rPr>
            </w:pPr>
            <w:sdt>
              <w:sdtPr>
                <w:tag w:val="goog_rdk_164"/>
                <w:id w:val="253176851"/>
              </w:sdtPr>
              <w:sdtContent/>
            </w:sdt>
            <w:sdt>
              <w:sdtPr>
                <w:tag w:val="goog_rdk_165"/>
                <w:id w:val="547724840"/>
              </w:sdtPr>
              <w:sdtContent/>
            </w:sdt>
            <w:r w:rsidR="00602D6F">
              <w:rPr>
                <w:rFonts w:ascii="Calibri" w:eastAsia="Calibri" w:hAnsi="Calibri" w:cs="Calibri"/>
                <w:sz w:val="20"/>
                <w:szCs w:val="20"/>
              </w:rPr>
              <w:t xml:space="preserve">RENOVATE Investigators and the </w:t>
            </w:r>
            <w:proofErr w:type="spellStart"/>
            <w:r w:rsidR="00602D6F">
              <w:rPr>
                <w:rFonts w:ascii="Calibri" w:eastAsia="Calibri" w:hAnsi="Calibri" w:cs="Calibri"/>
                <w:sz w:val="20"/>
                <w:szCs w:val="20"/>
              </w:rPr>
              <w:t>BRICNet</w:t>
            </w:r>
            <w:proofErr w:type="spellEnd"/>
            <w:r w:rsidR="00602D6F">
              <w:rPr>
                <w:rFonts w:ascii="Calibri" w:eastAsia="Calibri" w:hAnsi="Calibri" w:cs="Calibri"/>
                <w:sz w:val="20"/>
                <w:szCs w:val="20"/>
              </w:rPr>
              <w:t xml:space="preserve"> Authors</w:t>
            </w:r>
            <w:r w:rsidR="00602D6F">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{"citationID":"3UJ6VGMw","properties":{"formattedCitation":"\\super 13\\nosupersub{}","plainCitation":"13","noteIndex":0},"citationItems":[{"id":2784,"uris":["http://zotero.org/users/local/MoY6DhL4/items/MHJX5L2M"],"itemData":{"id":2784,"type":"article-journal","abstract":"Importance\n              High-flow nasal oxygen (HFNO) and noninvasive ventilation (NIV) are commonly used respiratory support therapies for patients with acute respiratory failure (ARF).\n            \n            \n              Objective\n              To assess whether HFNO is noninferior to NIV on the rates of endotracheal intubation or death at 7 days in 5 patient groups with ARF.\n            \n            \n              Design, Setting, and Participants\n              This noninferiority, randomized clinical trial enrolled hospitalized adults (aged ≥18 years; classified as 5 patient groups with ARF: nonimmunocompromised with hypoxemia, immunocompromised with hypoxemia, chronic obstructive pulmonary disease [COPD] exacerbation with respiratory acidosis, acute cardiogenic pulmonary edema [ACPE], or hypoxemic COVID-19, which was added as a separate group on June 26, 2023) at 33 hospitals in Brazil between November 2019 and November 2023 (final follow-up: April 26, 2024).\n            \n            \n              Interventions\n              High-flow nasal oxygen (n = 883) or NIV (n = 883).\n            \n            \n              Main Outcomes and Measures\n              The primary outcome was endotracheal intubation or death within 7 days assessed using a bayesian hierarchical model with dynamic borrowing across patient groups. Noninferiority was defined by a posterior probability of 0.992 or greater for an odds ratio (OR) less than 1.55.\n            \n            \n              Results\n              Among 1800 patients, 1766 completed the study (mean age, 64 [SD, 17] years; 707 [40%] were women). The primary outcome of endotracheal intubation or death at 7 days occurred in 39% (344/883) in the HFNO group vs 38% (336/883) in the NIV group. In the immunocompromised with hypoxemia patient group, the primary outcome occurred in 57.1% (16/28) in the HFNO group vs 36.4% (8/22) in the NIV group; enrollment was stopped for futility (final OR, 1.07; 95% credible interval [CrI], 0.81-1.39; noninferiority posterior probability [NPP], 0.989). In the nonimmunocompromised with hypoxemia group, the primary outcome occurred in 32.5% (81/249) in the HFNO group vs 33.1% (78/236) in the NIV group (OR, 1.02 [95% CrI, 0.81-1.26]; NPP, 0.999). In the ACPE group, the primary outcome occurred in 10.3% (14/136) in the HFNO group vs 21.3% (29/136) in the NIV group (OR, 0.97 [95% CrI, 0.73-1.23]; NPP, 0.997). In the hypoxemic COVID-19 group, the primary outcome occurred in 51.3% (223/435) in the HFNO group vs 47.0% (210/447) in the NIV group (OR, 1.13 [95% CrI, 0.94-1.38]; NPP, 0.997). In the COPD exacerbation with respiratory acidosis group, the primary outcome occurred in 28.6% (10/35) in the HFNO group vs 26.2% (11/42) in the NIV group (OR, 1.05 [95% CrI, 0.79-1.36]; NPP, 0.992). However, a post hoc analysis without dynamic borrowing across the 5 ARF patient groups revealed some qualitatively different results in patients with COPD, immunocompromised patients, and patients with ACPE. The incidence of serious adverse events was similar (9.4% of patients in HFNO group vs 9.9% in NIV group).\n            \n            \n              Conclusions and Relevance\n              Compared with NIV, HFNO met prespecified criteria for noninferiority for the primary outcome of endotracheal intubation or death within 7 days in 4 of the 5 patient groups with ARF. However, the small sample sizes in some patient groups and the sensitivity of the findings to the choice of analysis model suggests the need for further study in patients with COPD, immunocompromised patients, and patients with ACPE.\n            \n            \n              Trial Registration\n              \n                ClinicalTrials.gov Identifier:\n                NCT03643939","container-title":"JAMA","DOI":"10.1001/jama.2024.26244","ISSN":"0098-7484","journalAbbreviation":"JAMA","language":"en","source":"DOI.org (Crossref)","title":"High-Flow Nasal Oxygen vs Noninvasive Ventilation in Patients With Acute Respiratory Failure: The RENOVATE Randomized Clinical Trial","title-short":"High-Flow Nasal Oxygen vs Noninvasive Ventilation in Patients With Acute Respiratory Failure","URL":"https://jamanetwork.com/journals/jama/fullarticle/2828065","author":[{"literal":"RENOVATE Investigators and the BRICNet Authors"},{"family":"Francio","given":"Fabiano"},{"family":"Weigert","given":"Renata Monteiro"},{"family":"Mattei","given":"Edna Daldania Biolchi"},{"family":"Grion","given":"Cintia Magalhaes Carvalho"},{"family":"Festti","given":"Josiane"},{"family":"Mezzaroba","given":"Ana Luiza"},{"family":"Serpa Neto","given":"Ary"},{"family":"Timenetsky","given":"Karina T."},{"family":"Nogueira","given":"Adriana Maria Simoes Orfao"},{"family":"Brito","given":"Marcus Vinicius Camargo"},{"family":"Lima","given":"Iuri Dheloi Oliveira"},{"family":"Dona","given":"Rodrigo Alexandre"},{"family":"Mafra","given":"Marina Monica Bahl"},{"family":"Starke","given":"Ana Carolina"},{"family":"Lisboa","given":"Thiago"},{"family":"Fachini","given":"Caroline"},{"family":"Torelly","given":"André"},{"family":"Biondi","given":"Rodrigo Santos"},{"family":"Souza","given":"Andre Luiz Nascimento"},{"family":"Fernandes","given":"Anderson Luiz Mendes"},{"family":"Araujo","given":"Gustavo Neves"},{"family":"Ponte","given":"Vicente"},{"family":"Antunes","given":"Maria Helena Moraes"},{"family":"Cardoso","given":"Fabio Fernandes Cardoso"},{"family":"Poersch","given":"Alice Bertotto"},{"family":"Ramires","given":"Yuri Carlotto"},{"family":"Moura","given":"Lúcio Roberto Requiao"},{"family":"Peruzzo","given":"Maria Bethania"},{"family":"Sposito","given":"Jonas"},{"family":"Piekala","given":"Daniele Martins"},{"family":"Wawrzeniak","given":"Iuri Christmann"},{"family":"Fialkow","given":"Léa"},{"family":"Dutra","given":"Marcela"},{"family":"Mazera","given":"Maiara Suelen"},{"family":"Martins","given":"Cassia Pimenta Barufi"},{"family":"Freitas","given":"Daniela Helena Machado"},{"family":"Sanches","given":"Luciana Coelho"},{"family":"Pereira","given":"Maísa Guimarães De Castro"},{"family":"Cunha","given":"Mariana Regina"},{"family":"Maia","given":"Israel S."},{"family":"Kawano-Dourado","given":"Letícia"},{"family":"Tramujas","given":"Lucas"},{"family":"De Oliveira","given":"Neymar Elias"},{"family":"Souza","given":"Rafael Naoki"},{"family":"Signorini","given":"Dhaisi Faustino"},{"family":"Pincelli","given":"Mariangela Pimentel"},{"family":"Zandonai","given":"Cássio Luis"},{"family":"Blasius","given":"Regiane Tamires"},{"family":"Freires","given":"Fabrício"},{"family":"Ferreira","given":"Vanessa Marques"},{"family":"Romano","given":"Marcelo Luz Pereira"},{"family":"Miura","given":"Mieko Claudia"},{"family":"De Censo","given":"Caroline Maschio"},{"family":"Caser","given":"Eliana Bernadete"},{"family":"Silva","given":"Betania"},{"family":"Santos Bonomo","given":"Daniela Correia"},{"family":"Arraes","given":"Jussara Alencar"},{"family":"De Alencar Filho","given":"Meton Soares"},{"family":"Álvares Horta","given":"Jacques Gabriel"},{"family":"Oliveira","given":"Déborah Campos"},{"family":"Boschi","given":"Emerson"},{"family":"Costa","given":"Rafael Lessa"},{"family":"Westphal","given":"Glauco Adrieno"},{"family":"Ramos","given":"Juliano"},{"family":"Lacerda","given":"Fábio Holanda"},{"family":"Filho","given":"Conrado Roberto Hoffmann"},{"family":"Pinheiro","given":"Bruno Valle"},{"family":"De Andrade Neumamm","given":"Leonardo Bugarin"},{"family":"Guimarães Júnior","given":"Mário Roberto Rezende"},{"family":"De Souza","given":"Davi Tamamaru"},{"family":"Ferreira","given":"Juliana Carvalho"},{"family":"Ohe","given":"Louis Nakayama"},{"family":"Schettini","given":"Daniel Almeida"},{"family":"Thompson","given":"Marlus Muri"},{"family":"De Oliveira","given":"Maria Cristina França"},{"family":"Veiga","given":"Viviane Cordeiro"},{"family":"Negrelli","given":"Karina L."},{"family":"Santos","given":"Renato H. N."},{"family":"Damiani","given":"Lucas"},{"family":"Gurgel","given":"Rodrigo M."},{"family":"Gomes","given":"Samara P. C."},{"family":"Lima","given":"Lucas M."},{"family":"Miranda","given":"Tamiris A."},{"family":"Laranjeira","given":"Ligia N."},{"family":"De Barros E Silva","given":"Pedro Gabriel Melo"},{"family":"Machado","given":"Flávia R."},{"family":"Fitzgerald","given":"Mark"},{"family":"Bosse","given":"Anna"},{"family":"Marion","given":"Joe"},{"family":"Carvalho","given":"Carlos Roberto Ribeiro"},{"family":"Brochard","given":"Laurent"},{"family":"Lewis","given":"Roger J."},{"family":"Biasi Cavalcanti","given":"Alexandre"}],"accessed":{"date-parts":[["2025",2,13]]},"issued":{"date-parts":[["2024",12,10]]}}}],"schema":"https://github.com/citation-style-language/schema/raw/master/csl-citation.json"} </w:instrText>
            </w:r>
            <w:r w:rsidR="00602D6F">
              <w:rPr>
                <w:rFonts w:ascii="Calibri" w:eastAsia="Calibri" w:hAnsi="Calibri" w:cs="Calibri"/>
                <w:sz w:val="20"/>
                <w:szCs w:val="20"/>
              </w:rPr>
              <w:fldChar w:fldCharType="separate"/>
            </w:r>
            <w:r w:rsidR="00C74D57" w:rsidRPr="00C74D57">
              <w:rPr>
                <w:rFonts w:ascii="Calibri" w:hAnsi="Calibri" w:cs="Calibri"/>
                <w:sz w:val="20"/>
                <w:vertAlign w:val="superscript"/>
              </w:rPr>
              <w:t>13</w:t>
            </w:r>
            <w:r w:rsidR="00602D6F">
              <w:rPr>
                <w:rFonts w:ascii="Calibri" w:eastAsia="Calibri" w:hAnsi="Calibri" w:cs="Calibri"/>
                <w:sz w:val="20"/>
                <w:szCs w:val="20"/>
              </w:rPr>
              <w:fldChar w:fldCharType="end"/>
            </w:r>
            <w:r w:rsidR="00602D6F">
              <w:rPr>
                <w:rFonts w:ascii="Calibri" w:eastAsia="Calibri" w:hAnsi="Calibri" w:cs="Calibri"/>
                <w:sz w:val="20"/>
                <w:szCs w:val="20"/>
              </w:rPr>
              <w:t xml:space="preserve">, 2024, 33 </w:t>
            </w:r>
            <w:proofErr w:type="spellStart"/>
            <w:r w:rsidR="00602D6F">
              <w:rPr>
                <w:rFonts w:ascii="Calibri" w:eastAsia="Calibri" w:hAnsi="Calibri" w:cs="Calibri"/>
                <w:sz w:val="20"/>
                <w:szCs w:val="20"/>
              </w:rPr>
              <w:t>centers</w:t>
            </w:r>
            <w:proofErr w:type="spellEnd"/>
            <w:r w:rsidR="00602D6F">
              <w:rPr>
                <w:rFonts w:ascii="Calibri" w:eastAsia="Calibri" w:hAnsi="Calibri" w:cs="Calibri"/>
                <w:sz w:val="20"/>
                <w:szCs w:val="20"/>
              </w:rPr>
              <w:t xml:space="preserve"> (Eds, medical wards or ICUs)</w:t>
            </w:r>
          </w:p>
        </w:tc>
        <w:tc>
          <w:tcPr>
            <w:tcW w:w="2021" w:type="dxa"/>
          </w:tcPr>
          <w:p w14:paraId="52563D0D"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N=882, COVID 19</w:t>
            </w:r>
            <w:r>
              <w:rPr>
                <w:rFonts w:ascii="Calibri" w:eastAsia="Calibri" w:hAnsi="Calibri" w:cs="Calibri"/>
                <w:color w:val="212121"/>
                <w:sz w:val="20"/>
                <w:szCs w:val="20"/>
                <w:highlight w:val="white"/>
              </w:rPr>
              <w:t xml:space="preserve"> </w:t>
            </w:r>
            <w:r>
              <w:rPr>
                <w:rFonts w:ascii="Calibri" w:eastAsia="Calibri" w:hAnsi="Calibri" w:cs="Calibri"/>
                <w:sz w:val="20"/>
                <w:szCs w:val="20"/>
              </w:rPr>
              <w:t>AHRF subgroup</w:t>
            </w:r>
          </w:p>
        </w:tc>
        <w:tc>
          <w:tcPr>
            <w:tcW w:w="1738" w:type="dxa"/>
          </w:tcPr>
          <w:p w14:paraId="5171024C" w14:textId="32F66305" w:rsidR="00602D6F" w:rsidRDefault="00327A09" w:rsidP="004606EC">
            <w:pPr>
              <w:rPr>
                <w:rFonts w:ascii="Calibri" w:eastAsia="Calibri" w:hAnsi="Calibri" w:cs="Calibri"/>
                <w:color w:val="333333"/>
                <w:sz w:val="20"/>
                <w:szCs w:val="20"/>
                <w:highlight w:val="white"/>
              </w:rPr>
            </w:pPr>
            <w:r>
              <w:rPr>
                <w:rFonts w:ascii="Calibri" w:eastAsia="Calibri" w:hAnsi="Calibri" w:cs="Calibri"/>
                <w:sz w:val="20"/>
                <w:szCs w:val="20"/>
              </w:rPr>
              <w:t xml:space="preserve">HFNT </w:t>
            </w:r>
            <w:r w:rsidR="00602D6F">
              <w:rPr>
                <w:rFonts w:ascii="Calibri" w:eastAsia="Calibri" w:hAnsi="Calibri" w:cs="Calibri"/>
                <w:sz w:val="20"/>
                <w:szCs w:val="20"/>
              </w:rPr>
              <w:t>(N=435) vs. BiPAP (N=447)</w:t>
            </w:r>
          </w:p>
        </w:tc>
        <w:tc>
          <w:tcPr>
            <w:tcW w:w="1515" w:type="dxa"/>
          </w:tcPr>
          <w:p w14:paraId="777210FF"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sz w:val="20"/>
                <w:szCs w:val="20"/>
              </w:rPr>
              <w:t>Facemask</w:t>
            </w:r>
          </w:p>
        </w:tc>
        <w:tc>
          <w:tcPr>
            <w:tcW w:w="1894" w:type="dxa"/>
          </w:tcPr>
          <w:p w14:paraId="6E02FC59" w14:textId="37779B52" w:rsidR="00602D6F" w:rsidRDefault="00602D6F" w:rsidP="004606EC">
            <w:pPr>
              <w:rPr>
                <w:rFonts w:ascii="Calibri" w:eastAsia="Calibri" w:hAnsi="Calibri" w:cs="Calibri"/>
                <w:color w:val="333333"/>
                <w:sz w:val="20"/>
                <w:szCs w:val="20"/>
                <w:highlight w:val="white"/>
              </w:rPr>
            </w:pPr>
            <w:r>
              <w:rPr>
                <w:rFonts w:ascii="Calibri" w:eastAsia="Calibri" w:hAnsi="Calibri" w:cs="Calibri"/>
                <w:i/>
                <w:sz w:val="20"/>
                <w:szCs w:val="20"/>
              </w:rPr>
              <w:t xml:space="preserve">Death or intubation (combined) within 7 days: </w:t>
            </w:r>
            <w:r w:rsidR="00327A09">
              <w:rPr>
                <w:rFonts w:ascii="Calibri" w:eastAsia="Calibri" w:hAnsi="Calibri" w:cs="Calibri"/>
                <w:sz w:val="20"/>
                <w:szCs w:val="20"/>
              </w:rPr>
              <w:t xml:space="preserve">HFNT </w:t>
            </w:r>
            <w:r>
              <w:rPr>
                <w:rFonts w:ascii="Calibri" w:eastAsia="Calibri" w:hAnsi="Calibri" w:cs="Calibri"/>
                <w:sz w:val="20"/>
                <w:szCs w:val="20"/>
              </w:rPr>
              <w:t xml:space="preserve">51.3% </w:t>
            </w:r>
            <w:r>
              <w:rPr>
                <w:rFonts w:ascii="Calibri" w:eastAsia="Calibri" w:hAnsi="Calibri" w:cs="Calibri"/>
                <w:color w:val="333333"/>
                <w:sz w:val="20"/>
                <w:szCs w:val="20"/>
                <w:highlight w:val="white"/>
              </w:rPr>
              <w:t xml:space="preserve">vs. </w:t>
            </w:r>
            <w:r>
              <w:rPr>
                <w:rFonts w:ascii="Calibri" w:eastAsia="Calibri" w:hAnsi="Calibri" w:cs="Calibri"/>
                <w:sz w:val="20"/>
                <w:szCs w:val="20"/>
              </w:rPr>
              <w:t xml:space="preserve">BiPAP 47.0% </w:t>
            </w:r>
            <w:r>
              <w:rPr>
                <w:rFonts w:ascii="Calibri" w:eastAsia="Calibri" w:hAnsi="Calibri" w:cs="Calibri"/>
                <w:color w:val="333333"/>
                <w:sz w:val="20"/>
                <w:szCs w:val="20"/>
                <w:highlight w:val="white"/>
              </w:rPr>
              <w:t>(OR 1.13, 95% CI 0.94-1.38; noninferiority posterior probability 0.997).</w:t>
            </w:r>
          </w:p>
        </w:tc>
      </w:tr>
    </w:tbl>
    <w:p w14:paraId="712B9DEF" w14:textId="4909965B" w:rsidR="00602D6F" w:rsidRDefault="00602D6F" w:rsidP="00602D6F">
      <w:pPr>
        <w:jc w:val="both"/>
        <w:rPr>
          <w:rFonts w:ascii="Calibri" w:eastAsia="Calibri" w:hAnsi="Calibri" w:cs="Calibri"/>
          <w:sz w:val="20"/>
          <w:szCs w:val="20"/>
        </w:rPr>
      </w:pPr>
      <w:r>
        <w:rPr>
          <w:rFonts w:ascii="Calibri" w:eastAsia="Calibri" w:hAnsi="Calibri" w:cs="Calibri"/>
          <w:sz w:val="20"/>
          <w:szCs w:val="20"/>
        </w:rPr>
        <w:t>List of abbreviations: AHRF: acute hypoxemic respiratory failure; BiPAP: bilevel positive airway pressure; CPAP: continuous positive airway pressure; COT: Conventional oxygen therapy; ED: emergency department; EI: endotracheal intubation; FiO</w:t>
      </w:r>
      <w:r>
        <w:rPr>
          <w:rFonts w:ascii="Calibri" w:eastAsia="Calibri" w:hAnsi="Calibri" w:cs="Calibri"/>
          <w:sz w:val="20"/>
          <w:szCs w:val="20"/>
          <w:vertAlign w:val="subscript"/>
        </w:rPr>
        <w:t>2</w:t>
      </w:r>
      <w:r>
        <w:rPr>
          <w:rFonts w:ascii="Calibri" w:eastAsia="Calibri" w:hAnsi="Calibri" w:cs="Calibri"/>
          <w:sz w:val="20"/>
          <w:szCs w:val="20"/>
        </w:rPr>
        <w:t xml:space="preserve">: inspired fraction of oxygen; </w:t>
      </w:r>
      <w:r w:rsidR="00327A09">
        <w:rPr>
          <w:rFonts w:ascii="Calibri" w:eastAsia="Calibri" w:hAnsi="Calibri" w:cs="Calibri"/>
          <w:sz w:val="20"/>
          <w:szCs w:val="20"/>
        </w:rPr>
        <w:t>HFNT</w:t>
      </w:r>
      <w:r>
        <w:rPr>
          <w:rFonts w:ascii="Calibri" w:eastAsia="Calibri" w:hAnsi="Calibri" w:cs="Calibri"/>
          <w:sz w:val="20"/>
          <w:szCs w:val="20"/>
        </w:rPr>
        <w:t xml:space="preserve">: high flow nasal </w:t>
      </w:r>
      <w:r w:rsidR="00327A09">
        <w:rPr>
          <w:rFonts w:ascii="Calibri" w:eastAsia="Calibri" w:hAnsi="Calibri" w:cs="Calibri"/>
          <w:sz w:val="20"/>
          <w:szCs w:val="20"/>
        </w:rPr>
        <w:t>therapy</w:t>
      </w:r>
      <w:r>
        <w:rPr>
          <w:rFonts w:ascii="Calibri" w:eastAsia="Calibri" w:hAnsi="Calibri" w:cs="Calibri"/>
          <w:sz w:val="20"/>
          <w:szCs w:val="20"/>
        </w:rPr>
        <w:t>; ICU: intensive care unit; NRS: non-invasive respiratory support; PaO</w:t>
      </w:r>
      <w:r>
        <w:rPr>
          <w:rFonts w:ascii="Calibri" w:eastAsia="Calibri" w:hAnsi="Calibri" w:cs="Calibri"/>
          <w:sz w:val="20"/>
          <w:szCs w:val="20"/>
          <w:vertAlign w:val="subscript"/>
        </w:rPr>
        <w:t>2</w:t>
      </w:r>
      <w:r>
        <w:rPr>
          <w:rFonts w:ascii="Calibri" w:eastAsia="Calibri" w:hAnsi="Calibri" w:cs="Calibri"/>
          <w:sz w:val="20"/>
          <w:szCs w:val="20"/>
        </w:rPr>
        <w:t>: partial pressure of oxygen; RR: respiratory rate.</w:t>
      </w:r>
    </w:p>
    <w:p w14:paraId="3156C32D" w14:textId="77777777" w:rsidR="00602D6F" w:rsidRDefault="00602D6F" w:rsidP="00602D6F">
      <w:pPr>
        <w:spacing w:line="360" w:lineRule="auto"/>
        <w:rPr>
          <w:rFonts w:ascii="Calibri" w:eastAsia="Calibri" w:hAnsi="Calibri" w:cs="Calibri"/>
          <w:color w:val="000000"/>
        </w:rPr>
      </w:pPr>
    </w:p>
    <w:p w14:paraId="688A57A8" w14:textId="0722F7B8" w:rsidR="00602D6F" w:rsidRPr="008A74C5" w:rsidRDefault="00602D6F" w:rsidP="00602D6F">
      <w:pPr>
        <w:spacing w:line="360" w:lineRule="auto"/>
        <w:jc w:val="both"/>
        <w:rPr>
          <w:rFonts w:ascii="Calibri" w:eastAsia="Calibri" w:hAnsi="Calibri" w:cs="Calibri"/>
        </w:rPr>
      </w:pPr>
      <w:r w:rsidRPr="008A74C5">
        <w:rPr>
          <w:rFonts w:ascii="Calibri" w:eastAsia="Calibri" w:hAnsi="Calibri" w:cs="Calibri"/>
          <w:b/>
        </w:rPr>
        <w:t>Table 3</w:t>
      </w:r>
      <w:r w:rsidR="002A2E91">
        <w:rPr>
          <w:rFonts w:ascii="Calibri" w:eastAsia="Calibri" w:hAnsi="Calibri" w:cs="Calibri"/>
          <w:b/>
        </w:rPr>
        <w:t>S</w:t>
      </w:r>
      <w:r w:rsidRPr="008A74C5">
        <w:rPr>
          <w:rFonts w:ascii="Calibri" w:eastAsia="Calibri" w:hAnsi="Calibri" w:cs="Calibri"/>
          <w:b/>
        </w:rPr>
        <w:t>.</w:t>
      </w:r>
      <w:r w:rsidRPr="008A74C5">
        <w:rPr>
          <w:rFonts w:ascii="Calibri" w:eastAsia="Calibri" w:hAnsi="Calibri" w:cs="Calibri"/>
        </w:rPr>
        <w:t xml:space="preserve"> </w:t>
      </w:r>
      <w:sdt>
        <w:sdtPr>
          <w:tag w:val="goog_rdk_166"/>
          <w:id w:val="-1057320559"/>
        </w:sdtPr>
        <w:sdtContent/>
      </w:sdt>
      <w:sdt>
        <w:sdtPr>
          <w:tag w:val="goog_rdk_167"/>
          <w:id w:val="-997731832"/>
        </w:sdtPr>
        <w:sdtContent/>
      </w:sdt>
      <w:sdt>
        <w:sdtPr>
          <w:tag w:val="goog_rdk_168"/>
          <w:id w:val="-755830982"/>
        </w:sdtPr>
        <w:sdtContent/>
      </w:sdt>
      <w:sdt>
        <w:sdtPr>
          <w:tag w:val="goog_rdk_169"/>
          <w:id w:val="-178039788"/>
        </w:sdtPr>
        <w:sdtContent/>
      </w:sdt>
      <w:r w:rsidRPr="008A74C5">
        <w:rPr>
          <w:rFonts w:ascii="Calibri" w:eastAsia="Calibri" w:hAnsi="Calibri" w:cs="Calibri"/>
        </w:rPr>
        <w:t xml:space="preserve">Main RCTs comparing different </w:t>
      </w:r>
      <w:r w:rsidRPr="008A74C5">
        <w:rPr>
          <w:rFonts w:ascii="Calibri" w:eastAsia="Calibri" w:hAnsi="Calibri" w:cs="Calibri"/>
          <w:color w:val="000000"/>
        </w:rPr>
        <w:t xml:space="preserve">non-invasive respiratory support </w:t>
      </w:r>
      <w:r w:rsidRPr="008A74C5">
        <w:rPr>
          <w:rFonts w:ascii="Calibri" w:eastAsia="Calibri" w:hAnsi="Calibri" w:cs="Calibri"/>
        </w:rPr>
        <w:t xml:space="preserve">techniques in </w:t>
      </w:r>
      <w:r w:rsidRPr="008A74C5">
        <w:rPr>
          <w:rFonts w:ascii="Calibri" w:eastAsia="Calibri" w:hAnsi="Calibri" w:cs="Calibri"/>
          <w:color w:val="1B1B1B"/>
          <w:highlight w:val="white"/>
        </w:rPr>
        <w:t>AE</w:t>
      </w:r>
      <w:r w:rsidRPr="008A74C5">
        <w:rPr>
          <w:rFonts w:ascii="Calibri" w:eastAsia="Calibri" w:hAnsi="Calibri" w:cs="Calibri"/>
        </w:rPr>
        <w:t>COPD (chronological order of publication)</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2021"/>
        <w:gridCol w:w="1738"/>
        <w:gridCol w:w="1515"/>
        <w:gridCol w:w="1894"/>
      </w:tblGrid>
      <w:tr w:rsidR="00602D6F" w14:paraId="682B336E" w14:textId="77777777" w:rsidTr="004606EC">
        <w:tc>
          <w:tcPr>
            <w:tcW w:w="1848" w:type="dxa"/>
          </w:tcPr>
          <w:p w14:paraId="1E51BEB8"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 xml:space="preserve">Author, year, N </w:t>
            </w:r>
            <w:proofErr w:type="spellStart"/>
            <w:r w:rsidRPr="008A74C5">
              <w:rPr>
                <w:rFonts w:ascii="Calibri" w:eastAsia="Calibri" w:hAnsi="Calibri" w:cs="Calibri"/>
                <w:b/>
                <w:bCs/>
                <w:sz w:val="20"/>
                <w:szCs w:val="20"/>
              </w:rPr>
              <w:t>centers</w:t>
            </w:r>
            <w:proofErr w:type="spellEnd"/>
          </w:p>
        </w:tc>
        <w:tc>
          <w:tcPr>
            <w:tcW w:w="2021" w:type="dxa"/>
          </w:tcPr>
          <w:p w14:paraId="410E67E5"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N Patients</w:t>
            </w:r>
          </w:p>
        </w:tc>
        <w:tc>
          <w:tcPr>
            <w:tcW w:w="1738" w:type="dxa"/>
          </w:tcPr>
          <w:p w14:paraId="60B487DE"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Techniques</w:t>
            </w:r>
          </w:p>
        </w:tc>
        <w:tc>
          <w:tcPr>
            <w:tcW w:w="1515" w:type="dxa"/>
          </w:tcPr>
          <w:p w14:paraId="08CD3B06"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Interface</w:t>
            </w:r>
          </w:p>
        </w:tc>
        <w:tc>
          <w:tcPr>
            <w:tcW w:w="1894" w:type="dxa"/>
          </w:tcPr>
          <w:p w14:paraId="445E13D2" w14:textId="77777777" w:rsidR="00602D6F" w:rsidRPr="008A74C5" w:rsidRDefault="00602D6F" w:rsidP="004606EC">
            <w:pPr>
              <w:rPr>
                <w:rFonts w:ascii="Calibri" w:eastAsia="Calibri" w:hAnsi="Calibri" w:cs="Calibri"/>
                <w:b/>
                <w:bCs/>
                <w:sz w:val="20"/>
                <w:szCs w:val="20"/>
              </w:rPr>
            </w:pPr>
            <w:r w:rsidRPr="008A74C5">
              <w:rPr>
                <w:rFonts w:ascii="Calibri" w:eastAsia="Calibri" w:hAnsi="Calibri" w:cs="Calibri"/>
                <w:b/>
                <w:bCs/>
                <w:sz w:val="20"/>
                <w:szCs w:val="20"/>
              </w:rPr>
              <w:t>Outcomes</w:t>
            </w:r>
          </w:p>
        </w:tc>
      </w:tr>
      <w:tr w:rsidR="00602D6F" w14:paraId="667260BA" w14:textId="77777777" w:rsidTr="004606EC">
        <w:tc>
          <w:tcPr>
            <w:tcW w:w="1848" w:type="dxa"/>
          </w:tcPr>
          <w:p w14:paraId="5C61027D" w14:textId="165F49B0" w:rsidR="00602D6F" w:rsidRDefault="00602D6F" w:rsidP="004606EC">
            <w:pPr>
              <w:rPr>
                <w:rFonts w:ascii="Calibri" w:eastAsia="Calibri" w:hAnsi="Calibri" w:cs="Calibri"/>
                <w:sz w:val="20"/>
                <w:szCs w:val="20"/>
              </w:rPr>
            </w:pPr>
            <w:r>
              <w:rPr>
                <w:rFonts w:ascii="Calibri" w:eastAsia="Calibri" w:hAnsi="Calibri" w:cs="Calibri"/>
                <w:color w:val="231F20"/>
                <w:sz w:val="20"/>
                <w:szCs w:val="20"/>
              </w:rPr>
              <w:lastRenderedPageBreak/>
              <w:t>Papachatzakis</w:t>
            </w:r>
            <w:r>
              <w:rPr>
                <w:rFonts w:ascii="Calibri" w:eastAsia="Calibri" w:hAnsi="Calibri" w:cs="Calibri"/>
                <w:color w:val="231F20"/>
                <w:sz w:val="20"/>
                <w:szCs w:val="20"/>
              </w:rPr>
              <w:fldChar w:fldCharType="begin"/>
            </w:r>
            <w:r w:rsidR="00C74D57">
              <w:rPr>
                <w:rFonts w:ascii="Calibri" w:eastAsia="Calibri" w:hAnsi="Calibri" w:cs="Calibri"/>
                <w:color w:val="231F20"/>
                <w:sz w:val="20"/>
                <w:szCs w:val="20"/>
              </w:rPr>
              <w:instrText xml:space="preserve"> ADDIN ZOTERO_ITEM CSL_CITATION {"citationID":"a5A56cLb","properties":{"formattedCitation":"\\super 21\\nosupersub{}","plainCitation":"21","noteIndex":0},"citationItems":[{"id":2211,"uris":["http://zotero.org/users/local/MoY6DhL4/items/TQNYK4KT"],"itemData":{"id":2211,"type":"article-journal","abstract":"High-flow oxygen through nasal cannula (HFNC) provides adequate oxygenation and can be an alternative to noninvasive ventilation (NIV) for patients with hypoxemic respiratory failure. The aim of the present study was to assess the efficacy of HFNC versus NIV in hypercapnic respiratory failure. Patients (n = 40) who were admitted to the Emergency Department of Alexandra Hospital due to hypercapnic respiratory failure (PaCO2 ≥ 45 mmHg) were randomized assigned into two groups, i.e., an intervention group (use of HFNC, n = 20) and a control group (use of NIV, n = 20). During their hospitalization in the Intensive Care Unit, vital signs (respiratory and heart rate, arterial blood pressure) and arterial blood gases (ABG) were closely monitored on admission, after 24 h and at discharge. No difference between the two groups regarding the duration of hospitalization and the use of HFNC or NIV was observed (p &gt; 0.05). On admission, the two groups did not differ in terms of gender, age, body mass index, APACHE score, predicted death rate, heart rate, arterial blood pressure and arterial blood gases (p &gt; 0.05). Respiratory rate in the HFNC group was lower than in the NIV group (p = 0.023). At discharge, partial carbon dioxide arterial pressure (PaCO2) in the HFNC group was lower than in the NIV group (50.8 ± 9.4 mmHg versus 59.6 ± 13.9 mmHg, p = 0.024). The lowerPaCO2 in the HFNC group than in the NIV group indicated that HFNC was superior to NIV in the management of hypercapnic respiratory failure.","container-title":"International Journal of Environmental Research and Public Health","DOI":"10.3390/ijerph17165994","ISSN":"1660-4601","issue":"16","journalAbbreviation":"Int J Environ Res Public Health","language":"eng","note":"PMID: 32824771\nPMCID: PMC7459687","page":"5994","source":"PubMed","title":"High-Flow Oxygen through Nasal Cannula vs. Non-Invasive Ventilation in Hypercapnic Respiratory Failure: A Randomized Clinical Trial","title-short":"High-Flow Oxygen through Nasal Cannula vs. Non-Invasive Ventilation in Hypercapnic Respiratory Failure","volume":"17","author":[{"family":"Papachatzakis","given":"Yiannis"},{"family":"Nikolaidis","given":"Pantelis Theodoros"},{"family":"Kontogiannis","given":"Sofoklis"},{"family":"Trakada","given":"Georgia"}],"issued":{"date-parts":[["2020",8,18]]}}}],"schema":"https://github.com/citation-style-language/schema/raw/master/csl-citation.json"} </w:instrText>
            </w:r>
            <w:r>
              <w:rPr>
                <w:rFonts w:ascii="Calibri" w:eastAsia="Calibri" w:hAnsi="Calibri" w:cs="Calibri"/>
                <w:color w:val="231F20"/>
                <w:sz w:val="20"/>
                <w:szCs w:val="20"/>
              </w:rPr>
              <w:fldChar w:fldCharType="separate"/>
            </w:r>
            <w:r w:rsidR="00C74D57" w:rsidRPr="00C74D57">
              <w:rPr>
                <w:rFonts w:ascii="Calibri" w:hAnsi="Calibri" w:cs="Calibri"/>
                <w:color w:val="000000"/>
                <w:sz w:val="20"/>
                <w:vertAlign w:val="superscript"/>
              </w:rPr>
              <w:t>21</w:t>
            </w:r>
            <w:r>
              <w:rPr>
                <w:rFonts w:ascii="Calibri" w:eastAsia="Calibri" w:hAnsi="Calibri" w:cs="Calibri"/>
                <w:color w:val="231F20"/>
                <w:sz w:val="20"/>
                <w:szCs w:val="20"/>
              </w:rPr>
              <w:fldChar w:fldCharType="end"/>
            </w:r>
            <w:r>
              <w:rPr>
                <w:rFonts w:ascii="Calibri" w:eastAsia="Calibri" w:hAnsi="Calibri" w:cs="Calibri"/>
                <w:color w:val="231F20"/>
                <w:sz w:val="20"/>
                <w:szCs w:val="20"/>
              </w:rPr>
              <w:t>, 2020, 1 ED</w:t>
            </w:r>
          </w:p>
        </w:tc>
        <w:tc>
          <w:tcPr>
            <w:tcW w:w="2021" w:type="dxa"/>
          </w:tcPr>
          <w:p w14:paraId="10A95519"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 xml:space="preserve">N=40, Hypercapnic respiratory failure </w:t>
            </w:r>
          </w:p>
        </w:tc>
        <w:tc>
          <w:tcPr>
            <w:tcW w:w="1738" w:type="dxa"/>
          </w:tcPr>
          <w:p w14:paraId="4B3251D6" w14:textId="3653340F"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(N=20) vs. BiPAP (N=20)</w:t>
            </w:r>
          </w:p>
        </w:tc>
        <w:tc>
          <w:tcPr>
            <w:tcW w:w="1515" w:type="dxa"/>
          </w:tcPr>
          <w:p w14:paraId="647A4998"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Mask (unspecified if facemask or oronasal mask)</w:t>
            </w:r>
          </w:p>
        </w:tc>
        <w:tc>
          <w:tcPr>
            <w:tcW w:w="1894" w:type="dxa"/>
          </w:tcPr>
          <w:p w14:paraId="426637AB" w14:textId="0BC8AB2A" w:rsidR="00602D6F" w:rsidRDefault="00602D6F" w:rsidP="004606EC">
            <w:pPr>
              <w:rPr>
                <w:rFonts w:ascii="Calibri" w:eastAsia="Calibri" w:hAnsi="Calibri" w:cs="Calibri"/>
                <w:i/>
                <w:sz w:val="20"/>
                <w:szCs w:val="20"/>
              </w:rPr>
            </w:pPr>
            <w:r>
              <w:rPr>
                <w:rFonts w:ascii="Calibri" w:eastAsia="Calibri" w:hAnsi="Calibri" w:cs="Calibri"/>
                <w:i/>
                <w:sz w:val="20"/>
                <w:szCs w:val="20"/>
              </w:rPr>
              <w:t>Hospital LOS:</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11.5 vs. BiPAP 11 (p=0.655).</w:t>
            </w:r>
          </w:p>
        </w:tc>
      </w:tr>
      <w:tr w:rsidR="00602D6F" w14:paraId="27F3AA91" w14:textId="77777777" w:rsidTr="004606EC">
        <w:tc>
          <w:tcPr>
            <w:tcW w:w="1848" w:type="dxa"/>
          </w:tcPr>
          <w:p w14:paraId="4CF5B5F5" w14:textId="1090B536" w:rsidR="00602D6F" w:rsidRPr="009C7EDC" w:rsidRDefault="00602D6F" w:rsidP="004606EC">
            <w:pPr>
              <w:widowControl w:val="0"/>
              <w:rPr>
                <w:rFonts w:ascii="Calibri" w:eastAsia="Calibri" w:hAnsi="Calibri" w:cs="Calibri"/>
                <w:sz w:val="20"/>
                <w:szCs w:val="20"/>
                <w:lang w:val="it-IT"/>
              </w:rPr>
            </w:pPr>
            <w:proofErr w:type="spellStart"/>
            <w:r w:rsidRPr="009C7EDC">
              <w:rPr>
                <w:rFonts w:ascii="Calibri" w:eastAsia="Calibri" w:hAnsi="Calibri" w:cs="Calibri"/>
                <w:sz w:val="20"/>
                <w:szCs w:val="20"/>
                <w:lang w:val="it-IT"/>
              </w:rPr>
              <w:t>Cortegiani</w:t>
            </w:r>
            <w:proofErr w:type="spellEnd"/>
            <w:r w:rsidRPr="009C7EDC">
              <w:rPr>
                <w:rFonts w:ascii="Calibri" w:eastAsia="Calibri" w:hAnsi="Calibri" w:cs="Calibri"/>
                <w:sz w:val="20"/>
                <w:szCs w:val="20"/>
                <w:lang w:val="it-IT"/>
              </w:rPr>
              <w:t>, 2020</w:t>
            </w:r>
            <w:r>
              <w:rPr>
                <w:rFonts w:ascii="Calibri" w:eastAsia="Calibri" w:hAnsi="Calibri" w:cs="Calibri"/>
                <w:sz w:val="20"/>
                <w:szCs w:val="20"/>
              </w:rPr>
              <w:fldChar w:fldCharType="begin"/>
            </w:r>
            <w:r w:rsidR="00C74D57">
              <w:rPr>
                <w:rFonts w:ascii="Calibri" w:eastAsia="Calibri" w:hAnsi="Calibri" w:cs="Calibri"/>
                <w:sz w:val="20"/>
                <w:szCs w:val="20"/>
                <w:lang w:val="it-IT"/>
              </w:rPr>
              <w:instrText xml:space="preserve"> ADDIN ZOTERO_ITEM CSL_CITATION {"citationID":"nYNQqpPY","properties":{"formattedCitation":"\\super 22\\nosupersub{}","plainCitation":"22","noteIndex":0},"citationItems":[{"id":2214,"uris":["http://zotero.org/users/local/MoY6DhL4/items/G5SNJGLL"],"itemData":{"id":2214,"type":"article-journal","abstract":"BACKGROUND: The efficacy and safety of high flow nasal therapy (HFNT) in patients with acute hypercapnic exacerbation of chronic obstructive pulmonary disease (AECOPD) are unclear. Our aim was to evaluate the short-term effect of HFNT versus NIV in patients with mild-to-moderate AECOPD, with the hypothesis that HFNT is non-inferior to NIV on CO2 clearance after 2 h of treatment.\nMETHODS: We performed a multicenter, non-inferiority randomized trial comparing HFNT and noninvasive ventilation (NIV) in nine centers in Italy. Patients were eligible if presented with mild-to-moderate AECOPD (arterial pH 7.25-7.35, PaCO2 ≥ 55 mmHg before ventilator support). Primary endpoint was the mean difference of PaCO2 from baseline to 2 h (non-inferiority margin 10 mmHg) in the per-protocol analysis. Main secondary endpoints were non-inferiority of HFNT to NIV in reducing PaCO2 at 6 h in the per-protocol and intention-to-treat analysis and rate of treatment changes.\nRESULTS: Seventy-nine patients were analyzed (80 patients randomized). Mean differences for PaCO2 reduction from baseline to 2 h were - 6.8 mmHg (± 8.7) in the HFNT and - 9.5 mmHg (± 8.5) in the NIV group (p = 0.404). By 6 h, 32% of patients (13 out of 40) in the HFNT group switched to NIV and one to invasive ventilation. HFNT was statistically non-inferior to NIV since the 95% confidence interval (CI) upper boundary of absolute difference in mean PaCO2 reduction did not reach the non-inferiority margin of 10 mmHg (absolute difference 2.7 mmHg; 1-sided 95% CI 6.1; p = 0.0003). Both treatments had a significant effect on PaCO2 reductions over time, and trends were similar between groups. Similar results were found in both per-protocol at 6 h and intention-to-treat analysis.\nCONCLUSIONS: HFNT was statistically non-inferior to NIV as initial ventilatory support in decreasing PaCO2 after 2 h of treatment in patients with mild-to-moderate AECOPD, considering a non-inferiority margin of 10 mmHg. However, 32% of patients receiving HFNT required NIV by 6 h. Further trials with superiority design should evaluate efficacy toward stronger patient-related outcomes and safety of HFNT in AECOPD.\nTRIAL REGISTRATION: The study was prospectively registered on December 12, 2017, in ClinicalTrials.gov (NCT03370666).","container-title":"Critical Care (London, England)","DOI":"10.1186/s13054-020-03409-0","ISSN":"1466-609X","issue":"1","journalAbbreviation":"Crit Care","language":"eng","note":"PMID: 33317579\nPMCID: PMC7734463","page":"692","source":"PubMed","title":"High flow nasal therapy versus noninvasive ventilation as initial ventilatory strategy in COPD exacerbation: a multicenter non-inferiority randomized trial","title-short":"High flow nasal therapy versus noninvasive ventilation as initial ventilatory strategy in COPD exacerbation","volume":"24","author":[{"family":"Cortegiani","given":"Andrea"},{"family":"Longhini","given":"Federico"},{"family":"Madotto","given":"Fabiana"},{"family":"Groff","given":"Paolo"},{"family":"Scala","given":"Raffaele"},{"family":"Crimi","given":"Claudia"},{"family":"Carlucci","given":"Annalisa"},{"family":"Bruni","given":"Andrea"},{"family":"Garofalo","given":"Eugenio"},{"family":"Raineri","given":"Santi Maurizio"},{"family":"Tonelli","given":"Roberto"},{"family":"Comellini","given":"Vittoria"},{"family":"Lupia","given":"Enrico"},{"family":"Vetrugno","given":"Luigi"},{"family":"Clini","given":"Enrico"},{"family":"Giarratano","given":"Antonino"},{"family":"Nava","given":"Stefano"},{"family":"Navalesi","given":"Paolo"},{"family":"Gregoretti","given":"Cesare"},{"literal":"H. F.-AECOPD study investigators"}],"issued":{"date-parts":[["2020",12,14]]}}}],"schema":"https://github.com/citation-style-language/schema/raw/master/csl-citation.json"}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lang w:val="it-IT"/>
              </w:rPr>
              <w:t>22</w:t>
            </w:r>
            <w:r>
              <w:rPr>
                <w:rFonts w:ascii="Calibri" w:eastAsia="Calibri" w:hAnsi="Calibri" w:cs="Calibri"/>
                <w:sz w:val="20"/>
                <w:szCs w:val="20"/>
              </w:rPr>
              <w:fldChar w:fldCharType="end"/>
            </w:r>
            <w:r w:rsidRPr="009C7EDC">
              <w:rPr>
                <w:rFonts w:ascii="Calibri" w:eastAsia="Calibri" w:hAnsi="Calibri" w:cs="Calibri"/>
                <w:sz w:val="20"/>
                <w:szCs w:val="20"/>
                <w:lang w:val="it-IT"/>
              </w:rPr>
              <w:t>, 9 centers (</w:t>
            </w:r>
            <w:proofErr w:type="spellStart"/>
            <w:r w:rsidRPr="009C7EDC">
              <w:rPr>
                <w:rFonts w:ascii="Calibri" w:eastAsia="Calibri" w:hAnsi="Calibri" w:cs="Calibri"/>
                <w:color w:val="1B1B1B"/>
                <w:sz w:val="20"/>
                <w:szCs w:val="20"/>
                <w:highlight w:val="white"/>
                <w:lang w:val="it-IT"/>
              </w:rPr>
              <w:t>EDs</w:t>
            </w:r>
            <w:proofErr w:type="spellEnd"/>
            <w:r w:rsidRPr="009C7EDC">
              <w:rPr>
                <w:rFonts w:ascii="Calibri" w:eastAsia="Calibri" w:hAnsi="Calibri" w:cs="Calibri"/>
                <w:color w:val="1B1B1B"/>
                <w:sz w:val="20"/>
                <w:szCs w:val="20"/>
                <w:highlight w:val="white"/>
                <w:lang w:val="it-IT"/>
              </w:rPr>
              <w:t xml:space="preserve">, </w:t>
            </w:r>
            <w:proofErr w:type="spellStart"/>
            <w:r w:rsidRPr="009C7EDC">
              <w:rPr>
                <w:rFonts w:ascii="Calibri" w:eastAsia="Calibri" w:hAnsi="Calibri" w:cs="Calibri"/>
                <w:color w:val="1B1B1B"/>
                <w:sz w:val="20"/>
                <w:szCs w:val="20"/>
                <w:highlight w:val="white"/>
                <w:lang w:val="it-IT"/>
              </w:rPr>
              <w:t>ICUs</w:t>
            </w:r>
            <w:proofErr w:type="spellEnd"/>
            <w:r w:rsidRPr="009C7EDC">
              <w:rPr>
                <w:rFonts w:ascii="Calibri" w:eastAsia="Calibri" w:hAnsi="Calibri" w:cs="Calibri"/>
                <w:color w:val="1B1B1B"/>
                <w:sz w:val="20"/>
                <w:szCs w:val="20"/>
                <w:highlight w:val="white"/>
                <w:lang w:val="it-IT"/>
              </w:rPr>
              <w:t xml:space="preserve"> or </w:t>
            </w:r>
            <w:proofErr w:type="spellStart"/>
            <w:r w:rsidRPr="009C7EDC">
              <w:rPr>
                <w:rFonts w:ascii="Calibri" w:eastAsia="Calibri" w:hAnsi="Calibri" w:cs="Calibri"/>
                <w:color w:val="1B1B1B"/>
                <w:sz w:val="20"/>
                <w:szCs w:val="20"/>
                <w:highlight w:val="white"/>
                <w:lang w:val="it-IT"/>
              </w:rPr>
              <w:t>Respiratory</w:t>
            </w:r>
            <w:proofErr w:type="spellEnd"/>
            <w:r w:rsidRPr="009C7EDC">
              <w:rPr>
                <w:rFonts w:ascii="Calibri" w:eastAsia="Calibri" w:hAnsi="Calibri" w:cs="Calibri"/>
                <w:color w:val="1B1B1B"/>
                <w:sz w:val="20"/>
                <w:szCs w:val="20"/>
                <w:highlight w:val="white"/>
                <w:lang w:val="it-IT"/>
              </w:rPr>
              <w:t xml:space="preserve"> </w:t>
            </w:r>
            <w:proofErr w:type="spellStart"/>
            <w:r w:rsidRPr="009C7EDC">
              <w:rPr>
                <w:rFonts w:ascii="Calibri" w:eastAsia="Calibri" w:hAnsi="Calibri" w:cs="Calibri"/>
                <w:color w:val="1B1B1B"/>
                <w:sz w:val="20"/>
                <w:szCs w:val="20"/>
                <w:highlight w:val="white"/>
                <w:lang w:val="it-IT"/>
              </w:rPr>
              <w:t>Units</w:t>
            </w:r>
            <w:proofErr w:type="spellEnd"/>
            <w:r w:rsidRPr="009C7EDC">
              <w:rPr>
                <w:rFonts w:ascii="Calibri" w:eastAsia="Calibri" w:hAnsi="Calibri" w:cs="Calibri"/>
                <w:color w:val="1B1B1B"/>
                <w:sz w:val="20"/>
                <w:szCs w:val="20"/>
                <w:highlight w:val="white"/>
                <w:lang w:val="it-IT"/>
              </w:rPr>
              <w:t>)</w:t>
            </w:r>
          </w:p>
        </w:tc>
        <w:tc>
          <w:tcPr>
            <w:tcW w:w="2021" w:type="dxa"/>
          </w:tcPr>
          <w:p w14:paraId="0952518C"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N=53, Hypercapnic respiratory failure</w:t>
            </w:r>
          </w:p>
        </w:tc>
        <w:tc>
          <w:tcPr>
            <w:tcW w:w="1738" w:type="dxa"/>
          </w:tcPr>
          <w:p w14:paraId="360F1DA9" w14:textId="3185D1EF"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(N=24) vs. BiPAP (N=29)</w:t>
            </w:r>
          </w:p>
        </w:tc>
        <w:tc>
          <w:tcPr>
            <w:tcW w:w="1515" w:type="dxa"/>
          </w:tcPr>
          <w:p w14:paraId="7CF19FE7" w14:textId="77777777" w:rsidR="00602D6F" w:rsidRDefault="00602D6F" w:rsidP="004606EC">
            <w:pPr>
              <w:rPr>
                <w:rFonts w:ascii="Calibri" w:eastAsia="Calibri" w:hAnsi="Calibri" w:cs="Calibri"/>
                <w:i/>
                <w:sz w:val="20"/>
                <w:szCs w:val="20"/>
              </w:rPr>
            </w:pPr>
            <w:r>
              <w:rPr>
                <w:rFonts w:ascii="Calibri" w:eastAsia="Calibri" w:hAnsi="Calibri" w:cs="Calibri"/>
                <w:color w:val="333333"/>
                <w:sz w:val="20"/>
                <w:szCs w:val="20"/>
                <w:highlight w:val="white"/>
              </w:rPr>
              <w:t>Facemask or oronasal mask</w:t>
            </w:r>
          </w:p>
        </w:tc>
        <w:tc>
          <w:tcPr>
            <w:tcW w:w="1894" w:type="dxa"/>
          </w:tcPr>
          <w:p w14:paraId="5C905402" w14:textId="1AFB6A8A" w:rsidR="00602D6F" w:rsidRDefault="00602D6F" w:rsidP="004606EC">
            <w:pPr>
              <w:rPr>
                <w:rFonts w:ascii="Quattrocento Sans" w:eastAsia="Quattrocento Sans" w:hAnsi="Quattrocento Sans" w:cs="Quattrocento Sans"/>
                <w:color w:val="212121"/>
                <w:sz w:val="18"/>
                <w:szCs w:val="18"/>
                <w:highlight w:val="white"/>
                <w:vertAlign w:val="subscript"/>
              </w:rPr>
            </w:pPr>
            <w:r>
              <w:rPr>
                <w:rFonts w:ascii="Calibri" w:eastAsia="Calibri" w:hAnsi="Calibri" w:cs="Calibri"/>
                <w:i/>
                <w:color w:val="212121"/>
                <w:sz w:val="20"/>
                <w:szCs w:val="20"/>
                <w:highlight w:val="white"/>
              </w:rPr>
              <w:t>PaCO</w:t>
            </w:r>
            <w:r>
              <w:rPr>
                <w:rFonts w:ascii="Calibri" w:eastAsia="Calibri" w:hAnsi="Calibri" w:cs="Calibri"/>
                <w:i/>
                <w:color w:val="212121"/>
                <w:sz w:val="20"/>
                <w:szCs w:val="20"/>
                <w:highlight w:val="white"/>
                <w:vertAlign w:val="subscript"/>
              </w:rPr>
              <w:t xml:space="preserve">2 </w:t>
            </w:r>
            <w:r>
              <w:rPr>
                <w:rFonts w:ascii="Calibri" w:eastAsia="Calibri" w:hAnsi="Calibri" w:cs="Calibri"/>
                <w:i/>
                <w:sz w:val="20"/>
                <w:szCs w:val="20"/>
              </w:rPr>
              <w:t xml:space="preserve">reduction at 2h: </w:t>
            </w:r>
            <w:r w:rsidR="00327A09">
              <w:rPr>
                <w:rFonts w:ascii="Calibri" w:eastAsia="Calibri" w:hAnsi="Calibri" w:cs="Calibri"/>
                <w:sz w:val="20"/>
                <w:szCs w:val="20"/>
              </w:rPr>
              <w:t xml:space="preserve">HFNT </w:t>
            </w:r>
            <w:r>
              <w:rPr>
                <w:rFonts w:ascii="Calibri" w:eastAsia="Calibri" w:hAnsi="Calibri" w:cs="Calibri"/>
                <w:sz w:val="20"/>
                <w:szCs w:val="20"/>
              </w:rPr>
              <w:t xml:space="preserve">-6.8 vs. BiPAP -9.5 (p=0.404); </w:t>
            </w:r>
            <w:r>
              <w:rPr>
                <w:rFonts w:ascii="Calibri" w:eastAsia="Calibri" w:hAnsi="Calibri" w:cs="Calibri"/>
                <w:i/>
                <w:color w:val="212121"/>
                <w:sz w:val="20"/>
                <w:szCs w:val="20"/>
                <w:highlight w:val="white"/>
              </w:rPr>
              <w:t>PaCO</w:t>
            </w:r>
            <w:r>
              <w:rPr>
                <w:rFonts w:ascii="Calibri" w:eastAsia="Calibri" w:hAnsi="Calibri" w:cs="Calibri"/>
                <w:i/>
                <w:color w:val="212121"/>
                <w:sz w:val="20"/>
                <w:szCs w:val="20"/>
                <w:highlight w:val="white"/>
                <w:vertAlign w:val="subscript"/>
              </w:rPr>
              <w:t xml:space="preserve">2 </w:t>
            </w:r>
            <w:r>
              <w:rPr>
                <w:rFonts w:ascii="Calibri" w:eastAsia="Calibri" w:hAnsi="Calibri" w:cs="Calibri"/>
                <w:i/>
                <w:sz w:val="20"/>
                <w:szCs w:val="20"/>
              </w:rPr>
              <w:t>reduction at 6h:</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-9.5 vs. BiPAP -14.3 (p=0.096); </w:t>
            </w:r>
            <w:r>
              <w:rPr>
                <w:rFonts w:ascii="Calibri" w:eastAsia="Calibri" w:hAnsi="Calibri" w:cs="Calibri"/>
                <w:i/>
                <w:sz w:val="20"/>
                <w:szCs w:val="20"/>
              </w:rPr>
              <w:t xml:space="preserve">switch to </w:t>
            </w:r>
            <w:r w:rsidR="00327A09">
              <w:rPr>
                <w:rFonts w:ascii="Calibri" w:eastAsia="Calibri" w:hAnsi="Calibri" w:cs="Calibri"/>
                <w:sz w:val="20"/>
                <w:szCs w:val="20"/>
              </w:rPr>
              <w:t xml:space="preserve">HFNT </w:t>
            </w:r>
            <w:r>
              <w:rPr>
                <w:rFonts w:ascii="Calibri" w:eastAsia="Calibri" w:hAnsi="Calibri" w:cs="Calibri"/>
                <w:i/>
                <w:sz w:val="20"/>
                <w:szCs w:val="20"/>
              </w:rPr>
              <w:t>or BiPAP:</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32.5% vs. BiPAP 7.7% (p=0.006).</w:t>
            </w:r>
          </w:p>
        </w:tc>
      </w:tr>
      <w:tr w:rsidR="00602D6F" w14:paraId="540FEA4D" w14:textId="77777777" w:rsidTr="004606EC">
        <w:tc>
          <w:tcPr>
            <w:tcW w:w="1848" w:type="dxa"/>
          </w:tcPr>
          <w:p w14:paraId="49E34E59" w14:textId="61DEEFD6" w:rsidR="00602D6F" w:rsidRDefault="00602D6F" w:rsidP="004606EC">
            <w:pPr>
              <w:widowControl w:val="0"/>
              <w:rPr>
                <w:rFonts w:ascii="Calibri" w:eastAsia="Calibri" w:hAnsi="Calibri" w:cs="Calibri"/>
                <w:color w:val="231F20"/>
                <w:sz w:val="20"/>
                <w:szCs w:val="20"/>
              </w:rPr>
            </w:pPr>
            <w:r>
              <w:rPr>
                <w:rFonts w:ascii="Calibri" w:eastAsia="Calibri" w:hAnsi="Calibri" w:cs="Calibri"/>
                <w:sz w:val="20"/>
                <w:szCs w:val="20"/>
              </w:rPr>
              <w:t>Doshi, 2020</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{"citationID":"wUw7jHi8","properties":{"formattedCitation":"\\super 23\\nosupersub{}","plainCitation":"23","noteIndex":0},"citationItems":[{"id":2217,"uris":["http://zotero.org/users/local/MoY6DhL4/items/THVDBL73"],"itemData":{"id":2217,"type":"article-journal","abstract":"PURPOSE: Oxygen delivery by high flow nasal cannula (HFNC) is effective in providing respiratory support. HFNC has utility in clearing the extra-thoracic dead space, making it potentially beneficial in the treatment of hypercapnic respiratory failure. This study compares high velocity nasal insufflation (HVNI), a form of HFNC, to non-invasive positive pressure ventilation (NIPPV) in their abilities to provide ventilatory support for patients with hypercapnic respiratory failure.\nMETHODS: This is a pre-defined subgroup analysis from a larger randomized clinical trial of Emergency Department (ED) patients with respiratory failure requiring NIPPV support. Patients were randomized to HVNI or NIPPV. Subgroup selection was done for patients with discharge diagnoses of acute hypercapnic respiratory failure or acute exacerbation of chronic obstructive pulmonary disease. The primary outcomes were change in pCO2 and pH over time. Secondary outcomes were treatment failure and intubation rate.\nRESULTS: 65 patients with hypercapnic respiratory failure were compared. 34 were randomized to HVNI and 31 to NIPPV. The therapeutic impact on PCO2 and pH over time was similar in each group. The intubation rate was 5.9% in the HVNI group and 16.1% in the NIPPV group (p = 0.244). The rate of treatment failure was 23.5% in the HVNI group and 25.8% in the NIPPV group (p = 1.0).\nCONCLUSION: HVNI may provide ventilatory support similar to NIPPV in patients presenting with acute hypercapnic respiratory failure, but further study is needed to corroborate these findings.","container-title":"Heart &amp; Lung: The Journal of Critical Care","DOI":"10.1016/j.hrtlng.2020.03.008","ISSN":"1527-3288","issue":"5","journalAbbreviation":"Heart Lung","language":"eng","note":"PMID: 32273085","page":"610-615","source":"PubMed","title":"The ventilatory effect of high velocity nasal insufflation compared to non-invasive positive-pressure ventilation in the treatment of hypercapneic respiratory failure: A subgroup analysis","title-short":"The ventilatory effect of high velocity nasal insufflation compared to non-invasive positive-pressure ventilation in the treatment of hypercapneic respiratory failure","volume":"49","author":[{"family":"Doshi","given":"Pratik B."},{"family":"Whittle","given":"Jessica S."},{"family":"Dungan","given":"George"},{"family":"Volakis","given":"Leonithas I."},{"family":"Bublewicz","given":"Michael"},{"family":"Kearney","given":"Joseph"},{"family":"Miller","given":"Thomas L."},{"family":"Dodge","given":"Daniel"},{"family":"Harsch","given":"Manya R."},{"family":"DeBellis","given":"Ronald"},{"family":"Chambers","given":"Kimberly A."}],"issued":{"date-parts":[["2020"]]}}}],"schema":"https://github.com/citation-style-language/schema/raw/master/csl-citation.json"}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23</w:t>
            </w:r>
            <w:r>
              <w:rPr>
                <w:rFonts w:ascii="Calibri" w:eastAsia="Calibri" w:hAnsi="Calibri" w:cs="Calibri"/>
                <w:sz w:val="20"/>
                <w:szCs w:val="20"/>
              </w:rPr>
              <w:fldChar w:fldCharType="end"/>
            </w:r>
            <w:r>
              <w:rPr>
                <w:rFonts w:ascii="Calibri" w:eastAsia="Calibri" w:hAnsi="Calibri" w:cs="Calibri"/>
                <w:sz w:val="20"/>
                <w:szCs w:val="20"/>
              </w:rPr>
              <w:t xml:space="preserve">, 3 </w:t>
            </w:r>
            <w:r>
              <w:rPr>
                <w:rFonts w:ascii="Calibri" w:eastAsia="Calibri" w:hAnsi="Calibri" w:cs="Calibri"/>
                <w:color w:val="231F20"/>
                <w:sz w:val="20"/>
                <w:szCs w:val="20"/>
              </w:rPr>
              <w:t>EDs</w:t>
            </w:r>
          </w:p>
        </w:tc>
        <w:tc>
          <w:tcPr>
            <w:tcW w:w="2021" w:type="dxa"/>
          </w:tcPr>
          <w:p w14:paraId="304185B9"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N=65, Hypercapnic respiratory failure</w:t>
            </w:r>
          </w:p>
        </w:tc>
        <w:tc>
          <w:tcPr>
            <w:tcW w:w="1738" w:type="dxa"/>
          </w:tcPr>
          <w:p w14:paraId="5CB3D86E" w14:textId="509FC352"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(N=34) vs. BiPAP (N=31)</w:t>
            </w:r>
          </w:p>
        </w:tc>
        <w:tc>
          <w:tcPr>
            <w:tcW w:w="1515" w:type="dxa"/>
          </w:tcPr>
          <w:p w14:paraId="7A82E613"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Oronasal mask</w:t>
            </w:r>
          </w:p>
        </w:tc>
        <w:tc>
          <w:tcPr>
            <w:tcW w:w="1894" w:type="dxa"/>
          </w:tcPr>
          <w:p w14:paraId="0AC1593F" w14:textId="6E35A942" w:rsidR="00602D6F" w:rsidRDefault="00602D6F" w:rsidP="004606EC">
            <w:pPr>
              <w:rPr>
                <w:rFonts w:ascii="Calibri" w:eastAsia="Calibri" w:hAnsi="Calibri" w:cs="Calibri"/>
                <w:color w:val="212121"/>
                <w:sz w:val="20"/>
                <w:szCs w:val="20"/>
                <w:highlight w:val="white"/>
              </w:rPr>
            </w:pPr>
            <w:r>
              <w:rPr>
                <w:rFonts w:ascii="Calibri" w:eastAsia="Calibri" w:hAnsi="Calibri" w:cs="Calibri"/>
                <w:i/>
                <w:color w:val="212121"/>
                <w:sz w:val="20"/>
                <w:szCs w:val="20"/>
                <w:highlight w:val="white"/>
              </w:rPr>
              <w:t>Change in pCO</w:t>
            </w:r>
            <w:r>
              <w:rPr>
                <w:rFonts w:ascii="Calibri" w:eastAsia="Calibri" w:hAnsi="Calibri" w:cs="Calibri"/>
                <w:i/>
                <w:color w:val="212121"/>
                <w:sz w:val="20"/>
                <w:szCs w:val="20"/>
                <w:highlight w:val="white"/>
                <w:vertAlign w:val="subscript"/>
              </w:rPr>
              <w:t>2</w:t>
            </w:r>
            <w:r>
              <w:rPr>
                <w:rFonts w:ascii="Calibri" w:eastAsia="Calibri" w:hAnsi="Calibri" w:cs="Calibri"/>
                <w:i/>
                <w:color w:val="212121"/>
                <w:sz w:val="20"/>
                <w:szCs w:val="20"/>
                <w:highlight w:val="white"/>
              </w:rPr>
              <w:t> and pH over time</w:t>
            </w:r>
            <w:r>
              <w:rPr>
                <w:rFonts w:ascii="Calibri" w:eastAsia="Calibri" w:hAnsi="Calibri" w:cs="Calibri"/>
                <w:color w:val="212121"/>
                <w:sz w:val="20"/>
                <w:szCs w:val="20"/>
                <w:highlight w:val="white"/>
              </w:rPr>
              <w:t xml:space="preserve">: ns difference; </w:t>
            </w:r>
            <w:r>
              <w:rPr>
                <w:rFonts w:ascii="Calibri" w:eastAsia="Calibri" w:hAnsi="Calibri" w:cs="Calibri"/>
                <w:i/>
                <w:color w:val="212121"/>
                <w:sz w:val="20"/>
                <w:szCs w:val="20"/>
                <w:highlight w:val="white"/>
              </w:rPr>
              <w:t>treatment failure:</w:t>
            </w:r>
            <w:r>
              <w:rPr>
                <w:rFonts w:ascii="Calibri" w:eastAsia="Calibri" w:hAnsi="Calibri" w:cs="Calibri"/>
                <w:color w:val="212121"/>
                <w:sz w:val="20"/>
                <w:szCs w:val="20"/>
                <w:highlight w:val="white"/>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 xml:space="preserve">23.5% vs. BiPAP 25.8% (p=1.000); </w:t>
            </w:r>
          </w:p>
          <w:p w14:paraId="36898068" w14:textId="13181300" w:rsidR="00602D6F" w:rsidRDefault="00602D6F" w:rsidP="004606EC">
            <w:pPr>
              <w:rPr>
                <w:rFonts w:ascii="Calibri" w:eastAsia="Calibri" w:hAnsi="Calibri" w:cs="Calibri"/>
                <w:i/>
                <w:color w:val="212121"/>
                <w:sz w:val="20"/>
                <w:szCs w:val="20"/>
                <w:highlight w:val="white"/>
              </w:rPr>
            </w:pPr>
            <w:r>
              <w:rPr>
                <w:rFonts w:ascii="Calibri" w:eastAsia="Calibri" w:hAnsi="Calibri" w:cs="Calibri"/>
                <w:i/>
                <w:color w:val="212121"/>
                <w:sz w:val="20"/>
                <w:szCs w:val="20"/>
                <w:highlight w:val="white"/>
              </w:rPr>
              <w:t>EI rate:</w:t>
            </w:r>
            <w:r>
              <w:rPr>
                <w:rFonts w:ascii="Calibri" w:eastAsia="Calibri" w:hAnsi="Calibri" w:cs="Calibri"/>
                <w:sz w:val="20"/>
                <w:szCs w:val="20"/>
              </w:rPr>
              <w:t xml:space="preserve"> </w:t>
            </w:r>
            <w:r w:rsidR="00327A09">
              <w:rPr>
                <w:rFonts w:ascii="Calibri" w:eastAsia="Calibri" w:hAnsi="Calibri" w:cs="Calibri"/>
                <w:sz w:val="20"/>
                <w:szCs w:val="20"/>
              </w:rPr>
              <w:t xml:space="preserve">HFNT </w:t>
            </w:r>
            <w:r>
              <w:rPr>
                <w:rFonts w:ascii="Calibri" w:eastAsia="Calibri" w:hAnsi="Calibri" w:cs="Calibri"/>
                <w:sz w:val="20"/>
                <w:szCs w:val="20"/>
              </w:rPr>
              <w:t>5.9% vs. BiPAP 16.1% (p=0.244)</w:t>
            </w:r>
            <w:r>
              <w:rPr>
                <w:rFonts w:ascii="Quattrocento Sans" w:eastAsia="Quattrocento Sans" w:hAnsi="Quattrocento Sans" w:cs="Quattrocento Sans"/>
                <w:color w:val="212121"/>
                <w:highlight w:val="white"/>
              </w:rPr>
              <w:t xml:space="preserve"> </w:t>
            </w:r>
          </w:p>
        </w:tc>
      </w:tr>
      <w:tr w:rsidR="00602D6F" w14:paraId="4B047D06" w14:textId="77777777" w:rsidTr="004606EC">
        <w:tc>
          <w:tcPr>
            <w:tcW w:w="1848" w:type="dxa"/>
          </w:tcPr>
          <w:p w14:paraId="019C619F" w14:textId="6012EEE5" w:rsidR="00602D6F" w:rsidRDefault="00602D6F" w:rsidP="004606EC">
            <w:pPr>
              <w:widowControl w:val="0"/>
              <w:rPr>
                <w:rFonts w:ascii="Calibri" w:eastAsia="Calibri" w:hAnsi="Calibri" w:cs="Calibri"/>
                <w:sz w:val="20"/>
                <w:szCs w:val="20"/>
              </w:rPr>
            </w:pPr>
            <w:r>
              <w:rPr>
                <w:rFonts w:ascii="Calibri" w:eastAsia="Calibri" w:hAnsi="Calibri" w:cs="Calibri"/>
                <w:sz w:val="20"/>
                <w:szCs w:val="20"/>
              </w:rPr>
              <w:t xml:space="preserve">RENOVATE Investigators and the </w:t>
            </w:r>
            <w:proofErr w:type="spellStart"/>
            <w:r>
              <w:rPr>
                <w:rFonts w:ascii="Calibri" w:eastAsia="Calibri" w:hAnsi="Calibri" w:cs="Calibri"/>
                <w:sz w:val="20"/>
                <w:szCs w:val="20"/>
              </w:rPr>
              <w:t>BRICNet</w:t>
            </w:r>
            <w:proofErr w:type="spellEnd"/>
            <w:r>
              <w:rPr>
                <w:rFonts w:ascii="Calibri" w:eastAsia="Calibri" w:hAnsi="Calibri" w:cs="Calibri"/>
                <w:sz w:val="20"/>
                <w:szCs w:val="20"/>
              </w:rPr>
              <w:t xml:space="preserve"> Authors, 2024</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{"citationID":"82weXFi6","properties":{"formattedCitation":"\\super 13\\nosupersub{}","plainCitation":"13","noteIndex":0},"citationItems":[{"id":2784,"uris":["http://zotero.org/users/local/MoY6DhL4/items/MHJX5L2M"],"itemData":{"id":2784,"type":"article-journal","abstract":"Importance\n              High-flow nasal oxygen (HFNO) and noninvasive ventilation (NIV) are commonly used respiratory support therapies for patients with acute respiratory failure (ARF).\n            \n            \n              Objective\n              To assess whether HFNO is noninferior to NIV on the rates of endotracheal intubation or death at 7 days in 5 patient groups with ARF.\n            \n            \n              Design, Setting, and Participants\n              This noninferiority, randomized clinical trial enrolled hospitalized adults (aged ≥18 years; classified as 5 patient groups with ARF: nonimmunocompromised with hypoxemia, immunocompromised with hypoxemia, chronic obstructive pulmonary disease [COPD] exacerbation with respiratory acidosis, acute cardiogenic pulmonary edema [ACPE], or hypoxemic COVID-19, which was added as a separate group on June 26, 2023) at 33 hospitals in Brazil between November 2019 and November 2023 (final follow-up: April 26, 2024).\n            \n            \n              Interventions\n              High-flow nasal oxygen (n = 883) or NIV (n = 883).\n            \n            \n              Main Outcomes and Measures\n              The primary outcome was endotracheal intubation or death within 7 days assessed using a bayesian hierarchical model with dynamic borrowing across patient groups. Noninferiority was defined by a posterior probability of 0.992 or greater for an odds ratio (OR) less than 1.55.\n            \n            \n              Results\n              Among 1800 patients, 1766 completed the study (mean age, 64 [SD, 17] years; 707 [40%] were women). The primary outcome of endotracheal intubation or death at 7 days occurred in 39% (344/883) in the HFNO group vs 38% (336/883) in the NIV group. In the immunocompromised with hypoxemia patient group, the primary outcome occurred in 57.1% (16/28) in the HFNO group vs 36.4% (8/22) in the NIV group; enrollment was stopped for futility (final OR, 1.07; 95% credible interval [CrI], 0.81-1.39; noninferiority posterior probability [NPP], 0.989). In the nonimmunocompromised with hypoxemia group, the primary outcome occurred in 32.5% (81/249) in the HFNO group vs 33.1% (78/236) in the NIV group (OR, 1.02 [95% CrI, 0.81-1.26]; NPP, 0.999). In the ACPE group, the primary outcome occurred in 10.3% (14/136) in the HFNO group vs 21.3% (29/136) in the NIV group (OR, 0.97 [95% CrI, 0.73-1.23]; NPP, 0.997). In the hypoxemic COVID-19 group, the primary outcome occurred in 51.3% (223/435) in the HFNO group vs 47.0% (210/447) in the NIV group (OR, 1.13 [95% CrI, 0.94-1.38]; NPP, 0.997). In the COPD exacerbation with respiratory acidosis group, the primary outcome occurred in 28.6% (10/35) in the HFNO group vs 26.2% (11/42) in the NIV group (OR, 1.05 [95% CrI, 0.79-1.36]; NPP, 0.992). However, a post hoc analysis without dynamic borrowing across the 5 ARF patient groups revealed some qualitatively different results in patients with COPD, immunocompromised patients, and patients with ACPE. The incidence of serious adverse events was similar (9.4% of patients in HFNO group vs 9.9% in NIV group).\n            \n            \n              Conclusions and Relevance\n              Compared with NIV, HFNO met prespecified criteria for noninferiority for the primary outcome of endotracheal intubation or death within 7 days in 4 of the 5 patient groups with ARF. However, the small sample sizes in some patient groups and the sensitivity of the findings to the choice of analysis model suggests the need for further study in patients with COPD, immunocompromised patients, and patients with ACPE.\n            \n            \n              Trial Registration\n              \n                ClinicalTrials.gov Identifier:\n                NCT03643939","container-title":"JAMA","DOI":"10.1001/jama.2024.26244","ISSN":"0098-7484","journalAbbreviation":"JAMA","language":"en","source":"DOI.org (Crossref)","title":"High-Flow Nasal Oxygen vs Noninvasive Ventilation in Patients With Acute Respiratory Failure: The RENOVATE Randomized Clinical Trial","title-short":"High-Flow Nasal Oxygen vs Noninvasive Ventilation in Patients With Acute Respiratory Failure","URL":"https://jamanetwork.com/journals/jama/fullarticle/2828065","author":[{"literal":"RENOVATE Investigators and the BRICNet Authors"},{"family":"Francio","given":"Fabiano"},{"family":"Weigert","given":"Renata Monteiro"},{"family":"Mattei","given":"Edna Daldania Biolchi"},{"family":"Grion","given":"Cintia Magalhaes Carvalho"},{"family":"Festti","given":"Josiane"},{"family":"Mezzaroba","given":"Ana Luiza"},{"family":"Serpa Neto","given":"Ary"},{"family":"Timenetsky","given":"Karina T."},{"family":"Nogueira","given":"Adriana Maria Simoes Orfao"},{"family":"Brito","given":"Marcus Vinicius Camargo"},{"family":"Lima","given":"Iuri Dheloi Oliveira"},{"family":"Dona","given":"Rodrigo Alexandre"},{"family":"Mafra","given":"Marina Monica Bahl"},{"family":"Starke","given":"Ana Carolina"},{"family":"Lisboa","given":"Thiago"},{"family":"Fachini","given":"Caroline"},{"family":"Torelly","given":"André"},{"family":"Biondi","given":"Rodrigo Santos"},{"family":"Souza","given":"Andre Luiz Nascimento"},{"family":"Fernandes","given":"Anderson Luiz Mendes"},{"family":"Araujo","given":"Gustavo Neves"},{"family":"Ponte","given":"Vicente"},{"family":"Antunes","given":"Maria Helena Moraes"},{"family":"Cardoso","given":"Fabio Fernandes Cardoso"},{"family":"Poersch","given":"Alice Bertotto"},{"family":"Ramires","given":"Yuri Carlotto"},{"family":"Moura","given":"Lúcio Roberto Requiao"},{"family":"Peruzzo","given":"Maria Bethania"},{"family":"Sposito","given":"Jonas"},{"family":"Piekala","given":"Daniele Martins"},{"family":"Wawrzeniak","given":"Iuri Christmann"},{"family":"Fialkow","given":"Léa"},{"family":"Dutra","given":"Marcela"},{"family":"Mazera","given":"Maiara Suelen"},{"family":"Martins","given":"Cassia Pimenta Barufi"},{"family":"Freitas","given":"Daniela Helena Machado"},{"family":"Sanches","given":"Luciana Coelho"},{"family":"Pereira","given":"Maísa Guimarães De Castro"},{"family":"Cunha","given":"Mariana Regina"},{"family":"Maia","given":"Israel S."},{"family":"Kawano-Dourado","given":"Letícia"},{"family":"Tramujas","given":"Lucas"},{"family":"De Oliveira","given":"Neymar Elias"},{"family":"Souza","given":"Rafael Naoki"},{"family":"Signorini","given":"Dhaisi Faustino"},{"family":"Pincelli","given":"Mariangela Pimentel"},{"family":"Zandonai","given":"Cássio Luis"},{"family":"Blasius","given":"Regiane Tamires"},{"family":"Freires","given":"Fabrício"},{"family":"Ferreira","given":"Vanessa Marques"},{"family":"Romano","given":"Marcelo Luz Pereira"},{"family":"Miura","given":"Mieko Claudia"},{"family":"De Censo","given":"Caroline Maschio"},{"family":"Caser","given":"Eliana Bernadete"},{"family":"Silva","given":"Betania"},{"family":"Santos Bonomo","given":"Daniela Correia"},{"family":"Arraes","given":"Jussara Alencar"},{"family":"De Alencar Filho","given":"Meton Soares"},{"family":"Álvares Horta","given":"Jacques Gabriel"},{"family":"Oliveira","given":"Déborah Campos"},{"family":"Boschi","given":"Emerson"},{"family":"Costa","given":"Rafael Lessa"},{"family":"Westphal","given":"Glauco Adrieno"},{"family":"Ramos","given":"Juliano"},{"family":"Lacerda","given":"Fábio Holanda"},{"family":"Filho","given":"Conrado Roberto Hoffmann"},{"family":"Pinheiro","given":"Bruno Valle"},{"family":"De Andrade Neumamm","given":"Leonardo Bugarin"},{"family":"Guimarães Júnior","given":"Mário Roberto Rezende"},{"family":"De Souza","given":"Davi Tamamaru"},{"family":"Ferreira","given":"Juliana Carvalho"},{"family":"Ohe","given":"Louis Nakayama"},{"family":"Schettini","given":"Daniel Almeida"},{"family":"Thompson","given":"Marlus Muri"},{"family":"De Oliveira","given":"Maria Cristina França"},{"family":"Veiga","given":"Viviane Cordeiro"},{"family":"Negrelli","given":"Karina L."},{"family":"Santos","given":"Renato H. N."},{"family":"Damiani","given":"Lucas"},{"family":"Gurgel","given":"Rodrigo M."},{"family":"Gomes","given":"Samara P. C."},{"family":"Lima","given":"Lucas M."},{"family":"Miranda","given":"Tamiris A."},{"family":"Laranjeira","given":"Ligia N."},{"family":"De Barros E Silva","given":"Pedro Gabriel Melo"},{"family":"Machado","given":"Flávia R."},{"family":"Fitzgerald","given":"Mark"},{"family":"Bosse","given":"Anna"},{"family":"Marion","given":"Joe"},{"family":"Carvalho","given":"Carlos Roberto Ribeiro"},{"family":"Brochard","given":"Laurent"},{"family":"Lewis","given":"Roger J."},{"family":"Biasi Cavalcanti","given":"Alexandre"}],"accessed":{"date-parts":[["2025",2,13]]},"issued":{"date-parts":[["2024",12,10]]}}}],"schema":"https://github.com/citation-style-language/schema/raw/master/csl-citation.json"}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13</w:t>
            </w:r>
            <w:r>
              <w:rPr>
                <w:rFonts w:ascii="Calibri" w:eastAsia="Calibri" w:hAnsi="Calibri" w:cs="Calibri"/>
                <w:sz w:val="20"/>
                <w:szCs w:val="20"/>
              </w:rPr>
              <w:fldChar w:fldCharType="end"/>
            </w:r>
            <w:r>
              <w:rPr>
                <w:rFonts w:ascii="Calibri" w:eastAsia="Calibri" w:hAnsi="Calibri" w:cs="Calibri"/>
                <w:sz w:val="20"/>
                <w:szCs w:val="20"/>
              </w:rPr>
              <w:t xml:space="preserve">, 33 </w:t>
            </w:r>
            <w:proofErr w:type="spellStart"/>
            <w:r>
              <w:rPr>
                <w:rFonts w:ascii="Calibri" w:eastAsia="Calibri" w:hAnsi="Calibri" w:cs="Calibri"/>
                <w:sz w:val="20"/>
                <w:szCs w:val="20"/>
              </w:rPr>
              <w:t>centers</w:t>
            </w:r>
            <w:proofErr w:type="spellEnd"/>
            <w:r>
              <w:rPr>
                <w:rFonts w:ascii="Calibri" w:eastAsia="Calibri" w:hAnsi="Calibri" w:cs="Calibri"/>
                <w:sz w:val="20"/>
                <w:szCs w:val="20"/>
              </w:rPr>
              <w:t xml:space="preserve"> (Eds, medical wards or ICUs)</w:t>
            </w:r>
          </w:p>
        </w:tc>
        <w:tc>
          <w:tcPr>
            <w:tcW w:w="2021" w:type="dxa"/>
          </w:tcPr>
          <w:p w14:paraId="6759B579"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N=77, AECOPD with respiratory acidosis subgroup</w:t>
            </w:r>
          </w:p>
        </w:tc>
        <w:tc>
          <w:tcPr>
            <w:tcW w:w="1738" w:type="dxa"/>
          </w:tcPr>
          <w:p w14:paraId="7793E34F" w14:textId="40A0FE7C"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(N=35) vs. BiPAP (N=42)</w:t>
            </w:r>
          </w:p>
        </w:tc>
        <w:tc>
          <w:tcPr>
            <w:tcW w:w="1515" w:type="dxa"/>
          </w:tcPr>
          <w:p w14:paraId="7F8438C5"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894" w:type="dxa"/>
          </w:tcPr>
          <w:p w14:paraId="0E82CD23" w14:textId="3DDDC2FD" w:rsidR="00602D6F" w:rsidRDefault="00000000" w:rsidP="004606EC">
            <w:pPr>
              <w:rPr>
                <w:rFonts w:ascii="Calibri" w:eastAsia="Calibri" w:hAnsi="Calibri" w:cs="Calibri"/>
                <w:color w:val="333333"/>
                <w:sz w:val="20"/>
                <w:szCs w:val="20"/>
                <w:highlight w:val="white"/>
              </w:rPr>
            </w:pPr>
            <w:sdt>
              <w:sdtPr>
                <w:tag w:val="goog_rdk_170"/>
                <w:id w:val="1656641664"/>
              </w:sdtPr>
              <w:sdtContent/>
            </w:sdt>
            <w:sdt>
              <w:sdtPr>
                <w:tag w:val="goog_rdk_171"/>
                <w:id w:val="1853146145"/>
              </w:sdtPr>
              <w:sdtContent/>
            </w:sdt>
            <w:r w:rsidR="00602D6F">
              <w:rPr>
                <w:rFonts w:ascii="Calibri" w:eastAsia="Calibri" w:hAnsi="Calibri" w:cs="Calibri"/>
                <w:i/>
                <w:sz w:val="20"/>
                <w:szCs w:val="20"/>
              </w:rPr>
              <w:t xml:space="preserve">Death or intubation (combined) within 7 days: </w:t>
            </w:r>
            <w:r w:rsidR="00327A09">
              <w:rPr>
                <w:rFonts w:ascii="Calibri" w:eastAsia="Calibri" w:hAnsi="Calibri" w:cs="Calibri"/>
                <w:sz w:val="20"/>
                <w:szCs w:val="20"/>
              </w:rPr>
              <w:t xml:space="preserve">HFNT </w:t>
            </w:r>
            <w:r w:rsidR="00602D6F">
              <w:rPr>
                <w:rFonts w:ascii="Calibri" w:eastAsia="Calibri" w:hAnsi="Calibri" w:cs="Calibri"/>
                <w:sz w:val="20"/>
                <w:szCs w:val="20"/>
              </w:rPr>
              <w:t xml:space="preserve">28.6% </w:t>
            </w:r>
            <w:r w:rsidR="00602D6F">
              <w:rPr>
                <w:rFonts w:ascii="Calibri" w:eastAsia="Calibri" w:hAnsi="Calibri" w:cs="Calibri"/>
                <w:color w:val="333333"/>
                <w:sz w:val="20"/>
                <w:szCs w:val="20"/>
                <w:highlight w:val="white"/>
              </w:rPr>
              <w:t xml:space="preserve">vs. </w:t>
            </w:r>
            <w:r w:rsidR="00602D6F">
              <w:rPr>
                <w:rFonts w:ascii="Calibri" w:eastAsia="Calibri" w:hAnsi="Calibri" w:cs="Calibri"/>
                <w:sz w:val="20"/>
                <w:szCs w:val="20"/>
              </w:rPr>
              <w:t xml:space="preserve">BiPAP 26.2% </w:t>
            </w:r>
            <w:r w:rsidR="00602D6F">
              <w:rPr>
                <w:rFonts w:ascii="Calibri" w:eastAsia="Calibri" w:hAnsi="Calibri" w:cs="Calibri"/>
                <w:color w:val="333333"/>
                <w:sz w:val="20"/>
                <w:szCs w:val="20"/>
                <w:highlight w:val="white"/>
              </w:rPr>
              <w:t>(OR 1.05, 95% CI 0.79-1.36; noninferiority posterior probability 0.992).</w:t>
            </w:r>
          </w:p>
        </w:tc>
      </w:tr>
      <w:tr w:rsidR="00602D6F" w14:paraId="401BD4AA" w14:textId="77777777" w:rsidTr="004606EC">
        <w:tc>
          <w:tcPr>
            <w:tcW w:w="1848" w:type="dxa"/>
          </w:tcPr>
          <w:p w14:paraId="063D29B2" w14:textId="3F5E7316" w:rsidR="00602D6F" w:rsidRDefault="00602D6F" w:rsidP="004606EC">
            <w:pPr>
              <w:widowControl w:val="0"/>
              <w:rPr>
                <w:rFonts w:ascii="Calibri" w:eastAsia="Calibri" w:hAnsi="Calibri" w:cs="Calibri"/>
                <w:sz w:val="20"/>
                <w:szCs w:val="20"/>
              </w:rPr>
            </w:pPr>
            <w:r>
              <w:rPr>
                <w:rFonts w:ascii="Calibri" w:eastAsia="Calibri" w:hAnsi="Calibri" w:cs="Calibri"/>
                <w:sz w:val="20"/>
                <w:szCs w:val="20"/>
              </w:rPr>
              <w:t>Tan, 2024</w:t>
            </w:r>
            <w:r>
              <w:rPr>
                <w:rFonts w:ascii="Calibri" w:eastAsia="Calibri" w:hAnsi="Calibri" w:cs="Calibri"/>
                <w:sz w:val="20"/>
                <w:szCs w:val="20"/>
              </w:rPr>
              <w:fldChar w:fldCharType="begin"/>
            </w:r>
            <w:r w:rsidR="00C74D57">
              <w:rPr>
                <w:rFonts w:ascii="Calibri" w:eastAsia="Calibri" w:hAnsi="Calibri" w:cs="Calibri"/>
                <w:sz w:val="20"/>
                <w:szCs w:val="20"/>
              </w:rPr>
              <w:instrText xml:space="preserve"> ADDIN ZOTERO_ITEM CSL_CITATION {"citationID":"PU8nYqTu","properties":{"formattedCitation":"\\super 24\\nosupersub{}","plainCitation":"24","noteIndex":0},"citationItems":[{"id":3150,"uris":["http://zotero.org/users/local/MoY6DhL4/items/RW6NBV6N"],"itemData":{"id":3150,"type":"article-journal","abstract":"Abstract\n            \n              Background\n              Although cumulative studies have demonstrated a beneficial effect of high-flow nasal cannula oxygen (HFNC) in acute hypercapnic respiratory failure, randomized trials to compare HFNC with non-invasive ventilation (NIV) as initial treatment in acute exacerbations of chronic obstructive pulmonary disease (AECOPD) patients with acute-moderate hypercapnic respiratory failure are limited. The aim of this randomized, open label, non-inferiority trial was to compare treatment failure rates between HFNC and NIV in such patients.\n            \n            \n              Methods\n              \n                Patients diagnosed with AECOPD with a baseline arterial blood gas pH between 7.25 and 7.35 and PaCO\n                2\n                 ≥ 50 mmHg admitted to two intensive care units (ICUs) at a large tertiary academic teaching hospital between March 2018 and December 2022 were randomly assigned to HFNC or NIV. The primary endpoint was the rate of treatment failure, defined as endotracheal intubation or a switch to the other study treatment modality. Secondary endpoints were rates of intubation or treatment change, blood gas values, vital signs at one, 12, and 48 h, 28-day mortality, as well as ICU and hospital lengths of stay.\n              \n            \n            \n              Results\n              \n                225 total patients (113 in the HFNC group and 112 in the NIV group) were included in the intention-to-treat analysis. The failure rate of the HFNC group was 25.7%, while the NIV group was 14.3%. The failure rate risk difference between the two groups was 11.38% (95% CI 0.25–21.20,\n                P\n                 = 0.033), which was higher than the non-inferiority cut-off of 9%. In the per-protocol analysis, treatment failure occurred in 28 of 110 patients (25.5%) in the HFNC group and 15 of 109 patients (13.8%) in the NIV group (risk difference, 11.69%; 95% CI 0.48–22.60). The intubation rate in the HFNC group was higher than in the NIV group (14.2% vs 5.4%,\n                P\n                 = 0.026). The treatment switch rate, ICU and hospital length of stay or 28-day mortality in the HFNC group were not statistically different from the NIV group (all\n                P\n                 &gt; 0.05).\n              \n            \n            \n              Conclusion\n              HFNC was not shown to be non-inferior to NIV and resulted in a higher incidence of treatment failure than NIV when used as the initial respiratory support for AECOPD patients with acute-moderate hypercapnic respiratory failure.\n              \n                Trial registration\n                : chictr.org (ChiCTR1800014553). Registered 21 January 2018,\n                http://www.chictr.org.cn","container-title":"Critical Care","DOI":"10.1186/s13054-024-05040-9","ISSN":"1364-8535","issue":"1","journalAbbreviation":"Crit Care","language":"en","page":"250","source":"DOI.org (Crossref)","title":"High flow nasal cannula oxygen therapy versus non-invasive ventilation for acute exacerbations of chronic obstructive pulmonary disease with acute-moderate hypercapnic respiratory failure: a randomized controlled non-inferiority trial","title-short":"High flow nasal cannula oxygen therapy versus non-invasive ventilation for acute exacerbations of chronic obstructive pulmonary disease with acute-moderate hypercapnic respiratory failure","volume":"28","author":[{"family":"Tan","given":"Dingyu"},{"family":"Wang","given":"Bingxia"},{"family":"Cao","given":"Peng"},{"family":"Wang","given":"Yunyun"},{"family":"Sun","given":"Jiayan"},{"family":"Geng","given":"Ping"},{"family":"Walline","given":"Joseph Harold"},{"family":"Wang","given":"Yachao"},{"family":"Wang","given":"Chenlong"}],"issued":{"date-parts":[["2024",7,18]]}}}],"schema":"https://github.com/citation-style-language/schema/raw/master/csl-citation.json"} </w:instrText>
            </w:r>
            <w:r>
              <w:rPr>
                <w:rFonts w:ascii="Calibri" w:eastAsia="Calibri" w:hAnsi="Calibri" w:cs="Calibri"/>
                <w:sz w:val="20"/>
                <w:szCs w:val="20"/>
              </w:rPr>
              <w:fldChar w:fldCharType="separate"/>
            </w:r>
            <w:r w:rsidR="00C74D57" w:rsidRPr="00C74D57">
              <w:rPr>
                <w:rFonts w:ascii="Calibri" w:hAnsi="Calibri" w:cs="Calibri"/>
                <w:sz w:val="20"/>
                <w:vertAlign w:val="superscript"/>
              </w:rPr>
              <w:t>24</w:t>
            </w:r>
            <w:r>
              <w:rPr>
                <w:rFonts w:ascii="Calibri" w:eastAsia="Calibri" w:hAnsi="Calibri" w:cs="Calibri"/>
                <w:sz w:val="20"/>
                <w:szCs w:val="20"/>
              </w:rPr>
              <w:fldChar w:fldCharType="end"/>
            </w:r>
            <w:r>
              <w:rPr>
                <w:rFonts w:ascii="Calibri" w:eastAsia="Calibri" w:hAnsi="Calibri" w:cs="Calibri"/>
                <w:sz w:val="20"/>
                <w:szCs w:val="20"/>
              </w:rPr>
              <w:t>, 2 ICU</w:t>
            </w:r>
            <w:r w:rsidR="002160BC">
              <w:rPr>
                <w:rFonts w:ascii="Calibri" w:eastAsia="Calibri" w:hAnsi="Calibri" w:cs="Calibri"/>
                <w:sz w:val="20"/>
                <w:szCs w:val="20"/>
              </w:rPr>
              <w:t>s</w:t>
            </w:r>
          </w:p>
        </w:tc>
        <w:tc>
          <w:tcPr>
            <w:tcW w:w="2021" w:type="dxa"/>
          </w:tcPr>
          <w:p w14:paraId="73755552" w14:textId="77777777" w:rsidR="00602D6F" w:rsidRDefault="00602D6F" w:rsidP="004606EC">
            <w:pPr>
              <w:rPr>
                <w:rFonts w:ascii="Calibri" w:eastAsia="Calibri" w:hAnsi="Calibri" w:cs="Calibri"/>
                <w:sz w:val="20"/>
                <w:szCs w:val="20"/>
              </w:rPr>
            </w:pPr>
            <w:r>
              <w:rPr>
                <w:rFonts w:ascii="Calibri" w:eastAsia="Calibri" w:hAnsi="Calibri" w:cs="Calibri"/>
                <w:sz w:val="20"/>
                <w:szCs w:val="20"/>
              </w:rPr>
              <w:t>N=225, AECOPD with respiratory acidosis</w:t>
            </w:r>
          </w:p>
        </w:tc>
        <w:tc>
          <w:tcPr>
            <w:tcW w:w="1738" w:type="dxa"/>
          </w:tcPr>
          <w:p w14:paraId="77572BD0" w14:textId="0D851034" w:rsidR="00602D6F" w:rsidRDefault="00327A09" w:rsidP="004606EC">
            <w:pPr>
              <w:rPr>
                <w:rFonts w:ascii="Calibri" w:eastAsia="Calibri" w:hAnsi="Calibri" w:cs="Calibri"/>
                <w:sz w:val="20"/>
                <w:szCs w:val="20"/>
              </w:rPr>
            </w:pPr>
            <w:r>
              <w:rPr>
                <w:rFonts w:ascii="Calibri" w:eastAsia="Calibri" w:hAnsi="Calibri" w:cs="Calibri"/>
                <w:sz w:val="20"/>
                <w:szCs w:val="20"/>
              </w:rPr>
              <w:t xml:space="preserve">HFNT </w:t>
            </w:r>
            <w:r w:rsidR="00602D6F">
              <w:rPr>
                <w:rFonts w:ascii="Calibri" w:eastAsia="Calibri" w:hAnsi="Calibri" w:cs="Calibri"/>
                <w:sz w:val="20"/>
                <w:szCs w:val="20"/>
              </w:rPr>
              <w:t>(N=113) vs. BiPAP (N=112)</w:t>
            </w:r>
          </w:p>
        </w:tc>
        <w:tc>
          <w:tcPr>
            <w:tcW w:w="1515" w:type="dxa"/>
          </w:tcPr>
          <w:p w14:paraId="6638C285" w14:textId="77777777" w:rsidR="00602D6F" w:rsidRDefault="00602D6F" w:rsidP="004606EC">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Oronasal mask</w:t>
            </w:r>
          </w:p>
        </w:tc>
        <w:tc>
          <w:tcPr>
            <w:tcW w:w="1894" w:type="dxa"/>
          </w:tcPr>
          <w:p w14:paraId="2A8B612D" w14:textId="1FBF7D27" w:rsidR="00602D6F" w:rsidRDefault="00602D6F" w:rsidP="004606EC">
            <w:pPr>
              <w:pBdr>
                <w:top w:val="nil"/>
                <w:left w:val="nil"/>
                <w:bottom w:val="nil"/>
                <w:right w:val="nil"/>
                <w:between w:val="nil"/>
              </w:pBdr>
              <w:rPr>
                <w:rFonts w:ascii="Calibri" w:eastAsia="Calibri" w:hAnsi="Calibri" w:cs="Calibri"/>
                <w:color w:val="000000"/>
              </w:rPr>
            </w:pPr>
            <w:r>
              <w:rPr>
                <w:rFonts w:ascii="Calibri" w:eastAsia="Calibri" w:hAnsi="Calibri" w:cs="Calibri"/>
                <w:i/>
                <w:color w:val="000000"/>
                <w:sz w:val="20"/>
                <w:szCs w:val="20"/>
              </w:rPr>
              <w:t>Rate of treatment failure</w:t>
            </w:r>
            <w:r>
              <w:rPr>
                <w:rFonts w:ascii="Calibri" w:eastAsia="Calibri" w:hAnsi="Calibri" w:cs="Calibri"/>
                <w:color w:val="000000"/>
                <w:sz w:val="20"/>
                <w:szCs w:val="20"/>
              </w:rPr>
              <w:t xml:space="preserve"> (EI or a switch to the other study treatment modality): </w:t>
            </w:r>
            <w:r w:rsidR="00327A09">
              <w:rPr>
                <w:rFonts w:ascii="Calibri" w:eastAsia="Calibri" w:hAnsi="Calibri" w:cs="Calibri"/>
                <w:sz w:val="20"/>
                <w:szCs w:val="20"/>
              </w:rPr>
              <w:t xml:space="preserve">HFNT </w:t>
            </w:r>
            <w:r>
              <w:rPr>
                <w:rFonts w:ascii="Calibri" w:eastAsia="Calibri" w:hAnsi="Calibri" w:cs="Calibri"/>
                <w:color w:val="000000"/>
                <w:sz w:val="20"/>
                <w:szCs w:val="20"/>
              </w:rPr>
              <w:t xml:space="preserve">25.7% vs. BiPAP 14.3% (p=0.033); </w:t>
            </w:r>
            <w:r>
              <w:rPr>
                <w:rFonts w:ascii="Calibri" w:eastAsia="Calibri" w:hAnsi="Calibri" w:cs="Calibri"/>
                <w:i/>
                <w:color w:val="000000"/>
                <w:sz w:val="20"/>
                <w:szCs w:val="20"/>
              </w:rPr>
              <w:t>EI rate:</w:t>
            </w:r>
            <w:r>
              <w:rPr>
                <w:rFonts w:ascii="Calibri" w:eastAsia="Calibri" w:hAnsi="Calibri" w:cs="Calibri"/>
                <w:color w:val="000000"/>
                <w:sz w:val="20"/>
                <w:szCs w:val="20"/>
              </w:rPr>
              <w:t xml:space="preserve"> </w:t>
            </w:r>
            <w:r w:rsidR="00327A09">
              <w:rPr>
                <w:rFonts w:ascii="Calibri" w:eastAsia="Calibri" w:hAnsi="Calibri" w:cs="Calibri"/>
                <w:sz w:val="20"/>
                <w:szCs w:val="20"/>
              </w:rPr>
              <w:t xml:space="preserve">HFNT </w:t>
            </w:r>
            <w:r>
              <w:rPr>
                <w:rFonts w:ascii="Calibri" w:eastAsia="Calibri" w:hAnsi="Calibri" w:cs="Calibri"/>
                <w:color w:val="000000"/>
                <w:sz w:val="20"/>
                <w:szCs w:val="20"/>
              </w:rPr>
              <w:t>14.2% vs BiPAP 5.4%, (p=0.026)</w:t>
            </w:r>
          </w:p>
        </w:tc>
      </w:tr>
      <w:tr w:rsidR="002A2E91" w14:paraId="5F127404" w14:textId="77777777" w:rsidTr="004606EC">
        <w:tc>
          <w:tcPr>
            <w:tcW w:w="1848" w:type="dxa"/>
          </w:tcPr>
          <w:p w14:paraId="777E08AD" w14:textId="1024E426" w:rsidR="002A2E91" w:rsidRDefault="002A2E91" w:rsidP="004606EC">
            <w:pPr>
              <w:widowControl w:val="0"/>
              <w:rPr>
                <w:rFonts w:ascii="Calibri" w:eastAsia="Calibri" w:hAnsi="Calibri" w:cs="Calibri"/>
                <w:sz w:val="20"/>
                <w:szCs w:val="20"/>
              </w:rPr>
            </w:pPr>
            <w:r>
              <w:rPr>
                <w:rFonts w:ascii="Calibri" w:eastAsia="Calibri" w:hAnsi="Calibri" w:cs="Calibri"/>
                <w:sz w:val="20"/>
                <w:szCs w:val="20"/>
              </w:rPr>
              <w:t>Luo, 2024</w:t>
            </w:r>
            <w:r w:rsidR="00EA5672">
              <w:rPr>
                <w:rFonts w:ascii="Calibri" w:eastAsia="Calibri" w:hAnsi="Calibri" w:cs="Calibri"/>
                <w:sz w:val="20"/>
                <w:szCs w:val="20"/>
              </w:rPr>
              <w:fldChar w:fldCharType="begin"/>
            </w:r>
            <w:r w:rsidR="00EA5672">
              <w:rPr>
                <w:rFonts w:ascii="Calibri" w:eastAsia="Calibri" w:hAnsi="Calibri" w:cs="Calibri"/>
                <w:sz w:val="20"/>
                <w:szCs w:val="20"/>
              </w:rPr>
              <w:instrText xml:space="preserve"> ADDIN ZOTERO_ITEM CSL_CITATION {"citationID":"WctarexB","properties":{"formattedCitation":"\\super 25\\nosupersub{}","plainCitation":"25","noteIndex":0},"citationItems":[{"id":3761,"uris":["http://zotero.org/users/local/MoY6DhL4/items/NZIDQAXK"],"itemData":{"id":3761,"type":"article-journal","abstract":"Importance\n              The effect of high-intensity noninvasive positive pressure ventilation (NPPV) on the need for endotracheal intubation in patients with an acute exacerbation of chronic obstructive pulmonary disease (COPD) is unknown.\n            \n            \n              Objective\n              To determine whether the use of high-intensity NPPV vs low-intensity NPPV reduces the need for endotracheal intubation in patients with an acute exacerbation of COPD and hypercapnia.\n            \n            \n              Design, Setting, and Participants\n              \n                Randomized clinical trial conducted at 30 general respiratory non–intensive care unit wards of Chinese hospitals from January 3, 2019, to January 31, 2022; the last 90-day follow-up was on April 22, 2022. The included patients had an acute exacerbation of COPD and a Pa\n                co\n                2\n                level greater than 45 mm Hg after receiving 6 hours of low-intensity NPPV.\n              \n            \n            \n              Interventions\n              Patients were randomized 1:1 to receive high-intensity NPPV with inspiratory positive airway pressure that was adjusted to obtain a tidal volume 10 mL/kg to 15 mL/kg of predicted body weight (n = 147) or to continue receiving low-intensity NPPV with inspiratory positive airway pressure that was adjusted to obtain a tidal volume of 6 mL/kg to 10 mL/kg of predicted body weight (n = 153). Patients in the low-intensity NPPV group who met the prespecified criteria for the need for endotracheal intubation were allowed to crossover to high-intensity NPPV.\n            \n            \n              Main Outcomes and Measures\n              The primary outcome was the need for endotracheal intubation during hospitalization, which was defined by prespecified criteria. There were 15 prespecified secondary outcomes, including endotracheal intubation.\n            \n            \n              Results\n              \n                The trial was terminated by the data and safety monitoring board and the trial steering committee after an interim analysis of the first 300 patients. Among the 300 patients who completed the trial (mean age, 73 years [SD, 10 years]; 68% were men), all were included in the analysis. The primary outcome of meeting prespecified criteria for the need for endotracheal intubation occurred in 7 of 147 patients (4.8%) in the high-intensity NPPV group vs 21 of 153 (13.7%) in the low-intensity NPPV group (absolute difference, −9.0% [95% CI, −15.4% to −2.5%], 1-sided\n                P\n                 = .004). However, rates of endotracheal intubation did not significantly differ between groups (3.4% [5/147] in the high-intensity NPPV group vs 3.9% [6/153] in the low-intensity NPPV group; absolute difference, −0.5% [95% CI, −4.8% to 3.7%],\n                P\n                 = .81). Abdominal distension occurred more frequently in the high-intensity NPPV group (37.4% [55/147]) compared with the low-intensity NPPV group (25.5% [39/153]).\n              \n            \n            \n              Conclusions and Relevance\n              Patients with COPD and persistent hypercapnia in the high-intensity NPPV group (vs patients in the low-intensity NPPV group) were significantly less likely to meet criteria for the need for endotracheal intubation; however, patients in the low-intensity NPPV group were allowed to crossover to high-intensity NPPV, and the between-group rate of endotracheal intubation was not significantly different.\n            \n            \n              Trial Registration\n              \n                ClinicalTrials.gov Identifier:\n                NCT02985918","container-title":"JAMA","DOI":"10.1001/jama.2024.15815","ISSN":"0098-7484","issue":"20","journalAbbreviation":"JAMA","language":"en","page":"1709","source":"DOI.org (Crossref)","title":"Effect of High-Intensity vs Low-Intensity Noninvasive Positive Pressure Ventilation on the Need for Endotracheal Intubation in Patients With an Acute Exacerbation of Chronic Obstructive Pulmonary Disease: The HAPPEN Randomized Clinical Trial","title-short":"Effect of High-Intensity vs Low-Intensity Noninvasive Positive Pressure Ventilation on the Need for Endotracheal Intubation in Patients With an Acute Exacerbation of Chronic Obstructive Pulmonary Disease","volume":"332","author":[{"family":"Luo","given":"Zujin"},{"family":"Li","given":"Yichong"},{"family":"Li","given":"Wenjun"},{"family":"Li","given":"Ying"},{"family":"Nie","given":"Qingrong"},{"family":"Shi","given":"Yu"},{"family":"Wang","given":"Juan"},{"family":"Ji","given":"Qiuling"},{"family":"Han","given":"Xuefeng"},{"family":"Liu","given":"Sijie"},{"family":"Li","given":"Dongmei"},{"family":"Wang","given":"ShaSha"},{"family":"Li","given":"Zhijun"},{"family":"Jia","given":"Dong"},{"family":"Ge","given":"Huiqing"},{"family":"Xu","given":"Peifeng"},{"family":"Feng","given":"Zhijun"},{"family":"Li","given":"Fengjie"},{"family":"An","given":"Fucheng"},{"family":"Tai","given":"Na"},{"family":"Yue","given":"Lili"},{"family":"Xie","given":"Hongwei"},{"family":"Jin","given":"Xiuhong"},{"family":"Liu","given":"Hongru"},{"family":"Dang","given":"Qiang"},{"family":"Zhang","given":"Yongxiang"},{"family":"Sun","given":"Li"},{"family":"Wang","given":"Jinxiang"},{"family":"Huang","given":"He"},{"family":"Chen","given":"Liang"},{"family":"Ma","given":"Yingmin"},{"family":"Cao","given":"Zhixin"},{"family":"Wang","given":"Chen"},{"literal":"HAPPEN Investigators"},{"family":"Fang","given":"Wenyao"},{"family":"Zheng","given":"Dawei"},{"family":"Wang","given":"Jingwen"},{"family":"Zhou","given":"Xiaoguo"},{"family":"Liu","given":"Xia"},{"family":"Liu","given":"Yanan"},{"family":"Liu","given":"Lina"},{"family":"Yang","given":"Congbin"},{"family":"Xu","given":"Zhenyang"},{"family":"Lin","given":"Ruiyan"},{"family":"Yang","given":"Jingjing"},{"family":"Peng","given":"Yan"},{"family":"Li","given":"Jian"},{"family":"Yu","given":"Chunxiao"},{"family":"Ling","given":"Xuemei"},{"family":"Ming","given":"Shan"},{"family":"Xu","given":"Xinju"},{"family":"Hou","given":"Xiaohua"},{"family":"Zhang","given":"Yongfa"},{"family":"Xue","given":"Xiaohua"},{"family":"Ma","given":"Haiying"},{"family":"Shen","given":"Yun"},{"family":"Yang","given":"Xiuzhi"},{"family":"An","given":"Yongpeng"},{"family":"Mo","given":"Ting"},{"family":"Sang","given":"Xianyin"},{"family":"Sun","given":"Lidan"},{"family":"Shi","given":"Huaying"},{"family":"Zhang","given":"Hua"},{"family":"Zhang","given":"Peng"},{"family":"Chen","given":"Xiaoxia"},{"family":"Han","given":"Lizhou"},{"family":"Zhang","given":"Yang"},{"family":"Wang","given":"Zeng"},{"family":"Guo","given":"Yuping"},{"family":"Xiang","given":"Yi"},{"family":"Feng","given":"Jun"},{"family":"Qiao","given":"Hua"},{"family":"Chen","given":"Fei"},{"family":"Yang","given":"Xiaohong"},{"family":"Wu","given":"Chao"},{"family":"Abula","given":"Abudusalamu"},{"family":"Tong","given":"Jin"},{"family":"Qin","given":"Yalan"}],"issued":{"date-parts":[["2024",11,26]]}}}],"schema":"https://github.com/citation-style-language/schema/raw/master/csl-citation.json"} </w:instrText>
            </w:r>
            <w:r w:rsidR="00EA5672">
              <w:rPr>
                <w:rFonts w:ascii="Calibri" w:eastAsia="Calibri" w:hAnsi="Calibri" w:cs="Calibri"/>
                <w:sz w:val="20"/>
                <w:szCs w:val="20"/>
              </w:rPr>
              <w:fldChar w:fldCharType="separate"/>
            </w:r>
            <w:r w:rsidR="00EA5672" w:rsidRPr="00EA5672">
              <w:rPr>
                <w:rFonts w:ascii="Calibri" w:hAnsi="Calibri" w:cs="Calibri"/>
                <w:sz w:val="20"/>
                <w:vertAlign w:val="superscript"/>
              </w:rPr>
              <w:t>25</w:t>
            </w:r>
            <w:r w:rsidR="00EA5672">
              <w:rPr>
                <w:rFonts w:ascii="Calibri" w:eastAsia="Calibri" w:hAnsi="Calibri" w:cs="Calibri"/>
                <w:sz w:val="20"/>
                <w:szCs w:val="20"/>
              </w:rPr>
              <w:fldChar w:fldCharType="end"/>
            </w:r>
            <w:r>
              <w:rPr>
                <w:rFonts w:ascii="Calibri" w:eastAsia="Calibri" w:hAnsi="Calibri" w:cs="Calibri"/>
                <w:sz w:val="20"/>
                <w:szCs w:val="20"/>
              </w:rPr>
              <w:t>, 30 respiratory non-ICU wards</w:t>
            </w:r>
          </w:p>
        </w:tc>
        <w:tc>
          <w:tcPr>
            <w:tcW w:w="2021" w:type="dxa"/>
          </w:tcPr>
          <w:p w14:paraId="391FD1E7" w14:textId="563F60B8" w:rsidR="002A2E91" w:rsidRDefault="002A2E91" w:rsidP="004606EC">
            <w:pPr>
              <w:rPr>
                <w:rFonts w:ascii="Calibri" w:eastAsia="Calibri" w:hAnsi="Calibri" w:cs="Calibri"/>
                <w:sz w:val="20"/>
                <w:szCs w:val="20"/>
              </w:rPr>
            </w:pPr>
            <w:r>
              <w:rPr>
                <w:rFonts w:ascii="Calibri" w:eastAsia="Calibri" w:hAnsi="Calibri" w:cs="Calibri"/>
                <w:sz w:val="20"/>
                <w:szCs w:val="20"/>
              </w:rPr>
              <w:t>N=</w:t>
            </w:r>
            <w:r>
              <w:rPr>
                <w:rFonts w:ascii="Calibri" w:eastAsia="Calibri" w:hAnsi="Calibri" w:cs="Calibri"/>
                <w:sz w:val="20"/>
                <w:szCs w:val="20"/>
              </w:rPr>
              <w:t>300</w:t>
            </w:r>
            <w:r>
              <w:rPr>
                <w:rFonts w:ascii="Calibri" w:eastAsia="Calibri" w:hAnsi="Calibri" w:cs="Calibri"/>
                <w:sz w:val="20"/>
                <w:szCs w:val="20"/>
              </w:rPr>
              <w:t>, AECOPD with respiratory acidosis</w:t>
            </w:r>
          </w:p>
        </w:tc>
        <w:tc>
          <w:tcPr>
            <w:tcW w:w="1738" w:type="dxa"/>
          </w:tcPr>
          <w:p w14:paraId="14C46AE7" w14:textId="4A79F0AD" w:rsidR="002A2E91" w:rsidRDefault="002A2E91" w:rsidP="004606EC">
            <w:pPr>
              <w:rPr>
                <w:rFonts w:ascii="Calibri" w:eastAsia="Calibri" w:hAnsi="Calibri" w:cs="Calibri"/>
                <w:sz w:val="20"/>
                <w:szCs w:val="20"/>
              </w:rPr>
            </w:pPr>
            <w:r>
              <w:rPr>
                <w:rFonts w:ascii="Calibri" w:eastAsia="Calibri" w:hAnsi="Calibri" w:cs="Calibri"/>
                <w:sz w:val="20"/>
                <w:szCs w:val="20"/>
              </w:rPr>
              <w:t>Low intensity BiPAP (maximum IPAP 20 cmH</w:t>
            </w:r>
            <w:r w:rsidRPr="002A2E91">
              <w:rPr>
                <w:rFonts w:ascii="Calibri" w:eastAsia="Calibri" w:hAnsi="Calibri" w:cs="Calibri"/>
                <w:sz w:val="20"/>
                <w:szCs w:val="20"/>
                <w:vertAlign w:val="subscript"/>
              </w:rPr>
              <w:t>2</w:t>
            </w:r>
            <w:r>
              <w:rPr>
                <w:rFonts w:ascii="Calibri" w:eastAsia="Calibri" w:hAnsi="Calibri" w:cs="Calibri"/>
                <w:sz w:val="20"/>
                <w:szCs w:val="20"/>
              </w:rPr>
              <w:t xml:space="preserve">O to obtain Vt 6-10 mL/Kg) vs. high intensity BiPAP (maximum IPAP 30 </w:t>
            </w:r>
            <w:r>
              <w:rPr>
                <w:rFonts w:ascii="Calibri" w:eastAsia="Calibri" w:hAnsi="Calibri" w:cs="Calibri"/>
                <w:sz w:val="20"/>
                <w:szCs w:val="20"/>
              </w:rPr>
              <w:t>cmH</w:t>
            </w:r>
            <w:r w:rsidRPr="002A2E91">
              <w:rPr>
                <w:rFonts w:ascii="Calibri" w:eastAsia="Calibri" w:hAnsi="Calibri" w:cs="Calibri"/>
                <w:sz w:val="20"/>
                <w:szCs w:val="20"/>
                <w:vertAlign w:val="subscript"/>
              </w:rPr>
              <w:t>2</w:t>
            </w:r>
            <w:r>
              <w:rPr>
                <w:rFonts w:ascii="Calibri" w:eastAsia="Calibri" w:hAnsi="Calibri" w:cs="Calibri"/>
                <w:sz w:val="20"/>
                <w:szCs w:val="20"/>
              </w:rPr>
              <w:t xml:space="preserve">O </w:t>
            </w:r>
            <w:r>
              <w:rPr>
                <w:rFonts w:ascii="Calibri" w:eastAsia="Calibri" w:hAnsi="Calibri" w:cs="Calibri"/>
                <w:sz w:val="20"/>
                <w:szCs w:val="20"/>
              </w:rPr>
              <w:t xml:space="preserve">to obtain </w:t>
            </w:r>
            <w:r>
              <w:rPr>
                <w:rFonts w:ascii="Calibri" w:eastAsia="Calibri" w:hAnsi="Calibri" w:cs="Calibri"/>
                <w:sz w:val="20"/>
                <w:szCs w:val="20"/>
              </w:rPr>
              <w:t xml:space="preserve">Vt </w:t>
            </w:r>
            <w:r>
              <w:rPr>
                <w:rFonts w:ascii="Calibri" w:eastAsia="Calibri" w:hAnsi="Calibri" w:cs="Calibri"/>
                <w:sz w:val="20"/>
                <w:szCs w:val="20"/>
              </w:rPr>
              <w:t>10-15 mL/Kg)</w:t>
            </w:r>
          </w:p>
        </w:tc>
        <w:tc>
          <w:tcPr>
            <w:tcW w:w="1515" w:type="dxa"/>
          </w:tcPr>
          <w:p w14:paraId="6F1E73D1" w14:textId="0882992C" w:rsidR="00EA5672" w:rsidRPr="00EA5672" w:rsidRDefault="00EA5672" w:rsidP="00EA5672">
            <w:pPr>
              <w:pStyle w:val="p1"/>
              <w:rPr>
                <w:rFonts w:ascii="Calibri" w:hAnsi="Calibri" w:cs="Calibri"/>
                <w:sz w:val="20"/>
                <w:szCs w:val="20"/>
              </w:rPr>
            </w:pPr>
            <w:r w:rsidRPr="00EA5672">
              <w:rPr>
                <w:rStyle w:val="apple-converted-space"/>
                <w:rFonts w:ascii="Calibri" w:hAnsi="Calibri" w:cs="Calibri"/>
                <w:sz w:val="20"/>
                <w:szCs w:val="20"/>
              </w:rPr>
              <w:t> </w:t>
            </w:r>
            <w:r w:rsidRPr="00EA5672">
              <w:rPr>
                <w:rFonts w:ascii="Calibri" w:hAnsi="Calibri" w:cs="Calibri"/>
                <w:sz w:val="20"/>
                <w:szCs w:val="20"/>
                <w:lang w:val="en-US"/>
              </w:rPr>
              <w:t>O</w:t>
            </w:r>
            <w:r w:rsidRPr="00EA5672">
              <w:rPr>
                <w:rFonts w:ascii="Calibri" w:hAnsi="Calibri" w:cs="Calibri"/>
                <w:sz w:val="20"/>
                <w:szCs w:val="20"/>
              </w:rPr>
              <w:t xml:space="preserve">ronasal mask </w:t>
            </w:r>
            <w:r w:rsidRPr="00EA5672">
              <w:rPr>
                <w:rFonts w:ascii="Calibri" w:hAnsi="Calibri" w:cs="Calibri"/>
                <w:sz w:val="20"/>
                <w:szCs w:val="20"/>
                <w:lang w:val="en-US"/>
              </w:rPr>
              <w:t>(</w:t>
            </w:r>
            <w:r w:rsidRPr="00EA5672">
              <w:rPr>
                <w:rFonts w:ascii="Calibri" w:hAnsi="Calibri" w:cs="Calibri"/>
                <w:sz w:val="20"/>
                <w:szCs w:val="20"/>
              </w:rPr>
              <w:t>first choice</w:t>
            </w:r>
            <w:r w:rsidRPr="00EA5672">
              <w:rPr>
                <w:rFonts w:ascii="Calibri" w:hAnsi="Calibri" w:cs="Calibri"/>
                <w:sz w:val="20"/>
                <w:szCs w:val="20"/>
                <w:lang w:val="en-US"/>
              </w:rPr>
              <w:t xml:space="preserve">), </w:t>
            </w:r>
            <w:r w:rsidRPr="00EA5672">
              <w:rPr>
                <w:rFonts w:ascii="Calibri" w:hAnsi="Calibri" w:cs="Calibri"/>
                <w:sz w:val="20"/>
                <w:szCs w:val="20"/>
              </w:rPr>
              <w:t xml:space="preserve">nasal mask </w:t>
            </w:r>
            <w:r w:rsidRPr="00EA5672">
              <w:rPr>
                <w:rFonts w:ascii="Calibri" w:hAnsi="Calibri" w:cs="Calibri"/>
                <w:sz w:val="20"/>
                <w:szCs w:val="20"/>
                <w:lang w:val="en-US"/>
              </w:rPr>
              <w:t>(</w:t>
            </w:r>
            <w:r w:rsidRPr="00EA5672">
              <w:rPr>
                <w:rFonts w:ascii="Calibri" w:hAnsi="Calibri" w:cs="Calibri"/>
                <w:sz w:val="20"/>
                <w:szCs w:val="20"/>
              </w:rPr>
              <w:t xml:space="preserve">if </w:t>
            </w:r>
          </w:p>
          <w:p w14:paraId="7E4E0438" w14:textId="4D71D7C3" w:rsidR="00EA5672" w:rsidRPr="00EA5672" w:rsidRDefault="00EA5672" w:rsidP="00EA5672">
            <w:pPr>
              <w:pStyle w:val="p1"/>
              <w:rPr>
                <w:rFonts w:ascii="Calibri" w:hAnsi="Calibri" w:cs="Calibri"/>
                <w:sz w:val="20"/>
                <w:szCs w:val="20"/>
                <w:lang w:val="en-US"/>
              </w:rPr>
            </w:pPr>
            <w:r w:rsidRPr="00EA5672">
              <w:rPr>
                <w:rFonts w:ascii="Calibri" w:hAnsi="Calibri" w:cs="Calibri"/>
                <w:sz w:val="20"/>
                <w:szCs w:val="20"/>
              </w:rPr>
              <w:t>oronasal mask</w:t>
            </w:r>
            <w:r w:rsidRPr="00EA5672">
              <w:rPr>
                <w:rFonts w:ascii="Calibri" w:hAnsi="Calibri" w:cs="Calibri"/>
                <w:sz w:val="20"/>
                <w:szCs w:val="20"/>
                <w:lang w:val="en-US"/>
              </w:rPr>
              <w:t xml:space="preserve"> not tolerated)</w:t>
            </w:r>
          </w:p>
          <w:p w14:paraId="4E45ED8B" w14:textId="77777777" w:rsidR="002A2E91" w:rsidRPr="00EA5672" w:rsidRDefault="002A2E91" w:rsidP="004606EC">
            <w:pPr>
              <w:rPr>
                <w:rFonts w:ascii="Calibri" w:eastAsia="Calibri" w:hAnsi="Calibri" w:cs="Calibri"/>
                <w:color w:val="333333"/>
                <w:sz w:val="20"/>
                <w:szCs w:val="20"/>
                <w:highlight w:val="white"/>
                <w:lang w:val="en-IT"/>
              </w:rPr>
            </w:pPr>
          </w:p>
        </w:tc>
        <w:tc>
          <w:tcPr>
            <w:tcW w:w="1894" w:type="dxa"/>
          </w:tcPr>
          <w:p w14:paraId="6BB6CE3A" w14:textId="3814E742" w:rsidR="002A2E91" w:rsidRPr="00EA5672" w:rsidRDefault="00EA5672" w:rsidP="004606EC">
            <w:pPr>
              <w:pBdr>
                <w:top w:val="nil"/>
                <w:left w:val="nil"/>
                <w:bottom w:val="nil"/>
                <w:right w:val="nil"/>
                <w:between w:val="nil"/>
              </w:pBdr>
              <w:rPr>
                <w:rFonts w:ascii="Calibri" w:eastAsia="Calibri" w:hAnsi="Calibri" w:cs="Calibri"/>
                <w:sz w:val="20"/>
                <w:szCs w:val="20"/>
              </w:rPr>
            </w:pPr>
            <w:r>
              <w:rPr>
                <w:rFonts w:ascii="Calibri" w:eastAsia="Calibri" w:hAnsi="Calibri" w:cs="Calibri"/>
                <w:i/>
                <w:color w:val="000000"/>
                <w:sz w:val="20"/>
                <w:szCs w:val="20"/>
              </w:rPr>
              <w:t xml:space="preserve">Criteria for the need of intubation*: </w:t>
            </w:r>
            <w:r>
              <w:rPr>
                <w:rFonts w:ascii="Calibri" w:eastAsia="Calibri" w:hAnsi="Calibri" w:cs="Calibri"/>
                <w:sz w:val="20"/>
                <w:szCs w:val="20"/>
              </w:rPr>
              <w:t>Low intensity BiPA</w:t>
            </w:r>
            <w:r>
              <w:rPr>
                <w:rFonts w:ascii="Calibri" w:eastAsia="Calibri" w:hAnsi="Calibri" w:cs="Calibri"/>
                <w:sz w:val="20"/>
                <w:szCs w:val="20"/>
              </w:rPr>
              <w:t>P 13.7%</w:t>
            </w:r>
            <w:r>
              <w:rPr>
                <w:rFonts w:ascii="Calibri" w:eastAsia="Calibri" w:hAnsi="Calibri" w:cs="Calibri"/>
                <w:sz w:val="20"/>
                <w:szCs w:val="20"/>
              </w:rPr>
              <w:t xml:space="preserve"> vs. high intensity BiPAP</w:t>
            </w:r>
            <w:r>
              <w:rPr>
                <w:rFonts w:ascii="Calibri" w:eastAsia="Calibri" w:hAnsi="Calibri" w:cs="Calibri"/>
                <w:sz w:val="20"/>
                <w:szCs w:val="20"/>
              </w:rPr>
              <w:t xml:space="preserve"> 4.8 (p=0.004)</w:t>
            </w:r>
          </w:p>
        </w:tc>
      </w:tr>
    </w:tbl>
    <w:p w14:paraId="06BA4505" w14:textId="5BF594BA" w:rsidR="00602D6F" w:rsidRDefault="00602D6F" w:rsidP="00602D6F">
      <w:pPr>
        <w:jc w:val="both"/>
        <w:rPr>
          <w:rFonts w:ascii="Calibri" w:eastAsia="Calibri" w:hAnsi="Calibri" w:cs="Calibri"/>
          <w:sz w:val="20"/>
          <w:szCs w:val="20"/>
        </w:rPr>
      </w:pPr>
      <w:r>
        <w:rPr>
          <w:rFonts w:ascii="Calibri" w:eastAsia="Calibri" w:hAnsi="Calibri" w:cs="Calibri"/>
          <w:sz w:val="20"/>
          <w:szCs w:val="20"/>
        </w:rPr>
        <w:t xml:space="preserve">List of abbreviations: BiPAP: bilevel positive airway pressure; CPAP: continuous positive airway pressure; COT: Conventional oxygen therapy; ED: emergency department; EI: endotracheal intubation; </w:t>
      </w:r>
      <w:r w:rsidR="00327A09">
        <w:rPr>
          <w:rFonts w:ascii="Calibri" w:eastAsia="Calibri" w:hAnsi="Calibri" w:cs="Calibri"/>
          <w:sz w:val="20"/>
          <w:szCs w:val="20"/>
        </w:rPr>
        <w:t>HFNT</w:t>
      </w:r>
      <w:r>
        <w:rPr>
          <w:rFonts w:ascii="Calibri" w:eastAsia="Calibri" w:hAnsi="Calibri" w:cs="Calibri"/>
          <w:sz w:val="20"/>
          <w:szCs w:val="20"/>
        </w:rPr>
        <w:t xml:space="preserve">: high flow nasal </w:t>
      </w:r>
      <w:r w:rsidR="00327A09">
        <w:rPr>
          <w:rFonts w:ascii="Calibri" w:eastAsia="Calibri" w:hAnsi="Calibri" w:cs="Calibri"/>
          <w:sz w:val="20"/>
          <w:szCs w:val="20"/>
        </w:rPr>
        <w:t>therapy</w:t>
      </w:r>
      <w:r>
        <w:rPr>
          <w:rFonts w:ascii="Calibri" w:eastAsia="Calibri" w:hAnsi="Calibri" w:cs="Calibri"/>
          <w:sz w:val="20"/>
          <w:szCs w:val="20"/>
        </w:rPr>
        <w:t>; ICU: intensive care unit; PaCO</w:t>
      </w:r>
      <w:r>
        <w:rPr>
          <w:rFonts w:ascii="Calibri" w:eastAsia="Calibri" w:hAnsi="Calibri" w:cs="Calibri"/>
          <w:sz w:val="20"/>
          <w:szCs w:val="20"/>
          <w:vertAlign w:val="subscript"/>
        </w:rPr>
        <w:t>2</w:t>
      </w:r>
      <w:r>
        <w:rPr>
          <w:rFonts w:ascii="Calibri" w:eastAsia="Calibri" w:hAnsi="Calibri" w:cs="Calibri"/>
          <w:sz w:val="20"/>
          <w:szCs w:val="20"/>
        </w:rPr>
        <w:t>: partial pressure of carbon dioxide; RR: respiratory rate.</w:t>
      </w:r>
    </w:p>
    <w:p w14:paraId="17E02C88" w14:textId="2CB43C6E" w:rsidR="00EA5672" w:rsidRPr="00EA5672" w:rsidRDefault="00EA5672" w:rsidP="00602D6F">
      <w:pPr>
        <w:jc w:val="both"/>
        <w:rPr>
          <w:rFonts w:ascii="Calibri" w:eastAsia="Calibri" w:hAnsi="Calibri" w:cs="Calibri"/>
          <w:iCs/>
          <w:sz w:val="20"/>
          <w:szCs w:val="20"/>
        </w:rPr>
      </w:pPr>
      <w:r>
        <w:rPr>
          <w:rFonts w:ascii="Calibri" w:eastAsia="Calibri" w:hAnsi="Calibri" w:cs="Calibri"/>
          <w:iCs/>
          <w:color w:val="000000"/>
          <w:sz w:val="20"/>
          <w:szCs w:val="20"/>
        </w:rPr>
        <w:lastRenderedPageBreak/>
        <w:t>*</w:t>
      </w:r>
      <w:r w:rsidRPr="00EA5672">
        <w:rPr>
          <w:rFonts w:ascii="Calibri" w:eastAsia="Calibri" w:hAnsi="Calibri" w:cs="Calibri"/>
          <w:iCs/>
          <w:color w:val="000000"/>
          <w:sz w:val="20"/>
          <w:szCs w:val="20"/>
        </w:rPr>
        <w:t>Criteria for the need of intubation</w:t>
      </w:r>
      <w:r w:rsidRPr="00EA5672">
        <w:rPr>
          <w:rFonts w:ascii="Calibri" w:eastAsia="Calibri" w:hAnsi="Calibri" w:cs="Calibri"/>
          <w:iCs/>
          <w:sz w:val="20"/>
          <w:szCs w:val="20"/>
        </w:rPr>
        <w:t xml:space="preserve"> </w:t>
      </w:r>
      <w:r>
        <w:rPr>
          <w:rFonts w:ascii="Calibri" w:eastAsia="Calibri" w:hAnsi="Calibri" w:cs="Calibri"/>
          <w:iCs/>
          <w:sz w:val="20"/>
          <w:szCs w:val="20"/>
        </w:rPr>
        <w:t xml:space="preserve">were defined by </w:t>
      </w:r>
      <w:r w:rsidRPr="00EA5672">
        <w:rPr>
          <w:rFonts w:ascii="Calibri" w:eastAsia="Calibri" w:hAnsi="Calibri" w:cs="Calibri"/>
          <w:iCs/>
          <w:sz w:val="20"/>
          <w:szCs w:val="20"/>
        </w:rPr>
        <w:t xml:space="preserve">(1) arterial pH </w:t>
      </w:r>
      <w:r>
        <w:rPr>
          <w:rFonts w:ascii="Calibri" w:eastAsia="Calibri" w:hAnsi="Calibri" w:cs="Calibri"/>
          <w:iCs/>
          <w:sz w:val="20"/>
          <w:szCs w:val="20"/>
        </w:rPr>
        <w:t>&lt;</w:t>
      </w:r>
      <w:r w:rsidRPr="00EA5672">
        <w:rPr>
          <w:rFonts w:ascii="Calibri" w:eastAsia="Calibri" w:hAnsi="Calibri" w:cs="Calibri"/>
          <w:iCs/>
          <w:sz w:val="20"/>
          <w:szCs w:val="20"/>
        </w:rPr>
        <w:t xml:space="preserve"> 7.25 with a PaCO2 level that increased by more than 20% compared with the baseline level or PaO</w:t>
      </w:r>
      <w:r w:rsidRPr="00EA5672">
        <w:rPr>
          <w:rFonts w:ascii="Calibri" w:eastAsia="Calibri" w:hAnsi="Calibri" w:cs="Calibri"/>
          <w:iCs/>
          <w:sz w:val="20"/>
          <w:szCs w:val="20"/>
          <w:vertAlign w:val="subscript"/>
        </w:rPr>
        <w:t>2</w:t>
      </w:r>
      <w:r>
        <w:rPr>
          <w:rFonts w:ascii="Calibri" w:eastAsia="Calibri" w:hAnsi="Calibri" w:cs="Calibri"/>
          <w:iCs/>
          <w:sz w:val="20"/>
          <w:szCs w:val="20"/>
        </w:rPr>
        <w:t>/</w:t>
      </w:r>
      <w:r w:rsidRPr="00EA5672">
        <w:rPr>
          <w:rFonts w:ascii="Calibri" w:eastAsia="Calibri" w:hAnsi="Calibri" w:cs="Calibri"/>
          <w:iCs/>
          <w:sz w:val="20"/>
          <w:szCs w:val="20"/>
        </w:rPr>
        <w:t>FIO</w:t>
      </w:r>
      <w:r w:rsidRPr="00EA5672">
        <w:rPr>
          <w:rFonts w:ascii="Calibri" w:eastAsia="Calibri" w:hAnsi="Calibri" w:cs="Calibri"/>
          <w:iCs/>
          <w:sz w:val="20"/>
          <w:szCs w:val="20"/>
          <w:vertAlign w:val="subscript"/>
        </w:rPr>
        <w:t>2</w:t>
      </w:r>
      <w:r w:rsidRPr="00EA5672">
        <w:rPr>
          <w:rFonts w:ascii="Calibri" w:eastAsia="Calibri" w:hAnsi="Calibri" w:cs="Calibri"/>
          <w:iCs/>
          <w:sz w:val="20"/>
          <w:szCs w:val="20"/>
        </w:rPr>
        <w:t xml:space="preserve"> </w:t>
      </w:r>
      <w:r>
        <w:rPr>
          <w:rFonts w:ascii="Calibri" w:eastAsia="Calibri" w:hAnsi="Calibri" w:cs="Calibri"/>
          <w:iCs/>
          <w:sz w:val="20"/>
          <w:szCs w:val="20"/>
        </w:rPr>
        <w:t xml:space="preserve">&lt; </w:t>
      </w:r>
      <w:r w:rsidRPr="00EA5672">
        <w:rPr>
          <w:rFonts w:ascii="Calibri" w:eastAsia="Calibri" w:hAnsi="Calibri" w:cs="Calibri"/>
          <w:iCs/>
          <w:sz w:val="20"/>
          <w:szCs w:val="20"/>
        </w:rPr>
        <w:t xml:space="preserve">100 mm Hg; and (2) the presence of at least 1 of the following: clinical signs suggestive of severely decreased consciousness, use of accessory respiratory muscles or thoracoabdominal paradoxical movement, excessive respiratory secretions, aspiration or vomiting, bleeding in upper gastrointestinal tract, severe hemodynamic instability without response to fluid resuscitation and low-dose vasoactive agents, or ventricular or supraventricular arrhythmias; or (3) cardiac or respiratory arrest. </w:t>
      </w:r>
    </w:p>
    <w:p w14:paraId="32F67A54" w14:textId="77777777" w:rsidR="00602D6F" w:rsidRDefault="00602D6F"/>
    <w:p w14:paraId="16D87560" w14:textId="7555C2AD" w:rsidR="00A94F97" w:rsidRPr="008A74C5" w:rsidRDefault="00A94F97" w:rsidP="00A94F97">
      <w:pPr>
        <w:spacing w:line="360" w:lineRule="auto"/>
        <w:jc w:val="both"/>
        <w:rPr>
          <w:rFonts w:ascii="Calibri" w:eastAsia="Calibri" w:hAnsi="Calibri" w:cs="Calibri"/>
        </w:rPr>
      </w:pPr>
      <w:r w:rsidRPr="008A74C5">
        <w:rPr>
          <w:rFonts w:ascii="Calibri" w:eastAsia="Calibri" w:hAnsi="Calibri" w:cs="Calibri"/>
          <w:b/>
        </w:rPr>
        <w:t xml:space="preserve">Table </w:t>
      </w:r>
      <w:r>
        <w:rPr>
          <w:rFonts w:ascii="Calibri" w:eastAsia="Calibri" w:hAnsi="Calibri" w:cs="Calibri"/>
          <w:b/>
        </w:rPr>
        <w:t>4</w:t>
      </w:r>
      <w:r w:rsidR="002A2E91">
        <w:rPr>
          <w:rFonts w:ascii="Calibri" w:eastAsia="Calibri" w:hAnsi="Calibri" w:cs="Calibri"/>
          <w:b/>
        </w:rPr>
        <w:t>S</w:t>
      </w:r>
      <w:r w:rsidRPr="008A74C5">
        <w:rPr>
          <w:rFonts w:ascii="Calibri" w:eastAsia="Calibri" w:hAnsi="Calibri" w:cs="Calibri"/>
          <w:b/>
        </w:rPr>
        <w:t>.</w:t>
      </w:r>
      <w:r w:rsidRPr="008A74C5">
        <w:rPr>
          <w:rFonts w:ascii="Calibri" w:eastAsia="Calibri" w:hAnsi="Calibri" w:cs="Calibri"/>
        </w:rPr>
        <w:t xml:space="preserve"> </w:t>
      </w:r>
      <w:sdt>
        <w:sdtPr>
          <w:tag w:val="goog_rdk_166"/>
          <w:id w:val="81106585"/>
        </w:sdtPr>
        <w:sdtContent/>
      </w:sdt>
      <w:sdt>
        <w:sdtPr>
          <w:tag w:val="goog_rdk_167"/>
          <w:id w:val="-896747158"/>
        </w:sdtPr>
        <w:sdtContent/>
      </w:sdt>
      <w:sdt>
        <w:sdtPr>
          <w:tag w:val="goog_rdk_168"/>
          <w:id w:val="-2002883332"/>
        </w:sdtPr>
        <w:sdtContent/>
      </w:sdt>
      <w:sdt>
        <w:sdtPr>
          <w:tag w:val="goog_rdk_169"/>
          <w:id w:val="1597669907"/>
        </w:sdtPr>
        <w:sdtContent/>
      </w:sdt>
      <w:r w:rsidRPr="008A74C5">
        <w:rPr>
          <w:rFonts w:ascii="Calibri" w:eastAsia="Calibri" w:hAnsi="Calibri" w:cs="Calibri"/>
        </w:rPr>
        <w:t xml:space="preserve">Main RCTs comparing different </w:t>
      </w:r>
      <w:r w:rsidRPr="008A74C5">
        <w:rPr>
          <w:rFonts w:ascii="Calibri" w:eastAsia="Calibri" w:hAnsi="Calibri" w:cs="Calibri"/>
          <w:color w:val="000000"/>
        </w:rPr>
        <w:t xml:space="preserve">non-invasive respiratory support </w:t>
      </w:r>
      <w:r w:rsidRPr="008A74C5">
        <w:rPr>
          <w:rFonts w:ascii="Calibri" w:eastAsia="Calibri" w:hAnsi="Calibri" w:cs="Calibri"/>
        </w:rPr>
        <w:t xml:space="preserve">techniques in </w:t>
      </w:r>
      <w:r>
        <w:rPr>
          <w:rFonts w:ascii="Calibri" w:eastAsia="Calibri" w:hAnsi="Calibri" w:cs="Calibri"/>
          <w:color w:val="1B1B1B"/>
        </w:rPr>
        <w:t>post-</w:t>
      </w:r>
      <w:proofErr w:type="spellStart"/>
      <w:r>
        <w:rPr>
          <w:rFonts w:ascii="Calibri" w:eastAsia="Calibri" w:hAnsi="Calibri" w:cs="Calibri"/>
          <w:color w:val="1B1B1B"/>
        </w:rPr>
        <w:t>extubation</w:t>
      </w:r>
      <w:proofErr w:type="spellEnd"/>
      <w:r>
        <w:rPr>
          <w:rFonts w:ascii="Calibri" w:eastAsia="Calibri" w:hAnsi="Calibri" w:cs="Calibri"/>
          <w:color w:val="1B1B1B"/>
        </w:rPr>
        <w:t xml:space="preserve"> prophylactic treatment </w:t>
      </w:r>
      <w:r w:rsidRPr="008A74C5">
        <w:rPr>
          <w:rFonts w:ascii="Calibri" w:eastAsia="Calibri" w:hAnsi="Calibri" w:cs="Calibri"/>
        </w:rPr>
        <w:t>(chronological order of publication)</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8"/>
        <w:gridCol w:w="2021"/>
        <w:gridCol w:w="1738"/>
        <w:gridCol w:w="1515"/>
        <w:gridCol w:w="1894"/>
      </w:tblGrid>
      <w:tr w:rsidR="00A94F97" w14:paraId="47A49B05" w14:textId="77777777" w:rsidTr="003E0D49">
        <w:tc>
          <w:tcPr>
            <w:tcW w:w="1848" w:type="dxa"/>
          </w:tcPr>
          <w:p w14:paraId="091B999A" w14:textId="77777777" w:rsidR="00A94F97" w:rsidRPr="008A74C5" w:rsidRDefault="00A94F97" w:rsidP="003E0D49">
            <w:pPr>
              <w:rPr>
                <w:rFonts w:ascii="Calibri" w:eastAsia="Calibri" w:hAnsi="Calibri" w:cs="Calibri"/>
                <w:b/>
                <w:bCs/>
                <w:sz w:val="20"/>
                <w:szCs w:val="20"/>
              </w:rPr>
            </w:pPr>
            <w:r w:rsidRPr="008A74C5">
              <w:rPr>
                <w:rFonts w:ascii="Calibri" w:eastAsia="Calibri" w:hAnsi="Calibri" w:cs="Calibri"/>
                <w:b/>
                <w:bCs/>
                <w:sz w:val="20"/>
                <w:szCs w:val="20"/>
              </w:rPr>
              <w:t xml:space="preserve">Author, year, N </w:t>
            </w:r>
            <w:proofErr w:type="spellStart"/>
            <w:r w:rsidRPr="008A74C5">
              <w:rPr>
                <w:rFonts w:ascii="Calibri" w:eastAsia="Calibri" w:hAnsi="Calibri" w:cs="Calibri"/>
                <w:b/>
                <w:bCs/>
                <w:sz w:val="20"/>
                <w:szCs w:val="20"/>
              </w:rPr>
              <w:t>centers</w:t>
            </w:r>
            <w:proofErr w:type="spellEnd"/>
          </w:p>
        </w:tc>
        <w:tc>
          <w:tcPr>
            <w:tcW w:w="2021" w:type="dxa"/>
          </w:tcPr>
          <w:p w14:paraId="02E0657E" w14:textId="77777777" w:rsidR="00A94F97" w:rsidRPr="008A74C5" w:rsidRDefault="00A94F97" w:rsidP="003E0D49">
            <w:pPr>
              <w:rPr>
                <w:rFonts w:ascii="Calibri" w:eastAsia="Calibri" w:hAnsi="Calibri" w:cs="Calibri"/>
                <w:b/>
                <w:bCs/>
                <w:sz w:val="20"/>
                <w:szCs w:val="20"/>
              </w:rPr>
            </w:pPr>
            <w:r w:rsidRPr="008A74C5">
              <w:rPr>
                <w:rFonts w:ascii="Calibri" w:eastAsia="Calibri" w:hAnsi="Calibri" w:cs="Calibri"/>
                <w:b/>
                <w:bCs/>
                <w:sz w:val="20"/>
                <w:szCs w:val="20"/>
              </w:rPr>
              <w:t>N Patients</w:t>
            </w:r>
          </w:p>
        </w:tc>
        <w:tc>
          <w:tcPr>
            <w:tcW w:w="1738" w:type="dxa"/>
          </w:tcPr>
          <w:p w14:paraId="75A23D41" w14:textId="77777777" w:rsidR="00A94F97" w:rsidRPr="008A74C5" w:rsidRDefault="00A94F97" w:rsidP="003E0D49">
            <w:pPr>
              <w:rPr>
                <w:rFonts w:ascii="Calibri" w:eastAsia="Calibri" w:hAnsi="Calibri" w:cs="Calibri"/>
                <w:b/>
                <w:bCs/>
                <w:sz w:val="20"/>
                <w:szCs w:val="20"/>
              </w:rPr>
            </w:pPr>
            <w:r w:rsidRPr="008A74C5">
              <w:rPr>
                <w:rFonts w:ascii="Calibri" w:eastAsia="Calibri" w:hAnsi="Calibri" w:cs="Calibri"/>
                <w:b/>
                <w:bCs/>
                <w:sz w:val="20"/>
                <w:szCs w:val="20"/>
              </w:rPr>
              <w:t>Techniques</w:t>
            </w:r>
          </w:p>
        </w:tc>
        <w:tc>
          <w:tcPr>
            <w:tcW w:w="1515" w:type="dxa"/>
          </w:tcPr>
          <w:p w14:paraId="6C14E671" w14:textId="77777777" w:rsidR="00A94F97" w:rsidRPr="008A74C5" w:rsidRDefault="00A94F97" w:rsidP="003E0D49">
            <w:pPr>
              <w:rPr>
                <w:rFonts w:ascii="Calibri" w:eastAsia="Calibri" w:hAnsi="Calibri" w:cs="Calibri"/>
                <w:b/>
                <w:bCs/>
                <w:sz w:val="20"/>
                <w:szCs w:val="20"/>
              </w:rPr>
            </w:pPr>
            <w:r w:rsidRPr="008A74C5">
              <w:rPr>
                <w:rFonts w:ascii="Calibri" w:eastAsia="Calibri" w:hAnsi="Calibri" w:cs="Calibri"/>
                <w:b/>
                <w:bCs/>
                <w:sz w:val="20"/>
                <w:szCs w:val="20"/>
              </w:rPr>
              <w:t>Interface</w:t>
            </w:r>
          </w:p>
        </w:tc>
        <w:tc>
          <w:tcPr>
            <w:tcW w:w="1894" w:type="dxa"/>
          </w:tcPr>
          <w:p w14:paraId="78D9692B" w14:textId="77777777" w:rsidR="00A94F97" w:rsidRPr="008A74C5" w:rsidRDefault="00A94F97" w:rsidP="003E0D49">
            <w:pPr>
              <w:rPr>
                <w:rFonts w:ascii="Calibri" w:eastAsia="Calibri" w:hAnsi="Calibri" w:cs="Calibri"/>
                <w:b/>
                <w:bCs/>
                <w:sz w:val="20"/>
                <w:szCs w:val="20"/>
              </w:rPr>
            </w:pPr>
            <w:r w:rsidRPr="008A74C5">
              <w:rPr>
                <w:rFonts w:ascii="Calibri" w:eastAsia="Calibri" w:hAnsi="Calibri" w:cs="Calibri"/>
                <w:b/>
                <w:bCs/>
                <w:sz w:val="20"/>
                <w:szCs w:val="20"/>
              </w:rPr>
              <w:t>Outcomes</w:t>
            </w:r>
          </w:p>
        </w:tc>
      </w:tr>
      <w:tr w:rsidR="00A94F97" w14:paraId="1A007E69" w14:textId="77777777" w:rsidTr="003E0D49">
        <w:tc>
          <w:tcPr>
            <w:tcW w:w="1848" w:type="dxa"/>
          </w:tcPr>
          <w:p w14:paraId="10DBE729" w14:textId="6132E436" w:rsidR="00A94F97" w:rsidRPr="00A94F97" w:rsidRDefault="00A94F97" w:rsidP="003E0D49">
            <w:pPr>
              <w:rPr>
                <w:rFonts w:ascii="Calibri" w:eastAsia="Calibri" w:hAnsi="Calibri" w:cs="Calibri"/>
                <w:sz w:val="20"/>
                <w:szCs w:val="20"/>
              </w:rPr>
            </w:pPr>
            <w:r w:rsidRPr="00A94F97">
              <w:rPr>
                <w:rFonts w:ascii="Calibri" w:hAnsi="Calibri" w:cs="Calibri"/>
                <w:sz w:val="20"/>
                <w:szCs w:val="20"/>
              </w:rPr>
              <w:t>Hernández</w:t>
            </w:r>
            <w:r>
              <w:rPr>
                <w:rFonts w:ascii="Calibri" w:hAnsi="Calibri" w:cs="Calibri"/>
                <w:sz w:val="20"/>
                <w:szCs w:val="20"/>
              </w:rPr>
              <w:t>, 2016</w:t>
            </w:r>
            <w:r w:rsidR="00C74D57">
              <w:rPr>
                <w:rFonts w:ascii="Calibri" w:hAnsi="Calibri" w:cs="Calibri"/>
                <w:sz w:val="20"/>
                <w:szCs w:val="20"/>
              </w:rPr>
              <w:fldChar w:fldCharType="begin"/>
            </w:r>
            <w:r w:rsidR="00EA5672">
              <w:rPr>
                <w:rFonts w:ascii="Calibri" w:hAnsi="Calibri" w:cs="Calibri"/>
                <w:sz w:val="20"/>
                <w:szCs w:val="20"/>
              </w:rPr>
              <w:instrText xml:space="preserve"> ADDIN ZOTERO_ITEM CSL_CITATION {"citationID":"lz0FBFZ2","properties":{"formattedCitation":"\\super 26\\nosupersub{}","plainCitation":"26","noteIndex":0},"citationItems":[{"id":3677,"uris":["http://zotero.org/users/local/MoY6DhL4/items/3YCYHXLR"],"itemData":{"id":3677,"type":"article-journal","container-title":"JAMA","DOI":"10.1001/jama.2016.14194","ISSN":"0098-7484","issue":"15","journalAbbreviation":"JAMA","language":"en","page":"1565","source":"DOI.org (Crossref)","title":"Effect of Postextubation High-Flow Nasal Cannula vs Noninvasive Ventilation on Reintubation and Postextubation Respiratory Failure in High-Risk Patients: A Randomized Clinical Trial","title-short":"Effect of Postextubation High-Flow Nasal Cannula vs Noninvasive Ventilation on Reintubation and Postextubation Respiratory Failure in High-Risk Patients","volume":"316","author":[{"family":"Hernández","given":"Gonzalo"},{"family":"Vaquero","given":"Concepción"},{"family":"Colinas","given":"Laura"},{"family":"Cuena","given":"Rafael"},{"family":"González","given":"Paloma"},{"family":"Canabal","given":"Alfonso"},{"family":"Sanchez","given":"Susana"},{"family":"Rodriguez","given":"Maria Luisa"},{"family":"Villasclaras","given":"Ana"},{"family":"Fernández","given":"Rafael"}],"issued":{"date-parts":[["2016",10,18]]}}}],"schema":"https://github.com/citation-style-language/schema/raw/master/csl-citation.json"} </w:instrText>
            </w:r>
            <w:r w:rsidR="00C74D57">
              <w:rPr>
                <w:rFonts w:ascii="Calibri" w:hAnsi="Calibri" w:cs="Calibri"/>
                <w:sz w:val="20"/>
                <w:szCs w:val="20"/>
              </w:rPr>
              <w:fldChar w:fldCharType="separate"/>
            </w:r>
            <w:r w:rsidR="00EA5672" w:rsidRPr="00EA5672">
              <w:rPr>
                <w:rFonts w:ascii="Calibri" w:hAnsi="Calibri" w:cs="Calibri"/>
                <w:sz w:val="20"/>
                <w:vertAlign w:val="superscript"/>
              </w:rPr>
              <w:t>26</w:t>
            </w:r>
            <w:r w:rsidR="00C74D57">
              <w:rPr>
                <w:rFonts w:ascii="Calibri" w:hAnsi="Calibri" w:cs="Calibri"/>
                <w:sz w:val="20"/>
                <w:szCs w:val="20"/>
              </w:rPr>
              <w:fldChar w:fldCharType="end"/>
            </w:r>
            <w:r>
              <w:rPr>
                <w:rFonts w:ascii="Calibri" w:hAnsi="Calibri" w:cs="Calibri"/>
                <w:sz w:val="20"/>
                <w:szCs w:val="20"/>
              </w:rPr>
              <w:t>, 3</w:t>
            </w:r>
            <w:r w:rsidR="00C74D57">
              <w:rPr>
                <w:rFonts w:ascii="Calibri" w:hAnsi="Calibri" w:cs="Calibri"/>
                <w:sz w:val="20"/>
                <w:szCs w:val="20"/>
              </w:rPr>
              <w:t xml:space="preserve"> </w:t>
            </w:r>
            <w:r>
              <w:rPr>
                <w:rFonts w:ascii="Calibri" w:hAnsi="Calibri" w:cs="Calibri"/>
                <w:sz w:val="20"/>
                <w:szCs w:val="20"/>
              </w:rPr>
              <w:t>ICUs</w:t>
            </w:r>
          </w:p>
        </w:tc>
        <w:tc>
          <w:tcPr>
            <w:tcW w:w="2021" w:type="dxa"/>
          </w:tcPr>
          <w:p w14:paraId="5F3FC94A" w14:textId="13F867B4" w:rsidR="00A94F97" w:rsidRDefault="00A94F97" w:rsidP="003E0D49">
            <w:pPr>
              <w:rPr>
                <w:rFonts w:ascii="Calibri" w:eastAsia="Calibri" w:hAnsi="Calibri" w:cs="Calibri"/>
                <w:sz w:val="20"/>
                <w:szCs w:val="20"/>
              </w:rPr>
            </w:pPr>
            <w:r>
              <w:rPr>
                <w:rFonts w:ascii="Calibri" w:eastAsia="Calibri" w:hAnsi="Calibri" w:cs="Calibri"/>
                <w:sz w:val="20"/>
                <w:szCs w:val="20"/>
              </w:rPr>
              <w:t>N=</w:t>
            </w:r>
            <w:r w:rsidR="00E72DB0">
              <w:rPr>
                <w:rFonts w:ascii="Calibri" w:eastAsia="Calibri" w:hAnsi="Calibri" w:cs="Calibri"/>
                <w:sz w:val="20"/>
                <w:szCs w:val="20"/>
              </w:rPr>
              <w:t>604</w:t>
            </w:r>
            <w:r>
              <w:rPr>
                <w:rFonts w:ascii="Calibri" w:eastAsia="Calibri" w:hAnsi="Calibri" w:cs="Calibri"/>
                <w:sz w:val="20"/>
                <w:szCs w:val="20"/>
              </w:rPr>
              <w:t xml:space="preserve">, </w:t>
            </w:r>
            <w:r w:rsidR="00E72DB0">
              <w:rPr>
                <w:rFonts w:ascii="Calibri" w:eastAsia="Calibri" w:hAnsi="Calibri" w:cs="Calibri"/>
                <w:sz w:val="20"/>
                <w:szCs w:val="20"/>
              </w:rPr>
              <w:t xml:space="preserve">High risk for </w:t>
            </w:r>
            <w:proofErr w:type="spellStart"/>
            <w:r w:rsidR="00E72DB0">
              <w:rPr>
                <w:rFonts w:ascii="Calibri" w:eastAsia="Calibri" w:hAnsi="Calibri" w:cs="Calibri"/>
                <w:sz w:val="20"/>
                <w:szCs w:val="20"/>
              </w:rPr>
              <w:t>extubation</w:t>
            </w:r>
            <w:proofErr w:type="spellEnd"/>
            <w:r w:rsidR="00E72DB0">
              <w:rPr>
                <w:rFonts w:ascii="Calibri" w:eastAsia="Calibri" w:hAnsi="Calibri" w:cs="Calibri"/>
                <w:sz w:val="20"/>
                <w:szCs w:val="20"/>
              </w:rPr>
              <w:t xml:space="preserve"> failure* </w:t>
            </w:r>
            <w:r>
              <w:rPr>
                <w:rFonts w:ascii="Calibri" w:eastAsia="Calibri" w:hAnsi="Calibri" w:cs="Calibri"/>
                <w:sz w:val="20"/>
                <w:szCs w:val="20"/>
              </w:rPr>
              <w:t xml:space="preserve"> </w:t>
            </w:r>
          </w:p>
        </w:tc>
        <w:tc>
          <w:tcPr>
            <w:tcW w:w="1738" w:type="dxa"/>
          </w:tcPr>
          <w:p w14:paraId="2D19FAF8" w14:textId="1A120D8A" w:rsidR="00A94F97" w:rsidRDefault="00A94F97" w:rsidP="003E0D49">
            <w:pPr>
              <w:rPr>
                <w:rFonts w:ascii="Calibri" w:eastAsia="Calibri" w:hAnsi="Calibri" w:cs="Calibri"/>
                <w:sz w:val="20"/>
                <w:szCs w:val="20"/>
              </w:rPr>
            </w:pPr>
            <w:r>
              <w:rPr>
                <w:rFonts w:ascii="Calibri" w:eastAsia="Calibri" w:hAnsi="Calibri" w:cs="Calibri"/>
                <w:sz w:val="20"/>
                <w:szCs w:val="20"/>
              </w:rPr>
              <w:t>HFN</w:t>
            </w:r>
            <w:r w:rsidR="00E72DB0">
              <w:rPr>
                <w:rFonts w:ascii="Calibri" w:eastAsia="Calibri" w:hAnsi="Calibri" w:cs="Calibri"/>
                <w:sz w:val="20"/>
                <w:szCs w:val="20"/>
              </w:rPr>
              <w:t xml:space="preserve">T </w:t>
            </w:r>
            <w:r>
              <w:rPr>
                <w:rFonts w:ascii="Calibri" w:eastAsia="Calibri" w:hAnsi="Calibri" w:cs="Calibri"/>
                <w:sz w:val="20"/>
                <w:szCs w:val="20"/>
              </w:rPr>
              <w:t>(N=</w:t>
            </w:r>
            <w:r w:rsidR="00E72DB0">
              <w:rPr>
                <w:rFonts w:ascii="Calibri" w:eastAsia="Calibri" w:hAnsi="Calibri" w:cs="Calibri"/>
                <w:sz w:val="20"/>
                <w:szCs w:val="20"/>
              </w:rPr>
              <w:t>290</w:t>
            </w:r>
            <w:r>
              <w:rPr>
                <w:rFonts w:ascii="Calibri" w:eastAsia="Calibri" w:hAnsi="Calibri" w:cs="Calibri"/>
                <w:sz w:val="20"/>
                <w:szCs w:val="20"/>
              </w:rPr>
              <w:t>) vs. BiPAP (N=</w:t>
            </w:r>
            <w:r w:rsidR="00E72DB0">
              <w:rPr>
                <w:rFonts w:ascii="Calibri" w:eastAsia="Calibri" w:hAnsi="Calibri" w:cs="Calibri"/>
                <w:sz w:val="20"/>
                <w:szCs w:val="20"/>
              </w:rPr>
              <w:t>314</w:t>
            </w:r>
            <w:r>
              <w:rPr>
                <w:rFonts w:ascii="Calibri" w:eastAsia="Calibri" w:hAnsi="Calibri" w:cs="Calibri"/>
                <w:sz w:val="20"/>
                <w:szCs w:val="20"/>
              </w:rPr>
              <w:t>)</w:t>
            </w:r>
          </w:p>
        </w:tc>
        <w:tc>
          <w:tcPr>
            <w:tcW w:w="1515" w:type="dxa"/>
          </w:tcPr>
          <w:p w14:paraId="58BDC2D3" w14:textId="517B6DA0" w:rsidR="00A94F97" w:rsidRDefault="00E72DB0" w:rsidP="003E0D49">
            <w:pPr>
              <w:rPr>
                <w:rFonts w:ascii="Calibri" w:eastAsia="Calibri" w:hAnsi="Calibri" w:cs="Calibri"/>
                <w:sz w:val="20"/>
                <w:szCs w:val="20"/>
              </w:rPr>
            </w:pPr>
            <w:r>
              <w:rPr>
                <w:rFonts w:ascii="Calibri" w:eastAsia="Calibri" w:hAnsi="Calibri" w:cs="Calibri"/>
                <w:sz w:val="20"/>
                <w:szCs w:val="20"/>
              </w:rPr>
              <w:t>F</w:t>
            </w:r>
            <w:r w:rsidR="00A94F97">
              <w:rPr>
                <w:rFonts w:ascii="Calibri" w:eastAsia="Calibri" w:hAnsi="Calibri" w:cs="Calibri"/>
                <w:sz w:val="20"/>
                <w:szCs w:val="20"/>
              </w:rPr>
              <w:t xml:space="preserve">acemask </w:t>
            </w:r>
          </w:p>
        </w:tc>
        <w:tc>
          <w:tcPr>
            <w:tcW w:w="1894" w:type="dxa"/>
          </w:tcPr>
          <w:p w14:paraId="02E8047A" w14:textId="142D3884" w:rsidR="00E72DB0" w:rsidRPr="00CE600D" w:rsidRDefault="00E72DB0" w:rsidP="003E0D49">
            <w:pPr>
              <w:rPr>
                <w:rFonts w:ascii="Calibri" w:eastAsia="Calibri" w:hAnsi="Calibri" w:cs="Calibri"/>
                <w:sz w:val="20"/>
                <w:szCs w:val="20"/>
              </w:rPr>
            </w:pPr>
            <w:r w:rsidRPr="001E7BF1">
              <w:rPr>
                <w:rFonts w:ascii="Calibri" w:hAnsi="Calibri" w:cs="Calibri"/>
                <w:i/>
                <w:iCs/>
                <w:color w:val="333333"/>
                <w:sz w:val="20"/>
                <w:szCs w:val="20"/>
              </w:rPr>
              <w:t>Reintubation at 72 h</w:t>
            </w:r>
            <w:r w:rsidR="00A94F97" w:rsidRPr="00CE600D">
              <w:rPr>
                <w:rFonts w:ascii="Calibri" w:eastAsia="Calibri" w:hAnsi="Calibri" w:cs="Calibri"/>
                <w:i/>
                <w:sz w:val="20"/>
                <w:szCs w:val="20"/>
              </w:rPr>
              <w:t>:</w:t>
            </w:r>
            <w:r w:rsidR="00A94F97" w:rsidRPr="00CE600D">
              <w:rPr>
                <w:rFonts w:ascii="Calibri" w:eastAsia="Calibri" w:hAnsi="Calibri" w:cs="Calibri"/>
                <w:sz w:val="20"/>
                <w:szCs w:val="20"/>
              </w:rPr>
              <w:t xml:space="preserve"> HFN</w:t>
            </w:r>
            <w:r w:rsidRPr="00CE600D">
              <w:rPr>
                <w:rFonts w:ascii="Calibri" w:eastAsia="Calibri" w:hAnsi="Calibri" w:cs="Calibri"/>
                <w:sz w:val="20"/>
                <w:szCs w:val="20"/>
              </w:rPr>
              <w:t>T 22.8</w:t>
            </w:r>
            <w:r w:rsidR="00CE600D" w:rsidRPr="00CE600D">
              <w:rPr>
                <w:rFonts w:ascii="Calibri" w:eastAsia="Calibri" w:hAnsi="Calibri" w:cs="Calibri"/>
                <w:sz w:val="20"/>
                <w:szCs w:val="20"/>
              </w:rPr>
              <w:t>%</w:t>
            </w:r>
            <w:r w:rsidR="00A94F97" w:rsidRPr="00CE600D">
              <w:rPr>
                <w:rFonts w:ascii="Calibri" w:eastAsia="Calibri" w:hAnsi="Calibri" w:cs="Calibri"/>
                <w:sz w:val="20"/>
                <w:szCs w:val="20"/>
              </w:rPr>
              <w:t xml:space="preserve"> vs. BiPAP </w:t>
            </w:r>
            <w:r w:rsidRPr="00CE600D">
              <w:rPr>
                <w:rFonts w:ascii="Calibri" w:eastAsia="Calibri" w:hAnsi="Calibri" w:cs="Calibri"/>
                <w:sz w:val="20"/>
                <w:szCs w:val="20"/>
              </w:rPr>
              <w:t>19.1</w:t>
            </w:r>
            <w:r w:rsidR="00CE600D" w:rsidRPr="00CE600D">
              <w:rPr>
                <w:rFonts w:ascii="Calibri" w:eastAsia="Calibri" w:hAnsi="Calibri" w:cs="Calibri"/>
                <w:sz w:val="20"/>
                <w:szCs w:val="20"/>
              </w:rPr>
              <w:t>%</w:t>
            </w:r>
            <w:r w:rsidRPr="00CE600D">
              <w:rPr>
                <w:rFonts w:ascii="Calibri" w:eastAsia="Calibri" w:hAnsi="Calibri" w:cs="Calibri"/>
                <w:sz w:val="20"/>
                <w:szCs w:val="20"/>
              </w:rPr>
              <w:t xml:space="preserve"> </w:t>
            </w:r>
            <w:r w:rsidR="00A94F97" w:rsidRPr="00CE600D">
              <w:rPr>
                <w:rFonts w:ascii="Calibri" w:eastAsia="Calibri" w:hAnsi="Calibri" w:cs="Calibri"/>
                <w:sz w:val="20"/>
                <w:szCs w:val="20"/>
              </w:rPr>
              <w:t>(</w:t>
            </w:r>
            <w:r w:rsidRPr="00CE600D">
              <w:rPr>
                <w:rFonts w:ascii="Calibri" w:eastAsia="Calibri" w:hAnsi="Calibri" w:cs="Calibri"/>
                <w:sz w:val="20"/>
                <w:szCs w:val="20"/>
              </w:rPr>
              <w:t>difference between groups -3,7</w:t>
            </w:r>
            <w:r w:rsidR="00CE600D" w:rsidRPr="00CE600D">
              <w:rPr>
                <w:rFonts w:ascii="Calibri" w:eastAsia="Calibri" w:hAnsi="Calibri" w:cs="Calibri"/>
                <w:sz w:val="20"/>
                <w:szCs w:val="20"/>
              </w:rPr>
              <w:t xml:space="preserve">, CI -9 to </w:t>
            </w:r>
            <w:r w:rsidR="00CE600D" w:rsidRPr="00CE600D">
              <w:rPr>
                <w:rFonts w:ascii="Calibri" w:hAnsi="Calibri" w:cs="Calibri"/>
                <w:color w:val="333333"/>
                <w:sz w:val="20"/>
                <w:szCs w:val="20"/>
              </w:rPr>
              <w:t>∞</w:t>
            </w:r>
            <w:r w:rsidR="00A94F97" w:rsidRPr="00CE600D">
              <w:rPr>
                <w:rFonts w:ascii="Calibri" w:eastAsia="Calibri" w:hAnsi="Calibri" w:cs="Calibri"/>
                <w:sz w:val="20"/>
                <w:szCs w:val="20"/>
              </w:rPr>
              <w:t>)</w:t>
            </w:r>
            <w:r w:rsidR="00CE600D" w:rsidRPr="00CE600D">
              <w:rPr>
                <w:rFonts w:ascii="Calibri" w:eastAsia="Calibri" w:hAnsi="Calibri" w:cs="Calibri"/>
                <w:sz w:val="20"/>
                <w:szCs w:val="20"/>
              </w:rPr>
              <w:t xml:space="preserve">; </w:t>
            </w:r>
            <w:proofErr w:type="spellStart"/>
            <w:r w:rsidR="00CE600D" w:rsidRPr="001E7BF1">
              <w:rPr>
                <w:rFonts w:ascii="Calibri" w:eastAsia="Calibri" w:hAnsi="Calibri" w:cs="Calibri"/>
                <w:i/>
                <w:iCs/>
                <w:sz w:val="20"/>
                <w:szCs w:val="20"/>
              </w:rPr>
              <w:t>P</w:t>
            </w:r>
            <w:r w:rsidRPr="001E7BF1">
              <w:rPr>
                <w:rFonts w:ascii="Calibri" w:hAnsi="Calibri" w:cs="Calibri"/>
                <w:i/>
                <w:iCs/>
                <w:color w:val="333333"/>
                <w:sz w:val="20"/>
                <w:szCs w:val="20"/>
              </w:rPr>
              <w:t>ostextubation</w:t>
            </w:r>
            <w:proofErr w:type="spellEnd"/>
            <w:r w:rsidRPr="001E7BF1">
              <w:rPr>
                <w:rFonts w:ascii="Calibri" w:hAnsi="Calibri" w:cs="Calibri"/>
                <w:i/>
                <w:iCs/>
                <w:color w:val="333333"/>
                <w:sz w:val="20"/>
                <w:szCs w:val="20"/>
              </w:rPr>
              <w:t xml:space="preserve"> respiratory failure</w:t>
            </w:r>
            <w:r w:rsidR="00CE600D" w:rsidRPr="001E7BF1">
              <w:rPr>
                <w:rFonts w:ascii="Calibri" w:hAnsi="Calibri" w:cs="Calibri"/>
                <w:i/>
                <w:iCs/>
                <w:color w:val="333333"/>
                <w:sz w:val="20"/>
                <w:szCs w:val="20"/>
              </w:rPr>
              <w:t xml:space="preserve"> at 72 h</w:t>
            </w:r>
            <w:r w:rsidR="00CE600D" w:rsidRPr="00CE600D">
              <w:rPr>
                <w:rFonts w:ascii="Calibri" w:hAnsi="Calibri" w:cs="Calibri"/>
                <w:color w:val="333333"/>
                <w:sz w:val="20"/>
                <w:szCs w:val="20"/>
              </w:rPr>
              <w:t xml:space="preserve">: </w:t>
            </w:r>
            <w:r w:rsidR="00CE600D" w:rsidRPr="00CE600D">
              <w:rPr>
                <w:rFonts w:ascii="Calibri" w:eastAsia="Calibri" w:hAnsi="Calibri" w:cs="Calibri"/>
                <w:sz w:val="20"/>
                <w:szCs w:val="20"/>
              </w:rPr>
              <w:t xml:space="preserve">HFNT 26.9% vs. BiPAP 39.8% (difference between groups 12.9, CI 6.6 to </w:t>
            </w:r>
            <w:r w:rsidR="00CE600D" w:rsidRPr="00CE600D">
              <w:rPr>
                <w:rFonts w:ascii="Calibri" w:hAnsi="Calibri" w:cs="Calibri"/>
                <w:color w:val="333333"/>
                <w:sz w:val="20"/>
                <w:szCs w:val="20"/>
              </w:rPr>
              <w:t>∞</w:t>
            </w:r>
            <w:r w:rsidR="00CE600D" w:rsidRPr="00CE600D">
              <w:rPr>
                <w:rFonts w:ascii="Calibri" w:eastAsia="Calibri" w:hAnsi="Calibri" w:cs="Calibri"/>
                <w:sz w:val="20"/>
                <w:szCs w:val="20"/>
              </w:rPr>
              <w:t>)</w:t>
            </w:r>
          </w:p>
        </w:tc>
      </w:tr>
      <w:tr w:rsidR="0052205F" w14:paraId="69633770" w14:textId="77777777" w:rsidTr="003E0D49">
        <w:tc>
          <w:tcPr>
            <w:tcW w:w="1848" w:type="dxa"/>
          </w:tcPr>
          <w:p w14:paraId="1FFE3D91" w14:textId="2B90D1CB" w:rsidR="0052205F" w:rsidRPr="00E72DB0" w:rsidRDefault="0052205F" w:rsidP="0052205F">
            <w:pPr>
              <w:widowControl w:val="0"/>
              <w:rPr>
                <w:rFonts w:ascii="Calibri" w:eastAsia="Calibri" w:hAnsi="Calibri" w:cs="Calibri"/>
                <w:sz w:val="20"/>
                <w:szCs w:val="20"/>
                <w:lang w:val="en-US"/>
              </w:rPr>
            </w:pPr>
            <w:proofErr w:type="spellStart"/>
            <w:r>
              <w:rPr>
                <w:rFonts w:ascii="Calibri" w:eastAsia="Calibri" w:hAnsi="Calibri" w:cs="Calibri"/>
                <w:sz w:val="20"/>
                <w:szCs w:val="20"/>
                <w:lang w:val="en-US"/>
              </w:rPr>
              <w:t>Thille</w:t>
            </w:r>
            <w:proofErr w:type="spellEnd"/>
            <w:r>
              <w:rPr>
                <w:rFonts w:ascii="Calibri" w:eastAsia="Calibri" w:hAnsi="Calibri" w:cs="Calibri"/>
                <w:sz w:val="20"/>
                <w:szCs w:val="20"/>
                <w:lang w:val="en-US"/>
              </w:rPr>
              <w:t>, 2019</w:t>
            </w:r>
            <w:r>
              <w:rPr>
                <w:rFonts w:ascii="Calibri" w:eastAsia="Calibri" w:hAnsi="Calibri" w:cs="Calibri"/>
                <w:sz w:val="20"/>
                <w:szCs w:val="20"/>
                <w:lang w:val="en-US"/>
              </w:rPr>
              <w:fldChar w:fldCharType="begin"/>
            </w:r>
            <w:r w:rsidR="00EA5672">
              <w:rPr>
                <w:rFonts w:ascii="Calibri" w:eastAsia="Calibri" w:hAnsi="Calibri" w:cs="Calibri"/>
                <w:sz w:val="20"/>
                <w:szCs w:val="20"/>
                <w:lang w:val="en-US"/>
              </w:rPr>
              <w:instrText xml:space="preserve"> ADDIN ZOTERO_ITEM CSL_CITATION {"citationID":"I5F5AnQS","properties":{"formattedCitation":"\\super 27\\nosupersub{}","plainCitation":"27","noteIndex":0},"citationItems":[{"id":3678,"uris":["http://zotero.org/users/local/MoY6DhL4/items/DW85WN6C"],"itemData":{"id":3678,"type":"article-journal","container-title":"JAMA","DOI":"10.1001/jama.2019.14901","ISSN":"0098-7484","issue":"15","journalAbbreviation":"JAMA","language":"en","page":"1465","source":"DOI.org (Crossref)","title":"Effect of Postextubation High-Flow Nasal Oxygen With Noninvasive Ventilation vs High-Flow Nasal Oxygen Alone on Reintubation Among Patients at High Risk of Extubation Failure: A Randomized Clinical Trial","title-short":"Effect of Postextubation High-Flow Nasal Oxygen With Noninvasive Ventilation vs High-Flow Nasal Oxygen Alone on Reintubation Among Patients at High Risk of Extubation Failure","volume":"322","author":[{"family":"Thille","given":"Arnaud W."},{"family":"Muller","given":"Grégoire"},{"family":"Gacouin","given":"Arnaud"},{"family":"Coudroy","given":"Rémi"},{"family":"Decavèle","given":"Maxens"},{"family":"Sonneville","given":"Romain"},{"family":"Beloncle","given":"François"},{"family":"Girault","given":"Christophe"},{"family":"Dangers","given":"Laurence"},{"family":"Lautrette","given":"Alexandre"},{"family":"Cabasson","given":"Séverin"},{"family":"Rouzé","given":"Anahita"},{"family":"Vivier","given":"Emmanuel"},{"family":"Le Meur","given":"Anthony"},{"family":"Ricard","given":"Jean-Damien"},{"family":"Razazi","given":"Keyvan"},{"family":"Barberet","given":"Guillaume"},{"family":"Lebert","given":"Christine"},{"family":"Ehrmann","given":"Stephan"},{"family":"Sabatier","given":"Caroline"},{"family":"Bourenne","given":"Jeremy"},{"family":"Pradel","given":"Gael"},{"family":"Bailly","given":"Pierre"},{"family":"Terzi","given":"Nicolas"},{"family":"Dellamonica","given":"Jean"},{"family":"Lacave","given":"Guillaume"},{"family":"Danin","given":"Pierre-Éric"},{"family":"Nanadoumgar","given":"Hodanou"},{"family":"Gibelin","given":"Aude"},{"family":"Zanre","given":"Lassane"},{"family":"Deye","given":"Nicolas"},{"family":"Demoule","given":"Alexandre"},{"family":"Maamar","given":"Adel"},{"family":"Nay","given":"Mai-Anh"},{"family":"Robert","given":"René"},{"family":"Ragot","given":"Stéphanie"},{"family":"Frat","given":"Jean-Pierre"},{"literal":"for the HIGH-WEAN Study Group and the REVA Research Network"}],"issued":{"date-parts":[["2019",10,15]]}}}],"schema":"https://github.com/citation-style-language/schema/raw/master/csl-citation.json"} </w:instrText>
            </w:r>
            <w:r>
              <w:rPr>
                <w:rFonts w:ascii="Calibri" w:eastAsia="Calibri" w:hAnsi="Calibri" w:cs="Calibri"/>
                <w:sz w:val="20"/>
                <w:szCs w:val="20"/>
                <w:lang w:val="en-US"/>
              </w:rPr>
              <w:fldChar w:fldCharType="separate"/>
            </w:r>
            <w:r w:rsidR="00EA5672" w:rsidRPr="00EA5672">
              <w:rPr>
                <w:rFonts w:ascii="Calibri" w:hAnsi="Calibri" w:cs="Calibri"/>
                <w:sz w:val="20"/>
                <w:vertAlign w:val="superscript"/>
              </w:rPr>
              <w:t>27</w:t>
            </w:r>
            <w:r>
              <w:rPr>
                <w:rFonts w:ascii="Calibri" w:eastAsia="Calibri" w:hAnsi="Calibri" w:cs="Calibri"/>
                <w:sz w:val="20"/>
                <w:szCs w:val="20"/>
                <w:lang w:val="en-US"/>
              </w:rPr>
              <w:fldChar w:fldCharType="end"/>
            </w:r>
            <w:r>
              <w:rPr>
                <w:rFonts w:ascii="Calibri" w:eastAsia="Calibri" w:hAnsi="Calibri" w:cs="Calibri"/>
                <w:sz w:val="20"/>
                <w:szCs w:val="20"/>
                <w:lang w:val="en-US"/>
              </w:rPr>
              <w:t>, 30 ICUs</w:t>
            </w:r>
          </w:p>
        </w:tc>
        <w:tc>
          <w:tcPr>
            <w:tcW w:w="2021" w:type="dxa"/>
          </w:tcPr>
          <w:p w14:paraId="778CAFBA" w14:textId="181793F3" w:rsidR="0052205F" w:rsidRDefault="0052205F" w:rsidP="0052205F">
            <w:pPr>
              <w:rPr>
                <w:rFonts w:ascii="Calibri" w:eastAsia="Calibri" w:hAnsi="Calibri" w:cs="Calibri"/>
                <w:sz w:val="20"/>
                <w:szCs w:val="20"/>
              </w:rPr>
            </w:pPr>
            <w:r>
              <w:rPr>
                <w:rFonts w:ascii="Calibri" w:eastAsia="Calibri" w:hAnsi="Calibri" w:cs="Calibri"/>
                <w:sz w:val="20"/>
                <w:szCs w:val="20"/>
              </w:rPr>
              <w:t xml:space="preserve">N=641, High risk for </w:t>
            </w:r>
            <w:proofErr w:type="spellStart"/>
            <w:r>
              <w:rPr>
                <w:rFonts w:ascii="Calibri" w:eastAsia="Calibri" w:hAnsi="Calibri" w:cs="Calibri"/>
                <w:sz w:val="20"/>
                <w:szCs w:val="20"/>
              </w:rPr>
              <w:t>extubation</w:t>
            </w:r>
            <w:proofErr w:type="spellEnd"/>
            <w:r>
              <w:rPr>
                <w:rFonts w:ascii="Calibri" w:eastAsia="Calibri" w:hAnsi="Calibri" w:cs="Calibri"/>
                <w:sz w:val="20"/>
                <w:szCs w:val="20"/>
              </w:rPr>
              <w:t xml:space="preserve"> failure** </w:t>
            </w:r>
          </w:p>
        </w:tc>
        <w:tc>
          <w:tcPr>
            <w:tcW w:w="1738" w:type="dxa"/>
          </w:tcPr>
          <w:p w14:paraId="6B3E5A6B" w14:textId="405618DD" w:rsidR="0052205F" w:rsidRDefault="0052205F" w:rsidP="0052205F">
            <w:pPr>
              <w:rPr>
                <w:rFonts w:ascii="Calibri" w:eastAsia="Calibri" w:hAnsi="Calibri" w:cs="Calibri"/>
                <w:sz w:val="20"/>
                <w:szCs w:val="20"/>
              </w:rPr>
            </w:pPr>
            <w:r>
              <w:rPr>
                <w:rFonts w:ascii="Calibri" w:eastAsia="Calibri" w:hAnsi="Calibri" w:cs="Calibri"/>
                <w:sz w:val="20"/>
                <w:szCs w:val="20"/>
              </w:rPr>
              <w:t>HFNT alone (N=302) vs. HFNT and BiPAP (N=339)</w:t>
            </w:r>
          </w:p>
        </w:tc>
        <w:tc>
          <w:tcPr>
            <w:tcW w:w="1515" w:type="dxa"/>
          </w:tcPr>
          <w:p w14:paraId="521FB1A2" w14:textId="4204BBF7" w:rsidR="0052205F" w:rsidRDefault="0052205F" w:rsidP="0052205F">
            <w:pPr>
              <w:rPr>
                <w:rFonts w:ascii="Calibri" w:eastAsia="Calibri" w:hAnsi="Calibri" w:cs="Calibri"/>
                <w:i/>
                <w:sz w:val="20"/>
                <w:szCs w:val="20"/>
              </w:rPr>
            </w:pPr>
            <w:r>
              <w:rPr>
                <w:rFonts w:ascii="Calibri" w:eastAsia="Calibri" w:hAnsi="Calibri" w:cs="Calibri"/>
                <w:color w:val="333333"/>
                <w:sz w:val="20"/>
                <w:szCs w:val="20"/>
                <w:highlight w:val="white"/>
              </w:rPr>
              <w:t xml:space="preserve">Facemask </w:t>
            </w:r>
          </w:p>
        </w:tc>
        <w:tc>
          <w:tcPr>
            <w:tcW w:w="1894" w:type="dxa"/>
          </w:tcPr>
          <w:p w14:paraId="24EE69F2" w14:textId="1D47F9B7" w:rsidR="0052205F" w:rsidRDefault="0052205F" w:rsidP="0052205F">
            <w:pPr>
              <w:rPr>
                <w:rFonts w:ascii="Quattrocento Sans" w:eastAsia="Quattrocento Sans" w:hAnsi="Quattrocento Sans" w:cs="Quattrocento Sans"/>
                <w:color w:val="212121"/>
                <w:sz w:val="18"/>
                <w:szCs w:val="18"/>
                <w:highlight w:val="white"/>
                <w:vertAlign w:val="subscript"/>
              </w:rPr>
            </w:pPr>
            <w:r w:rsidRPr="001E7BF1">
              <w:rPr>
                <w:rFonts w:ascii="Calibri" w:hAnsi="Calibri" w:cs="Calibri"/>
                <w:i/>
                <w:iCs/>
                <w:color w:val="333333"/>
                <w:sz w:val="20"/>
                <w:szCs w:val="20"/>
              </w:rPr>
              <w:t xml:space="preserve">Reintubation at </w:t>
            </w:r>
            <w:r w:rsidR="00C916F7" w:rsidRPr="001E7BF1">
              <w:rPr>
                <w:rFonts w:ascii="Calibri" w:hAnsi="Calibri" w:cs="Calibri"/>
                <w:i/>
                <w:iCs/>
                <w:color w:val="333333"/>
                <w:sz w:val="20"/>
                <w:szCs w:val="20"/>
              </w:rPr>
              <w:t xml:space="preserve">day </w:t>
            </w:r>
            <w:r w:rsidRPr="001E7BF1">
              <w:rPr>
                <w:rFonts w:ascii="Calibri" w:hAnsi="Calibri" w:cs="Calibri"/>
                <w:i/>
                <w:iCs/>
                <w:color w:val="333333"/>
                <w:sz w:val="20"/>
                <w:szCs w:val="20"/>
              </w:rPr>
              <w:t>7</w:t>
            </w:r>
            <w:r w:rsidRPr="00CE600D">
              <w:rPr>
                <w:rFonts w:ascii="Calibri" w:eastAsia="Calibri" w:hAnsi="Calibri" w:cs="Calibri"/>
                <w:i/>
                <w:sz w:val="20"/>
                <w:szCs w:val="20"/>
              </w:rPr>
              <w:t>:</w:t>
            </w:r>
            <w:r w:rsidRPr="00CE600D">
              <w:rPr>
                <w:rFonts w:ascii="Calibri" w:eastAsia="Calibri" w:hAnsi="Calibri" w:cs="Calibri"/>
                <w:sz w:val="20"/>
                <w:szCs w:val="20"/>
              </w:rPr>
              <w:t xml:space="preserve"> HFNT </w:t>
            </w:r>
            <w:r>
              <w:rPr>
                <w:rFonts w:ascii="Calibri" w:eastAsia="Calibri" w:hAnsi="Calibri" w:cs="Calibri"/>
                <w:sz w:val="20"/>
                <w:szCs w:val="20"/>
              </w:rPr>
              <w:t>alone 18.2</w:t>
            </w:r>
            <w:r w:rsidRPr="00CE600D">
              <w:rPr>
                <w:rFonts w:ascii="Calibri" w:eastAsia="Calibri" w:hAnsi="Calibri" w:cs="Calibri"/>
                <w:sz w:val="20"/>
                <w:szCs w:val="20"/>
              </w:rPr>
              <w:t xml:space="preserve">% vs. </w:t>
            </w:r>
            <w:r>
              <w:rPr>
                <w:rFonts w:ascii="Calibri" w:eastAsia="Calibri" w:hAnsi="Calibri" w:cs="Calibri"/>
                <w:sz w:val="20"/>
                <w:szCs w:val="20"/>
              </w:rPr>
              <w:t xml:space="preserve">HFNT and </w:t>
            </w:r>
            <w:r w:rsidRPr="00CE600D">
              <w:rPr>
                <w:rFonts w:ascii="Calibri" w:eastAsia="Calibri" w:hAnsi="Calibri" w:cs="Calibri"/>
                <w:sz w:val="20"/>
                <w:szCs w:val="20"/>
              </w:rPr>
              <w:t xml:space="preserve">BiPAP </w:t>
            </w:r>
            <w:r>
              <w:rPr>
                <w:rFonts w:ascii="Calibri" w:eastAsia="Calibri" w:hAnsi="Calibri" w:cs="Calibri"/>
                <w:sz w:val="20"/>
                <w:szCs w:val="20"/>
              </w:rPr>
              <w:t>11.8</w:t>
            </w:r>
            <w:r w:rsidRPr="00CE600D">
              <w:rPr>
                <w:rFonts w:ascii="Calibri" w:eastAsia="Calibri" w:hAnsi="Calibri" w:cs="Calibri"/>
                <w:sz w:val="20"/>
                <w:szCs w:val="20"/>
              </w:rPr>
              <w:t>% (</w:t>
            </w:r>
            <w:r>
              <w:rPr>
                <w:rFonts w:ascii="Calibri" w:eastAsia="Calibri" w:hAnsi="Calibri" w:cs="Calibri"/>
                <w:sz w:val="20"/>
                <w:szCs w:val="20"/>
              </w:rPr>
              <w:t>p=0.02</w:t>
            </w:r>
            <w:r w:rsidR="00F31ACC">
              <w:rPr>
                <w:rFonts w:ascii="Calibri" w:eastAsia="Calibri" w:hAnsi="Calibri" w:cs="Calibri"/>
                <w:sz w:val="20"/>
                <w:szCs w:val="20"/>
              </w:rPr>
              <w:t>0</w:t>
            </w:r>
            <w:r w:rsidRPr="00CE600D">
              <w:rPr>
                <w:rFonts w:ascii="Calibri" w:eastAsia="Calibri" w:hAnsi="Calibri" w:cs="Calibri"/>
                <w:sz w:val="20"/>
                <w:szCs w:val="20"/>
              </w:rPr>
              <w:t>)</w:t>
            </w:r>
          </w:p>
        </w:tc>
      </w:tr>
      <w:tr w:rsidR="0052205F" w14:paraId="23EF4DC8" w14:textId="77777777" w:rsidTr="003E0D49">
        <w:tc>
          <w:tcPr>
            <w:tcW w:w="1848" w:type="dxa"/>
          </w:tcPr>
          <w:p w14:paraId="20FFF9FC" w14:textId="4252A68C" w:rsidR="008A7182" w:rsidRPr="008A7182" w:rsidRDefault="0052205F" w:rsidP="008A7182">
            <w:pPr>
              <w:widowControl w:val="0"/>
              <w:autoSpaceDE w:val="0"/>
              <w:autoSpaceDN w:val="0"/>
              <w:adjustRightInd w:val="0"/>
            </w:pPr>
            <w:r w:rsidRPr="00A94F97">
              <w:rPr>
                <w:rFonts w:ascii="Calibri" w:hAnsi="Calibri" w:cs="Calibri"/>
                <w:sz w:val="20"/>
                <w:szCs w:val="20"/>
              </w:rPr>
              <w:t>Hernández</w:t>
            </w:r>
            <w:r>
              <w:rPr>
                <w:rFonts w:ascii="Calibri" w:hAnsi="Calibri" w:cs="Calibri"/>
                <w:sz w:val="20"/>
                <w:szCs w:val="20"/>
              </w:rPr>
              <w:t xml:space="preserve">, </w:t>
            </w:r>
            <w:r w:rsidR="00F31ACC">
              <w:rPr>
                <w:rFonts w:ascii="Calibri" w:hAnsi="Calibri" w:cs="Calibri"/>
                <w:sz w:val="20"/>
                <w:szCs w:val="20"/>
              </w:rPr>
              <w:t>2022</w:t>
            </w:r>
            <w:r w:rsidR="008A7182">
              <w:rPr>
                <w:rFonts w:ascii="Calibri" w:hAnsi="Calibri" w:cs="Calibri"/>
                <w:sz w:val="20"/>
                <w:szCs w:val="20"/>
              </w:rPr>
              <w:fldChar w:fldCharType="begin"/>
            </w:r>
            <w:r w:rsidR="00EA5672">
              <w:rPr>
                <w:rFonts w:ascii="Calibri" w:hAnsi="Calibri" w:cs="Calibri"/>
                <w:sz w:val="20"/>
                <w:szCs w:val="20"/>
              </w:rPr>
              <w:instrText xml:space="preserve"> ADDIN ZOTERO_ITEM CSL_CITATION {"citationID":"hahRqp0h","properties":{"formattedCitation":"\\super 28\\nosupersub{}","plainCitation":"28","noteIndex":0},"citationItems":[{"id":3680,"uris":["http://zotero.org/users/local/MoY6DhL4/items/S85ZYNN4"],"itemData":{"id":3680,"type":"article-journal","container-title":"Intensive Care Medicine","DOI":"10.1007/s00134-022-06919-3","ISSN":"0342-4642, 1432-1238","issue":"12","journalAbbreviation":"Intensive Care Med","language":"en","page":"1751-1759","source":"DOI.org (Crossref)","title":"Effect of postextubation noninvasive ventilation with active humidification vs high-flow nasal cannula on reintubation in patients at very high risk for extubation failure: a randomized trial","title-short":"Effect of postextubation noninvasive ventilation with active humidification vs high-flow nasal cannula on reintubation in patients at very high risk for extubation failure","volume":"48","author":[{"family":"Hernández","given":"Gonzalo"},{"family":"Paredes","given":"Irene"},{"family":"Moran","given":"Francisco"},{"family":"Buj","given":"Marcos"},{"family":"Colinas","given":"Laura"},{"family":"Rodríguez","given":"María Luisa"},{"family":"Velasco","given":"Alfonso"},{"family":"Rodríguez","given":"Patricia"},{"family":"Pérez-Pedrero","given":"María José"},{"family":"Suarez-Sipmann","given":"Fernando"},{"family":"Canabal","given":"Alfonso"},{"family":"Cuena","given":"Rafael"},{"family":"Blanch","given":"Lluis"},{"family":"Roca","given":"Oriol"}],"issued":{"date-parts":[["2022",12]]}}}],"schema":"https://github.com/citation-style-language/schema/raw/master/csl-citation.json"} </w:instrText>
            </w:r>
            <w:r w:rsidR="008A7182">
              <w:rPr>
                <w:rFonts w:ascii="Calibri" w:hAnsi="Calibri" w:cs="Calibri"/>
                <w:sz w:val="20"/>
                <w:szCs w:val="20"/>
              </w:rPr>
              <w:fldChar w:fldCharType="separate"/>
            </w:r>
            <w:r w:rsidR="00EA5672" w:rsidRPr="00EA5672">
              <w:rPr>
                <w:rFonts w:ascii="Calibri" w:hAnsi="Calibri" w:cs="Calibri"/>
                <w:sz w:val="20"/>
                <w:vertAlign w:val="superscript"/>
              </w:rPr>
              <w:t>28</w:t>
            </w:r>
            <w:r w:rsidR="008A7182">
              <w:rPr>
                <w:rFonts w:ascii="Calibri" w:hAnsi="Calibri" w:cs="Calibri"/>
                <w:sz w:val="20"/>
                <w:szCs w:val="20"/>
              </w:rPr>
              <w:fldChar w:fldCharType="end"/>
            </w:r>
            <w:r w:rsidR="008A7182">
              <w:rPr>
                <w:rFonts w:ascii="Calibri" w:hAnsi="Calibri" w:cs="Calibri"/>
                <w:sz w:val="20"/>
                <w:szCs w:val="20"/>
              </w:rPr>
              <w:t>, 2 ICUs</w:t>
            </w:r>
          </w:p>
          <w:p w14:paraId="2FC0D27A" w14:textId="18571813" w:rsidR="008A7182" w:rsidRDefault="008A7182" w:rsidP="008A7182">
            <w:pPr>
              <w:widowControl w:val="0"/>
              <w:autoSpaceDE w:val="0"/>
              <w:autoSpaceDN w:val="0"/>
              <w:adjustRightInd w:val="0"/>
              <w:rPr>
                <w:rFonts w:ascii="Calibri" w:eastAsia="Calibri" w:hAnsi="Calibri" w:cs="Calibri"/>
                <w:color w:val="231F20"/>
                <w:sz w:val="20"/>
                <w:szCs w:val="20"/>
              </w:rPr>
            </w:pPr>
          </w:p>
          <w:p w14:paraId="1E52AB51" w14:textId="372A5552" w:rsidR="0052205F" w:rsidRDefault="0052205F" w:rsidP="008A7182">
            <w:pPr>
              <w:widowControl w:val="0"/>
              <w:autoSpaceDE w:val="0"/>
              <w:autoSpaceDN w:val="0"/>
              <w:adjustRightInd w:val="0"/>
              <w:rPr>
                <w:rFonts w:ascii="Calibri" w:eastAsia="Calibri" w:hAnsi="Calibri" w:cs="Calibri"/>
                <w:color w:val="231F20"/>
                <w:sz w:val="20"/>
                <w:szCs w:val="20"/>
              </w:rPr>
            </w:pPr>
          </w:p>
        </w:tc>
        <w:tc>
          <w:tcPr>
            <w:tcW w:w="2021" w:type="dxa"/>
          </w:tcPr>
          <w:p w14:paraId="6482FDEB" w14:textId="53EB1254" w:rsidR="0052205F" w:rsidRDefault="0052205F" w:rsidP="0052205F">
            <w:pPr>
              <w:rPr>
                <w:rFonts w:ascii="Calibri" w:eastAsia="Calibri" w:hAnsi="Calibri" w:cs="Calibri"/>
                <w:sz w:val="20"/>
                <w:szCs w:val="20"/>
              </w:rPr>
            </w:pPr>
            <w:r>
              <w:rPr>
                <w:rFonts w:ascii="Calibri" w:eastAsia="Calibri" w:hAnsi="Calibri" w:cs="Calibri"/>
                <w:sz w:val="20"/>
                <w:szCs w:val="20"/>
              </w:rPr>
              <w:t>N=</w:t>
            </w:r>
            <w:r w:rsidR="00F31ACC">
              <w:rPr>
                <w:rFonts w:ascii="Calibri" w:eastAsia="Calibri" w:hAnsi="Calibri" w:cs="Calibri"/>
                <w:sz w:val="20"/>
                <w:szCs w:val="20"/>
              </w:rPr>
              <w:t>182</w:t>
            </w:r>
            <w:r>
              <w:rPr>
                <w:rFonts w:ascii="Calibri" w:eastAsia="Calibri" w:hAnsi="Calibri" w:cs="Calibri"/>
                <w:sz w:val="20"/>
                <w:szCs w:val="20"/>
              </w:rPr>
              <w:t xml:space="preserve">, </w:t>
            </w:r>
            <w:r w:rsidR="00F31ACC">
              <w:rPr>
                <w:rFonts w:ascii="Calibri" w:eastAsia="Calibri" w:hAnsi="Calibri" w:cs="Calibri"/>
                <w:sz w:val="20"/>
                <w:szCs w:val="20"/>
              </w:rPr>
              <w:t xml:space="preserve">Very high risk for </w:t>
            </w:r>
            <w:proofErr w:type="spellStart"/>
            <w:r w:rsidR="00F31ACC">
              <w:rPr>
                <w:rFonts w:ascii="Calibri" w:eastAsia="Calibri" w:hAnsi="Calibri" w:cs="Calibri"/>
                <w:sz w:val="20"/>
                <w:szCs w:val="20"/>
              </w:rPr>
              <w:t>extubation</w:t>
            </w:r>
            <w:proofErr w:type="spellEnd"/>
            <w:r w:rsidR="00F31ACC">
              <w:rPr>
                <w:rFonts w:ascii="Calibri" w:eastAsia="Calibri" w:hAnsi="Calibri" w:cs="Calibri"/>
                <w:sz w:val="20"/>
                <w:szCs w:val="20"/>
              </w:rPr>
              <w:t xml:space="preserve"> failure***</w:t>
            </w:r>
          </w:p>
        </w:tc>
        <w:tc>
          <w:tcPr>
            <w:tcW w:w="1738" w:type="dxa"/>
          </w:tcPr>
          <w:p w14:paraId="105402C1" w14:textId="26871342" w:rsidR="0052205F" w:rsidRDefault="0052205F" w:rsidP="0052205F">
            <w:pPr>
              <w:rPr>
                <w:rFonts w:ascii="Calibri" w:eastAsia="Calibri" w:hAnsi="Calibri" w:cs="Calibri"/>
                <w:sz w:val="20"/>
                <w:szCs w:val="20"/>
              </w:rPr>
            </w:pPr>
            <w:r>
              <w:rPr>
                <w:rFonts w:ascii="Calibri" w:eastAsia="Calibri" w:hAnsi="Calibri" w:cs="Calibri"/>
                <w:sz w:val="20"/>
                <w:szCs w:val="20"/>
              </w:rPr>
              <w:t>HFN</w:t>
            </w:r>
            <w:r w:rsidR="00F31ACC">
              <w:rPr>
                <w:rFonts w:ascii="Calibri" w:eastAsia="Calibri" w:hAnsi="Calibri" w:cs="Calibri"/>
                <w:sz w:val="20"/>
                <w:szCs w:val="20"/>
              </w:rPr>
              <w:t xml:space="preserve">T </w:t>
            </w:r>
            <w:r>
              <w:rPr>
                <w:rFonts w:ascii="Calibri" w:eastAsia="Calibri" w:hAnsi="Calibri" w:cs="Calibri"/>
                <w:sz w:val="20"/>
                <w:szCs w:val="20"/>
              </w:rPr>
              <w:t>(N=</w:t>
            </w:r>
            <w:r w:rsidR="00F31ACC">
              <w:rPr>
                <w:rFonts w:ascii="Calibri" w:eastAsia="Calibri" w:hAnsi="Calibri" w:cs="Calibri"/>
                <w:sz w:val="20"/>
                <w:szCs w:val="20"/>
              </w:rPr>
              <w:t>90</w:t>
            </w:r>
            <w:r>
              <w:rPr>
                <w:rFonts w:ascii="Calibri" w:eastAsia="Calibri" w:hAnsi="Calibri" w:cs="Calibri"/>
                <w:sz w:val="20"/>
                <w:szCs w:val="20"/>
              </w:rPr>
              <w:t>) vs. BiPAP (N=</w:t>
            </w:r>
            <w:r w:rsidR="00F31ACC">
              <w:rPr>
                <w:rFonts w:ascii="Calibri" w:eastAsia="Calibri" w:hAnsi="Calibri" w:cs="Calibri"/>
                <w:sz w:val="20"/>
                <w:szCs w:val="20"/>
              </w:rPr>
              <w:t>92</w:t>
            </w:r>
            <w:r>
              <w:rPr>
                <w:rFonts w:ascii="Calibri" w:eastAsia="Calibri" w:hAnsi="Calibri" w:cs="Calibri"/>
                <w:sz w:val="20"/>
                <w:szCs w:val="20"/>
              </w:rPr>
              <w:t>)</w:t>
            </w:r>
          </w:p>
        </w:tc>
        <w:tc>
          <w:tcPr>
            <w:tcW w:w="1515" w:type="dxa"/>
          </w:tcPr>
          <w:p w14:paraId="01FA6C8D" w14:textId="03D2C6F5" w:rsidR="0052205F" w:rsidRDefault="00C916F7" w:rsidP="0052205F">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894" w:type="dxa"/>
          </w:tcPr>
          <w:p w14:paraId="7DC905C5" w14:textId="4CEBC4EA" w:rsidR="0052205F" w:rsidRDefault="00F31ACC" w:rsidP="0052205F">
            <w:pPr>
              <w:rPr>
                <w:rFonts w:ascii="Calibri" w:eastAsia="Calibri" w:hAnsi="Calibri" w:cs="Calibri"/>
                <w:i/>
                <w:color w:val="212121"/>
                <w:sz w:val="20"/>
                <w:szCs w:val="20"/>
                <w:highlight w:val="white"/>
              </w:rPr>
            </w:pPr>
            <w:r w:rsidRPr="001E7BF1">
              <w:rPr>
                <w:rFonts w:ascii="Calibri" w:hAnsi="Calibri" w:cs="Calibri"/>
                <w:i/>
                <w:iCs/>
                <w:color w:val="333333"/>
                <w:sz w:val="20"/>
                <w:szCs w:val="20"/>
              </w:rPr>
              <w:t xml:space="preserve">Reintubation at </w:t>
            </w:r>
            <w:r w:rsidR="00C916F7" w:rsidRPr="001E7BF1">
              <w:rPr>
                <w:rFonts w:ascii="Calibri" w:hAnsi="Calibri" w:cs="Calibri"/>
                <w:i/>
                <w:iCs/>
                <w:color w:val="333333"/>
                <w:sz w:val="20"/>
                <w:szCs w:val="20"/>
              </w:rPr>
              <w:t xml:space="preserve">day </w:t>
            </w:r>
            <w:r w:rsidRPr="001E7BF1">
              <w:rPr>
                <w:rFonts w:ascii="Calibri" w:hAnsi="Calibri" w:cs="Calibri"/>
                <w:i/>
                <w:iCs/>
                <w:color w:val="333333"/>
                <w:sz w:val="20"/>
                <w:szCs w:val="20"/>
              </w:rPr>
              <w:t>7</w:t>
            </w:r>
            <w:r w:rsidRPr="00CE600D">
              <w:rPr>
                <w:rFonts w:ascii="Calibri" w:eastAsia="Calibri" w:hAnsi="Calibri" w:cs="Calibri"/>
                <w:i/>
                <w:sz w:val="20"/>
                <w:szCs w:val="20"/>
              </w:rPr>
              <w:t>:</w:t>
            </w:r>
            <w:r w:rsidRPr="00CE600D">
              <w:rPr>
                <w:rFonts w:ascii="Calibri" w:eastAsia="Calibri" w:hAnsi="Calibri" w:cs="Calibri"/>
                <w:sz w:val="20"/>
                <w:szCs w:val="20"/>
              </w:rPr>
              <w:t xml:space="preserve"> HFNT </w:t>
            </w:r>
            <w:r>
              <w:rPr>
                <w:rFonts w:ascii="Calibri" w:eastAsia="Calibri" w:hAnsi="Calibri" w:cs="Calibri"/>
                <w:sz w:val="20"/>
                <w:szCs w:val="20"/>
              </w:rPr>
              <w:t>38.9</w:t>
            </w:r>
            <w:r w:rsidRPr="00CE600D">
              <w:rPr>
                <w:rFonts w:ascii="Calibri" w:eastAsia="Calibri" w:hAnsi="Calibri" w:cs="Calibri"/>
                <w:sz w:val="20"/>
                <w:szCs w:val="20"/>
              </w:rPr>
              <w:t xml:space="preserve">% vs. BiPAP </w:t>
            </w:r>
            <w:r>
              <w:rPr>
                <w:rFonts w:ascii="Calibri" w:eastAsia="Calibri" w:hAnsi="Calibri" w:cs="Calibri"/>
                <w:sz w:val="20"/>
                <w:szCs w:val="20"/>
              </w:rPr>
              <w:t>22.8</w:t>
            </w:r>
            <w:r w:rsidRPr="00CE600D">
              <w:rPr>
                <w:rFonts w:ascii="Calibri" w:eastAsia="Calibri" w:hAnsi="Calibri" w:cs="Calibri"/>
                <w:sz w:val="20"/>
                <w:szCs w:val="20"/>
              </w:rPr>
              <w:t>% (</w:t>
            </w:r>
            <w:r>
              <w:rPr>
                <w:rFonts w:ascii="Calibri" w:eastAsia="Calibri" w:hAnsi="Calibri" w:cs="Calibri"/>
                <w:sz w:val="20"/>
                <w:szCs w:val="20"/>
              </w:rPr>
              <w:t>p=0.019</w:t>
            </w:r>
            <w:r w:rsidRPr="00CE600D">
              <w:rPr>
                <w:rFonts w:ascii="Calibri" w:eastAsia="Calibri" w:hAnsi="Calibri" w:cs="Calibri"/>
                <w:sz w:val="20"/>
                <w:szCs w:val="20"/>
              </w:rPr>
              <w:t>)</w:t>
            </w:r>
          </w:p>
        </w:tc>
      </w:tr>
      <w:tr w:rsidR="0052205F" w14:paraId="4BB7C1DB" w14:textId="77777777" w:rsidTr="003E0D49">
        <w:tc>
          <w:tcPr>
            <w:tcW w:w="1848" w:type="dxa"/>
          </w:tcPr>
          <w:p w14:paraId="2E87A4D5" w14:textId="6BF20067" w:rsidR="0052205F" w:rsidRDefault="003D2051" w:rsidP="0052205F">
            <w:pPr>
              <w:widowControl w:val="0"/>
              <w:rPr>
                <w:rFonts w:ascii="Calibri" w:eastAsia="Calibri" w:hAnsi="Calibri" w:cs="Calibri"/>
                <w:sz w:val="20"/>
                <w:szCs w:val="20"/>
              </w:rPr>
            </w:pPr>
            <w:r>
              <w:rPr>
                <w:rFonts w:ascii="Calibri" w:eastAsia="Calibri" w:hAnsi="Calibri" w:cs="Calibri"/>
                <w:sz w:val="20"/>
                <w:szCs w:val="20"/>
              </w:rPr>
              <w:t>De Jong, 2023</w:t>
            </w:r>
            <w:r w:rsidR="008A7182">
              <w:rPr>
                <w:rFonts w:ascii="Calibri" w:eastAsia="Calibri" w:hAnsi="Calibri" w:cs="Calibri"/>
                <w:sz w:val="20"/>
                <w:szCs w:val="20"/>
              </w:rPr>
              <w:fldChar w:fldCharType="begin"/>
            </w:r>
            <w:r w:rsidR="00EA5672">
              <w:rPr>
                <w:rFonts w:ascii="Calibri" w:eastAsia="Calibri" w:hAnsi="Calibri" w:cs="Calibri"/>
                <w:sz w:val="20"/>
                <w:szCs w:val="20"/>
              </w:rPr>
              <w:instrText xml:space="preserve"> ADDIN ZOTERO_ITEM CSL_CITATION {"citationID":"tFJ4eQz2","properties":{"formattedCitation":"\\super 29\\nosupersub{}","plainCitation":"29","noteIndex":0},"citationItems":[{"id":3684,"uris":["http://zotero.org/users/local/MoY6DhL4/items/T3X2V2PU"],"itemData":{"id":3684,"type":"article-journal","container-title":"The Lancet Respiratory Medicine","DOI":"10.1016/S2213-2600(22)00529-X","ISSN":"22132600","issue":"6","journalAbbreviation":"The Lancet Respiratory Medicine","language":"en","page":"530-539","source":"DOI.org (Crossref)","title":"Effect of non-invasive ventilation after extubation in critically ill patients with obesity in France: a multicentre, unblinded, pragmatic randomised clinical trial","title-short":"Effect of non-invasive ventilation after extubation in critically ill patients with obesity in France","volume":"11","author":[{"family":"De Jong","given":"Audrey"},{"family":"Bignon","given":"Anne"},{"family":"Stephan","given":"François"},{"family":"Godet","given":"Thomas"},{"family":"Constantin","given":"Jean-Michel"},{"family":"Asehnoune","given":"Karim"},{"family":"Sylvestre","given":"Aude"},{"family":"Sautillet","given":"Juliette"},{"family":"Blondonnet","given":"Raiko"},{"family":"Ferrandière","given":"Martine"},{"family":"Seguin","given":"Philippe"},{"family":"Lasocki","given":"Sigismond"},{"family":"Rollé","given":"Amélie"},{"family":"Fayolle","given":"Pierre-Marie"},{"family":"Muller","given":"Laurent"},{"family":"Pardo","given":"Emmanuel"},{"family":"Terzi","given":"Nicolas"},{"family":"Ramin","given":"Séverin"},{"family":"Jung","given":"Boris"},{"family":"Abback","given":"Paer-Selim"},{"family":"Guerci","given":"Philippe"},{"family":"Sarton","given":"Benjamine"},{"family":"Rozé","given":"Hadrien"},{"family":"Dupuis","given":"Claire"},{"family":"Cousson","given":"Joel"},{"family":"Faucher","given":"Marion"},{"family":"Lemiale","given":"Virginie"},{"family":"Cholley","given":"Bernard"},{"family":"Chanques","given":"Gerald"},{"family":"Belafia","given":"Fouad"},{"family":"Huguet","given":"Helena"},{"family":"Futier","given":"Emmanuel"},{"family":"Azoulay","given":"Elie"},{"family":"Molinari","given":"Nicolas"},{"family":"Jaber","given":"Samir"},{"family":"De Jong","given":"Audrey"},{"family":"Bignon","given":"Anne"},{"family":"Stephan","given":"François"},{"family":"Godet","given":"Thomas"},{"family":"Constantin","given":"Jean-Michel"},{"family":"Asehnoune","given":"Karim"},{"family":"Sylvestre","given":"Aude"},{"family":"Sautillet","given":"Juliette"},{"family":"Blondonnet","given":"Raiko"},{"family":"Ferrandiere","given":"Martine"},{"family":"Seguin","given":"Philippe"},{"family":"Lasocki","given":"Sigismond"},{"family":"Rolle","given":"Amelie"},{"family":"Fayolle","given":"Pierre-Marie"},{"family":"Muller","given":"Laurent"},{"family":"Pardo","given":"Emmanuel"},{"family":"Terzi","given":"Nicolas"},{"family":"Ramin","given":"Severin"},{"family":"Jung","given":"Boris"},{"family":"Abback","given":"Paer-Selim"},{"family":"Guerci","given":"Philippe"},{"family":"Sarton","given":"Benjamine"},{"family":"Roze","given":"Hadrien"},{"family":"Dupuis","given":"Claire"},{"family":"Cousson","given":"Joel"},{"family":"Faucher","given":"Marion"},{"family":"Lemiale","given":"Virginie"},{"family":"Cholley","given":"Bernard"},{"family":"Chanques","given":"Gerald"},{"family":"Belafia","given":"Fouad"},{"family":"Huguet","given":"Helena"},{"family":"Futier","given":"Emmanuel"},{"family":"Gniadek","given":"Claudine"},{"family":"Vonarb","given":"Aurelie"},{"family":"Prades","given":"Albert"},{"family":"Jaillet","given":"Carine"},{"family":"Capdevila","given":"Xavier"},{"family":"Charbit","given":"Jonathan"},{"family":"Genty","given":"Thibaut"},{"family":"Rezaiguia-Delclaux","given":"Saida"},{"family":"Imbert","given":"Audrey"},{"family":"Pilorge","given":"Catherine"},{"family":"Calypso","given":"Roman"},{"family":"Bouteau-Durand","given":"Astrid"},{"family":"Carles","given":"Michel"},{"family":"Mehdaoui","given":"Hossen"},{"family":"Souweine","given":"Bertrand"},{"family":"Calvet","given":"Laure"},{"family":"Jabaudon","given":"Matthieu"},{"family":"Rieu","given":"Benjamin"},{"family":"Candille","given":"Clara"},{"family":"Sigaud","given":"Florian"},{"family":"Riu","given":"Beatrice"},{"family":"Papazian","given":"Laurent"},{"family":"Valera","given":"Sabine"},{"family":"Mokart","given":"Djamel"},{"family":"Chow Chine","given":"Laurent"},{"family":"Bisbal","given":"Magali"},{"family":"Pouliquen","given":"Camille"},{"family":"De Guibert","given":"Jean-Manuel"},{"family":"Tourret","given":"Maxime"},{"family":"Mallet","given":"Damien"},{"family":"Leone","given":"Marc"},{"family":"Zieleskiewicz","given":"Laurent"},{"family":"Cossic","given":"Jeanne"},{"family":"Assefi","given":"Mona"},{"family":"Baron","given":"Elodie"},{"family":"Quemeneur","given":"Cyril"},{"family":"Monsel","given":"Antoine"},{"family":"Biais","given":"Matthieu"},{"family":"Ouattara","given":"Alexandre"},{"family":"Bonnardel","given":"Eline"},{"family":"Monziols","given":"Simon"},{"family":"Mahul","given":"Martin"},{"family":"Lefrant","given":"Jean-Yves"},{"family":"Roger","given":"Claire"},{"family":"Barbar","given":"Saber"},{"family":"Lambiotte","given":"Fabien"},{"family":"Saint-Leger","given":"Piehr"},{"family":"Paugam","given":"Catherine"},{"family":"Pottecher","given":"Julien"},{"family":"Ludes","given":"Pierre-Olivier"},{"family":"Darrivere","given":"Lucie"},{"family":"Garnier","given":"Marc"},{"family":"Kipnis","given":"Eric"},{"family":"Lebuffe","given":"Gilles"},{"family":"Garot","given":"Matthias"},{"family":"Falcone","given":"Jeremy"},{"family":"Chousterman","given":"Benjamin"},{"family":"Collet","given":"Magali"},{"family":"Gayat","given":"Etienne"},{"family":"Dellamonica","given":"Jean"},{"family":"Mfam","given":"Willy-Serge"},{"family":"Ochin","given":"Evelina"},{"family":"Nebli","given":"Mohamed"},{"family":"Tilouche","given":"Nejla"},{"family":"Madeux","given":"Benjamin"},{"family":"Bougon","given":"David"},{"family":"Aarab","given":"Yassir"},{"family":"Garnier","given":"Fanny"},{"family":"Azoulay","given":"Elie"},{"family":"Molinari","given":"Nicolas"},{"family":"Jaber","given":"Samir"}],"issued":{"date-parts":[["2023",6]]}}}],"schema":"https://github.com/citation-style-language/schema/raw/master/csl-citation.json"} </w:instrText>
            </w:r>
            <w:r w:rsidR="008A7182">
              <w:rPr>
                <w:rFonts w:ascii="Calibri" w:eastAsia="Calibri" w:hAnsi="Calibri" w:cs="Calibri"/>
                <w:sz w:val="20"/>
                <w:szCs w:val="20"/>
              </w:rPr>
              <w:fldChar w:fldCharType="separate"/>
            </w:r>
            <w:r w:rsidR="00EA5672" w:rsidRPr="00EA5672">
              <w:rPr>
                <w:rFonts w:ascii="Calibri" w:hAnsi="Calibri" w:cs="Calibri"/>
                <w:sz w:val="20"/>
                <w:vertAlign w:val="superscript"/>
              </w:rPr>
              <w:t>29</w:t>
            </w:r>
            <w:r w:rsidR="008A7182">
              <w:rPr>
                <w:rFonts w:ascii="Calibri" w:eastAsia="Calibri" w:hAnsi="Calibri" w:cs="Calibri"/>
                <w:sz w:val="20"/>
                <w:szCs w:val="20"/>
              </w:rPr>
              <w:fldChar w:fldCharType="end"/>
            </w:r>
            <w:r>
              <w:rPr>
                <w:rFonts w:ascii="Calibri" w:eastAsia="Calibri" w:hAnsi="Calibri" w:cs="Calibri"/>
                <w:sz w:val="20"/>
                <w:szCs w:val="20"/>
              </w:rPr>
              <w:t>, 39 ICUs</w:t>
            </w:r>
          </w:p>
        </w:tc>
        <w:tc>
          <w:tcPr>
            <w:tcW w:w="2021" w:type="dxa"/>
          </w:tcPr>
          <w:p w14:paraId="3FFBEE99" w14:textId="52B488CC" w:rsidR="003D2051" w:rsidRPr="008A7182" w:rsidRDefault="0052205F" w:rsidP="003D2051">
            <w:pPr>
              <w:pStyle w:val="p1"/>
              <w:rPr>
                <w:lang w:val="en-US"/>
              </w:rPr>
            </w:pPr>
            <w:r>
              <w:rPr>
                <w:rFonts w:ascii="Calibri" w:eastAsia="Calibri" w:hAnsi="Calibri" w:cs="Calibri"/>
                <w:sz w:val="20"/>
                <w:szCs w:val="20"/>
              </w:rPr>
              <w:t>N=</w:t>
            </w:r>
            <w:r w:rsidR="003D2051">
              <w:rPr>
                <w:rFonts w:ascii="Calibri" w:eastAsia="Calibri" w:hAnsi="Calibri" w:cs="Calibri"/>
                <w:sz w:val="20"/>
                <w:szCs w:val="20"/>
              </w:rPr>
              <w:t>981</w:t>
            </w:r>
            <w:r>
              <w:rPr>
                <w:rFonts w:ascii="Calibri" w:eastAsia="Calibri" w:hAnsi="Calibri" w:cs="Calibri"/>
                <w:sz w:val="20"/>
                <w:szCs w:val="20"/>
              </w:rPr>
              <w:t xml:space="preserve">, </w:t>
            </w:r>
            <w:r w:rsidR="003D2051" w:rsidRPr="003D2051">
              <w:rPr>
                <w:rFonts w:ascii="Calibri" w:eastAsia="Calibri" w:hAnsi="Calibri" w:cs="Calibri"/>
                <w:sz w:val="20"/>
                <w:szCs w:val="20"/>
              </w:rPr>
              <w:t xml:space="preserve">BMI </w:t>
            </w:r>
            <w:r w:rsidR="003D2051" w:rsidRPr="003D2051">
              <w:rPr>
                <w:rFonts w:ascii="Calibri" w:hAnsi="Calibri" w:cs="Calibri"/>
                <w:sz w:val="20"/>
                <w:szCs w:val="20"/>
              </w:rPr>
              <w:t>≥</w:t>
            </w:r>
            <w:r w:rsidR="003D2051" w:rsidRPr="008A7182">
              <w:rPr>
                <w:rFonts w:ascii="Calibri" w:hAnsi="Calibri" w:cs="Calibri"/>
                <w:sz w:val="20"/>
                <w:szCs w:val="20"/>
                <w:lang w:val="en-US"/>
              </w:rPr>
              <w:t xml:space="preserve"> 30</w:t>
            </w:r>
          </w:p>
          <w:p w14:paraId="24CB5B8B" w14:textId="3EFD2C56" w:rsidR="0052205F" w:rsidRDefault="0052205F" w:rsidP="0052205F">
            <w:pPr>
              <w:rPr>
                <w:rFonts w:ascii="Calibri" w:eastAsia="Calibri" w:hAnsi="Calibri" w:cs="Calibri"/>
                <w:sz w:val="20"/>
                <w:szCs w:val="20"/>
              </w:rPr>
            </w:pPr>
          </w:p>
        </w:tc>
        <w:tc>
          <w:tcPr>
            <w:tcW w:w="1738" w:type="dxa"/>
          </w:tcPr>
          <w:p w14:paraId="2883A702" w14:textId="1F842594" w:rsidR="0052205F" w:rsidRDefault="0052205F" w:rsidP="0052205F">
            <w:pPr>
              <w:rPr>
                <w:rFonts w:ascii="Calibri" w:eastAsia="Calibri" w:hAnsi="Calibri" w:cs="Calibri"/>
                <w:sz w:val="20"/>
                <w:szCs w:val="20"/>
              </w:rPr>
            </w:pPr>
            <w:r>
              <w:rPr>
                <w:rFonts w:ascii="Calibri" w:eastAsia="Calibri" w:hAnsi="Calibri" w:cs="Calibri"/>
                <w:sz w:val="20"/>
                <w:szCs w:val="20"/>
              </w:rPr>
              <w:t>HFNO</w:t>
            </w:r>
            <w:r w:rsidR="006231EF">
              <w:rPr>
                <w:rFonts w:ascii="Calibri" w:eastAsia="Calibri" w:hAnsi="Calibri" w:cs="Calibri"/>
                <w:sz w:val="20"/>
                <w:szCs w:val="20"/>
              </w:rPr>
              <w:t xml:space="preserve"> or COT</w:t>
            </w:r>
            <w:r>
              <w:rPr>
                <w:rFonts w:ascii="Calibri" w:eastAsia="Calibri" w:hAnsi="Calibri" w:cs="Calibri"/>
                <w:sz w:val="20"/>
                <w:szCs w:val="20"/>
              </w:rPr>
              <w:t xml:space="preserve"> (N=</w:t>
            </w:r>
            <w:r w:rsidR="006231EF">
              <w:rPr>
                <w:rFonts w:ascii="Calibri" w:eastAsia="Calibri" w:hAnsi="Calibri" w:cs="Calibri"/>
                <w:sz w:val="20"/>
                <w:szCs w:val="20"/>
              </w:rPr>
              <w:t>491</w:t>
            </w:r>
            <w:r>
              <w:rPr>
                <w:rFonts w:ascii="Calibri" w:eastAsia="Calibri" w:hAnsi="Calibri" w:cs="Calibri"/>
                <w:sz w:val="20"/>
                <w:szCs w:val="20"/>
              </w:rPr>
              <w:t>) vs. BiPAP (N=</w:t>
            </w:r>
            <w:r w:rsidR="006231EF">
              <w:rPr>
                <w:rFonts w:ascii="Calibri" w:eastAsia="Calibri" w:hAnsi="Calibri" w:cs="Calibri"/>
                <w:sz w:val="20"/>
                <w:szCs w:val="20"/>
              </w:rPr>
              <w:t>490</w:t>
            </w:r>
            <w:r>
              <w:rPr>
                <w:rFonts w:ascii="Calibri" w:eastAsia="Calibri" w:hAnsi="Calibri" w:cs="Calibri"/>
                <w:sz w:val="20"/>
                <w:szCs w:val="20"/>
              </w:rPr>
              <w:t>)</w:t>
            </w:r>
          </w:p>
        </w:tc>
        <w:tc>
          <w:tcPr>
            <w:tcW w:w="1515" w:type="dxa"/>
          </w:tcPr>
          <w:p w14:paraId="5DAAC474" w14:textId="0E22E24C" w:rsidR="0052205F" w:rsidRDefault="006231EF" w:rsidP="0052205F">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Unspecified</w:t>
            </w:r>
          </w:p>
        </w:tc>
        <w:tc>
          <w:tcPr>
            <w:tcW w:w="1894" w:type="dxa"/>
          </w:tcPr>
          <w:p w14:paraId="7932321F" w14:textId="41001762" w:rsidR="0052205F" w:rsidRDefault="006231EF" w:rsidP="0052205F">
            <w:pPr>
              <w:rPr>
                <w:rFonts w:ascii="Calibri" w:eastAsia="Calibri" w:hAnsi="Calibri" w:cs="Calibri"/>
                <w:sz w:val="20"/>
                <w:szCs w:val="20"/>
              </w:rPr>
            </w:pPr>
            <w:r w:rsidRPr="001E7BF1">
              <w:rPr>
                <w:rFonts w:ascii="Calibri" w:eastAsia="Calibri" w:hAnsi="Calibri" w:cs="Calibri"/>
                <w:i/>
                <w:iCs/>
                <w:color w:val="333333"/>
                <w:sz w:val="20"/>
                <w:szCs w:val="20"/>
                <w:highlight w:val="white"/>
              </w:rPr>
              <w:t>Treatment failure</w:t>
            </w:r>
            <w:r w:rsidR="001E7BF1">
              <w:rPr>
                <w:rFonts w:ascii="Calibri" w:eastAsia="Calibri" w:hAnsi="Calibri" w:cs="Calibri"/>
                <w:i/>
                <w:iCs/>
                <w:color w:val="333333"/>
                <w:sz w:val="20"/>
                <w:szCs w:val="20"/>
              </w:rPr>
              <w:t xml:space="preserve"> (switch to other treatment)</w:t>
            </w:r>
            <w:r>
              <w:rPr>
                <w:rFonts w:ascii="Calibri" w:eastAsia="Calibri" w:hAnsi="Calibri" w:cs="Calibri"/>
                <w:color w:val="333333"/>
                <w:sz w:val="20"/>
                <w:szCs w:val="20"/>
              </w:rPr>
              <w:t xml:space="preserve">: </w:t>
            </w:r>
            <w:r w:rsidRPr="00CE600D">
              <w:rPr>
                <w:rFonts w:ascii="Calibri" w:eastAsia="Calibri" w:hAnsi="Calibri" w:cs="Calibri"/>
                <w:sz w:val="20"/>
                <w:szCs w:val="20"/>
              </w:rPr>
              <w:t>HFNT</w:t>
            </w:r>
            <w:r>
              <w:rPr>
                <w:rFonts w:ascii="Calibri" w:eastAsia="Calibri" w:hAnsi="Calibri" w:cs="Calibri"/>
                <w:sz w:val="20"/>
                <w:szCs w:val="20"/>
              </w:rPr>
              <w:t>/COT</w:t>
            </w:r>
            <w:r w:rsidRPr="00CE600D">
              <w:rPr>
                <w:rFonts w:ascii="Calibri" w:eastAsia="Calibri" w:hAnsi="Calibri" w:cs="Calibri"/>
                <w:sz w:val="20"/>
                <w:szCs w:val="20"/>
              </w:rPr>
              <w:t xml:space="preserve"> </w:t>
            </w:r>
            <w:r>
              <w:rPr>
                <w:rFonts w:ascii="Calibri" w:eastAsia="Calibri" w:hAnsi="Calibri" w:cs="Calibri"/>
                <w:sz w:val="20"/>
                <w:szCs w:val="20"/>
              </w:rPr>
              <w:t>26.5</w:t>
            </w:r>
            <w:r w:rsidRPr="00CE600D">
              <w:rPr>
                <w:rFonts w:ascii="Calibri" w:eastAsia="Calibri" w:hAnsi="Calibri" w:cs="Calibri"/>
                <w:sz w:val="20"/>
                <w:szCs w:val="20"/>
              </w:rPr>
              <w:t xml:space="preserve">% vs. BiPAP </w:t>
            </w:r>
            <w:r>
              <w:rPr>
                <w:rFonts w:ascii="Calibri" w:eastAsia="Calibri" w:hAnsi="Calibri" w:cs="Calibri"/>
                <w:sz w:val="20"/>
                <w:szCs w:val="20"/>
              </w:rPr>
              <w:t>13.5</w:t>
            </w:r>
            <w:r w:rsidRPr="00CE600D">
              <w:rPr>
                <w:rFonts w:ascii="Calibri" w:eastAsia="Calibri" w:hAnsi="Calibri" w:cs="Calibri"/>
                <w:sz w:val="20"/>
                <w:szCs w:val="20"/>
              </w:rPr>
              <w:t>% (</w:t>
            </w:r>
            <w:r>
              <w:rPr>
                <w:rFonts w:ascii="Calibri" w:eastAsia="Calibri" w:hAnsi="Calibri" w:cs="Calibri"/>
                <w:sz w:val="20"/>
                <w:szCs w:val="20"/>
              </w:rPr>
              <w:t>p&lt;0.001</w:t>
            </w:r>
            <w:r w:rsidRPr="00CE600D">
              <w:rPr>
                <w:rFonts w:ascii="Calibri" w:eastAsia="Calibri" w:hAnsi="Calibri" w:cs="Calibri"/>
                <w:sz w:val="20"/>
                <w:szCs w:val="20"/>
              </w:rPr>
              <w:t>)</w:t>
            </w:r>
            <w:r>
              <w:rPr>
                <w:rFonts w:ascii="Calibri" w:eastAsia="Calibri" w:hAnsi="Calibri" w:cs="Calibri"/>
                <w:sz w:val="20"/>
                <w:szCs w:val="20"/>
              </w:rPr>
              <w:t xml:space="preserve">; </w:t>
            </w:r>
          </w:p>
          <w:p w14:paraId="400DDD42" w14:textId="78F625A5" w:rsidR="006231EF" w:rsidRDefault="006231EF" w:rsidP="0052205F">
            <w:pPr>
              <w:rPr>
                <w:rFonts w:ascii="Calibri" w:eastAsia="Calibri" w:hAnsi="Calibri" w:cs="Calibri"/>
                <w:sz w:val="20"/>
                <w:szCs w:val="20"/>
              </w:rPr>
            </w:pPr>
            <w:r w:rsidRPr="001E7BF1">
              <w:rPr>
                <w:rFonts w:ascii="Calibri" w:eastAsia="Calibri" w:hAnsi="Calibri" w:cs="Calibri"/>
                <w:i/>
                <w:iCs/>
                <w:sz w:val="20"/>
                <w:szCs w:val="20"/>
              </w:rPr>
              <w:t>Reintubation at 3 days</w:t>
            </w:r>
            <w:r>
              <w:rPr>
                <w:rFonts w:ascii="Calibri" w:eastAsia="Calibri" w:hAnsi="Calibri" w:cs="Calibri"/>
                <w:sz w:val="20"/>
                <w:szCs w:val="20"/>
              </w:rPr>
              <w:t xml:space="preserve">: </w:t>
            </w:r>
            <w:r w:rsidRPr="00CE600D">
              <w:rPr>
                <w:rFonts w:ascii="Calibri" w:eastAsia="Calibri" w:hAnsi="Calibri" w:cs="Calibri"/>
                <w:sz w:val="20"/>
                <w:szCs w:val="20"/>
              </w:rPr>
              <w:t>HFNT</w:t>
            </w:r>
            <w:r>
              <w:rPr>
                <w:rFonts w:ascii="Calibri" w:eastAsia="Calibri" w:hAnsi="Calibri" w:cs="Calibri"/>
                <w:sz w:val="20"/>
                <w:szCs w:val="20"/>
              </w:rPr>
              <w:t>/COT</w:t>
            </w:r>
            <w:r w:rsidRPr="00CE600D">
              <w:rPr>
                <w:rFonts w:ascii="Calibri" w:eastAsia="Calibri" w:hAnsi="Calibri" w:cs="Calibri"/>
                <w:sz w:val="20"/>
                <w:szCs w:val="20"/>
              </w:rPr>
              <w:t xml:space="preserve"> </w:t>
            </w:r>
            <w:r w:rsidR="008A7182">
              <w:rPr>
                <w:rFonts w:ascii="Calibri" w:eastAsia="Calibri" w:hAnsi="Calibri" w:cs="Calibri"/>
                <w:sz w:val="20"/>
                <w:szCs w:val="20"/>
              </w:rPr>
              <w:t>12</w:t>
            </w:r>
            <w:r>
              <w:rPr>
                <w:rFonts w:ascii="Calibri" w:eastAsia="Calibri" w:hAnsi="Calibri" w:cs="Calibri"/>
                <w:sz w:val="20"/>
                <w:szCs w:val="20"/>
              </w:rPr>
              <w:t xml:space="preserve"> </w:t>
            </w:r>
            <w:r w:rsidRPr="00CE600D">
              <w:rPr>
                <w:rFonts w:ascii="Calibri" w:eastAsia="Calibri" w:hAnsi="Calibri" w:cs="Calibri"/>
                <w:sz w:val="20"/>
                <w:szCs w:val="20"/>
              </w:rPr>
              <w:t xml:space="preserve">% vs. BiPAP </w:t>
            </w:r>
            <w:r>
              <w:rPr>
                <w:rFonts w:ascii="Calibri" w:eastAsia="Calibri" w:hAnsi="Calibri" w:cs="Calibri"/>
                <w:sz w:val="20"/>
                <w:szCs w:val="20"/>
              </w:rPr>
              <w:t>1</w:t>
            </w:r>
            <w:r w:rsidR="008A7182">
              <w:rPr>
                <w:rFonts w:ascii="Calibri" w:eastAsia="Calibri" w:hAnsi="Calibri" w:cs="Calibri"/>
                <w:sz w:val="20"/>
                <w:szCs w:val="20"/>
              </w:rPr>
              <w:t>0</w:t>
            </w:r>
            <w:r w:rsidRPr="00CE600D">
              <w:rPr>
                <w:rFonts w:ascii="Calibri" w:eastAsia="Calibri" w:hAnsi="Calibri" w:cs="Calibri"/>
                <w:sz w:val="20"/>
                <w:szCs w:val="20"/>
              </w:rPr>
              <w:t>% (</w:t>
            </w:r>
            <w:r>
              <w:rPr>
                <w:rFonts w:ascii="Calibri" w:eastAsia="Calibri" w:hAnsi="Calibri" w:cs="Calibri"/>
                <w:sz w:val="20"/>
                <w:szCs w:val="20"/>
              </w:rPr>
              <w:t>p</w:t>
            </w:r>
            <w:r w:rsidR="008A7182">
              <w:rPr>
                <w:rFonts w:ascii="Calibri" w:eastAsia="Calibri" w:hAnsi="Calibri" w:cs="Calibri"/>
                <w:sz w:val="20"/>
                <w:szCs w:val="20"/>
              </w:rPr>
              <w:t xml:space="preserve"> 0.26</w:t>
            </w:r>
            <w:r w:rsidRPr="00CE600D">
              <w:rPr>
                <w:rFonts w:ascii="Calibri" w:eastAsia="Calibri" w:hAnsi="Calibri" w:cs="Calibri"/>
                <w:sz w:val="20"/>
                <w:szCs w:val="20"/>
              </w:rPr>
              <w:t>)</w:t>
            </w:r>
            <w:r>
              <w:rPr>
                <w:rFonts w:ascii="Calibri" w:eastAsia="Calibri" w:hAnsi="Calibri" w:cs="Calibri"/>
                <w:sz w:val="20"/>
                <w:szCs w:val="20"/>
              </w:rPr>
              <w:t>;</w:t>
            </w:r>
          </w:p>
          <w:p w14:paraId="7B3F6FFA" w14:textId="1AA8280A" w:rsidR="006231EF" w:rsidRDefault="006231EF" w:rsidP="0052205F">
            <w:pPr>
              <w:rPr>
                <w:rFonts w:ascii="Calibri" w:eastAsia="Calibri" w:hAnsi="Calibri" w:cs="Calibri"/>
                <w:color w:val="333333"/>
                <w:sz w:val="20"/>
                <w:szCs w:val="20"/>
                <w:highlight w:val="white"/>
              </w:rPr>
            </w:pPr>
          </w:p>
        </w:tc>
      </w:tr>
      <w:tr w:rsidR="0052205F" w14:paraId="3A32D1FF" w14:textId="77777777" w:rsidTr="003E0D49">
        <w:tc>
          <w:tcPr>
            <w:tcW w:w="1848" w:type="dxa"/>
          </w:tcPr>
          <w:p w14:paraId="6394C7F2" w14:textId="59417626" w:rsidR="0052205F" w:rsidRDefault="008A7182" w:rsidP="008A7182">
            <w:pPr>
              <w:widowControl w:val="0"/>
              <w:autoSpaceDE w:val="0"/>
              <w:autoSpaceDN w:val="0"/>
              <w:adjustRightInd w:val="0"/>
              <w:rPr>
                <w:rFonts w:ascii="Calibri" w:eastAsia="Calibri" w:hAnsi="Calibri" w:cs="Calibri"/>
                <w:sz w:val="20"/>
                <w:szCs w:val="20"/>
              </w:rPr>
            </w:pPr>
            <w:r w:rsidRPr="00A94F97">
              <w:rPr>
                <w:rFonts w:ascii="Calibri" w:hAnsi="Calibri" w:cs="Calibri"/>
                <w:sz w:val="20"/>
                <w:szCs w:val="20"/>
              </w:rPr>
              <w:t>Hernández</w:t>
            </w:r>
            <w:r>
              <w:rPr>
                <w:rFonts w:ascii="Calibri" w:hAnsi="Calibri" w:cs="Calibri"/>
                <w:sz w:val="20"/>
                <w:szCs w:val="20"/>
              </w:rPr>
              <w:t xml:space="preserve">, 2025, </w:t>
            </w:r>
            <w:r w:rsidR="002160BC">
              <w:rPr>
                <w:rFonts w:ascii="Calibri" w:hAnsi="Calibri" w:cs="Calibri"/>
                <w:sz w:val="20"/>
                <w:szCs w:val="20"/>
              </w:rPr>
              <w:t>2 ICUs</w:t>
            </w:r>
          </w:p>
        </w:tc>
        <w:tc>
          <w:tcPr>
            <w:tcW w:w="2021" w:type="dxa"/>
          </w:tcPr>
          <w:p w14:paraId="145EDCD4" w14:textId="2F220066" w:rsidR="00C916F7" w:rsidRPr="00C916F7" w:rsidRDefault="00C916F7" w:rsidP="00C916F7">
            <w:pPr>
              <w:pStyle w:val="p1"/>
              <w:rPr>
                <w:lang w:val="en-US"/>
              </w:rPr>
            </w:pPr>
            <w:r w:rsidRPr="00C916F7">
              <w:rPr>
                <w:rFonts w:ascii="Calibri" w:eastAsia="Calibri" w:hAnsi="Calibri" w:cs="Calibri"/>
                <w:sz w:val="20"/>
                <w:szCs w:val="20"/>
                <w:lang w:val="en-US"/>
              </w:rPr>
              <w:t xml:space="preserve">N=144, </w:t>
            </w:r>
            <w:r w:rsidRPr="003D2051">
              <w:rPr>
                <w:rFonts w:ascii="Calibri" w:eastAsia="Calibri" w:hAnsi="Calibri" w:cs="Calibri"/>
                <w:sz w:val="20"/>
                <w:szCs w:val="20"/>
              </w:rPr>
              <w:t xml:space="preserve">BMI </w:t>
            </w:r>
            <w:r w:rsidRPr="003D2051">
              <w:rPr>
                <w:rFonts w:ascii="Calibri" w:hAnsi="Calibri" w:cs="Calibri"/>
                <w:sz w:val="20"/>
                <w:szCs w:val="20"/>
              </w:rPr>
              <w:t>≥</w:t>
            </w:r>
            <w:r w:rsidRPr="008A7182">
              <w:rPr>
                <w:rFonts w:ascii="Calibri" w:hAnsi="Calibri" w:cs="Calibri"/>
                <w:sz w:val="20"/>
                <w:szCs w:val="20"/>
                <w:lang w:val="en-US"/>
              </w:rPr>
              <w:t xml:space="preserve"> 30</w:t>
            </w:r>
            <w:r>
              <w:rPr>
                <w:rFonts w:ascii="Calibri" w:eastAsia="Calibri" w:hAnsi="Calibri" w:cs="Calibri"/>
                <w:sz w:val="20"/>
                <w:szCs w:val="20"/>
              </w:rPr>
              <w:t xml:space="preserve"> </w:t>
            </w:r>
            <w:r w:rsidRPr="00C916F7">
              <w:rPr>
                <w:rFonts w:ascii="Calibri" w:eastAsia="Calibri" w:hAnsi="Calibri" w:cs="Calibri"/>
                <w:sz w:val="20"/>
                <w:szCs w:val="20"/>
                <w:lang w:val="en-US"/>
              </w:rPr>
              <w:t xml:space="preserve">and </w:t>
            </w:r>
            <w:r w:rsidR="001E7BF1">
              <w:rPr>
                <w:rFonts w:ascii="Calibri" w:eastAsia="Calibri" w:hAnsi="Calibri" w:cs="Calibri"/>
                <w:sz w:val="20"/>
                <w:szCs w:val="20"/>
                <w:lang w:val="en-US"/>
              </w:rPr>
              <w:t>intermediate</w:t>
            </w:r>
            <w:r>
              <w:rPr>
                <w:rFonts w:ascii="Calibri" w:eastAsia="Calibri" w:hAnsi="Calibri" w:cs="Calibri"/>
                <w:sz w:val="20"/>
                <w:szCs w:val="20"/>
              </w:rPr>
              <w:t xml:space="preserve"> risk for extubation failure**</w:t>
            </w:r>
            <w:r w:rsidRPr="00C916F7">
              <w:rPr>
                <w:rFonts w:ascii="Calibri" w:eastAsia="Calibri" w:hAnsi="Calibri" w:cs="Calibri"/>
                <w:sz w:val="20"/>
                <w:szCs w:val="20"/>
                <w:lang w:val="en-US"/>
              </w:rPr>
              <w:t>**</w:t>
            </w:r>
          </w:p>
          <w:p w14:paraId="5DC78380" w14:textId="160F200F" w:rsidR="0052205F" w:rsidRDefault="0052205F" w:rsidP="0052205F">
            <w:pPr>
              <w:rPr>
                <w:rFonts w:ascii="Calibri" w:eastAsia="Calibri" w:hAnsi="Calibri" w:cs="Calibri"/>
                <w:sz w:val="20"/>
                <w:szCs w:val="20"/>
              </w:rPr>
            </w:pPr>
          </w:p>
        </w:tc>
        <w:tc>
          <w:tcPr>
            <w:tcW w:w="1738" w:type="dxa"/>
          </w:tcPr>
          <w:p w14:paraId="4A0CB79E" w14:textId="5BE0A4BA" w:rsidR="0052205F" w:rsidRDefault="00C916F7" w:rsidP="0052205F">
            <w:pPr>
              <w:rPr>
                <w:rFonts w:ascii="Calibri" w:eastAsia="Calibri" w:hAnsi="Calibri" w:cs="Calibri"/>
                <w:sz w:val="20"/>
                <w:szCs w:val="20"/>
              </w:rPr>
            </w:pPr>
            <w:r>
              <w:rPr>
                <w:rFonts w:ascii="Calibri" w:eastAsia="Calibri" w:hAnsi="Calibri" w:cs="Calibri"/>
                <w:sz w:val="20"/>
                <w:szCs w:val="20"/>
              </w:rPr>
              <w:t>HFNT (N=72) vs. BiPAP (N=72)</w:t>
            </w:r>
          </w:p>
        </w:tc>
        <w:tc>
          <w:tcPr>
            <w:tcW w:w="1515" w:type="dxa"/>
          </w:tcPr>
          <w:p w14:paraId="64ECF460" w14:textId="48275B07" w:rsidR="0052205F" w:rsidRDefault="00C916F7" w:rsidP="0052205F">
            <w:pPr>
              <w:rPr>
                <w:rFonts w:ascii="Calibri" w:eastAsia="Calibri" w:hAnsi="Calibri" w:cs="Calibri"/>
                <w:color w:val="333333"/>
                <w:sz w:val="20"/>
                <w:szCs w:val="20"/>
                <w:highlight w:val="white"/>
              </w:rPr>
            </w:pPr>
            <w:r>
              <w:rPr>
                <w:rFonts w:ascii="Calibri" w:eastAsia="Calibri" w:hAnsi="Calibri" w:cs="Calibri"/>
                <w:color w:val="333333"/>
                <w:sz w:val="20"/>
                <w:szCs w:val="20"/>
                <w:highlight w:val="white"/>
              </w:rPr>
              <w:t>Facemask</w:t>
            </w:r>
          </w:p>
        </w:tc>
        <w:tc>
          <w:tcPr>
            <w:tcW w:w="1894" w:type="dxa"/>
          </w:tcPr>
          <w:p w14:paraId="7167E7C1" w14:textId="4EC806E1" w:rsidR="0052205F" w:rsidRPr="00C916F7" w:rsidRDefault="00C916F7" w:rsidP="0052205F">
            <w:pPr>
              <w:pBdr>
                <w:top w:val="nil"/>
                <w:left w:val="nil"/>
                <w:bottom w:val="nil"/>
                <w:right w:val="nil"/>
                <w:between w:val="nil"/>
              </w:pBdr>
              <w:rPr>
                <w:rFonts w:ascii="Calibri" w:eastAsia="Calibri" w:hAnsi="Calibri" w:cs="Calibri"/>
                <w:color w:val="000000"/>
                <w:sz w:val="20"/>
                <w:szCs w:val="20"/>
              </w:rPr>
            </w:pPr>
            <w:r w:rsidRPr="001E7BF1">
              <w:rPr>
                <w:rFonts w:ascii="Calibri" w:eastAsia="Calibri" w:hAnsi="Calibri" w:cs="Calibri"/>
                <w:i/>
                <w:iCs/>
                <w:color w:val="000000"/>
                <w:sz w:val="20"/>
                <w:szCs w:val="20"/>
              </w:rPr>
              <w:t>Reintubation at day 7</w:t>
            </w:r>
            <w:r w:rsidRPr="00C916F7">
              <w:rPr>
                <w:rFonts w:ascii="Calibri" w:eastAsia="Calibri" w:hAnsi="Calibri" w:cs="Calibri"/>
                <w:color w:val="000000"/>
                <w:sz w:val="20"/>
                <w:szCs w:val="20"/>
              </w:rPr>
              <w:t>: HFNT 33.3% vs. BiPAP NIV 23.6% (p = 0.27)</w:t>
            </w:r>
          </w:p>
        </w:tc>
      </w:tr>
    </w:tbl>
    <w:p w14:paraId="4AAEF948" w14:textId="79FB67E2" w:rsidR="00A94F97" w:rsidRDefault="00A94F97" w:rsidP="00A94F97">
      <w:pPr>
        <w:jc w:val="both"/>
        <w:rPr>
          <w:rFonts w:ascii="Calibri" w:eastAsia="Calibri" w:hAnsi="Calibri" w:cs="Calibri"/>
          <w:sz w:val="20"/>
          <w:szCs w:val="20"/>
        </w:rPr>
      </w:pPr>
      <w:r>
        <w:rPr>
          <w:rFonts w:ascii="Calibri" w:eastAsia="Calibri" w:hAnsi="Calibri" w:cs="Calibri"/>
          <w:sz w:val="20"/>
          <w:szCs w:val="20"/>
        </w:rPr>
        <w:t xml:space="preserve">List of abbreviations: BiPAP: bilevel positive airway pressure; </w:t>
      </w:r>
      <w:r w:rsidR="00327A09">
        <w:rPr>
          <w:rFonts w:ascii="Calibri" w:eastAsia="Calibri" w:hAnsi="Calibri" w:cs="Calibri"/>
          <w:sz w:val="20"/>
          <w:szCs w:val="20"/>
        </w:rPr>
        <w:tab/>
        <w:t xml:space="preserve">BMI: body mass index; </w:t>
      </w:r>
      <w:r>
        <w:rPr>
          <w:rFonts w:ascii="Calibri" w:eastAsia="Calibri" w:hAnsi="Calibri" w:cs="Calibri"/>
          <w:sz w:val="20"/>
          <w:szCs w:val="20"/>
        </w:rPr>
        <w:t>COT: Conventional oxygen therapy;</w:t>
      </w:r>
      <w:r w:rsidR="00327A09">
        <w:rPr>
          <w:rFonts w:ascii="Calibri" w:eastAsia="Calibri" w:hAnsi="Calibri" w:cs="Calibri"/>
          <w:sz w:val="20"/>
          <w:szCs w:val="20"/>
        </w:rPr>
        <w:t xml:space="preserve"> </w:t>
      </w:r>
      <w:r>
        <w:rPr>
          <w:rFonts w:ascii="Calibri" w:eastAsia="Calibri" w:hAnsi="Calibri" w:cs="Calibri"/>
          <w:sz w:val="20"/>
          <w:szCs w:val="20"/>
        </w:rPr>
        <w:t>HFN</w:t>
      </w:r>
      <w:r w:rsidR="00327A09">
        <w:rPr>
          <w:rFonts w:ascii="Calibri" w:eastAsia="Calibri" w:hAnsi="Calibri" w:cs="Calibri"/>
          <w:sz w:val="20"/>
          <w:szCs w:val="20"/>
        </w:rPr>
        <w:t>T</w:t>
      </w:r>
      <w:r>
        <w:rPr>
          <w:rFonts w:ascii="Calibri" w:eastAsia="Calibri" w:hAnsi="Calibri" w:cs="Calibri"/>
          <w:sz w:val="20"/>
          <w:szCs w:val="20"/>
        </w:rPr>
        <w:t xml:space="preserve">: high flow nasal </w:t>
      </w:r>
      <w:proofErr w:type="spellStart"/>
      <w:r w:rsidR="00327A09">
        <w:rPr>
          <w:rFonts w:ascii="Calibri" w:eastAsia="Calibri" w:hAnsi="Calibri" w:cs="Calibri"/>
          <w:sz w:val="20"/>
          <w:szCs w:val="20"/>
        </w:rPr>
        <w:t>theraèhy</w:t>
      </w:r>
      <w:proofErr w:type="spellEnd"/>
      <w:r>
        <w:rPr>
          <w:rFonts w:ascii="Calibri" w:eastAsia="Calibri" w:hAnsi="Calibri" w:cs="Calibri"/>
          <w:sz w:val="20"/>
          <w:szCs w:val="20"/>
        </w:rPr>
        <w:t>; ICU: intensive care unit; PaCO</w:t>
      </w:r>
      <w:r>
        <w:rPr>
          <w:rFonts w:ascii="Calibri" w:eastAsia="Calibri" w:hAnsi="Calibri" w:cs="Calibri"/>
          <w:sz w:val="20"/>
          <w:szCs w:val="20"/>
          <w:vertAlign w:val="subscript"/>
        </w:rPr>
        <w:t>2</w:t>
      </w:r>
      <w:r>
        <w:rPr>
          <w:rFonts w:ascii="Calibri" w:eastAsia="Calibri" w:hAnsi="Calibri" w:cs="Calibri"/>
          <w:sz w:val="20"/>
          <w:szCs w:val="20"/>
        </w:rPr>
        <w:t>: partial pressure of carbon dioxide; RR: respiratory rate.</w:t>
      </w:r>
    </w:p>
    <w:p w14:paraId="62654CC6" w14:textId="5E0D83BC" w:rsidR="00A94F97" w:rsidRPr="001E7BF1" w:rsidRDefault="00E72DB0" w:rsidP="00E72DB0">
      <w:pPr>
        <w:jc w:val="both"/>
        <w:rPr>
          <w:rFonts w:ascii="Calibri" w:hAnsi="Calibri" w:cs="Calibri"/>
          <w:color w:val="000000" w:themeColor="text1"/>
          <w:sz w:val="20"/>
          <w:szCs w:val="20"/>
        </w:rPr>
      </w:pPr>
      <w:r w:rsidRPr="00E72DB0">
        <w:rPr>
          <w:rFonts w:ascii="Calibri" w:hAnsi="Calibri" w:cs="Calibri"/>
          <w:sz w:val="20"/>
          <w:szCs w:val="20"/>
        </w:rPr>
        <w:t>*</w:t>
      </w:r>
      <w:r w:rsidR="00F31ACC" w:rsidRPr="001E7BF1">
        <w:rPr>
          <w:rFonts w:ascii="Calibri" w:hAnsi="Calibri" w:cs="Calibri"/>
          <w:color w:val="000000" w:themeColor="text1"/>
          <w:sz w:val="20"/>
          <w:szCs w:val="20"/>
        </w:rPr>
        <w:t>High r</w:t>
      </w:r>
      <w:r w:rsidRPr="001E7BF1">
        <w:rPr>
          <w:rFonts w:ascii="Calibri" w:hAnsi="Calibri" w:cs="Calibri"/>
          <w:color w:val="000000" w:themeColor="text1"/>
          <w:sz w:val="20"/>
          <w:szCs w:val="20"/>
        </w:rPr>
        <w:t xml:space="preserve">isk for </w:t>
      </w:r>
      <w:proofErr w:type="spellStart"/>
      <w:r w:rsidRPr="001E7BF1">
        <w:rPr>
          <w:rFonts w:ascii="Calibri" w:hAnsi="Calibri" w:cs="Calibri"/>
          <w:color w:val="000000" w:themeColor="text1"/>
          <w:sz w:val="20"/>
          <w:szCs w:val="20"/>
        </w:rPr>
        <w:t>extubation</w:t>
      </w:r>
      <w:proofErr w:type="spellEnd"/>
      <w:r w:rsidRPr="001E7BF1">
        <w:rPr>
          <w:rFonts w:ascii="Calibri" w:hAnsi="Calibri" w:cs="Calibri"/>
          <w:color w:val="000000" w:themeColor="text1"/>
          <w:sz w:val="20"/>
          <w:szCs w:val="20"/>
        </w:rPr>
        <w:t xml:space="preserve"> failure defined by the presence of at </w:t>
      </w:r>
      <w:r w:rsidR="0052205F" w:rsidRPr="001E7BF1">
        <w:rPr>
          <w:rFonts w:ascii="Calibri" w:hAnsi="Calibri" w:cs="Calibri"/>
          <w:color w:val="000000" w:themeColor="text1"/>
          <w:sz w:val="20"/>
          <w:szCs w:val="20"/>
        </w:rPr>
        <w:t>least</w:t>
      </w:r>
      <w:r w:rsidRPr="001E7BF1">
        <w:rPr>
          <w:rFonts w:ascii="Calibri" w:hAnsi="Calibri" w:cs="Calibri"/>
          <w:color w:val="000000" w:themeColor="text1"/>
          <w:sz w:val="20"/>
          <w:szCs w:val="20"/>
        </w:rPr>
        <w:t xml:space="preserve"> 1 of the following risk factors: </w:t>
      </w:r>
      <w:r w:rsidR="001E7BF1" w:rsidRPr="001E7BF1">
        <w:rPr>
          <w:rFonts w:ascii="Calibri" w:hAnsi="Calibri" w:cs="Calibri"/>
          <w:color w:val="000000" w:themeColor="text1"/>
          <w:sz w:val="20"/>
          <w:szCs w:val="20"/>
        </w:rPr>
        <w:t>age &gt;65 years</w:t>
      </w:r>
      <w:r w:rsidRPr="001E7BF1">
        <w:rPr>
          <w:rFonts w:ascii="Calibri" w:hAnsi="Calibri" w:cs="Calibri"/>
          <w:color w:val="000000" w:themeColor="text1"/>
          <w:sz w:val="20"/>
          <w:szCs w:val="20"/>
        </w:rPr>
        <w:t xml:space="preserve">; Acute Physiology and Chronic Health Evaluation II score higher than 12 points on </w:t>
      </w:r>
      <w:proofErr w:type="spellStart"/>
      <w:r w:rsidRPr="001E7BF1">
        <w:rPr>
          <w:rFonts w:ascii="Calibri" w:hAnsi="Calibri" w:cs="Calibri"/>
          <w:color w:val="000000" w:themeColor="text1"/>
          <w:sz w:val="20"/>
          <w:szCs w:val="20"/>
        </w:rPr>
        <w:t>extubation</w:t>
      </w:r>
      <w:proofErr w:type="spellEnd"/>
      <w:r w:rsidRPr="001E7BF1">
        <w:rPr>
          <w:rFonts w:ascii="Calibri" w:hAnsi="Calibri" w:cs="Calibri"/>
          <w:color w:val="000000" w:themeColor="text1"/>
          <w:sz w:val="20"/>
          <w:szCs w:val="20"/>
        </w:rPr>
        <w:t xml:space="preserve"> day; body mass index higher than 30; inadequate secretions management; difficult or prolonged weaning; more than 1 </w:t>
      </w:r>
      <w:r w:rsidRPr="001E7BF1">
        <w:rPr>
          <w:rFonts w:ascii="Calibri" w:hAnsi="Calibri" w:cs="Calibri"/>
          <w:color w:val="000000" w:themeColor="text1"/>
          <w:sz w:val="20"/>
          <w:szCs w:val="20"/>
        </w:rPr>
        <w:lastRenderedPageBreak/>
        <w:t>comorbidity; heart failure as primary indication for mechanical ventilation; moderate to severe chronic obstructive pulmonary disease; airway patency problems; or prolonged mechanical ventilation.</w:t>
      </w:r>
    </w:p>
    <w:p w14:paraId="31B2EDF9" w14:textId="302F78A2" w:rsidR="0052205F" w:rsidRPr="001E7BF1" w:rsidRDefault="0052205F" w:rsidP="00E72DB0">
      <w:pPr>
        <w:jc w:val="both"/>
        <w:rPr>
          <w:rFonts w:ascii="Calibri" w:hAnsi="Calibri" w:cs="Calibri"/>
          <w:color w:val="000000" w:themeColor="text1"/>
          <w:sz w:val="20"/>
          <w:szCs w:val="20"/>
        </w:rPr>
      </w:pPr>
      <w:r w:rsidRPr="001E7BF1">
        <w:rPr>
          <w:rFonts w:ascii="Calibri" w:eastAsia="Calibri" w:hAnsi="Calibri" w:cs="Calibri"/>
          <w:color w:val="000000" w:themeColor="text1"/>
          <w:sz w:val="20"/>
          <w:szCs w:val="20"/>
        </w:rPr>
        <w:t>**</w:t>
      </w:r>
      <w:r w:rsidRPr="001E7BF1">
        <w:rPr>
          <w:rFonts w:ascii="Calibri" w:hAnsi="Calibri" w:cs="Calibri"/>
          <w:color w:val="000000" w:themeColor="text1"/>
          <w:sz w:val="20"/>
          <w:szCs w:val="20"/>
        </w:rPr>
        <w:t xml:space="preserve"> </w:t>
      </w:r>
      <w:r w:rsidR="00F31ACC" w:rsidRPr="001E7BF1">
        <w:rPr>
          <w:rFonts w:ascii="Calibri" w:hAnsi="Calibri" w:cs="Calibri"/>
          <w:color w:val="000000" w:themeColor="text1"/>
          <w:sz w:val="20"/>
          <w:szCs w:val="20"/>
        </w:rPr>
        <w:t>High r</w:t>
      </w:r>
      <w:r w:rsidRPr="001E7BF1">
        <w:rPr>
          <w:rFonts w:ascii="Calibri" w:hAnsi="Calibri" w:cs="Calibri"/>
          <w:color w:val="000000" w:themeColor="text1"/>
          <w:sz w:val="20"/>
          <w:szCs w:val="20"/>
        </w:rPr>
        <w:t xml:space="preserve">isk for </w:t>
      </w:r>
      <w:proofErr w:type="spellStart"/>
      <w:r w:rsidRPr="001E7BF1">
        <w:rPr>
          <w:rFonts w:ascii="Calibri" w:hAnsi="Calibri" w:cs="Calibri"/>
          <w:color w:val="000000" w:themeColor="text1"/>
          <w:sz w:val="20"/>
          <w:szCs w:val="20"/>
        </w:rPr>
        <w:t>extubation</w:t>
      </w:r>
      <w:proofErr w:type="spellEnd"/>
      <w:r w:rsidRPr="001E7BF1">
        <w:rPr>
          <w:rFonts w:ascii="Calibri" w:hAnsi="Calibri" w:cs="Calibri"/>
          <w:color w:val="000000" w:themeColor="text1"/>
          <w:sz w:val="20"/>
          <w:szCs w:val="20"/>
        </w:rPr>
        <w:t xml:space="preserve"> failure defined by the presence of at least 1 of the following risk factors:</w:t>
      </w:r>
      <w:r w:rsidRPr="001E7BF1">
        <w:rPr>
          <w:rFonts w:ascii="Calibri" w:eastAsia="Calibri" w:hAnsi="Calibri" w:cs="Calibri"/>
          <w:color w:val="000000" w:themeColor="text1"/>
          <w:sz w:val="20"/>
          <w:szCs w:val="20"/>
        </w:rPr>
        <w:t xml:space="preserve"> </w:t>
      </w:r>
      <w:r w:rsidR="001E7BF1" w:rsidRPr="001E7BF1">
        <w:rPr>
          <w:rFonts w:ascii="Calibri" w:hAnsi="Calibri" w:cs="Calibri"/>
          <w:color w:val="000000" w:themeColor="text1"/>
          <w:sz w:val="20"/>
          <w:szCs w:val="20"/>
        </w:rPr>
        <w:t>age &gt;65 years</w:t>
      </w:r>
      <w:r w:rsidRPr="001E7BF1">
        <w:rPr>
          <w:rFonts w:ascii="Calibri" w:hAnsi="Calibri" w:cs="Calibri"/>
          <w:color w:val="000000" w:themeColor="text1"/>
          <w:sz w:val="20"/>
          <w:szCs w:val="20"/>
        </w:rPr>
        <w:t>; any underlying chronic cardiac; underlying chronic lung disease).</w:t>
      </w:r>
    </w:p>
    <w:p w14:paraId="05680931" w14:textId="7C344D20" w:rsidR="00F31ACC" w:rsidRPr="001E7BF1" w:rsidRDefault="00F31ACC" w:rsidP="00E72DB0">
      <w:pPr>
        <w:jc w:val="both"/>
        <w:rPr>
          <w:rFonts w:ascii="Calibri" w:hAnsi="Calibri" w:cs="Calibri"/>
          <w:color w:val="000000" w:themeColor="text1"/>
          <w:sz w:val="20"/>
          <w:szCs w:val="20"/>
          <w:shd w:val="clear" w:color="auto" w:fill="FFFFFF"/>
        </w:rPr>
      </w:pPr>
      <w:r w:rsidRPr="001E7BF1">
        <w:rPr>
          <w:rFonts w:ascii="Calibri" w:eastAsia="Calibri" w:hAnsi="Calibri" w:cs="Calibri"/>
          <w:color w:val="000000" w:themeColor="text1"/>
          <w:sz w:val="20"/>
          <w:szCs w:val="20"/>
        </w:rPr>
        <w:t>**</w:t>
      </w:r>
      <w:r w:rsidR="00EA56C6" w:rsidRPr="001E7BF1">
        <w:rPr>
          <w:rFonts w:ascii="Calibri" w:eastAsia="Calibri" w:hAnsi="Calibri" w:cs="Calibri"/>
          <w:color w:val="000000" w:themeColor="text1"/>
          <w:sz w:val="20"/>
          <w:szCs w:val="20"/>
        </w:rPr>
        <w:t>*</w:t>
      </w:r>
      <w:r w:rsidRPr="001E7BF1">
        <w:rPr>
          <w:rFonts w:ascii="Calibri" w:hAnsi="Calibri" w:cs="Calibri"/>
          <w:color w:val="000000" w:themeColor="text1"/>
          <w:sz w:val="20"/>
          <w:szCs w:val="20"/>
        </w:rPr>
        <w:t xml:space="preserve"> Very high risk for </w:t>
      </w:r>
      <w:proofErr w:type="spellStart"/>
      <w:r w:rsidRPr="001E7BF1">
        <w:rPr>
          <w:rFonts w:ascii="Calibri" w:hAnsi="Calibri" w:cs="Calibri"/>
          <w:color w:val="000000" w:themeColor="text1"/>
          <w:sz w:val="20"/>
          <w:szCs w:val="20"/>
        </w:rPr>
        <w:t>extubation</w:t>
      </w:r>
      <w:proofErr w:type="spellEnd"/>
      <w:r w:rsidRPr="001E7BF1">
        <w:rPr>
          <w:rFonts w:ascii="Calibri" w:hAnsi="Calibri" w:cs="Calibri"/>
          <w:color w:val="000000" w:themeColor="text1"/>
          <w:sz w:val="20"/>
          <w:szCs w:val="20"/>
        </w:rPr>
        <w:t xml:space="preserve"> failure defined by the presence of </w:t>
      </w:r>
      <w:r w:rsidRPr="001E7BF1">
        <w:rPr>
          <w:rFonts w:ascii="Calibri" w:hAnsi="Calibri" w:cs="Calibri"/>
          <w:color w:val="000000" w:themeColor="text1"/>
          <w:sz w:val="20"/>
          <w:szCs w:val="20"/>
          <w:shd w:val="clear" w:color="auto" w:fill="FFFFFF"/>
        </w:rPr>
        <w:t xml:space="preserve">≥ 4 </w:t>
      </w:r>
      <w:r w:rsidRPr="001E7BF1">
        <w:rPr>
          <w:rFonts w:ascii="Calibri" w:hAnsi="Calibri" w:cs="Calibri"/>
          <w:color w:val="000000" w:themeColor="text1"/>
          <w:sz w:val="20"/>
          <w:szCs w:val="20"/>
        </w:rPr>
        <w:t>of the following risk factors</w:t>
      </w:r>
      <w:r w:rsidRPr="001E7BF1">
        <w:rPr>
          <w:rFonts w:ascii="Calibri" w:hAnsi="Calibri" w:cs="Calibri"/>
          <w:color w:val="000000" w:themeColor="text1"/>
          <w:sz w:val="20"/>
          <w:szCs w:val="20"/>
          <w:shd w:val="clear" w:color="auto" w:fill="FFFFFF"/>
        </w:rPr>
        <w:t xml:space="preserve">: </w:t>
      </w:r>
      <w:r w:rsidR="001E7BF1" w:rsidRPr="001E7BF1">
        <w:rPr>
          <w:rFonts w:ascii="Calibri" w:hAnsi="Calibri" w:cs="Calibri"/>
          <w:color w:val="000000" w:themeColor="text1"/>
          <w:sz w:val="20"/>
          <w:szCs w:val="20"/>
        </w:rPr>
        <w:t>age &gt;65 years</w:t>
      </w:r>
      <w:r w:rsidRPr="001E7BF1">
        <w:rPr>
          <w:rFonts w:ascii="Calibri" w:hAnsi="Calibri" w:cs="Calibri"/>
          <w:color w:val="000000" w:themeColor="text1"/>
          <w:sz w:val="20"/>
          <w:szCs w:val="20"/>
          <w:shd w:val="clear" w:color="auto" w:fill="FFFFFF"/>
        </w:rPr>
        <w:t xml:space="preserve">; heart failure as the primary indication for mechanical ventilation; moderate-to-severe chronic obstructive pulmonary disease; APACHE II score &gt; 12 on </w:t>
      </w:r>
      <w:proofErr w:type="spellStart"/>
      <w:r w:rsidRPr="001E7BF1">
        <w:rPr>
          <w:rFonts w:ascii="Calibri" w:hAnsi="Calibri" w:cs="Calibri"/>
          <w:color w:val="000000" w:themeColor="text1"/>
          <w:sz w:val="20"/>
          <w:szCs w:val="20"/>
          <w:shd w:val="clear" w:color="auto" w:fill="FFFFFF"/>
        </w:rPr>
        <w:t>extubation</w:t>
      </w:r>
      <w:proofErr w:type="spellEnd"/>
      <w:r w:rsidRPr="001E7BF1">
        <w:rPr>
          <w:rFonts w:ascii="Calibri" w:hAnsi="Calibri" w:cs="Calibri"/>
          <w:color w:val="000000" w:themeColor="text1"/>
          <w:sz w:val="20"/>
          <w:szCs w:val="20"/>
          <w:shd w:val="clear" w:color="auto" w:fill="FFFFFF"/>
        </w:rPr>
        <w:t xml:space="preserve"> day; body mass index  &gt; 30; airway patency problems; inadequate cough reflex or suctioning required &gt; 2 times within 8 h before </w:t>
      </w:r>
      <w:proofErr w:type="spellStart"/>
      <w:r w:rsidRPr="001E7BF1">
        <w:rPr>
          <w:rFonts w:ascii="Calibri" w:hAnsi="Calibri" w:cs="Calibri"/>
          <w:color w:val="000000" w:themeColor="text1"/>
          <w:sz w:val="20"/>
          <w:szCs w:val="20"/>
          <w:shd w:val="clear" w:color="auto" w:fill="FFFFFF"/>
        </w:rPr>
        <w:t>extubation</w:t>
      </w:r>
      <w:proofErr w:type="spellEnd"/>
      <w:r w:rsidR="00EA56C6" w:rsidRPr="001E7BF1">
        <w:rPr>
          <w:rFonts w:ascii="Calibri" w:hAnsi="Calibri" w:cs="Calibri"/>
          <w:color w:val="000000" w:themeColor="text1"/>
          <w:sz w:val="20"/>
          <w:szCs w:val="20"/>
          <w:shd w:val="clear" w:color="auto" w:fill="FFFFFF"/>
        </w:rPr>
        <w:t>;</w:t>
      </w:r>
      <w:r w:rsidRPr="001E7BF1">
        <w:rPr>
          <w:rFonts w:ascii="Calibri" w:hAnsi="Calibri" w:cs="Calibri"/>
          <w:color w:val="000000" w:themeColor="text1"/>
          <w:sz w:val="20"/>
          <w:szCs w:val="20"/>
          <w:shd w:val="clear" w:color="auto" w:fill="FFFFFF"/>
        </w:rPr>
        <w:t xml:space="preserve"> difficult or prolonged weaning (failing ≥ 1 attempt at disconnection from mechanical ventilation)</w:t>
      </w:r>
      <w:r w:rsidR="00EA56C6" w:rsidRPr="001E7BF1">
        <w:rPr>
          <w:rFonts w:ascii="Calibri" w:hAnsi="Calibri" w:cs="Calibri"/>
          <w:color w:val="000000" w:themeColor="text1"/>
          <w:sz w:val="20"/>
          <w:szCs w:val="20"/>
          <w:shd w:val="clear" w:color="auto" w:fill="FFFFFF"/>
        </w:rPr>
        <w:t xml:space="preserve">; </w:t>
      </w:r>
      <w:r w:rsidRPr="001E7BF1">
        <w:rPr>
          <w:rFonts w:ascii="Calibri" w:hAnsi="Calibri" w:cs="Calibri"/>
          <w:color w:val="000000" w:themeColor="text1"/>
          <w:sz w:val="20"/>
          <w:szCs w:val="20"/>
          <w:shd w:val="clear" w:color="auto" w:fill="FFFFFF"/>
        </w:rPr>
        <w:t>≥ 2 comorbidities</w:t>
      </w:r>
      <w:r w:rsidR="00EA56C6" w:rsidRPr="001E7BF1">
        <w:rPr>
          <w:rFonts w:ascii="Calibri" w:hAnsi="Calibri" w:cs="Calibri"/>
          <w:color w:val="000000" w:themeColor="text1"/>
          <w:sz w:val="20"/>
          <w:szCs w:val="20"/>
          <w:shd w:val="clear" w:color="auto" w:fill="FFFFFF"/>
        </w:rPr>
        <w:t>;</w:t>
      </w:r>
      <w:r w:rsidRPr="001E7BF1">
        <w:rPr>
          <w:rFonts w:ascii="Calibri" w:hAnsi="Calibri" w:cs="Calibri"/>
          <w:color w:val="000000" w:themeColor="text1"/>
          <w:sz w:val="20"/>
          <w:szCs w:val="20"/>
          <w:shd w:val="clear" w:color="auto" w:fill="FFFFFF"/>
        </w:rPr>
        <w:t xml:space="preserve"> mechanical ventilation ≥ 7 days</w:t>
      </w:r>
      <w:r w:rsidR="00EA56C6" w:rsidRPr="001E7BF1">
        <w:rPr>
          <w:rFonts w:ascii="Calibri" w:hAnsi="Calibri" w:cs="Calibri"/>
          <w:color w:val="000000" w:themeColor="text1"/>
          <w:sz w:val="20"/>
          <w:szCs w:val="20"/>
          <w:shd w:val="clear" w:color="auto" w:fill="FFFFFF"/>
        </w:rPr>
        <w:t xml:space="preserve">; </w:t>
      </w:r>
      <w:r w:rsidRPr="001E7BF1">
        <w:rPr>
          <w:rFonts w:ascii="Calibri" w:hAnsi="Calibri" w:cs="Calibri"/>
          <w:color w:val="000000" w:themeColor="text1"/>
          <w:sz w:val="20"/>
          <w:szCs w:val="20"/>
          <w:shd w:val="clear" w:color="auto" w:fill="FFFFFF"/>
        </w:rPr>
        <w:t>hypercapnia (PaCO</w:t>
      </w:r>
      <w:r w:rsidRPr="001E7BF1">
        <w:rPr>
          <w:rFonts w:ascii="Calibri" w:hAnsi="Calibri" w:cs="Calibri"/>
          <w:color w:val="000000" w:themeColor="text1"/>
          <w:sz w:val="20"/>
          <w:szCs w:val="20"/>
          <w:vertAlign w:val="subscript"/>
        </w:rPr>
        <w:t>2</w:t>
      </w:r>
      <w:r w:rsidRPr="001E7BF1">
        <w:rPr>
          <w:rFonts w:ascii="Calibri" w:hAnsi="Calibri" w:cs="Calibri"/>
          <w:color w:val="000000" w:themeColor="text1"/>
          <w:sz w:val="20"/>
          <w:szCs w:val="20"/>
          <w:shd w:val="clear" w:color="auto" w:fill="FFFFFF"/>
        </w:rPr>
        <w:t xml:space="preserve"> &gt; 45 mmHg) at the end of the </w:t>
      </w:r>
      <w:r w:rsidR="00EA56C6" w:rsidRPr="001E7BF1">
        <w:rPr>
          <w:rFonts w:ascii="Calibri" w:hAnsi="Calibri" w:cs="Calibri"/>
          <w:color w:val="000000" w:themeColor="text1"/>
          <w:sz w:val="20"/>
          <w:szCs w:val="20"/>
          <w:shd w:val="clear" w:color="auto" w:fill="FFFFFF"/>
        </w:rPr>
        <w:t>spontaneous breathing trial.</w:t>
      </w:r>
    </w:p>
    <w:p w14:paraId="328D6988" w14:textId="28B7B354" w:rsidR="001E7BF1" w:rsidRDefault="00C916F7" w:rsidP="001E7BF1">
      <w:pPr>
        <w:jc w:val="both"/>
        <w:rPr>
          <w:rStyle w:val="apple-converted-space"/>
          <w:rFonts w:ascii="Calibri" w:hAnsi="Calibri" w:cs="Calibri"/>
          <w:color w:val="000000" w:themeColor="text1"/>
          <w:sz w:val="20"/>
          <w:szCs w:val="20"/>
        </w:rPr>
      </w:pPr>
      <w:r w:rsidRPr="001E7BF1">
        <w:rPr>
          <w:rFonts w:ascii="Calibri" w:eastAsia="Calibri" w:hAnsi="Calibri" w:cs="Calibri"/>
          <w:color w:val="000000" w:themeColor="text1"/>
          <w:sz w:val="20"/>
          <w:szCs w:val="20"/>
          <w:lang w:val="en-US"/>
        </w:rPr>
        <w:t>****</w:t>
      </w:r>
      <w:r w:rsidR="001E7BF1" w:rsidRPr="001E7BF1">
        <w:rPr>
          <w:rFonts w:ascii="Calibri" w:eastAsia="Calibri" w:hAnsi="Calibri" w:cs="Calibri"/>
          <w:color w:val="000000" w:themeColor="text1"/>
          <w:sz w:val="20"/>
          <w:szCs w:val="20"/>
          <w:lang w:val="en-US"/>
        </w:rPr>
        <w:t>Intermediate</w:t>
      </w:r>
      <w:r w:rsidR="001E7BF1" w:rsidRPr="001E7BF1">
        <w:rPr>
          <w:rFonts w:ascii="Calibri" w:eastAsia="Calibri" w:hAnsi="Calibri" w:cs="Calibri"/>
          <w:color w:val="000000" w:themeColor="text1"/>
          <w:sz w:val="20"/>
          <w:szCs w:val="20"/>
        </w:rPr>
        <w:t xml:space="preserve"> </w:t>
      </w:r>
      <w:r w:rsidRPr="001E7BF1">
        <w:rPr>
          <w:rFonts w:ascii="Calibri" w:eastAsia="Calibri" w:hAnsi="Calibri" w:cs="Calibri"/>
          <w:color w:val="000000" w:themeColor="text1"/>
          <w:sz w:val="20"/>
          <w:szCs w:val="20"/>
        </w:rPr>
        <w:t xml:space="preserve">risk for </w:t>
      </w:r>
      <w:proofErr w:type="spellStart"/>
      <w:r w:rsidRPr="001E7BF1">
        <w:rPr>
          <w:rFonts w:ascii="Calibri" w:eastAsia="Calibri" w:hAnsi="Calibri" w:cs="Calibri"/>
          <w:color w:val="000000" w:themeColor="text1"/>
          <w:sz w:val="20"/>
          <w:szCs w:val="20"/>
        </w:rPr>
        <w:t>extubation</w:t>
      </w:r>
      <w:proofErr w:type="spellEnd"/>
      <w:r w:rsidRPr="001E7BF1">
        <w:rPr>
          <w:rFonts w:ascii="Calibri" w:eastAsia="Calibri" w:hAnsi="Calibri" w:cs="Calibri"/>
          <w:color w:val="000000" w:themeColor="text1"/>
          <w:sz w:val="20"/>
          <w:szCs w:val="20"/>
        </w:rPr>
        <w:t xml:space="preserve"> failure</w:t>
      </w:r>
      <w:r w:rsidRPr="001E7BF1">
        <w:rPr>
          <w:rFonts w:ascii="Calibri" w:hAnsi="Calibri" w:cs="Calibri"/>
          <w:color w:val="000000" w:themeColor="text1"/>
          <w:sz w:val="20"/>
          <w:szCs w:val="20"/>
        </w:rPr>
        <w:t xml:space="preserve"> defined by the presence of </w:t>
      </w:r>
      <w:r w:rsidR="001E7BF1" w:rsidRPr="001E7BF1">
        <w:rPr>
          <w:rStyle w:val="Emphasis"/>
          <w:rFonts w:ascii="Calibri" w:hAnsi="Calibri" w:cs="Calibri"/>
          <w:b/>
          <w:bCs/>
          <w:i w:val="0"/>
          <w:iCs w:val="0"/>
          <w:color w:val="000000" w:themeColor="text1"/>
          <w:sz w:val="20"/>
          <w:szCs w:val="20"/>
        </w:rPr>
        <w:t>≤</w:t>
      </w:r>
      <w:r w:rsidR="001E7BF1" w:rsidRPr="001E7BF1">
        <w:rPr>
          <w:rFonts w:ascii="Calibri" w:hAnsi="Calibri" w:cs="Calibri"/>
          <w:color w:val="000000" w:themeColor="text1"/>
          <w:sz w:val="20"/>
          <w:szCs w:val="20"/>
          <w:shd w:val="clear" w:color="auto" w:fill="FFFFFF"/>
        </w:rPr>
        <w:t xml:space="preserve"> 2</w:t>
      </w:r>
      <w:r w:rsidR="001E7BF1" w:rsidRPr="001E7BF1">
        <w:rPr>
          <w:rFonts w:ascii="Calibri" w:hAnsi="Calibri" w:cs="Calibri"/>
          <w:color w:val="000000" w:themeColor="text1"/>
          <w:sz w:val="20"/>
          <w:szCs w:val="20"/>
        </w:rPr>
        <w:t xml:space="preserve"> additional risk factors apart from obesity: age &gt;65 years; heart failure as the primary indication for mechanical ventilation; moderate to severe chronic obstructive pulmonary disease; Acute Physiology and Chronic Health Evaluation II score &gt;12 on </w:t>
      </w:r>
      <w:proofErr w:type="spellStart"/>
      <w:r w:rsidR="001E7BF1" w:rsidRPr="001E7BF1">
        <w:rPr>
          <w:rFonts w:ascii="Calibri" w:hAnsi="Calibri" w:cs="Calibri"/>
          <w:color w:val="000000" w:themeColor="text1"/>
          <w:sz w:val="20"/>
          <w:szCs w:val="20"/>
        </w:rPr>
        <w:t>extubation</w:t>
      </w:r>
      <w:proofErr w:type="spellEnd"/>
      <w:r w:rsidR="001E7BF1" w:rsidRPr="001E7BF1">
        <w:rPr>
          <w:rFonts w:ascii="Calibri" w:hAnsi="Calibri" w:cs="Calibri"/>
          <w:color w:val="000000" w:themeColor="text1"/>
          <w:sz w:val="20"/>
          <w:szCs w:val="20"/>
        </w:rPr>
        <w:t xml:space="preserve"> day; airway patency problems; inadequate cough reflex or suctioning required more than two times within 8 h before </w:t>
      </w:r>
      <w:proofErr w:type="spellStart"/>
      <w:r w:rsidR="001E7BF1" w:rsidRPr="001E7BF1">
        <w:rPr>
          <w:rFonts w:ascii="Calibri" w:hAnsi="Calibri" w:cs="Calibri"/>
          <w:color w:val="000000" w:themeColor="text1"/>
          <w:sz w:val="20"/>
          <w:szCs w:val="20"/>
        </w:rPr>
        <w:t>extubation</w:t>
      </w:r>
      <w:proofErr w:type="spellEnd"/>
      <w:r w:rsidR="001E7BF1" w:rsidRPr="001E7BF1">
        <w:rPr>
          <w:rFonts w:ascii="Calibri" w:hAnsi="Calibri" w:cs="Calibri"/>
          <w:color w:val="000000" w:themeColor="text1"/>
          <w:sz w:val="20"/>
          <w:szCs w:val="20"/>
        </w:rPr>
        <w:t xml:space="preserve">; difficult or prolonged weaning; two or more comorbidities; length of mechanical ventilation </w:t>
      </w:r>
      <w:r w:rsidR="001E7BF1" w:rsidRPr="001E7BF1">
        <w:rPr>
          <w:rFonts w:ascii="Cambria Math" w:hAnsi="Cambria Math" w:cs="Cambria Math"/>
          <w:color w:val="000000" w:themeColor="text1"/>
          <w:sz w:val="20"/>
          <w:szCs w:val="20"/>
        </w:rPr>
        <w:t>⩾</w:t>
      </w:r>
      <w:r w:rsidR="001E7BF1" w:rsidRPr="001E7BF1">
        <w:rPr>
          <w:rFonts w:ascii="Calibri" w:hAnsi="Calibri" w:cs="Calibri"/>
          <w:color w:val="000000" w:themeColor="text1"/>
          <w:sz w:val="20"/>
          <w:szCs w:val="20"/>
        </w:rPr>
        <w:t>7 days.</w:t>
      </w:r>
      <w:r w:rsidR="001E7BF1" w:rsidRPr="001E7BF1">
        <w:rPr>
          <w:rStyle w:val="apple-converted-space"/>
          <w:rFonts w:ascii="Calibri" w:hAnsi="Calibri" w:cs="Calibri"/>
          <w:color w:val="000000" w:themeColor="text1"/>
          <w:sz w:val="20"/>
          <w:szCs w:val="20"/>
        </w:rPr>
        <w:t> </w:t>
      </w:r>
    </w:p>
    <w:p w14:paraId="006F1BF5" w14:textId="77777777" w:rsidR="00827617" w:rsidRDefault="00827617" w:rsidP="001E7BF1">
      <w:pPr>
        <w:jc w:val="both"/>
        <w:rPr>
          <w:rStyle w:val="apple-converted-space"/>
          <w:rFonts w:ascii="Calibri" w:hAnsi="Calibri" w:cs="Calibri"/>
          <w:color w:val="000000" w:themeColor="text1"/>
          <w:sz w:val="20"/>
          <w:szCs w:val="20"/>
        </w:rPr>
      </w:pPr>
    </w:p>
    <w:p w14:paraId="58608FC3" w14:textId="4A126AA3" w:rsidR="00827617" w:rsidRPr="00827617" w:rsidRDefault="00827617" w:rsidP="001E7BF1">
      <w:pPr>
        <w:jc w:val="both"/>
        <w:rPr>
          <w:rStyle w:val="apple-converted-space"/>
          <w:rFonts w:ascii="Calibri" w:hAnsi="Calibri" w:cs="Calibri"/>
          <w:b/>
          <w:bCs/>
          <w:color w:val="000000" w:themeColor="text1"/>
        </w:rPr>
      </w:pPr>
      <w:r w:rsidRPr="00827617">
        <w:rPr>
          <w:rStyle w:val="apple-converted-space"/>
          <w:rFonts w:ascii="Calibri" w:hAnsi="Calibri" w:cs="Calibri"/>
          <w:b/>
          <w:bCs/>
          <w:color w:val="000000" w:themeColor="text1"/>
        </w:rPr>
        <w:t>REFERENCES</w:t>
      </w:r>
    </w:p>
    <w:p w14:paraId="181B84E2"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themeColor="text1"/>
        </w:rPr>
        <w:fldChar w:fldCharType="begin"/>
      </w:r>
      <w:r w:rsidRPr="00827617">
        <w:rPr>
          <w:rFonts w:ascii="Calibri" w:hAnsi="Calibri" w:cs="Calibri"/>
          <w:color w:val="000000" w:themeColor="text1"/>
        </w:rPr>
        <w:instrText xml:space="preserve"> ADDIN ZOTERO_BIBL {"uncited":[],"omitted":[],"custom":[]} CSL_BIBLIOGRAPHY </w:instrText>
      </w:r>
      <w:r w:rsidRPr="00827617">
        <w:rPr>
          <w:rFonts w:ascii="Calibri" w:hAnsi="Calibri" w:cs="Calibri"/>
          <w:color w:val="000000" w:themeColor="text1"/>
        </w:rPr>
        <w:fldChar w:fldCharType="separate"/>
      </w:r>
      <w:r w:rsidRPr="00827617">
        <w:rPr>
          <w:rFonts w:ascii="Calibri" w:hAnsi="Calibri" w:cs="Calibri"/>
          <w:color w:val="000000"/>
        </w:rPr>
        <w:t>1.</w:t>
      </w:r>
      <w:r w:rsidRPr="00827617">
        <w:rPr>
          <w:rFonts w:ascii="Calibri" w:hAnsi="Calibri" w:cs="Calibri"/>
          <w:color w:val="000000"/>
        </w:rPr>
        <w:tab/>
        <w:t xml:space="preserve">Mehta S, Jay GD, Woolard RH, et al.: Randomized, prospective trial of bilevel versus continuous positive airway pressure in acute pulmonary </w:t>
      </w:r>
      <w:proofErr w:type="spellStart"/>
      <w:r w:rsidRPr="00827617">
        <w:rPr>
          <w:rFonts w:ascii="Calibri" w:hAnsi="Calibri" w:cs="Calibri"/>
          <w:color w:val="000000"/>
        </w:rPr>
        <w:t>edema</w:t>
      </w:r>
      <w:proofErr w:type="spellEnd"/>
      <w:r w:rsidRPr="00827617">
        <w:rPr>
          <w:rFonts w:ascii="Calibri" w:hAnsi="Calibri" w:cs="Calibri"/>
          <w:color w:val="000000"/>
        </w:rPr>
        <w:t>. Critical Care Medicine 1997; 25:620</w:t>
      </w:r>
    </w:p>
    <w:p w14:paraId="72C59576"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w:t>
      </w:r>
      <w:r w:rsidRPr="00827617">
        <w:rPr>
          <w:rFonts w:ascii="Calibri" w:hAnsi="Calibri" w:cs="Calibri"/>
          <w:color w:val="000000"/>
        </w:rPr>
        <w:tab/>
      </w:r>
      <w:proofErr w:type="spellStart"/>
      <w:r w:rsidRPr="00827617">
        <w:rPr>
          <w:rFonts w:ascii="Calibri" w:hAnsi="Calibri" w:cs="Calibri"/>
          <w:color w:val="000000"/>
        </w:rPr>
        <w:t>Bellone</w:t>
      </w:r>
      <w:proofErr w:type="spellEnd"/>
      <w:r w:rsidRPr="00827617">
        <w:rPr>
          <w:rFonts w:ascii="Calibri" w:hAnsi="Calibri" w:cs="Calibri"/>
          <w:color w:val="000000"/>
        </w:rPr>
        <w:t xml:space="preserve"> A, </w:t>
      </w:r>
      <w:proofErr w:type="spellStart"/>
      <w:r w:rsidRPr="00827617">
        <w:rPr>
          <w:rFonts w:ascii="Calibri" w:hAnsi="Calibri" w:cs="Calibri"/>
          <w:color w:val="000000"/>
        </w:rPr>
        <w:t>Monari</w:t>
      </w:r>
      <w:proofErr w:type="spellEnd"/>
      <w:r w:rsidRPr="00827617">
        <w:rPr>
          <w:rFonts w:ascii="Calibri" w:hAnsi="Calibri" w:cs="Calibri"/>
          <w:color w:val="000000"/>
        </w:rPr>
        <w:t xml:space="preserve"> A, </w:t>
      </w:r>
      <w:proofErr w:type="spellStart"/>
      <w:r w:rsidRPr="00827617">
        <w:rPr>
          <w:rFonts w:ascii="Calibri" w:hAnsi="Calibri" w:cs="Calibri"/>
          <w:color w:val="000000"/>
        </w:rPr>
        <w:t>Cortellaro</w:t>
      </w:r>
      <w:proofErr w:type="spellEnd"/>
      <w:r w:rsidRPr="00827617">
        <w:rPr>
          <w:rFonts w:ascii="Calibri" w:hAnsi="Calibri" w:cs="Calibri"/>
          <w:color w:val="000000"/>
        </w:rPr>
        <w:t xml:space="preserve"> F, </w:t>
      </w:r>
      <w:proofErr w:type="spellStart"/>
      <w:r w:rsidRPr="00827617">
        <w:rPr>
          <w:rFonts w:ascii="Calibri" w:hAnsi="Calibri" w:cs="Calibri"/>
          <w:color w:val="000000"/>
        </w:rPr>
        <w:t>Vettorello</w:t>
      </w:r>
      <w:proofErr w:type="spellEnd"/>
      <w:r w:rsidRPr="00827617">
        <w:rPr>
          <w:rFonts w:ascii="Calibri" w:hAnsi="Calibri" w:cs="Calibri"/>
          <w:color w:val="000000"/>
        </w:rPr>
        <w:t xml:space="preserve"> M, </w:t>
      </w:r>
      <w:proofErr w:type="spellStart"/>
      <w:r w:rsidRPr="00827617">
        <w:rPr>
          <w:rFonts w:ascii="Calibri" w:hAnsi="Calibri" w:cs="Calibri"/>
          <w:color w:val="000000"/>
        </w:rPr>
        <w:t>Arlati</w:t>
      </w:r>
      <w:proofErr w:type="spellEnd"/>
      <w:r w:rsidRPr="00827617">
        <w:rPr>
          <w:rFonts w:ascii="Calibri" w:hAnsi="Calibri" w:cs="Calibri"/>
          <w:color w:val="000000"/>
        </w:rPr>
        <w:t xml:space="preserve"> S, Coen D: Myocardial infarction rate in acute pulmonary </w:t>
      </w:r>
      <w:proofErr w:type="spellStart"/>
      <w:r w:rsidRPr="00827617">
        <w:rPr>
          <w:rFonts w:ascii="Calibri" w:hAnsi="Calibri" w:cs="Calibri"/>
          <w:color w:val="000000"/>
        </w:rPr>
        <w:t>edema</w:t>
      </w:r>
      <w:proofErr w:type="spellEnd"/>
      <w:r w:rsidRPr="00827617">
        <w:rPr>
          <w:rFonts w:ascii="Calibri" w:hAnsi="Calibri" w:cs="Calibri"/>
          <w:color w:val="000000"/>
        </w:rPr>
        <w:t xml:space="preserve">: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pressure support ventilation versus continuous positive airway pressure. Crit Care Med 2004; 32:1860–5</w:t>
      </w:r>
    </w:p>
    <w:p w14:paraId="2103CC07"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3.</w:t>
      </w:r>
      <w:r w:rsidRPr="00827617">
        <w:rPr>
          <w:rFonts w:ascii="Calibri" w:hAnsi="Calibri" w:cs="Calibri"/>
          <w:color w:val="000000"/>
        </w:rPr>
        <w:tab/>
        <w:t xml:space="preserve">Crane SD, Elliott MW, Gilligan P, Richards K, Gray AJ: Randomised controlled comparison of continuous positive airways pressure, bilevel non-invasive ventilation, and standard treatment in emergency department patients with acute cardiogenic pulmonary oedema. </w:t>
      </w:r>
      <w:proofErr w:type="spellStart"/>
      <w:r w:rsidRPr="00827617">
        <w:rPr>
          <w:rFonts w:ascii="Calibri" w:hAnsi="Calibri" w:cs="Calibri"/>
          <w:color w:val="000000"/>
        </w:rPr>
        <w:t>Emerg</w:t>
      </w:r>
      <w:proofErr w:type="spellEnd"/>
      <w:r w:rsidRPr="00827617">
        <w:rPr>
          <w:rFonts w:ascii="Calibri" w:hAnsi="Calibri" w:cs="Calibri"/>
          <w:color w:val="000000"/>
        </w:rPr>
        <w:t xml:space="preserve"> Med J 2004; 21:155–61</w:t>
      </w:r>
    </w:p>
    <w:p w14:paraId="29B6DB45"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4.</w:t>
      </w:r>
      <w:r w:rsidRPr="00827617">
        <w:rPr>
          <w:rFonts w:ascii="Calibri" w:hAnsi="Calibri" w:cs="Calibri"/>
          <w:color w:val="000000"/>
        </w:rPr>
        <w:tab/>
        <w:t xml:space="preserve">Park M, </w:t>
      </w:r>
      <w:proofErr w:type="spellStart"/>
      <w:r w:rsidRPr="00827617">
        <w:rPr>
          <w:rFonts w:ascii="Calibri" w:hAnsi="Calibri" w:cs="Calibri"/>
          <w:color w:val="000000"/>
        </w:rPr>
        <w:t>Sangean</w:t>
      </w:r>
      <w:proofErr w:type="spellEnd"/>
      <w:r w:rsidRPr="00827617">
        <w:rPr>
          <w:rFonts w:ascii="Calibri" w:hAnsi="Calibri" w:cs="Calibri"/>
          <w:color w:val="000000"/>
        </w:rPr>
        <w:t xml:space="preserve"> MC, Volpe MDS, et al.: Randomized, prospective trial of oxygen, continuous positive airway pressure, and bilevel positive airway pressure by face mask in acute cardiogenic pulmonary </w:t>
      </w:r>
      <w:proofErr w:type="spellStart"/>
      <w:r w:rsidRPr="00827617">
        <w:rPr>
          <w:rFonts w:ascii="Calibri" w:hAnsi="Calibri" w:cs="Calibri"/>
          <w:color w:val="000000"/>
        </w:rPr>
        <w:t>edema</w:t>
      </w:r>
      <w:proofErr w:type="spellEnd"/>
      <w:r w:rsidRPr="00827617">
        <w:rPr>
          <w:rFonts w:ascii="Calibri" w:hAnsi="Calibri" w:cs="Calibri"/>
          <w:color w:val="000000"/>
        </w:rPr>
        <w:t>*: Critical Care Medicine 2004; 32:2407–15</w:t>
      </w:r>
    </w:p>
    <w:p w14:paraId="6706BEC8" w14:textId="77777777" w:rsidR="00827617" w:rsidRPr="00827617" w:rsidRDefault="00827617" w:rsidP="00827617">
      <w:pPr>
        <w:pStyle w:val="Bibliography"/>
        <w:rPr>
          <w:rFonts w:ascii="Calibri" w:hAnsi="Calibri" w:cs="Calibri"/>
          <w:color w:val="000000"/>
          <w:lang w:val="it-IT"/>
        </w:rPr>
      </w:pPr>
      <w:r w:rsidRPr="00827617">
        <w:rPr>
          <w:rFonts w:ascii="Calibri" w:hAnsi="Calibri" w:cs="Calibri"/>
          <w:color w:val="000000"/>
          <w:lang w:val="it-IT"/>
        </w:rPr>
        <w:t>5.</w:t>
      </w:r>
      <w:r w:rsidRPr="00827617">
        <w:rPr>
          <w:rFonts w:ascii="Calibri" w:hAnsi="Calibri" w:cs="Calibri"/>
          <w:color w:val="000000"/>
          <w:lang w:val="it-IT"/>
        </w:rPr>
        <w:tab/>
        <w:t xml:space="preserve">Bellone A, Vettorello M, Monari A, </w:t>
      </w:r>
      <w:proofErr w:type="spellStart"/>
      <w:r w:rsidRPr="00827617">
        <w:rPr>
          <w:rFonts w:ascii="Calibri" w:hAnsi="Calibri" w:cs="Calibri"/>
          <w:color w:val="000000"/>
          <w:lang w:val="it-IT"/>
        </w:rPr>
        <w:t>Cortellaro</w:t>
      </w:r>
      <w:proofErr w:type="spellEnd"/>
      <w:r w:rsidRPr="00827617">
        <w:rPr>
          <w:rFonts w:ascii="Calibri" w:hAnsi="Calibri" w:cs="Calibri"/>
          <w:color w:val="000000"/>
          <w:lang w:val="it-IT"/>
        </w:rPr>
        <w:t xml:space="preserve"> F, Coen D: </w:t>
      </w:r>
      <w:proofErr w:type="spellStart"/>
      <w:r w:rsidRPr="00827617">
        <w:rPr>
          <w:rFonts w:ascii="Calibri" w:hAnsi="Calibri" w:cs="Calibri"/>
          <w:color w:val="000000"/>
          <w:lang w:val="it-IT"/>
        </w:rPr>
        <w:t>Noninvasive</w:t>
      </w:r>
      <w:proofErr w:type="spellEnd"/>
      <w:r w:rsidRPr="00827617">
        <w:rPr>
          <w:rFonts w:ascii="Calibri" w:hAnsi="Calibri" w:cs="Calibri"/>
          <w:color w:val="000000"/>
          <w:lang w:val="it-IT"/>
        </w:rPr>
        <w:t xml:space="preserve"> pressure support </w:t>
      </w:r>
      <w:proofErr w:type="spellStart"/>
      <w:r w:rsidRPr="00827617">
        <w:rPr>
          <w:rFonts w:ascii="Calibri" w:hAnsi="Calibri" w:cs="Calibri"/>
          <w:color w:val="000000"/>
          <w:lang w:val="it-IT"/>
        </w:rPr>
        <w:t>ventilation</w:t>
      </w:r>
      <w:proofErr w:type="spellEnd"/>
      <w:r w:rsidRPr="00827617">
        <w:rPr>
          <w:rFonts w:ascii="Calibri" w:hAnsi="Calibri" w:cs="Calibri"/>
          <w:color w:val="000000"/>
          <w:lang w:val="it-IT"/>
        </w:rPr>
        <w:t xml:space="preserve"> vs. </w:t>
      </w:r>
      <w:proofErr w:type="spellStart"/>
      <w:r w:rsidRPr="00827617">
        <w:rPr>
          <w:rFonts w:ascii="Calibri" w:hAnsi="Calibri" w:cs="Calibri"/>
          <w:color w:val="000000"/>
          <w:lang w:val="it-IT"/>
        </w:rPr>
        <w:t>continuous</w:t>
      </w:r>
      <w:proofErr w:type="spellEnd"/>
      <w:r w:rsidRPr="00827617">
        <w:rPr>
          <w:rFonts w:ascii="Calibri" w:hAnsi="Calibri" w:cs="Calibri"/>
          <w:color w:val="000000"/>
          <w:lang w:val="it-IT"/>
        </w:rPr>
        <w:t xml:space="preserve"> positive </w:t>
      </w:r>
      <w:proofErr w:type="spellStart"/>
      <w:r w:rsidRPr="00827617">
        <w:rPr>
          <w:rFonts w:ascii="Calibri" w:hAnsi="Calibri" w:cs="Calibri"/>
          <w:color w:val="000000"/>
          <w:lang w:val="it-IT"/>
        </w:rPr>
        <w:t>airway</w:t>
      </w:r>
      <w:proofErr w:type="spellEnd"/>
      <w:r w:rsidRPr="00827617">
        <w:rPr>
          <w:rFonts w:ascii="Calibri" w:hAnsi="Calibri" w:cs="Calibri"/>
          <w:color w:val="000000"/>
          <w:lang w:val="it-IT"/>
        </w:rPr>
        <w:t xml:space="preserve"> pressure in acute </w:t>
      </w:r>
      <w:proofErr w:type="spellStart"/>
      <w:r w:rsidRPr="00827617">
        <w:rPr>
          <w:rFonts w:ascii="Calibri" w:hAnsi="Calibri" w:cs="Calibri"/>
          <w:color w:val="000000"/>
          <w:lang w:val="it-IT"/>
        </w:rPr>
        <w:t>hypercapnic</w:t>
      </w:r>
      <w:proofErr w:type="spellEnd"/>
      <w:r w:rsidRPr="00827617">
        <w:rPr>
          <w:rFonts w:ascii="Calibri" w:hAnsi="Calibri" w:cs="Calibri"/>
          <w:color w:val="000000"/>
          <w:lang w:val="it-IT"/>
        </w:rPr>
        <w:t xml:space="preserve"> </w:t>
      </w:r>
      <w:proofErr w:type="spellStart"/>
      <w:r w:rsidRPr="00827617">
        <w:rPr>
          <w:rFonts w:ascii="Calibri" w:hAnsi="Calibri" w:cs="Calibri"/>
          <w:color w:val="000000"/>
          <w:lang w:val="it-IT"/>
        </w:rPr>
        <w:t>pulmonary</w:t>
      </w:r>
      <w:proofErr w:type="spellEnd"/>
      <w:r w:rsidRPr="00827617">
        <w:rPr>
          <w:rFonts w:ascii="Calibri" w:hAnsi="Calibri" w:cs="Calibri"/>
          <w:color w:val="000000"/>
          <w:lang w:val="it-IT"/>
        </w:rPr>
        <w:t xml:space="preserve"> edema. Intensive Care </w:t>
      </w:r>
      <w:proofErr w:type="spellStart"/>
      <w:r w:rsidRPr="00827617">
        <w:rPr>
          <w:rFonts w:ascii="Calibri" w:hAnsi="Calibri" w:cs="Calibri"/>
          <w:color w:val="000000"/>
          <w:lang w:val="it-IT"/>
        </w:rPr>
        <w:t>Med</w:t>
      </w:r>
      <w:proofErr w:type="spellEnd"/>
      <w:r w:rsidRPr="00827617">
        <w:rPr>
          <w:rFonts w:ascii="Calibri" w:hAnsi="Calibri" w:cs="Calibri"/>
          <w:color w:val="000000"/>
          <w:lang w:val="it-IT"/>
        </w:rPr>
        <w:t xml:space="preserve"> 2005; 31:807–11</w:t>
      </w:r>
    </w:p>
    <w:p w14:paraId="08D1DAE6"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lang w:val="it-IT"/>
        </w:rPr>
        <w:t>6.</w:t>
      </w:r>
      <w:r w:rsidRPr="00827617">
        <w:rPr>
          <w:rFonts w:ascii="Calibri" w:hAnsi="Calibri" w:cs="Calibri"/>
          <w:color w:val="000000"/>
          <w:lang w:val="it-IT"/>
        </w:rPr>
        <w:tab/>
        <w:t xml:space="preserve">Ferrari G, </w:t>
      </w:r>
      <w:proofErr w:type="spellStart"/>
      <w:r w:rsidRPr="00827617">
        <w:rPr>
          <w:rFonts w:ascii="Calibri" w:hAnsi="Calibri" w:cs="Calibri"/>
          <w:color w:val="000000"/>
          <w:lang w:val="it-IT"/>
        </w:rPr>
        <w:t>Olliveri</w:t>
      </w:r>
      <w:proofErr w:type="spellEnd"/>
      <w:r w:rsidRPr="00827617">
        <w:rPr>
          <w:rFonts w:ascii="Calibri" w:hAnsi="Calibri" w:cs="Calibri"/>
          <w:color w:val="000000"/>
          <w:lang w:val="it-IT"/>
        </w:rPr>
        <w:t xml:space="preserve"> F, De Filippi G, et al.: </w:t>
      </w:r>
      <w:proofErr w:type="spellStart"/>
      <w:r w:rsidRPr="00827617">
        <w:rPr>
          <w:rFonts w:ascii="Calibri" w:hAnsi="Calibri" w:cs="Calibri"/>
          <w:color w:val="000000"/>
          <w:lang w:val="it-IT"/>
        </w:rPr>
        <w:t>Noninvasive</w:t>
      </w:r>
      <w:proofErr w:type="spellEnd"/>
      <w:r w:rsidRPr="00827617">
        <w:rPr>
          <w:rFonts w:ascii="Calibri" w:hAnsi="Calibri" w:cs="Calibri"/>
          <w:color w:val="000000"/>
          <w:lang w:val="it-IT"/>
        </w:rPr>
        <w:t xml:space="preserve"> positive </w:t>
      </w:r>
      <w:proofErr w:type="spellStart"/>
      <w:r w:rsidRPr="00827617">
        <w:rPr>
          <w:rFonts w:ascii="Calibri" w:hAnsi="Calibri" w:cs="Calibri"/>
          <w:color w:val="000000"/>
          <w:lang w:val="it-IT"/>
        </w:rPr>
        <w:t>airway</w:t>
      </w:r>
      <w:proofErr w:type="spellEnd"/>
      <w:r w:rsidRPr="00827617">
        <w:rPr>
          <w:rFonts w:ascii="Calibri" w:hAnsi="Calibri" w:cs="Calibri"/>
          <w:color w:val="000000"/>
          <w:lang w:val="it-IT"/>
        </w:rPr>
        <w:t xml:space="preserve"> pressure and risk of </w:t>
      </w:r>
      <w:proofErr w:type="spellStart"/>
      <w:r w:rsidRPr="00827617">
        <w:rPr>
          <w:rFonts w:ascii="Calibri" w:hAnsi="Calibri" w:cs="Calibri"/>
          <w:color w:val="000000"/>
          <w:lang w:val="it-IT"/>
        </w:rPr>
        <w:t>myocardial</w:t>
      </w:r>
      <w:proofErr w:type="spellEnd"/>
      <w:r w:rsidRPr="00827617">
        <w:rPr>
          <w:rFonts w:ascii="Calibri" w:hAnsi="Calibri" w:cs="Calibri"/>
          <w:color w:val="000000"/>
          <w:lang w:val="it-IT"/>
        </w:rPr>
        <w:t xml:space="preserve"> </w:t>
      </w:r>
      <w:proofErr w:type="spellStart"/>
      <w:r w:rsidRPr="00827617">
        <w:rPr>
          <w:rFonts w:ascii="Calibri" w:hAnsi="Calibri" w:cs="Calibri"/>
          <w:color w:val="000000"/>
          <w:lang w:val="it-IT"/>
        </w:rPr>
        <w:t>infarction</w:t>
      </w:r>
      <w:proofErr w:type="spellEnd"/>
      <w:r w:rsidRPr="00827617">
        <w:rPr>
          <w:rFonts w:ascii="Calibri" w:hAnsi="Calibri" w:cs="Calibri"/>
          <w:color w:val="000000"/>
          <w:lang w:val="it-IT"/>
        </w:rPr>
        <w:t xml:space="preserve"> in acute </w:t>
      </w:r>
      <w:proofErr w:type="spellStart"/>
      <w:r w:rsidRPr="00827617">
        <w:rPr>
          <w:rFonts w:ascii="Calibri" w:hAnsi="Calibri" w:cs="Calibri"/>
          <w:color w:val="000000"/>
          <w:lang w:val="it-IT"/>
        </w:rPr>
        <w:t>cardiogenic</w:t>
      </w:r>
      <w:proofErr w:type="spellEnd"/>
      <w:r w:rsidRPr="00827617">
        <w:rPr>
          <w:rFonts w:ascii="Calibri" w:hAnsi="Calibri" w:cs="Calibri"/>
          <w:color w:val="000000"/>
          <w:lang w:val="it-IT"/>
        </w:rPr>
        <w:t xml:space="preserve"> </w:t>
      </w:r>
      <w:proofErr w:type="spellStart"/>
      <w:r w:rsidRPr="00827617">
        <w:rPr>
          <w:rFonts w:ascii="Calibri" w:hAnsi="Calibri" w:cs="Calibri"/>
          <w:color w:val="000000"/>
          <w:lang w:val="it-IT"/>
        </w:rPr>
        <w:t>pulmonary</w:t>
      </w:r>
      <w:proofErr w:type="spellEnd"/>
      <w:r w:rsidRPr="00827617">
        <w:rPr>
          <w:rFonts w:ascii="Calibri" w:hAnsi="Calibri" w:cs="Calibri"/>
          <w:color w:val="000000"/>
          <w:lang w:val="it-IT"/>
        </w:rPr>
        <w:t xml:space="preserve"> edema: </w:t>
      </w:r>
      <w:proofErr w:type="spellStart"/>
      <w:r w:rsidRPr="00827617">
        <w:rPr>
          <w:rFonts w:ascii="Calibri" w:hAnsi="Calibri" w:cs="Calibri"/>
          <w:color w:val="000000"/>
          <w:lang w:val="it-IT"/>
        </w:rPr>
        <w:t>continuous</w:t>
      </w:r>
      <w:proofErr w:type="spellEnd"/>
      <w:r w:rsidRPr="00827617">
        <w:rPr>
          <w:rFonts w:ascii="Calibri" w:hAnsi="Calibri" w:cs="Calibri"/>
          <w:color w:val="000000"/>
          <w:lang w:val="it-IT"/>
        </w:rPr>
        <w:t xml:space="preserve"> positive </w:t>
      </w:r>
      <w:proofErr w:type="spellStart"/>
      <w:r w:rsidRPr="00827617">
        <w:rPr>
          <w:rFonts w:ascii="Calibri" w:hAnsi="Calibri" w:cs="Calibri"/>
          <w:color w:val="000000"/>
          <w:lang w:val="it-IT"/>
        </w:rPr>
        <w:t>airway</w:t>
      </w:r>
      <w:proofErr w:type="spellEnd"/>
      <w:r w:rsidRPr="00827617">
        <w:rPr>
          <w:rFonts w:ascii="Calibri" w:hAnsi="Calibri" w:cs="Calibri"/>
          <w:color w:val="000000"/>
          <w:lang w:val="it-IT"/>
        </w:rPr>
        <w:t xml:space="preserve"> pressure vs </w:t>
      </w:r>
      <w:proofErr w:type="spellStart"/>
      <w:r w:rsidRPr="00827617">
        <w:rPr>
          <w:rFonts w:ascii="Calibri" w:hAnsi="Calibri" w:cs="Calibri"/>
          <w:color w:val="000000"/>
          <w:lang w:val="it-IT"/>
        </w:rPr>
        <w:t>noninvasive</w:t>
      </w:r>
      <w:proofErr w:type="spellEnd"/>
      <w:r w:rsidRPr="00827617">
        <w:rPr>
          <w:rFonts w:ascii="Calibri" w:hAnsi="Calibri" w:cs="Calibri"/>
          <w:color w:val="000000"/>
          <w:lang w:val="it-IT"/>
        </w:rPr>
        <w:t xml:space="preserve"> positive pressure </w:t>
      </w:r>
      <w:proofErr w:type="spellStart"/>
      <w:r w:rsidRPr="00827617">
        <w:rPr>
          <w:rFonts w:ascii="Calibri" w:hAnsi="Calibri" w:cs="Calibri"/>
          <w:color w:val="000000"/>
          <w:lang w:val="it-IT"/>
        </w:rPr>
        <w:t>ventilation</w:t>
      </w:r>
      <w:proofErr w:type="spellEnd"/>
      <w:r w:rsidRPr="00827617">
        <w:rPr>
          <w:rFonts w:ascii="Calibri" w:hAnsi="Calibri" w:cs="Calibri"/>
          <w:color w:val="000000"/>
          <w:lang w:val="it-IT"/>
        </w:rPr>
        <w:t xml:space="preserve">. </w:t>
      </w:r>
      <w:r w:rsidRPr="00827617">
        <w:rPr>
          <w:rFonts w:ascii="Calibri" w:hAnsi="Calibri" w:cs="Calibri"/>
          <w:color w:val="000000"/>
        </w:rPr>
        <w:t>Chest 2007; 132:1804–9</w:t>
      </w:r>
    </w:p>
    <w:p w14:paraId="75C74DAB"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7.</w:t>
      </w:r>
      <w:r w:rsidRPr="00827617">
        <w:rPr>
          <w:rFonts w:ascii="Calibri" w:hAnsi="Calibri" w:cs="Calibri"/>
          <w:color w:val="000000"/>
        </w:rPr>
        <w:tab/>
        <w:t xml:space="preserve">Moritz F, </w:t>
      </w:r>
      <w:proofErr w:type="spellStart"/>
      <w:r w:rsidRPr="00827617">
        <w:rPr>
          <w:rFonts w:ascii="Calibri" w:hAnsi="Calibri" w:cs="Calibri"/>
          <w:color w:val="000000"/>
        </w:rPr>
        <w:t>Brousse</w:t>
      </w:r>
      <w:proofErr w:type="spellEnd"/>
      <w:r w:rsidRPr="00827617">
        <w:rPr>
          <w:rFonts w:ascii="Calibri" w:hAnsi="Calibri" w:cs="Calibri"/>
          <w:color w:val="000000"/>
        </w:rPr>
        <w:t xml:space="preserve"> B, </w:t>
      </w:r>
      <w:proofErr w:type="spellStart"/>
      <w:r w:rsidRPr="00827617">
        <w:rPr>
          <w:rFonts w:ascii="Calibri" w:hAnsi="Calibri" w:cs="Calibri"/>
          <w:color w:val="000000"/>
        </w:rPr>
        <w:t>Gellée</w:t>
      </w:r>
      <w:proofErr w:type="spellEnd"/>
      <w:r w:rsidRPr="00827617">
        <w:rPr>
          <w:rFonts w:ascii="Calibri" w:hAnsi="Calibri" w:cs="Calibri"/>
          <w:color w:val="000000"/>
        </w:rPr>
        <w:t xml:space="preserve"> B, et al.: Continuous positive airway pressure versus bilevel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in acute cardiogenic pulmonary </w:t>
      </w:r>
      <w:proofErr w:type="spellStart"/>
      <w:r w:rsidRPr="00827617">
        <w:rPr>
          <w:rFonts w:ascii="Calibri" w:hAnsi="Calibri" w:cs="Calibri"/>
          <w:color w:val="000000"/>
        </w:rPr>
        <w:t>edema</w:t>
      </w:r>
      <w:proofErr w:type="spellEnd"/>
      <w:r w:rsidRPr="00827617">
        <w:rPr>
          <w:rFonts w:ascii="Calibri" w:hAnsi="Calibri" w:cs="Calibri"/>
          <w:color w:val="000000"/>
        </w:rPr>
        <w:t xml:space="preserve">: a randomized </w:t>
      </w:r>
      <w:proofErr w:type="spellStart"/>
      <w:r w:rsidRPr="00827617">
        <w:rPr>
          <w:rFonts w:ascii="Calibri" w:hAnsi="Calibri" w:cs="Calibri"/>
          <w:color w:val="000000"/>
        </w:rPr>
        <w:t>multicenter</w:t>
      </w:r>
      <w:proofErr w:type="spellEnd"/>
      <w:r w:rsidRPr="00827617">
        <w:rPr>
          <w:rFonts w:ascii="Calibri" w:hAnsi="Calibri" w:cs="Calibri"/>
          <w:color w:val="000000"/>
        </w:rPr>
        <w:t xml:space="preserve"> trial. Ann </w:t>
      </w:r>
      <w:proofErr w:type="spellStart"/>
      <w:r w:rsidRPr="00827617">
        <w:rPr>
          <w:rFonts w:ascii="Calibri" w:hAnsi="Calibri" w:cs="Calibri"/>
          <w:color w:val="000000"/>
        </w:rPr>
        <w:t>Emerg</w:t>
      </w:r>
      <w:proofErr w:type="spellEnd"/>
      <w:r w:rsidRPr="00827617">
        <w:rPr>
          <w:rFonts w:ascii="Calibri" w:hAnsi="Calibri" w:cs="Calibri"/>
          <w:color w:val="000000"/>
        </w:rPr>
        <w:t xml:space="preserve"> Med 2007; 50:666–75, 675.e1</w:t>
      </w:r>
    </w:p>
    <w:p w14:paraId="79FB8816"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8.</w:t>
      </w:r>
      <w:r w:rsidRPr="00827617">
        <w:rPr>
          <w:rFonts w:ascii="Calibri" w:hAnsi="Calibri" w:cs="Calibri"/>
          <w:color w:val="000000"/>
        </w:rPr>
        <w:tab/>
        <w:t xml:space="preserve">Gray A, Goodacre S, Newby DE, et al.: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in acute cardiogenic pulmonary </w:t>
      </w:r>
      <w:proofErr w:type="spellStart"/>
      <w:r w:rsidRPr="00827617">
        <w:rPr>
          <w:rFonts w:ascii="Calibri" w:hAnsi="Calibri" w:cs="Calibri"/>
          <w:color w:val="000000"/>
        </w:rPr>
        <w:t>edema</w:t>
      </w:r>
      <w:proofErr w:type="spellEnd"/>
      <w:r w:rsidRPr="00827617">
        <w:rPr>
          <w:rFonts w:ascii="Calibri" w:hAnsi="Calibri" w:cs="Calibri"/>
          <w:color w:val="000000"/>
        </w:rPr>
        <w:t xml:space="preserve">. N </w:t>
      </w:r>
      <w:proofErr w:type="spellStart"/>
      <w:r w:rsidRPr="00827617">
        <w:rPr>
          <w:rFonts w:ascii="Calibri" w:hAnsi="Calibri" w:cs="Calibri"/>
          <w:color w:val="000000"/>
        </w:rPr>
        <w:t>Engl</w:t>
      </w:r>
      <w:proofErr w:type="spellEnd"/>
      <w:r w:rsidRPr="00827617">
        <w:rPr>
          <w:rFonts w:ascii="Calibri" w:hAnsi="Calibri" w:cs="Calibri"/>
          <w:color w:val="000000"/>
        </w:rPr>
        <w:t xml:space="preserve"> J Med 2008; 359:142–51</w:t>
      </w:r>
    </w:p>
    <w:p w14:paraId="41A0B4A5"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9.</w:t>
      </w:r>
      <w:r w:rsidRPr="00827617">
        <w:rPr>
          <w:rFonts w:ascii="Calibri" w:hAnsi="Calibri" w:cs="Calibri"/>
          <w:color w:val="000000"/>
        </w:rPr>
        <w:tab/>
        <w:t xml:space="preserve">Ferrari G, Milan A, Groff P, et al.: Continuous positive airway pressure vs. pressure support ventilation in acute cardiogenic pulmonary </w:t>
      </w:r>
      <w:proofErr w:type="spellStart"/>
      <w:r w:rsidRPr="00827617">
        <w:rPr>
          <w:rFonts w:ascii="Calibri" w:hAnsi="Calibri" w:cs="Calibri"/>
          <w:color w:val="000000"/>
        </w:rPr>
        <w:t>edema</w:t>
      </w:r>
      <w:proofErr w:type="spellEnd"/>
      <w:r w:rsidRPr="00827617">
        <w:rPr>
          <w:rFonts w:ascii="Calibri" w:hAnsi="Calibri" w:cs="Calibri"/>
          <w:color w:val="000000"/>
        </w:rPr>
        <w:t xml:space="preserve">: a randomized trial. J </w:t>
      </w:r>
      <w:proofErr w:type="spellStart"/>
      <w:r w:rsidRPr="00827617">
        <w:rPr>
          <w:rFonts w:ascii="Calibri" w:hAnsi="Calibri" w:cs="Calibri"/>
          <w:color w:val="000000"/>
        </w:rPr>
        <w:t>Emerg</w:t>
      </w:r>
      <w:proofErr w:type="spellEnd"/>
      <w:r w:rsidRPr="00827617">
        <w:rPr>
          <w:rFonts w:ascii="Calibri" w:hAnsi="Calibri" w:cs="Calibri"/>
          <w:color w:val="000000"/>
        </w:rPr>
        <w:t xml:space="preserve"> Med 2010; 39:676–84</w:t>
      </w:r>
    </w:p>
    <w:p w14:paraId="4D3EF322"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10.</w:t>
      </w:r>
      <w:r w:rsidRPr="00827617">
        <w:rPr>
          <w:rFonts w:ascii="Calibri" w:hAnsi="Calibri" w:cs="Calibri"/>
          <w:color w:val="000000"/>
        </w:rPr>
        <w:tab/>
      </w:r>
      <w:proofErr w:type="spellStart"/>
      <w:r w:rsidRPr="00827617">
        <w:rPr>
          <w:rFonts w:ascii="Calibri" w:hAnsi="Calibri" w:cs="Calibri"/>
          <w:color w:val="000000"/>
        </w:rPr>
        <w:t>Liesching</w:t>
      </w:r>
      <w:proofErr w:type="spellEnd"/>
      <w:r w:rsidRPr="00827617">
        <w:rPr>
          <w:rFonts w:ascii="Calibri" w:hAnsi="Calibri" w:cs="Calibri"/>
          <w:color w:val="000000"/>
        </w:rPr>
        <w:t xml:space="preserve"> T, Nelson DL, Cormier KL, et al.: </w:t>
      </w:r>
      <w:proofErr w:type="spellStart"/>
      <w:r w:rsidRPr="00827617">
        <w:rPr>
          <w:rFonts w:ascii="Calibri" w:hAnsi="Calibri" w:cs="Calibri"/>
          <w:color w:val="000000"/>
        </w:rPr>
        <w:t>fr.</w:t>
      </w:r>
      <w:proofErr w:type="spellEnd"/>
      <w:r w:rsidRPr="00827617">
        <w:rPr>
          <w:rFonts w:ascii="Calibri" w:hAnsi="Calibri" w:cs="Calibri"/>
          <w:color w:val="000000"/>
        </w:rPr>
        <w:t xml:space="preserve"> J </w:t>
      </w:r>
      <w:proofErr w:type="spellStart"/>
      <w:r w:rsidRPr="00827617">
        <w:rPr>
          <w:rFonts w:ascii="Calibri" w:hAnsi="Calibri" w:cs="Calibri"/>
          <w:color w:val="000000"/>
        </w:rPr>
        <w:t>Emerg</w:t>
      </w:r>
      <w:proofErr w:type="spellEnd"/>
      <w:r w:rsidRPr="00827617">
        <w:rPr>
          <w:rFonts w:ascii="Calibri" w:hAnsi="Calibri" w:cs="Calibri"/>
          <w:color w:val="000000"/>
        </w:rPr>
        <w:t xml:space="preserve"> Med 2014; 46:130–40</w:t>
      </w:r>
    </w:p>
    <w:p w14:paraId="03024D5A"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11.</w:t>
      </w:r>
      <w:r w:rsidRPr="00827617">
        <w:rPr>
          <w:rFonts w:ascii="Calibri" w:hAnsi="Calibri" w:cs="Calibri"/>
          <w:color w:val="000000"/>
        </w:rPr>
        <w:tab/>
        <w:t xml:space="preserve">Osman A, Via G, </w:t>
      </w:r>
      <w:proofErr w:type="spellStart"/>
      <w:r w:rsidRPr="00827617">
        <w:rPr>
          <w:rFonts w:ascii="Calibri" w:hAnsi="Calibri" w:cs="Calibri"/>
          <w:color w:val="000000"/>
        </w:rPr>
        <w:t>Sallehuddin</w:t>
      </w:r>
      <w:proofErr w:type="spellEnd"/>
      <w:r w:rsidRPr="00827617">
        <w:rPr>
          <w:rFonts w:ascii="Calibri" w:hAnsi="Calibri" w:cs="Calibri"/>
          <w:color w:val="000000"/>
        </w:rPr>
        <w:t xml:space="preserve"> RM, et al.: Helmet continuous positive airway pressure vs. high flow nasal cannula oxygen in acute cardiogenic pulmonary oedema: a randomized controlled trial. </w:t>
      </w:r>
      <w:proofErr w:type="spellStart"/>
      <w:r w:rsidRPr="00827617">
        <w:rPr>
          <w:rFonts w:ascii="Calibri" w:hAnsi="Calibri" w:cs="Calibri"/>
          <w:color w:val="000000"/>
        </w:rPr>
        <w:t>Eur</w:t>
      </w:r>
      <w:proofErr w:type="spellEnd"/>
      <w:r w:rsidRPr="00827617">
        <w:rPr>
          <w:rFonts w:ascii="Calibri" w:hAnsi="Calibri" w:cs="Calibri"/>
          <w:color w:val="000000"/>
        </w:rPr>
        <w:t xml:space="preserve"> Heart J Acute Cardiovasc Care 2021; 10:1103–11</w:t>
      </w:r>
    </w:p>
    <w:p w14:paraId="0A5E1BB0"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lastRenderedPageBreak/>
        <w:t>12.</w:t>
      </w:r>
      <w:r w:rsidRPr="00827617">
        <w:rPr>
          <w:rFonts w:ascii="Calibri" w:hAnsi="Calibri" w:cs="Calibri"/>
          <w:color w:val="000000"/>
        </w:rPr>
        <w:tab/>
        <w:t xml:space="preserve">Marjanovic N, Piton M, Lamarre J, et al.: High-flow nasal cannula oxygen versus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for the management of acute cardiogenic pulmonary </w:t>
      </w:r>
      <w:proofErr w:type="spellStart"/>
      <w:r w:rsidRPr="00827617">
        <w:rPr>
          <w:rFonts w:ascii="Calibri" w:hAnsi="Calibri" w:cs="Calibri"/>
          <w:color w:val="000000"/>
        </w:rPr>
        <w:t>edema</w:t>
      </w:r>
      <w:proofErr w:type="spellEnd"/>
      <w:r w:rsidRPr="00827617">
        <w:rPr>
          <w:rFonts w:ascii="Calibri" w:hAnsi="Calibri" w:cs="Calibri"/>
          <w:color w:val="000000"/>
        </w:rPr>
        <w:t xml:space="preserve">: a randomized controlled pilot study. </w:t>
      </w:r>
      <w:proofErr w:type="spellStart"/>
      <w:r w:rsidRPr="00827617">
        <w:rPr>
          <w:rFonts w:ascii="Calibri" w:hAnsi="Calibri" w:cs="Calibri"/>
          <w:color w:val="000000"/>
        </w:rPr>
        <w:t>Eur</w:t>
      </w:r>
      <w:proofErr w:type="spellEnd"/>
      <w:r w:rsidRPr="00827617">
        <w:rPr>
          <w:rFonts w:ascii="Calibri" w:hAnsi="Calibri" w:cs="Calibri"/>
          <w:color w:val="000000"/>
        </w:rPr>
        <w:t xml:space="preserve"> J </w:t>
      </w:r>
      <w:proofErr w:type="spellStart"/>
      <w:r w:rsidRPr="00827617">
        <w:rPr>
          <w:rFonts w:ascii="Calibri" w:hAnsi="Calibri" w:cs="Calibri"/>
          <w:color w:val="000000"/>
        </w:rPr>
        <w:t>Emerg</w:t>
      </w:r>
      <w:proofErr w:type="spellEnd"/>
      <w:r w:rsidRPr="00827617">
        <w:rPr>
          <w:rFonts w:ascii="Calibri" w:hAnsi="Calibri" w:cs="Calibri"/>
          <w:color w:val="000000"/>
        </w:rPr>
        <w:t xml:space="preserve"> Med 2024; 31:267–75</w:t>
      </w:r>
    </w:p>
    <w:p w14:paraId="5758E5F0"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13.</w:t>
      </w:r>
      <w:r w:rsidRPr="00827617">
        <w:rPr>
          <w:rFonts w:ascii="Calibri" w:hAnsi="Calibri" w:cs="Calibri"/>
          <w:color w:val="000000"/>
        </w:rPr>
        <w:tab/>
        <w:t xml:space="preserve">RENOVATE Investigators and the </w:t>
      </w:r>
      <w:proofErr w:type="spellStart"/>
      <w:r w:rsidRPr="00827617">
        <w:rPr>
          <w:rFonts w:ascii="Calibri" w:hAnsi="Calibri" w:cs="Calibri"/>
          <w:color w:val="000000"/>
        </w:rPr>
        <w:t>BRICNet</w:t>
      </w:r>
      <w:proofErr w:type="spellEnd"/>
      <w:r w:rsidRPr="00827617">
        <w:rPr>
          <w:rFonts w:ascii="Calibri" w:hAnsi="Calibri" w:cs="Calibri"/>
          <w:color w:val="000000"/>
        </w:rPr>
        <w:t xml:space="preserve"> Authors, </w:t>
      </w:r>
      <w:proofErr w:type="spellStart"/>
      <w:r w:rsidRPr="00827617">
        <w:rPr>
          <w:rFonts w:ascii="Calibri" w:hAnsi="Calibri" w:cs="Calibri"/>
          <w:color w:val="000000"/>
        </w:rPr>
        <w:t>Francio</w:t>
      </w:r>
      <w:proofErr w:type="spellEnd"/>
      <w:r w:rsidRPr="00827617">
        <w:rPr>
          <w:rFonts w:ascii="Calibri" w:hAnsi="Calibri" w:cs="Calibri"/>
          <w:color w:val="000000"/>
        </w:rPr>
        <w:t xml:space="preserve"> F, </w:t>
      </w:r>
      <w:proofErr w:type="spellStart"/>
      <w:r w:rsidRPr="00827617">
        <w:rPr>
          <w:rFonts w:ascii="Calibri" w:hAnsi="Calibri" w:cs="Calibri"/>
          <w:color w:val="000000"/>
        </w:rPr>
        <w:t>Weigert</w:t>
      </w:r>
      <w:proofErr w:type="spellEnd"/>
      <w:r w:rsidRPr="00827617">
        <w:rPr>
          <w:rFonts w:ascii="Calibri" w:hAnsi="Calibri" w:cs="Calibri"/>
          <w:color w:val="000000"/>
        </w:rPr>
        <w:t xml:space="preserve"> RM, et al.: High-Flow Nasal Oxygen vs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in Patients With Acute Respiratory Failure: The RENOVATE Randomized Clinical Trial. JAMA 2024 doi:10.1001/jama.2024.26244</w:t>
      </w:r>
    </w:p>
    <w:p w14:paraId="0879FF19"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14.</w:t>
      </w:r>
      <w:r w:rsidRPr="00827617">
        <w:rPr>
          <w:rFonts w:ascii="Calibri" w:hAnsi="Calibri" w:cs="Calibri"/>
          <w:color w:val="000000"/>
        </w:rPr>
        <w:tab/>
        <w:t xml:space="preserve">Frat J-P, </w:t>
      </w:r>
      <w:proofErr w:type="spellStart"/>
      <w:r w:rsidRPr="00827617">
        <w:rPr>
          <w:rFonts w:ascii="Calibri" w:hAnsi="Calibri" w:cs="Calibri"/>
          <w:color w:val="000000"/>
        </w:rPr>
        <w:t>Thille</w:t>
      </w:r>
      <w:proofErr w:type="spellEnd"/>
      <w:r w:rsidRPr="00827617">
        <w:rPr>
          <w:rFonts w:ascii="Calibri" w:hAnsi="Calibri" w:cs="Calibri"/>
          <w:color w:val="000000"/>
        </w:rPr>
        <w:t xml:space="preserve"> AW, </w:t>
      </w:r>
      <w:proofErr w:type="spellStart"/>
      <w:r w:rsidRPr="00827617">
        <w:rPr>
          <w:rFonts w:ascii="Calibri" w:hAnsi="Calibri" w:cs="Calibri"/>
          <w:color w:val="000000"/>
        </w:rPr>
        <w:t>Mercat</w:t>
      </w:r>
      <w:proofErr w:type="spellEnd"/>
      <w:r w:rsidRPr="00827617">
        <w:rPr>
          <w:rFonts w:ascii="Calibri" w:hAnsi="Calibri" w:cs="Calibri"/>
          <w:color w:val="000000"/>
        </w:rPr>
        <w:t xml:space="preserve"> A, et al.: High-flow oxygen through nasal cannula in acute hypoxemic respiratory failure. N </w:t>
      </w:r>
      <w:proofErr w:type="spellStart"/>
      <w:r w:rsidRPr="00827617">
        <w:rPr>
          <w:rFonts w:ascii="Calibri" w:hAnsi="Calibri" w:cs="Calibri"/>
          <w:color w:val="000000"/>
        </w:rPr>
        <w:t>Engl</w:t>
      </w:r>
      <w:proofErr w:type="spellEnd"/>
      <w:r w:rsidRPr="00827617">
        <w:rPr>
          <w:rFonts w:ascii="Calibri" w:hAnsi="Calibri" w:cs="Calibri"/>
          <w:color w:val="000000"/>
        </w:rPr>
        <w:t xml:space="preserve"> J Med 2015; 372:2185–96</w:t>
      </w:r>
    </w:p>
    <w:p w14:paraId="4B3C213F"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15.</w:t>
      </w:r>
      <w:r w:rsidRPr="00827617">
        <w:rPr>
          <w:rFonts w:ascii="Calibri" w:hAnsi="Calibri" w:cs="Calibri"/>
          <w:color w:val="000000"/>
        </w:rPr>
        <w:tab/>
        <w:t xml:space="preserve">Patel BK, Wolfe KS, Pohlman AS, Hall JB, Kress JP: Effect of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Delivered by Helmet vs Face Mask on the Rate of Endotracheal Intubation in Patients With Acute Respiratory Distress Syndrome: A Randomized Clinical Trial. JAMA 2016; 315:2435–41</w:t>
      </w:r>
    </w:p>
    <w:p w14:paraId="5CD44C72"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16.</w:t>
      </w:r>
      <w:r w:rsidRPr="00827617">
        <w:rPr>
          <w:rFonts w:ascii="Calibri" w:hAnsi="Calibri" w:cs="Calibri"/>
          <w:color w:val="000000"/>
        </w:rPr>
        <w:tab/>
        <w:t xml:space="preserve">Nair PR, Haritha D, Behera S, et al.: Comparison of High-Flow Nasal Cannula and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in Acute Hypoxemic Respiratory Failure Due to Severe COVID-19 Pneumonia. Respir Care 2021; 66:1824–30</w:t>
      </w:r>
    </w:p>
    <w:p w14:paraId="57859418"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17.</w:t>
      </w:r>
      <w:r w:rsidRPr="00827617">
        <w:rPr>
          <w:rFonts w:ascii="Calibri" w:hAnsi="Calibri" w:cs="Calibri"/>
          <w:color w:val="000000"/>
        </w:rPr>
        <w:tab/>
      </w:r>
      <w:proofErr w:type="spellStart"/>
      <w:r w:rsidRPr="00827617">
        <w:rPr>
          <w:rFonts w:ascii="Calibri" w:hAnsi="Calibri" w:cs="Calibri"/>
          <w:color w:val="000000"/>
        </w:rPr>
        <w:t>Grieco</w:t>
      </w:r>
      <w:proofErr w:type="spellEnd"/>
      <w:r w:rsidRPr="00827617">
        <w:rPr>
          <w:rFonts w:ascii="Calibri" w:hAnsi="Calibri" w:cs="Calibri"/>
          <w:color w:val="000000"/>
        </w:rPr>
        <w:t xml:space="preserve"> DL, </w:t>
      </w:r>
      <w:proofErr w:type="spellStart"/>
      <w:r w:rsidRPr="00827617">
        <w:rPr>
          <w:rFonts w:ascii="Calibri" w:hAnsi="Calibri" w:cs="Calibri"/>
          <w:color w:val="000000"/>
        </w:rPr>
        <w:t>Menga</w:t>
      </w:r>
      <w:proofErr w:type="spellEnd"/>
      <w:r w:rsidRPr="00827617">
        <w:rPr>
          <w:rFonts w:ascii="Calibri" w:hAnsi="Calibri" w:cs="Calibri"/>
          <w:color w:val="000000"/>
        </w:rPr>
        <w:t xml:space="preserve"> LS, </w:t>
      </w:r>
      <w:proofErr w:type="spellStart"/>
      <w:r w:rsidRPr="00827617">
        <w:rPr>
          <w:rFonts w:ascii="Calibri" w:hAnsi="Calibri" w:cs="Calibri"/>
          <w:color w:val="000000"/>
        </w:rPr>
        <w:t>Cesarano</w:t>
      </w:r>
      <w:proofErr w:type="spellEnd"/>
      <w:r w:rsidRPr="00827617">
        <w:rPr>
          <w:rFonts w:ascii="Calibri" w:hAnsi="Calibri" w:cs="Calibri"/>
          <w:color w:val="000000"/>
        </w:rPr>
        <w:t xml:space="preserve"> M, et al.: Effect of Helmet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vs High-Flow Nasal Oxygen on Days Free of Respiratory Support in Patients With COVID-19 and Moderate to Severe Hypoxemic Respiratory Failure: The HENIVOT Randomized Clinical Trial. JAMA 2021; 325:1731–43</w:t>
      </w:r>
    </w:p>
    <w:p w14:paraId="3A8F3F06"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18.</w:t>
      </w:r>
      <w:r w:rsidRPr="00827617">
        <w:rPr>
          <w:rFonts w:ascii="Calibri" w:hAnsi="Calibri" w:cs="Calibri"/>
          <w:color w:val="000000"/>
        </w:rPr>
        <w:tab/>
      </w:r>
      <w:proofErr w:type="spellStart"/>
      <w:r w:rsidRPr="00827617">
        <w:rPr>
          <w:rFonts w:ascii="Calibri" w:hAnsi="Calibri" w:cs="Calibri"/>
          <w:color w:val="000000"/>
        </w:rPr>
        <w:t>Bouadma</w:t>
      </w:r>
      <w:proofErr w:type="spellEnd"/>
      <w:r w:rsidRPr="00827617">
        <w:rPr>
          <w:rFonts w:ascii="Calibri" w:hAnsi="Calibri" w:cs="Calibri"/>
          <w:color w:val="000000"/>
        </w:rPr>
        <w:t xml:space="preserve"> L, </w:t>
      </w:r>
      <w:proofErr w:type="spellStart"/>
      <w:r w:rsidRPr="00827617">
        <w:rPr>
          <w:rFonts w:ascii="Calibri" w:hAnsi="Calibri" w:cs="Calibri"/>
          <w:color w:val="000000"/>
        </w:rPr>
        <w:t>Mekontso-Dessap</w:t>
      </w:r>
      <w:proofErr w:type="spellEnd"/>
      <w:r w:rsidRPr="00827617">
        <w:rPr>
          <w:rFonts w:ascii="Calibri" w:hAnsi="Calibri" w:cs="Calibri"/>
          <w:color w:val="000000"/>
        </w:rPr>
        <w:t xml:space="preserve"> A, </w:t>
      </w:r>
      <w:proofErr w:type="spellStart"/>
      <w:r w:rsidRPr="00827617">
        <w:rPr>
          <w:rFonts w:ascii="Calibri" w:hAnsi="Calibri" w:cs="Calibri"/>
          <w:color w:val="000000"/>
        </w:rPr>
        <w:t>Burdet</w:t>
      </w:r>
      <w:proofErr w:type="spellEnd"/>
      <w:r w:rsidRPr="00827617">
        <w:rPr>
          <w:rFonts w:ascii="Calibri" w:hAnsi="Calibri" w:cs="Calibri"/>
          <w:color w:val="000000"/>
        </w:rPr>
        <w:t xml:space="preserve"> C, et al.: High-Dose Dexamethasone and Oxygen Support Strategies in Intensive Care Unit Patients With Severe COVID-19 Acute Hypoxemic Respiratory Failure: The COVIDICUS Randomized Clinical Trial. JAMA Intern Med 2022; 182:906–16</w:t>
      </w:r>
    </w:p>
    <w:p w14:paraId="2471AF02"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19.</w:t>
      </w:r>
      <w:r w:rsidRPr="00827617">
        <w:rPr>
          <w:rFonts w:ascii="Calibri" w:hAnsi="Calibri" w:cs="Calibri"/>
          <w:color w:val="000000"/>
        </w:rPr>
        <w:tab/>
        <w:t xml:space="preserve">Arabi YM, </w:t>
      </w:r>
      <w:proofErr w:type="spellStart"/>
      <w:r w:rsidRPr="00827617">
        <w:rPr>
          <w:rFonts w:ascii="Calibri" w:hAnsi="Calibri" w:cs="Calibri"/>
          <w:color w:val="000000"/>
        </w:rPr>
        <w:t>Aldekhyl</w:t>
      </w:r>
      <w:proofErr w:type="spellEnd"/>
      <w:r w:rsidRPr="00827617">
        <w:rPr>
          <w:rFonts w:ascii="Calibri" w:hAnsi="Calibri" w:cs="Calibri"/>
          <w:color w:val="000000"/>
        </w:rPr>
        <w:t xml:space="preserve"> S, Al Qahtani S, et al.: Effect of Helmet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vs Usual Respiratory Support on Mortality Among Patients With Acute Hypoxemic Respiratory Failure Due to COVID-19: The HELMET-COVID Randomized Clinical Trial. JAMA 2022; 328:1063–72</w:t>
      </w:r>
    </w:p>
    <w:p w14:paraId="3853B3CC"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20.</w:t>
      </w:r>
      <w:r w:rsidRPr="00827617">
        <w:rPr>
          <w:rFonts w:ascii="Calibri" w:hAnsi="Calibri" w:cs="Calibri"/>
          <w:color w:val="000000"/>
        </w:rPr>
        <w:tab/>
      </w:r>
      <w:proofErr w:type="spellStart"/>
      <w:r w:rsidRPr="00827617">
        <w:rPr>
          <w:rFonts w:ascii="Calibri" w:hAnsi="Calibri" w:cs="Calibri"/>
          <w:color w:val="000000"/>
        </w:rPr>
        <w:t>Coudroy</w:t>
      </w:r>
      <w:proofErr w:type="spellEnd"/>
      <w:r w:rsidRPr="00827617">
        <w:rPr>
          <w:rFonts w:ascii="Calibri" w:hAnsi="Calibri" w:cs="Calibri"/>
          <w:color w:val="000000"/>
        </w:rPr>
        <w:t xml:space="preserve"> R, Frat J-P, </w:t>
      </w:r>
      <w:proofErr w:type="spellStart"/>
      <w:r w:rsidRPr="00827617">
        <w:rPr>
          <w:rFonts w:ascii="Calibri" w:hAnsi="Calibri" w:cs="Calibri"/>
          <w:color w:val="000000"/>
        </w:rPr>
        <w:t>Ehrmann</w:t>
      </w:r>
      <w:proofErr w:type="spellEnd"/>
      <w:r w:rsidRPr="00827617">
        <w:rPr>
          <w:rFonts w:ascii="Calibri" w:hAnsi="Calibri" w:cs="Calibri"/>
          <w:color w:val="000000"/>
        </w:rPr>
        <w:t xml:space="preserve"> S, et al.: High-flow nasal oxygen alone or alternating with non-invasive ventilation in critically ill immunocompromised patients with acute respiratory failure: a randomised controlled trial. Lancet Respir Med 2022; 10:641–9</w:t>
      </w:r>
    </w:p>
    <w:p w14:paraId="7E256B4D"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21.</w:t>
      </w:r>
      <w:r w:rsidRPr="00827617">
        <w:rPr>
          <w:rFonts w:ascii="Calibri" w:hAnsi="Calibri" w:cs="Calibri"/>
          <w:color w:val="000000"/>
        </w:rPr>
        <w:tab/>
      </w:r>
      <w:proofErr w:type="spellStart"/>
      <w:r w:rsidRPr="00827617">
        <w:rPr>
          <w:rFonts w:ascii="Calibri" w:hAnsi="Calibri" w:cs="Calibri"/>
          <w:color w:val="000000"/>
        </w:rPr>
        <w:t>Papachatzakis</w:t>
      </w:r>
      <w:proofErr w:type="spellEnd"/>
      <w:r w:rsidRPr="00827617">
        <w:rPr>
          <w:rFonts w:ascii="Calibri" w:hAnsi="Calibri" w:cs="Calibri"/>
          <w:color w:val="000000"/>
        </w:rPr>
        <w:t xml:space="preserve"> Y, </w:t>
      </w:r>
      <w:proofErr w:type="spellStart"/>
      <w:r w:rsidRPr="00827617">
        <w:rPr>
          <w:rFonts w:ascii="Calibri" w:hAnsi="Calibri" w:cs="Calibri"/>
          <w:color w:val="000000"/>
        </w:rPr>
        <w:t>Nikolaidis</w:t>
      </w:r>
      <w:proofErr w:type="spellEnd"/>
      <w:r w:rsidRPr="00827617">
        <w:rPr>
          <w:rFonts w:ascii="Calibri" w:hAnsi="Calibri" w:cs="Calibri"/>
          <w:color w:val="000000"/>
        </w:rPr>
        <w:t xml:space="preserve"> PT, </w:t>
      </w:r>
      <w:proofErr w:type="spellStart"/>
      <w:r w:rsidRPr="00827617">
        <w:rPr>
          <w:rFonts w:ascii="Calibri" w:hAnsi="Calibri" w:cs="Calibri"/>
          <w:color w:val="000000"/>
        </w:rPr>
        <w:t>Kontogiannis</w:t>
      </w:r>
      <w:proofErr w:type="spellEnd"/>
      <w:r w:rsidRPr="00827617">
        <w:rPr>
          <w:rFonts w:ascii="Calibri" w:hAnsi="Calibri" w:cs="Calibri"/>
          <w:color w:val="000000"/>
        </w:rPr>
        <w:t xml:space="preserve"> S, </w:t>
      </w:r>
      <w:proofErr w:type="spellStart"/>
      <w:r w:rsidRPr="00827617">
        <w:rPr>
          <w:rFonts w:ascii="Calibri" w:hAnsi="Calibri" w:cs="Calibri"/>
          <w:color w:val="000000"/>
        </w:rPr>
        <w:t>Trakada</w:t>
      </w:r>
      <w:proofErr w:type="spellEnd"/>
      <w:r w:rsidRPr="00827617">
        <w:rPr>
          <w:rFonts w:ascii="Calibri" w:hAnsi="Calibri" w:cs="Calibri"/>
          <w:color w:val="000000"/>
        </w:rPr>
        <w:t xml:space="preserve"> G: High-Flow Oxygen through Nasal Cannula vs. Non-Invasive Ventilation in Hypercapnic Respiratory Failure: A Randomized Clinical Trial. Int J Environ Res Public Health 2020; 17:5994</w:t>
      </w:r>
    </w:p>
    <w:p w14:paraId="7C927323"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22.</w:t>
      </w:r>
      <w:r w:rsidRPr="00827617">
        <w:rPr>
          <w:rFonts w:ascii="Calibri" w:hAnsi="Calibri" w:cs="Calibri"/>
          <w:color w:val="000000"/>
        </w:rPr>
        <w:tab/>
      </w:r>
      <w:proofErr w:type="spellStart"/>
      <w:r w:rsidRPr="00827617">
        <w:rPr>
          <w:rFonts w:ascii="Calibri" w:hAnsi="Calibri" w:cs="Calibri"/>
          <w:color w:val="000000"/>
        </w:rPr>
        <w:t>Cortegiani</w:t>
      </w:r>
      <w:proofErr w:type="spellEnd"/>
      <w:r w:rsidRPr="00827617">
        <w:rPr>
          <w:rFonts w:ascii="Calibri" w:hAnsi="Calibri" w:cs="Calibri"/>
          <w:color w:val="000000"/>
        </w:rPr>
        <w:t xml:space="preserve"> A, </w:t>
      </w:r>
      <w:proofErr w:type="spellStart"/>
      <w:r w:rsidRPr="00827617">
        <w:rPr>
          <w:rFonts w:ascii="Calibri" w:hAnsi="Calibri" w:cs="Calibri"/>
          <w:color w:val="000000"/>
        </w:rPr>
        <w:t>Longhini</w:t>
      </w:r>
      <w:proofErr w:type="spellEnd"/>
      <w:r w:rsidRPr="00827617">
        <w:rPr>
          <w:rFonts w:ascii="Calibri" w:hAnsi="Calibri" w:cs="Calibri"/>
          <w:color w:val="000000"/>
        </w:rPr>
        <w:t xml:space="preserve"> F, </w:t>
      </w:r>
      <w:proofErr w:type="spellStart"/>
      <w:r w:rsidRPr="00827617">
        <w:rPr>
          <w:rFonts w:ascii="Calibri" w:hAnsi="Calibri" w:cs="Calibri"/>
          <w:color w:val="000000"/>
        </w:rPr>
        <w:t>Madotto</w:t>
      </w:r>
      <w:proofErr w:type="spellEnd"/>
      <w:r w:rsidRPr="00827617">
        <w:rPr>
          <w:rFonts w:ascii="Calibri" w:hAnsi="Calibri" w:cs="Calibri"/>
          <w:color w:val="000000"/>
        </w:rPr>
        <w:t xml:space="preserve"> F, et al.: High flow nasal therapy versus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as initial ventilatory strategy in COPD exacerbation: a </w:t>
      </w:r>
      <w:proofErr w:type="spellStart"/>
      <w:r w:rsidRPr="00827617">
        <w:rPr>
          <w:rFonts w:ascii="Calibri" w:hAnsi="Calibri" w:cs="Calibri"/>
          <w:color w:val="000000"/>
        </w:rPr>
        <w:t>multicenter</w:t>
      </w:r>
      <w:proofErr w:type="spellEnd"/>
      <w:r w:rsidRPr="00827617">
        <w:rPr>
          <w:rFonts w:ascii="Calibri" w:hAnsi="Calibri" w:cs="Calibri"/>
          <w:color w:val="000000"/>
        </w:rPr>
        <w:t xml:space="preserve"> non-inferiority randomized trial. Crit Care 2020; 24:692</w:t>
      </w:r>
    </w:p>
    <w:p w14:paraId="195803D2"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23.</w:t>
      </w:r>
      <w:r w:rsidRPr="00827617">
        <w:rPr>
          <w:rFonts w:ascii="Calibri" w:hAnsi="Calibri" w:cs="Calibri"/>
          <w:color w:val="000000"/>
        </w:rPr>
        <w:tab/>
        <w:t xml:space="preserve">Doshi PB, Whittle JS, Dungan G, et al.: The ventilatory effect of high velocity nasal insufflation compared to non-invasive positive-pressure ventilation in the treatment of </w:t>
      </w:r>
      <w:proofErr w:type="spellStart"/>
      <w:r w:rsidRPr="00827617">
        <w:rPr>
          <w:rFonts w:ascii="Calibri" w:hAnsi="Calibri" w:cs="Calibri"/>
          <w:color w:val="000000"/>
        </w:rPr>
        <w:t>hypercapneic</w:t>
      </w:r>
      <w:proofErr w:type="spellEnd"/>
      <w:r w:rsidRPr="00827617">
        <w:rPr>
          <w:rFonts w:ascii="Calibri" w:hAnsi="Calibri" w:cs="Calibri"/>
          <w:color w:val="000000"/>
        </w:rPr>
        <w:t xml:space="preserve"> respiratory failure: A subgroup analysis. Heart Lung 2020; 49:610–5</w:t>
      </w:r>
    </w:p>
    <w:p w14:paraId="60975DBD"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24.</w:t>
      </w:r>
      <w:r w:rsidRPr="00827617">
        <w:rPr>
          <w:rFonts w:ascii="Calibri" w:hAnsi="Calibri" w:cs="Calibri"/>
          <w:color w:val="000000"/>
        </w:rPr>
        <w:tab/>
        <w:t>Tan D, Wang B, Cao P, et al.: High flow nasal cannula oxygen therapy versus non-invasive ventilation for acute exacerbations of chronic obstructive pulmonary disease with acute-moderate hypercapnic respiratory failure: a randomized controlled non-inferiority trial. Crit Care 2024; 28:250</w:t>
      </w:r>
    </w:p>
    <w:p w14:paraId="29F3FC52"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25.</w:t>
      </w:r>
      <w:r w:rsidRPr="00827617">
        <w:rPr>
          <w:rFonts w:ascii="Calibri" w:hAnsi="Calibri" w:cs="Calibri"/>
          <w:color w:val="000000"/>
        </w:rPr>
        <w:tab/>
        <w:t xml:space="preserve">Luo Z, Li Y, Li W, et al.: Effect of High-Intensity vs Low-Intensity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Positive Pressure Ventilation on the Need for Endotracheal Intubation in Patients With an Acute </w:t>
      </w:r>
      <w:r w:rsidRPr="00827617">
        <w:rPr>
          <w:rFonts w:ascii="Calibri" w:hAnsi="Calibri" w:cs="Calibri"/>
          <w:color w:val="000000"/>
        </w:rPr>
        <w:lastRenderedPageBreak/>
        <w:t>Exacerbation of Chronic Obstructive Pulmonary Disease: The HAPPEN Randomized Clinical Trial. JAMA 2024; 332:1709</w:t>
      </w:r>
    </w:p>
    <w:p w14:paraId="10239568"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26.</w:t>
      </w:r>
      <w:r w:rsidRPr="00827617">
        <w:rPr>
          <w:rFonts w:ascii="Calibri" w:hAnsi="Calibri" w:cs="Calibri"/>
          <w:color w:val="000000"/>
        </w:rPr>
        <w:tab/>
        <w:t xml:space="preserve">Hernández G, Vaquero C, Colinas L, et al.: Effect of </w:t>
      </w:r>
      <w:proofErr w:type="spellStart"/>
      <w:r w:rsidRPr="00827617">
        <w:rPr>
          <w:rFonts w:ascii="Calibri" w:hAnsi="Calibri" w:cs="Calibri"/>
          <w:color w:val="000000"/>
        </w:rPr>
        <w:t>Postextubation</w:t>
      </w:r>
      <w:proofErr w:type="spellEnd"/>
      <w:r w:rsidRPr="00827617">
        <w:rPr>
          <w:rFonts w:ascii="Calibri" w:hAnsi="Calibri" w:cs="Calibri"/>
          <w:color w:val="000000"/>
        </w:rPr>
        <w:t xml:space="preserve"> High-Flow Nasal Cannula vs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on Reintubation and </w:t>
      </w:r>
      <w:proofErr w:type="spellStart"/>
      <w:r w:rsidRPr="00827617">
        <w:rPr>
          <w:rFonts w:ascii="Calibri" w:hAnsi="Calibri" w:cs="Calibri"/>
          <w:color w:val="000000"/>
        </w:rPr>
        <w:t>Postextubation</w:t>
      </w:r>
      <w:proofErr w:type="spellEnd"/>
      <w:r w:rsidRPr="00827617">
        <w:rPr>
          <w:rFonts w:ascii="Calibri" w:hAnsi="Calibri" w:cs="Calibri"/>
          <w:color w:val="000000"/>
        </w:rPr>
        <w:t xml:space="preserve"> Respiratory Failure in High-Risk Patients: A Randomized Clinical Trial. JAMA 2016; 316:1565</w:t>
      </w:r>
    </w:p>
    <w:p w14:paraId="4027726D"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27.</w:t>
      </w:r>
      <w:r w:rsidRPr="00827617">
        <w:rPr>
          <w:rFonts w:ascii="Calibri" w:hAnsi="Calibri" w:cs="Calibri"/>
          <w:color w:val="000000"/>
        </w:rPr>
        <w:tab/>
      </w:r>
      <w:proofErr w:type="spellStart"/>
      <w:r w:rsidRPr="00827617">
        <w:rPr>
          <w:rFonts w:ascii="Calibri" w:hAnsi="Calibri" w:cs="Calibri"/>
          <w:color w:val="000000"/>
        </w:rPr>
        <w:t>Thille</w:t>
      </w:r>
      <w:proofErr w:type="spellEnd"/>
      <w:r w:rsidRPr="00827617">
        <w:rPr>
          <w:rFonts w:ascii="Calibri" w:hAnsi="Calibri" w:cs="Calibri"/>
          <w:color w:val="000000"/>
        </w:rPr>
        <w:t xml:space="preserve"> AW, Muller G, </w:t>
      </w:r>
      <w:proofErr w:type="spellStart"/>
      <w:r w:rsidRPr="00827617">
        <w:rPr>
          <w:rFonts w:ascii="Calibri" w:hAnsi="Calibri" w:cs="Calibri"/>
          <w:color w:val="000000"/>
        </w:rPr>
        <w:t>Gacouin</w:t>
      </w:r>
      <w:proofErr w:type="spellEnd"/>
      <w:r w:rsidRPr="00827617">
        <w:rPr>
          <w:rFonts w:ascii="Calibri" w:hAnsi="Calibri" w:cs="Calibri"/>
          <w:color w:val="000000"/>
        </w:rPr>
        <w:t xml:space="preserve"> A, et al.: Effect of </w:t>
      </w:r>
      <w:proofErr w:type="spellStart"/>
      <w:r w:rsidRPr="00827617">
        <w:rPr>
          <w:rFonts w:ascii="Calibri" w:hAnsi="Calibri" w:cs="Calibri"/>
          <w:color w:val="000000"/>
        </w:rPr>
        <w:t>Postextubation</w:t>
      </w:r>
      <w:proofErr w:type="spellEnd"/>
      <w:r w:rsidRPr="00827617">
        <w:rPr>
          <w:rFonts w:ascii="Calibri" w:hAnsi="Calibri" w:cs="Calibri"/>
          <w:color w:val="000000"/>
        </w:rPr>
        <w:t xml:space="preserve"> High-Flow Nasal Oxygen With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vs High-Flow Nasal Oxygen Alone on Reintubation Among Patients at High Risk of </w:t>
      </w:r>
      <w:proofErr w:type="spellStart"/>
      <w:r w:rsidRPr="00827617">
        <w:rPr>
          <w:rFonts w:ascii="Calibri" w:hAnsi="Calibri" w:cs="Calibri"/>
          <w:color w:val="000000"/>
        </w:rPr>
        <w:t>Extubation</w:t>
      </w:r>
      <w:proofErr w:type="spellEnd"/>
      <w:r w:rsidRPr="00827617">
        <w:rPr>
          <w:rFonts w:ascii="Calibri" w:hAnsi="Calibri" w:cs="Calibri"/>
          <w:color w:val="000000"/>
        </w:rPr>
        <w:t xml:space="preserve"> Failure: A Randomized Clinical Trial. JAMA 2019; 322:1465</w:t>
      </w:r>
    </w:p>
    <w:p w14:paraId="445D898D"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28.</w:t>
      </w:r>
      <w:r w:rsidRPr="00827617">
        <w:rPr>
          <w:rFonts w:ascii="Calibri" w:hAnsi="Calibri" w:cs="Calibri"/>
          <w:color w:val="000000"/>
        </w:rPr>
        <w:tab/>
        <w:t xml:space="preserve">Hernández G, Paredes I, Moran F, et al.: Effect of </w:t>
      </w:r>
      <w:proofErr w:type="spellStart"/>
      <w:r w:rsidRPr="00827617">
        <w:rPr>
          <w:rFonts w:ascii="Calibri" w:hAnsi="Calibri" w:cs="Calibri"/>
          <w:color w:val="000000"/>
        </w:rPr>
        <w:t>postextubation</w:t>
      </w:r>
      <w:proofErr w:type="spellEnd"/>
      <w:r w:rsidRPr="00827617">
        <w:rPr>
          <w:rFonts w:ascii="Calibri" w:hAnsi="Calibri" w:cs="Calibri"/>
          <w:color w:val="000000"/>
        </w:rPr>
        <w:t xml:space="preserve"> </w:t>
      </w:r>
      <w:proofErr w:type="spellStart"/>
      <w:r w:rsidRPr="00827617">
        <w:rPr>
          <w:rFonts w:ascii="Calibri" w:hAnsi="Calibri" w:cs="Calibri"/>
          <w:color w:val="000000"/>
        </w:rPr>
        <w:t>noninvasive</w:t>
      </w:r>
      <w:proofErr w:type="spellEnd"/>
      <w:r w:rsidRPr="00827617">
        <w:rPr>
          <w:rFonts w:ascii="Calibri" w:hAnsi="Calibri" w:cs="Calibri"/>
          <w:color w:val="000000"/>
        </w:rPr>
        <w:t xml:space="preserve"> ventilation with active humidification vs high-flow nasal cannula on reintubation in patients at very high risk for </w:t>
      </w:r>
      <w:proofErr w:type="spellStart"/>
      <w:r w:rsidRPr="00827617">
        <w:rPr>
          <w:rFonts w:ascii="Calibri" w:hAnsi="Calibri" w:cs="Calibri"/>
          <w:color w:val="000000"/>
        </w:rPr>
        <w:t>extubation</w:t>
      </w:r>
      <w:proofErr w:type="spellEnd"/>
      <w:r w:rsidRPr="00827617">
        <w:rPr>
          <w:rFonts w:ascii="Calibri" w:hAnsi="Calibri" w:cs="Calibri"/>
          <w:color w:val="000000"/>
        </w:rPr>
        <w:t xml:space="preserve"> failure: a randomized trial. Intensive Care Med 2022; 48:1751–9</w:t>
      </w:r>
    </w:p>
    <w:p w14:paraId="5372CAC7" w14:textId="77777777" w:rsidR="00827617" w:rsidRPr="00827617" w:rsidRDefault="00827617" w:rsidP="00827617">
      <w:pPr>
        <w:pStyle w:val="Bibliography"/>
        <w:rPr>
          <w:rFonts w:ascii="Calibri" w:hAnsi="Calibri" w:cs="Calibri"/>
          <w:color w:val="000000"/>
        </w:rPr>
      </w:pPr>
      <w:r w:rsidRPr="00827617">
        <w:rPr>
          <w:rFonts w:ascii="Calibri" w:hAnsi="Calibri" w:cs="Calibri"/>
          <w:color w:val="000000"/>
        </w:rPr>
        <w:t>29.</w:t>
      </w:r>
      <w:r w:rsidRPr="00827617">
        <w:rPr>
          <w:rFonts w:ascii="Calibri" w:hAnsi="Calibri" w:cs="Calibri"/>
          <w:color w:val="000000"/>
        </w:rPr>
        <w:tab/>
        <w:t xml:space="preserve">De Jong A, </w:t>
      </w:r>
      <w:proofErr w:type="spellStart"/>
      <w:r w:rsidRPr="00827617">
        <w:rPr>
          <w:rFonts w:ascii="Calibri" w:hAnsi="Calibri" w:cs="Calibri"/>
          <w:color w:val="000000"/>
        </w:rPr>
        <w:t>Bignon</w:t>
      </w:r>
      <w:proofErr w:type="spellEnd"/>
      <w:r w:rsidRPr="00827617">
        <w:rPr>
          <w:rFonts w:ascii="Calibri" w:hAnsi="Calibri" w:cs="Calibri"/>
          <w:color w:val="000000"/>
        </w:rPr>
        <w:t xml:space="preserve"> A, Stephan F, et al.: Effect of non-invasive ventilation after </w:t>
      </w:r>
      <w:proofErr w:type="spellStart"/>
      <w:r w:rsidRPr="00827617">
        <w:rPr>
          <w:rFonts w:ascii="Calibri" w:hAnsi="Calibri" w:cs="Calibri"/>
          <w:color w:val="000000"/>
        </w:rPr>
        <w:t>extubation</w:t>
      </w:r>
      <w:proofErr w:type="spellEnd"/>
      <w:r w:rsidRPr="00827617">
        <w:rPr>
          <w:rFonts w:ascii="Calibri" w:hAnsi="Calibri" w:cs="Calibri"/>
          <w:color w:val="000000"/>
        </w:rPr>
        <w:t xml:space="preserve"> in critically ill patients with obesity in France: a multicentre, unblinded, pragmatic randomised clinical trial. The Lancet Respiratory Medicine 2023; 11:530–9</w:t>
      </w:r>
    </w:p>
    <w:p w14:paraId="5353685E" w14:textId="6FA2E370" w:rsidR="00827617" w:rsidRPr="00827617" w:rsidRDefault="00827617" w:rsidP="001E7BF1">
      <w:pPr>
        <w:jc w:val="both"/>
        <w:rPr>
          <w:rFonts w:ascii="Calibri" w:hAnsi="Calibri" w:cs="Calibri"/>
          <w:color w:val="000000" w:themeColor="text1"/>
        </w:rPr>
      </w:pPr>
      <w:r w:rsidRPr="00827617">
        <w:rPr>
          <w:rFonts w:ascii="Calibri" w:hAnsi="Calibri" w:cs="Calibri"/>
          <w:color w:val="000000" w:themeColor="text1"/>
        </w:rPr>
        <w:fldChar w:fldCharType="end"/>
      </w:r>
    </w:p>
    <w:sectPr w:rsidR="00827617" w:rsidRPr="008276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D6F"/>
    <w:rsid w:val="001E7BF1"/>
    <w:rsid w:val="002160BC"/>
    <w:rsid w:val="002A2E91"/>
    <w:rsid w:val="00327A09"/>
    <w:rsid w:val="003D2051"/>
    <w:rsid w:val="0052205F"/>
    <w:rsid w:val="00602D6F"/>
    <w:rsid w:val="006231EF"/>
    <w:rsid w:val="00827617"/>
    <w:rsid w:val="008A7182"/>
    <w:rsid w:val="00A94F97"/>
    <w:rsid w:val="00C74D57"/>
    <w:rsid w:val="00C916F7"/>
    <w:rsid w:val="00CE600D"/>
    <w:rsid w:val="00E72DB0"/>
    <w:rsid w:val="00EA5672"/>
    <w:rsid w:val="00EA56C6"/>
    <w:rsid w:val="00F31ACC"/>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4383BE19"/>
  <w15:chartTrackingRefBased/>
  <w15:docId w15:val="{88F3CE8D-C632-204A-9A71-DFCE582C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D6F"/>
    <w:rPr>
      <w:rFonts w:ascii="Times New Roman" w:eastAsia="Times New Roman" w:hAnsi="Times New Roman" w:cs="Times New Roman"/>
      <w:kern w:val="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205F"/>
    <w:rPr>
      <w:color w:val="0000FF"/>
      <w:u w:val="single"/>
    </w:rPr>
  </w:style>
  <w:style w:type="character" w:customStyle="1" w:styleId="apple-converted-space">
    <w:name w:val="apple-converted-space"/>
    <w:basedOn w:val="DefaultParagraphFont"/>
    <w:rsid w:val="0052205F"/>
  </w:style>
  <w:style w:type="paragraph" w:customStyle="1" w:styleId="p1">
    <w:name w:val="p1"/>
    <w:basedOn w:val="Normal"/>
    <w:rsid w:val="003D2051"/>
    <w:rPr>
      <w:color w:val="000000"/>
      <w:sz w:val="18"/>
      <w:szCs w:val="18"/>
      <w:lang w:val="en-IT"/>
    </w:rPr>
  </w:style>
  <w:style w:type="paragraph" w:styleId="Bibliography">
    <w:name w:val="Bibliography"/>
    <w:basedOn w:val="Normal"/>
    <w:next w:val="Normal"/>
    <w:uiPriority w:val="37"/>
    <w:unhideWhenUsed/>
    <w:rsid w:val="008A7182"/>
    <w:pPr>
      <w:tabs>
        <w:tab w:val="left" w:pos="380"/>
      </w:tabs>
      <w:ind w:left="384" w:hanging="384"/>
    </w:pPr>
  </w:style>
  <w:style w:type="character" w:styleId="Emphasis">
    <w:name w:val="Emphasis"/>
    <w:basedOn w:val="DefaultParagraphFont"/>
    <w:uiPriority w:val="20"/>
    <w:qFormat/>
    <w:rsid w:val="001E7B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84699">
      <w:bodyDiv w:val="1"/>
      <w:marLeft w:val="0"/>
      <w:marRight w:val="0"/>
      <w:marTop w:val="0"/>
      <w:marBottom w:val="0"/>
      <w:divBdr>
        <w:top w:val="none" w:sz="0" w:space="0" w:color="auto"/>
        <w:left w:val="none" w:sz="0" w:space="0" w:color="auto"/>
        <w:bottom w:val="none" w:sz="0" w:space="0" w:color="auto"/>
        <w:right w:val="none" w:sz="0" w:space="0" w:color="auto"/>
      </w:divBdr>
    </w:div>
    <w:div w:id="61717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25239</Words>
  <Characters>143868</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 Alice</dc:creator>
  <cp:keywords/>
  <dc:description/>
  <cp:lastModifiedBy>Nova, Alice</cp:lastModifiedBy>
  <cp:revision>8</cp:revision>
  <dcterms:created xsi:type="dcterms:W3CDTF">2025-08-20T09:22:00Z</dcterms:created>
  <dcterms:modified xsi:type="dcterms:W3CDTF">2025-09-15T17:26:00Z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id="iFSe7pOJ"/&gt;&lt;style id="http://www.zotero.org/styles/anesthesiology" hasBibliography="1" bibliographyStyleHasBeenSet="1"/&gt;&lt;prefs&gt;&lt;pref name="fieldType" value="Field"/&gt;&lt;/prefs&gt;&lt;/data&gt;</vt:lpwstr>
  </property>
</Properties>
</file>