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B7381B">
      <w:pPr>
        <w:pStyle w:val="2"/>
        <w:spacing w:before="0" w:beforeAutospacing="0" w:after="0" w:afterAutospacing="0" w:line="360" w:lineRule="auto"/>
        <w:jc w:val="center"/>
        <w:rPr>
          <w:rFonts w:ascii="Calibri" w:hAnsi="Calibri" w:cs="Calibri"/>
          <w:color w:val="auto"/>
          <w:sz w:val="24"/>
          <w:szCs w:val="24"/>
        </w:rPr>
      </w:pPr>
      <w:r>
        <w:rPr>
          <w:rFonts w:ascii="Calibri" w:hAnsi="Calibri" w:cs="Calibri"/>
          <w:color w:val="auto"/>
          <w:sz w:val="24"/>
          <w:szCs w:val="24"/>
        </w:rPr>
        <w:t>Beyond Concordance: Differential Prognostic Value of SpO</w:t>
      </w:r>
      <w:r>
        <w:rPr>
          <w:rFonts w:ascii="Calibri" w:hAnsi="Calibri" w:cs="Calibri"/>
          <w:color w:val="auto"/>
          <w:sz w:val="24"/>
          <w:szCs w:val="24"/>
          <w:vertAlign w:val="subscript"/>
        </w:rPr>
        <w:t>2</w:t>
      </w:r>
      <w:r>
        <w:rPr>
          <w:rFonts w:ascii="Calibri" w:hAnsi="Calibri" w:cs="Calibri"/>
          <w:color w:val="auto"/>
          <w:sz w:val="24"/>
          <w:szCs w:val="24"/>
        </w:rPr>
        <w:t>/FiO</w:t>
      </w:r>
      <w:r>
        <w:rPr>
          <w:rFonts w:ascii="Calibri" w:hAnsi="Calibri" w:cs="Calibri"/>
          <w:color w:val="auto"/>
          <w:sz w:val="24"/>
          <w:szCs w:val="24"/>
          <w:vertAlign w:val="subscript"/>
        </w:rPr>
        <w:t>2</w:t>
      </w:r>
      <w:r>
        <w:rPr>
          <w:rFonts w:ascii="Calibri" w:hAnsi="Calibri" w:cs="Calibri"/>
          <w:color w:val="auto"/>
          <w:sz w:val="24"/>
          <w:szCs w:val="24"/>
        </w:rPr>
        <w:t xml:space="preserve"> and PaO</w:t>
      </w:r>
      <w:r>
        <w:rPr>
          <w:rFonts w:ascii="Calibri" w:hAnsi="Calibri" w:cs="Calibri"/>
          <w:color w:val="auto"/>
          <w:sz w:val="24"/>
          <w:szCs w:val="24"/>
          <w:vertAlign w:val="subscript"/>
        </w:rPr>
        <w:t>2</w:t>
      </w:r>
      <w:r>
        <w:rPr>
          <w:rFonts w:ascii="Calibri" w:hAnsi="Calibri" w:cs="Calibri"/>
          <w:color w:val="auto"/>
          <w:sz w:val="24"/>
          <w:szCs w:val="24"/>
        </w:rPr>
        <w:t>/FiO</w:t>
      </w:r>
      <w:r>
        <w:rPr>
          <w:rFonts w:ascii="Calibri" w:hAnsi="Calibri" w:cs="Calibri"/>
          <w:color w:val="auto"/>
          <w:sz w:val="24"/>
          <w:szCs w:val="24"/>
          <w:vertAlign w:val="subscript"/>
        </w:rPr>
        <w:t>2</w:t>
      </w:r>
      <w:r>
        <w:rPr>
          <w:rFonts w:ascii="Calibri" w:hAnsi="Calibri" w:cs="Calibri"/>
          <w:color w:val="auto"/>
          <w:sz w:val="24"/>
          <w:szCs w:val="24"/>
        </w:rPr>
        <w:t xml:space="preserve"> Ratios in ARDS Severity Classification</w:t>
      </w:r>
    </w:p>
    <w:p w14:paraId="7AF05C5D">
      <w:pPr>
        <w:pStyle w:val="2"/>
        <w:spacing w:before="0" w:beforeAutospacing="0" w:after="0" w:afterAutospacing="0" w:line="360" w:lineRule="auto"/>
        <w:jc w:val="center"/>
        <w:rPr>
          <w:rFonts w:ascii="Calibri" w:hAnsi="Calibri" w:cs="Calibri"/>
          <w:b w:val="0"/>
          <w:color w:val="auto"/>
          <w:sz w:val="24"/>
          <w:szCs w:val="24"/>
          <w:vertAlign w:val="superscript"/>
        </w:rPr>
      </w:pPr>
      <w:r>
        <w:rPr>
          <w:rFonts w:ascii="Calibri" w:hAnsi="Calibri" w:cs="Calibri"/>
          <w:b w:val="0"/>
          <w:color w:val="auto"/>
          <w:sz w:val="24"/>
          <w:szCs w:val="24"/>
        </w:rPr>
        <w:t>Xiao-Yan Ding; Han Chen</w:t>
      </w:r>
      <w:r>
        <w:rPr>
          <w:rFonts w:ascii="Calibri" w:hAnsi="Calibri" w:cs="Calibri"/>
          <w:b w:val="0"/>
          <w:color w:val="auto"/>
          <w:sz w:val="24"/>
          <w:szCs w:val="24"/>
          <w:vertAlign w:val="superscript"/>
        </w:rPr>
        <w:t xml:space="preserve"> </w:t>
      </w:r>
    </w:p>
    <w:p w14:paraId="721465F3">
      <w:pPr>
        <w:pStyle w:val="2"/>
        <w:spacing w:before="0" w:beforeAutospacing="0" w:after="0" w:afterAutospacing="0" w:line="360" w:lineRule="auto"/>
        <w:jc w:val="center"/>
        <w:rPr>
          <w:rFonts w:ascii="Calibri" w:hAnsi="Calibri" w:cs="Calibri"/>
          <w:b w:val="0"/>
          <w:color w:val="auto"/>
          <w:sz w:val="24"/>
          <w:szCs w:val="24"/>
        </w:rPr>
      </w:pPr>
    </w:p>
    <w:p w14:paraId="13981962">
      <w:pPr>
        <w:pStyle w:val="2"/>
        <w:spacing w:before="0" w:beforeAutospacing="0" w:after="0" w:afterAutospacing="0" w:line="360" w:lineRule="auto"/>
        <w:jc w:val="center"/>
        <w:rPr>
          <w:rFonts w:ascii="Calibri" w:hAnsi="Calibri" w:cs="Calibri"/>
          <w:b w:val="0"/>
          <w:color w:val="auto"/>
          <w:sz w:val="24"/>
          <w:szCs w:val="24"/>
        </w:rPr>
      </w:pPr>
    </w:p>
    <w:p w14:paraId="4D12930D">
      <w:pPr>
        <w:pStyle w:val="2"/>
        <w:spacing w:before="0" w:beforeAutospacing="0" w:after="0" w:afterAutospacing="0" w:line="360" w:lineRule="auto"/>
        <w:jc w:val="center"/>
        <w:rPr>
          <w:rFonts w:ascii="Calibri" w:hAnsi="Calibri" w:cs="Calibri"/>
          <w:b w:val="0"/>
          <w:color w:val="auto"/>
          <w:sz w:val="24"/>
          <w:szCs w:val="24"/>
        </w:rPr>
      </w:pPr>
    </w:p>
    <w:p w14:paraId="5CA03A61">
      <w:pPr>
        <w:pStyle w:val="2"/>
        <w:spacing w:before="0" w:beforeAutospacing="0" w:after="0" w:afterAutospacing="0" w:line="360" w:lineRule="auto"/>
        <w:jc w:val="center"/>
        <w:rPr>
          <w:rFonts w:ascii="Calibri" w:hAnsi="Calibri" w:cs="Calibri"/>
          <w:b w:val="0"/>
          <w:color w:val="auto"/>
          <w:sz w:val="24"/>
          <w:szCs w:val="24"/>
        </w:rPr>
      </w:pPr>
    </w:p>
    <w:p w14:paraId="09EC8138">
      <w:pPr>
        <w:pStyle w:val="2"/>
        <w:spacing w:before="0" w:beforeAutospacing="0" w:after="0" w:afterAutospacing="0" w:line="360" w:lineRule="auto"/>
        <w:jc w:val="center"/>
        <w:rPr>
          <w:rFonts w:ascii="Calibri" w:hAnsi="Calibri" w:cs="Calibri"/>
          <w:b w:val="0"/>
          <w:color w:val="auto"/>
          <w:sz w:val="24"/>
          <w:szCs w:val="24"/>
        </w:rPr>
      </w:pPr>
    </w:p>
    <w:p w14:paraId="5125FCFC">
      <w:pPr>
        <w:pStyle w:val="2"/>
        <w:spacing w:before="0" w:beforeAutospacing="0" w:after="0" w:afterAutospacing="0" w:line="360" w:lineRule="auto"/>
        <w:jc w:val="center"/>
        <w:rPr>
          <w:rFonts w:ascii="Calibri" w:hAnsi="Calibri" w:cs="Calibri"/>
          <w:color w:val="auto"/>
          <w:sz w:val="24"/>
          <w:szCs w:val="24"/>
        </w:rPr>
      </w:pPr>
      <w:r>
        <w:rPr>
          <w:rFonts w:ascii="Calibri" w:hAnsi="Calibri" w:cs="Calibri"/>
          <w:color w:val="auto"/>
          <w:sz w:val="24"/>
          <w:szCs w:val="24"/>
        </w:rPr>
        <w:t>Supplementary Materials</w:t>
      </w:r>
    </w:p>
    <w:p w14:paraId="39673FDD">
      <w:pPr>
        <w:pStyle w:val="3"/>
        <w:spacing w:before="0" w:beforeAutospacing="0" w:after="0" w:afterAutospacing="0" w:line="360" w:lineRule="auto"/>
        <w:rPr>
          <w:rFonts w:ascii="Calibri" w:hAnsi="Calibri" w:cs="Calibri"/>
          <w:color w:val="auto"/>
          <w:sz w:val="24"/>
          <w:szCs w:val="24"/>
        </w:rPr>
        <w:sectPr>
          <w:headerReference r:id="rId3" w:type="default"/>
          <w:footerReference r:id="rId4" w:type="default"/>
          <w:footerReference r:id="rId5" w:type="even"/>
          <w:pgSz w:w="11900" w:h="16840"/>
          <w:pgMar w:top="1440" w:right="1800" w:bottom="1440" w:left="1800" w:header="851" w:footer="992" w:gutter="0"/>
          <w:pgBorders>
            <w:top w:val="none" w:sz="0" w:space="0"/>
            <w:left w:val="none" w:sz="0" w:space="0"/>
            <w:bottom w:val="none" w:sz="0" w:space="0"/>
            <w:right w:val="none" w:sz="0" w:space="0"/>
          </w:pgBorders>
          <w:lnNumType w:countBy="1" w:restart="continuous"/>
          <w:cols w:space="425" w:num="1"/>
          <w:docGrid w:type="lines" w:linePitch="312" w:charSpace="0"/>
        </w:sectPr>
      </w:pPr>
    </w:p>
    <w:p w14:paraId="4909E5D7">
      <w:pPr>
        <w:pStyle w:val="3"/>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Contents</w:t>
      </w:r>
    </w:p>
    <w:p w14:paraId="1BC339CE">
      <w:pPr>
        <w:widowControl/>
        <w:numPr>
          <w:ilvl w:val="0"/>
          <w:numId w:val="1"/>
        </w:numPr>
        <w:shd w:val="clear" w:color="auto" w:fill="FFFFFF"/>
        <w:spacing w:line="360" w:lineRule="auto"/>
        <w:ind w:left="0" w:firstLine="0"/>
        <w:jc w:val="left"/>
        <w:rPr>
          <w:rFonts w:ascii="Calibri" w:hAnsi="Calibri" w:eastAsia="宋体" w:cs="Calibri"/>
          <w:color w:val="auto"/>
          <w:kern w:val="0"/>
          <w:sz w:val="24"/>
        </w:rPr>
      </w:pPr>
      <w:r>
        <w:rPr>
          <w:rFonts w:ascii="Calibri" w:hAnsi="Calibri" w:eastAsia="宋体" w:cs="Calibri"/>
          <w:b/>
          <w:bCs/>
          <w:color w:val="auto"/>
          <w:kern w:val="0"/>
          <w:sz w:val="24"/>
        </w:rPr>
        <w:t>Detailed Methods</w:t>
      </w:r>
    </w:p>
    <w:p w14:paraId="2B8D5F5D">
      <w:pPr>
        <w:widowControl/>
        <w:numPr>
          <w:ilvl w:val="0"/>
          <w:numId w:val="1"/>
        </w:numPr>
        <w:shd w:val="clear" w:color="auto" w:fill="FFFFFF"/>
        <w:spacing w:line="360" w:lineRule="auto"/>
        <w:ind w:left="0" w:firstLine="0"/>
        <w:jc w:val="left"/>
        <w:rPr>
          <w:rFonts w:ascii="Calibri" w:hAnsi="Calibri" w:eastAsia="宋体" w:cs="Calibri"/>
          <w:color w:val="auto"/>
          <w:kern w:val="0"/>
          <w:sz w:val="24"/>
        </w:rPr>
      </w:pPr>
      <w:r>
        <w:rPr>
          <w:rFonts w:ascii="Calibri" w:hAnsi="Calibri" w:eastAsia="宋体" w:cs="Calibri"/>
          <w:b/>
          <w:bCs/>
          <w:color w:val="auto"/>
          <w:kern w:val="0"/>
          <w:sz w:val="24"/>
        </w:rPr>
        <w:t>Primary Analysis Tables: First SpO</w:t>
      </w:r>
      <w:r>
        <w:rPr>
          <w:rFonts w:ascii="Calibri" w:hAnsi="Calibri" w:eastAsia="宋体" w:cs="Calibri"/>
          <w:b/>
          <w:bCs/>
          <w:color w:val="auto"/>
          <w:kern w:val="0"/>
          <w:sz w:val="24"/>
          <w:vertAlign w:val="subscript"/>
        </w:rPr>
        <w:t>2</w:t>
      </w:r>
      <w:r>
        <w:rPr>
          <w:rFonts w:ascii="Calibri" w:hAnsi="Calibri" w:eastAsia="宋体" w:cs="Calibri"/>
          <w:b/>
          <w:bCs/>
          <w:color w:val="auto"/>
          <w:kern w:val="0"/>
          <w:sz w:val="24"/>
        </w:rPr>
        <w:t>&lt;97% within 24 Hours of ICU Admission</w:t>
      </w:r>
    </w:p>
    <w:p w14:paraId="69905038">
      <w:pPr>
        <w:widowControl/>
        <w:shd w:val="clear" w:color="auto" w:fill="FFFFFF"/>
        <w:tabs>
          <w:tab w:val="left" w:pos="1134"/>
        </w:tabs>
        <w:spacing w:line="360" w:lineRule="auto"/>
        <w:ind w:left="1134" w:leftChars="539" w:hanging="2" w:hangingChars="1"/>
        <w:jc w:val="left"/>
        <w:rPr>
          <w:rFonts w:ascii="Calibri" w:hAnsi="Calibri" w:eastAsia="宋体" w:cs="Calibri"/>
          <w:color w:val="auto"/>
          <w:kern w:val="0"/>
          <w:sz w:val="24"/>
        </w:rPr>
      </w:pPr>
      <w:r>
        <w:rPr>
          <w:rFonts w:ascii="Calibri" w:hAnsi="Calibri" w:eastAsia="宋体" w:cs="Calibri"/>
          <w:color w:val="auto"/>
          <w:kern w:val="0"/>
          <w:sz w:val="24"/>
        </w:rPr>
        <w:t xml:space="preserve">Table S1: Baseline Characteristics of ARDS Patients </w:t>
      </w:r>
    </w:p>
    <w:p w14:paraId="60626196">
      <w:pPr>
        <w:widowControl/>
        <w:shd w:val="clear" w:color="auto" w:fill="FFFFFF"/>
        <w:tabs>
          <w:tab w:val="left" w:pos="1134"/>
        </w:tabs>
        <w:spacing w:line="360" w:lineRule="auto"/>
        <w:ind w:left="1134" w:leftChars="539" w:hanging="2" w:hangingChars="1"/>
        <w:jc w:val="left"/>
        <w:rPr>
          <w:rFonts w:ascii="Calibri" w:hAnsi="Calibri" w:eastAsia="宋体" w:cs="Calibri"/>
          <w:color w:val="auto"/>
          <w:kern w:val="0"/>
          <w:sz w:val="24"/>
        </w:rPr>
      </w:pPr>
      <w:r>
        <w:rPr>
          <w:rFonts w:ascii="Calibri" w:hAnsi="Calibri" w:eastAsia="宋体" w:cs="Calibri"/>
          <w:color w:val="auto"/>
          <w:kern w:val="0"/>
          <w:sz w:val="24"/>
        </w:rPr>
        <w:t xml:space="preserve">Table S2: SF versus PF Classification Concordance Analysis </w:t>
      </w:r>
    </w:p>
    <w:p w14:paraId="3946B140">
      <w:pPr>
        <w:widowControl/>
        <w:shd w:val="clear" w:color="auto" w:fill="FFFFFF"/>
        <w:tabs>
          <w:tab w:val="left" w:pos="1134"/>
        </w:tabs>
        <w:spacing w:line="360" w:lineRule="auto"/>
        <w:ind w:left="1134" w:leftChars="539" w:hanging="2" w:hangingChars="1"/>
        <w:jc w:val="left"/>
        <w:rPr>
          <w:rFonts w:ascii="Calibri" w:hAnsi="Calibri" w:eastAsia="宋体" w:cs="Calibri"/>
          <w:color w:val="auto"/>
          <w:kern w:val="0"/>
          <w:sz w:val="24"/>
        </w:rPr>
      </w:pPr>
      <w:r>
        <w:rPr>
          <w:rFonts w:ascii="Calibri" w:hAnsi="Calibri" w:eastAsia="宋体" w:cs="Calibri"/>
          <w:color w:val="auto"/>
          <w:kern w:val="0"/>
          <w:sz w:val="24"/>
        </w:rPr>
        <w:t>Table S3: Cross-tabulation of SF and PF Classifications</w:t>
      </w:r>
    </w:p>
    <w:p w14:paraId="680AC475">
      <w:pPr>
        <w:widowControl/>
        <w:shd w:val="clear" w:color="auto" w:fill="FFFFFF"/>
        <w:tabs>
          <w:tab w:val="left" w:pos="1134"/>
        </w:tabs>
        <w:spacing w:line="360" w:lineRule="auto"/>
        <w:ind w:left="1134" w:leftChars="539" w:hanging="2" w:hangingChars="1"/>
        <w:jc w:val="left"/>
        <w:rPr>
          <w:rFonts w:ascii="Calibri" w:hAnsi="Calibri" w:eastAsia="宋体" w:cs="Calibri"/>
          <w:color w:val="auto"/>
          <w:kern w:val="0"/>
          <w:sz w:val="24"/>
        </w:rPr>
      </w:pPr>
      <w:r>
        <w:rPr>
          <w:rFonts w:ascii="Calibri" w:hAnsi="Calibri" w:eastAsia="宋体" w:cs="Calibri"/>
          <w:color w:val="auto"/>
          <w:kern w:val="0"/>
          <w:sz w:val="24"/>
        </w:rPr>
        <w:t xml:space="preserve">Table S4: 28-Day Mortality Rates by SF-based and PF-based ARDS Severity Classification </w:t>
      </w:r>
    </w:p>
    <w:p w14:paraId="001F9F0A">
      <w:pPr>
        <w:widowControl/>
        <w:shd w:val="clear" w:color="auto" w:fill="FFFFFF"/>
        <w:tabs>
          <w:tab w:val="left" w:pos="1134"/>
        </w:tabs>
        <w:spacing w:line="360" w:lineRule="auto"/>
        <w:ind w:left="1134" w:leftChars="539" w:hanging="2" w:hangingChars="1"/>
        <w:jc w:val="left"/>
        <w:rPr>
          <w:rFonts w:ascii="Calibri" w:hAnsi="Calibri" w:eastAsia="宋体" w:cs="Calibri"/>
          <w:color w:val="auto"/>
          <w:kern w:val="0"/>
          <w:sz w:val="24"/>
        </w:rPr>
      </w:pPr>
      <w:r>
        <w:rPr>
          <w:rFonts w:ascii="Calibri" w:hAnsi="Calibri" w:eastAsia="宋体" w:cs="Calibri"/>
          <w:color w:val="auto"/>
          <w:kern w:val="0"/>
          <w:sz w:val="24"/>
        </w:rPr>
        <w:t>Table S5: Prognostic Implication of Re-classification from PF-Moderate to SF-Severe ARDS</w:t>
      </w:r>
    </w:p>
    <w:p w14:paraId="5824F0A3">
      <w:pPr>
        <w:widowControl/>
        <w:numPr>
          <w:ilvl w:val="0"/>
          <w:numId w:val="1"/>
        </w:numPr>
        <w:shd w:val="clear" w:color="auto" w:fill="FFFFFF"/>
        <w:spacing w:line="360" w:lineRule="auto"/>
        <w:ind w:left="0" w:firstLine="0"/>
        <w:jc w:val="left"/>
        <w:rPr>
          <w:rFonts w:ascii="Calibri" w:hAnsi="Calibri" w:eastAsia="宋体" w:cs="Calibri"/>
          <w:color w:val="auto"/>
          <w:kern w:val="0"/>
          <w:sz w:val="24"/>
        </w:rPr>
      </w:pPr>
      <w:r>
        <w:rPr>
          <w:rFonts w:ascii="Calibri" w:hAnsi="Calibri" w:eastAsia="宋体" w:cs="Calibri"/>
          <w:b/>
          <w:bCs/>
          <w:color w:val="auto"/>
          <w:kern w:val="0"/>
          <w:sz w:val="24"/>
        </w:rPr>
        <w:t>Subgroup and Secondary Analysis Tables</w:t>
      </w:r>
    </w:p>
    <w:p w14:paraId="1C308B4A">
      <w:pPr>
        <w:widowControl/>
        <w:shd w:val="clear" w:color="auto" w:fill="FFFFFF"/>
        <w:tabs>
          <w:tab w:val="left" w:pos="1134"/>
        </w:tabs>
        <w:spacing w:line="360" w:lineRule="auto"/>
        <w:ind w:left="1134" w:leftChars="539" w:hanging="2" w:hangingChars="1"/>
        <w:jc w:val="left"/>
        <w:rPr>
          <w:rFonts w:ascii="Calibri" w:hAnsi="Calibri" w:eastAsia="宋体" w:cs="Calibri"/>
          <w:color w:val="auto"/>
          <w:kern w:val="0"/>
          <w:sz w:val="24"/>
        </w:rPr>
      </w:pPr>
      <w:r>
        <w:rPr>
          <w:rFonts w:ascii="Calibri" w:hAnsi="Calibri" w:eastAsia="宋体" w:cs="Calibri"/>
          <w:color w:val="auto"/>
          <w:kern w:val="0"/>
          <w:sz w:val="24"/>
        </w:rPr>
        <w:t>Table S6: Retrospective Analysis of Classification Alignment with 28-Day Mortality in Patients with Discordant Classifications</w:t>
      </w:r>
    </w:p>
    <w:p w14:paraId="0D5C513B">
      <w:pPr>
        <w:widowControl/>
        <w:shd w:val="clear" w:color="auto" w:fill="FFFFFF"/>
        <w:tabs>
          <w:tab w:val="left" w:pos="1134"/>
        </w:tabs>
        <w:spacing w:line="360" w:lineRule="auto"/>
        <w:ind w:left="1134" w:leftChars="539" w:hanging="2" w:hangingChars="1"/>
        <w:jc w:val="left"/>
        <w:rPr>
          <w:rFonts w:ascii="Calibri" w:hAnsi="Calibri" w:eastAsia="宋体" w:cs="Calibri"/>
          <w:color w:val="auto"/>
          <w:kern w:val="0"/>
          <w:sz w:val="24"/>
        </w:rPr>
      </w:pPr>
      <w:r>
        <w:rPr>
          <w:rFonts w:ascii="Calibri" w:hAnsi="Calibri" w:eastAsia="宋体" w:cs="Calibri"/>
          <w:color w:val="auto"/>
          <w:kern w:val="0"/>
          <w:sz w:val="24"/>
        </w:rPr>
        <w:t>Table S7: Analysis of Classification Performance in Discriminating Severe ARDS</w:t>
      </w:r>
    </w:p>
    <w:p w14:paraId="29A4F284">
      <w:pPr>
        <w:widowControl/>
        <w:shd w:val="clear" w:color="auto" w:fill="FFFFFF"/>
        <w:tabs>
          <w:tab w:val="left" w:pos="1134"/>
        </w:tabs>
        <w:spacing w:line="360" w:lineRule="auto"/>
        <w:ind w:left="1134" w:leftChars="539" w:hanging="2" w:hangingChars="1"/>
        <w:jc w:val="left"/>
        <w:rPr>
          <w:rFonts w:ascii="Calibri" w:hAnsi="Calibri" w:eastAsia="宋体" w:cs="Calibri"/>
          <w:color w:val="auto"/>
          <w:kern w:val="0"/>
          <w:sz w:val="24"/>
        </w:rPr>
      </w:pPr>
      <w:r>
        <w:rPr>
          <w:rFonts w:ascii="Calibri" w:hAnsi="Calibri" w:eastAsia="宋体" w:cs="Calibri"/>
          <w:color w:val="auto"/>
          <w:kern w:val="0"/>
          <w:sz w:val="24"/>
        </w:rPr>
        <w:t>Table S8: Racial Variability in SF and PF Categories</w:t>
      </w:r>
    </w:p>
    <w:p w14:paraId="37F880A1">
      <w:pPr>
        <w:widowControl/>
        <w:numPr>
          <w:ilvl w:val="0"/>
          <w:numId w:val="1"/>
        </w:numPr>
        <w:shd w:val="clear" w:color="auto" w:fill="FFFFFF"/>
        <w:spacing w:line="360" w:lineRule="auto"/>
        <w:ind w:left="0" w:firstLine="0"/>
        <w:jc w:val="left"/>
        <w:rPr>
          <w:rFonts w:ascii="Calibri" w:hAnsi="Calibri" w:eastAsia="宋体" w:cs="Calibri"/>
          <w:color w:val="auto"/>
          <w:kern w:val="0"/>
          <w:sz w:val="24"/>
        </w:rPr>
      </w:pPr>
      <w:r>
        <w:rPr>
          <w:rFonts w:ascii="Calibri" w:hAnsi="Calibri" w:eastAsia="宋体" w:cs="Calibri"/>
          <w:b/>
          <w:bCs/>
          <w:color w:val="auto"/>
          <w:kern w:val="0"/>
          <w:sz w:val="24"/>
        </w:rPr>
        <w:t>Sensitivity Analysis Tables</w:t>
      </w:r>
    </w:p>
    <w:p w14:paraId="536B6FB0">
      <w:pPr>
        <w:widowControl/>
        <w:shd w:val="clear" w:color="auto" w:fill="FFFFFF"/>
        <w:tabs>
          <w:tab w:val="left" w:pos="1134"/>
        </w:tabs>
        <w:spacing w:line="360" w:lineRule="auto"/>
        <w:ind w:left="1134" w:leftChars="539" w:hanging="2" w:hangingChars="1"/>
        <w:jc w:val="left"/>
        <w:rPr>
          <w:rFonts w:ascii="Calibri" w:hAnsi="Calibri" w:eastAsia="宋体" w:cs="Calibri"/>
          <w:color w:val="auto"/>
          <w:kern w:val="0"/>
          <w:sz w:val="24"/>
        </w:rPr>
      </w:pPr>
      <w:r>
        <w:rPr>
          <w:rFonts w:ascii="Calibri" w:hAnsi="Calibri" w:eastAsia="宋体" w:cs="Calibri"/>
          <w:color w:val="auto"/>
          <w:kern w:val="0"/>
          <w:sz w:val="24"/>
        </w:rPr>
        <w:t xml:space="preserve">Table S9: Sensitivity Analyses Comparing Prognostic Performance Across Three SF-PF Pairing Strategies </w:t>
      </w:r>
    </w:p>
    <w:p w14:paraId="5BA88C8D">
      <w:pPr>
        <w:widowControl/>
        <w:numPr>
          <w:ilvl w:val="0"/>
          <w:numId w:val="1"/>
        </w:numPr>
        <w:shd w:val="clear" w:color="auto" w:fill="FFFFFF"/>
        <w:spacing w:line="360" w:lineRule="auto"/>
        <w:ind w:left="0" w:firstLine="0"/>
        <w:jc w:val="left"/>
        <w:rPr>
          <w:rFonts w:ascii="Calibri" w:hAnsi="Calibri" w:cs="Calibri"/>
          <w:color w:val="auto"/>
          <w:sz w:val="24"/>
        </w:rPr>
        <w:sectPr>
          <w:pgSz w:w="11900" w:h="16840"/>
          <w:pgMar w:top="1440" w:right="1800" w:bottom="1440" w:left="1800" w:header="851" w:footer="992" w:gutter="0"/>
          <w:pgBorders>
            <w:top w:val="none" w:sz="0" w:space="0"/>
            <w:left w:val="none" w:sz="0" w:space="0"/>
            <w:bottom w:val="none" w:sz="0" w:space="0"/>
            <w:right w:val="none" w:sz="0" w:space="0"/>
          </w:pgBorders>
          <w:lnNumType w:countBy="1" w:restart="continuous"/>
          <w:cols w:space="425" w:num="1"/>
          <w:docGrid w:type="lines" w:linePitch="312" w:charSpace="0"/>
        </w:sectPr>
      </w:pPr>
      <w:r>
        <w:rPr>
          <w:rFonts w:ascii="Calibri" w:hAnsi="Calibri" w:eastAsia="宋体" w:cs="Calibri"/>
          <w:b/>
          <w:bCs/>
          <w:color w:val="auto"/>
          <w:kern w:val="0"/>
          <w:sz w:val="24"/>
        </w:rPr>
        <w:t>Interpretation</w:t>
      </w:r>
    </w:p>
    <w:p w14:paraId="6C24E05A">
      <w:pPr>
        <w:pStyle w:val="3"/>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1. Detailed Methods</w:t>
      </w:r>
    </w:p>
    <w:p w14:paraId="5DBFC272">
      <w:pPr>
        <w:pStyle w:val="3"/>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Study Design and Data Source</w:t>
      </w:r>
    </w:p>
    <w:p w14:paraId="20938308">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We conducted a retrospective cohort study using data from mechanically ventilated patients diagnosed with acute respiratory distress syndrome (ARDS) in the Medical Information Mart for Intensive Care (MIMIC)-IV database. Unlike Erlebach et al. [1], who analyzed multiple data points throughout patient hospitalizations, we focused on early ARDS assessment by selecting a single SpO</w:t>
      </w:r>
      <w:r>
        <w:rPr>
          <w:rFonts w:ascii="Calibri" w:hAnsi="Calibri" w:cs="Calibri"/>
          <w:b w:val="0"/>
          <w:color w:val="auto"/>
          <w:sz w:val="24"/>
          <w:szCs w:val="24"/>
          <w:vertAlign w:val="subscript"/>
        </w:rPr>
        <w:t>2</w:t>
      </w:r>
      <w:r>
        <w:rPr>
          <w:rFonts w:ascii="Calibri" w:hAnsi="Calibri" w:cs="Calibri"/>
          <w:b w:val="0"/>
          <w:color w:val="auto"/>
          <w:sz w:val="24"/>
          <w:szCs w:val="24"/>
        </w:rPr>
        <w:t>/FiO</w:t>
      </w:r>
      <w:r>
        <w:rPr>
          <w:rFonts w:ascii="Calibri" w:hAnsi="Calibri" w:cs="Calibri"/>
          <w:b w:val="0"/>
          <w:color w:val="auto"/>
          <w:sz w:val="24"/>
          <w:szCs w:val="24"/>
          <w:vertAlign w:val="subscript"/>
        </w:rPr>
        <w:t>2</w:t>
      </w:r>
      <w:r>
        <w:rPr>
          <w:rFonts w:ascii="Calibri" w:hAnsi="Calibri" w:cs="Calibri"/>
          <w:b w:val="0"/>
          <w:color w:val="auto"/>
          <w:sz w:val="24"/>
          <w:szCs w:val="24"/>
        </w:rPr>
        <w:t xml:space="preserve"> (SF) and PaO</w:t>
      </w:r>
      <w:r>
        <w:rPr>
          <w:rFonts w:ascii="Calibri" w:hAnsi="Calibri" w:cs="Calibri"/>
          <w:b w:val="0"/>
          <w:color w:val="auto"/>
          <w:sz w:val="24"/>
          <w:szCs w:val="24"/>
          <w:vertAlign w:val="subscript"/>
        </w:rPr>
        <w:t>2</w:t>
      </w:r>
      <w:r>
        <w:rPr>
          <w:rFonts w:ascii="Calibri" w:hAnsi="Calibri" w:cs="Calibri"/>
          <w:b w:val="0"/>
          <w:color w:val="auto"/>
          <w:sz w:val="24"/>
          <w:szCs w:val="24"/>
        </w:rPr>
        <w:t>/FiO</w:t>
      </w:r>
      <w:r>
        <w:rPr>
          <w:rFonts w:ascii="Calibri" w:hAnsi="Calibri" w:cs="Calibri"/>
          <w:b w:val="0"/>
          <w:color w:val="auto"/>
          <w:sz w:val="24"/>
          <w:szCs w:val="24"/>
          <w:vertAlign w:val="subscript"/>
        </w:rPr>
        <w:t>2</w:t>
      </w:r>
      <w:r>
        <w:rPr>
          <w:rFonts w:ascii="Calibri" w:hAnsi="Calibri" w:cs="Calibri"/>
          <w:b w:val="0"/>
          <w:color w:val="auto"/>
          <w:sz w:val="24"/>
          <w:szCs w:val="24"/>
        </w:rPr>
        <w:t xml:space="preserve"> (PF) pair within the first 48 hours of intensive care unit (ICU) admission for each patient.</w:t>
      </w:r>
    </w:p>
    <w:p w14:paraId="561687CC">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Data Selection Strategies</w:t>
      </w:r>
    </w:p>
    <w:p w14:paraId="3964784C">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We employed three distinct strategies for selecting paired SF-PF measurements to conduct sensitivity analyses:</w:t>
      </w:r>
    </w:p>
    <w:p w14:paraId="5E67D79F">
      <w:pPr>
        <w:pStyle w:val="3"/>
        <w:numPr>
          <w:ilvl w:val="0"/>
          <w:numId w:val="2"/>
        </w:numPr>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Primary Strategy: The first SF-PF pair when SpO</w:t>
      </w:r>
      <w:r>
        <w:rPr>
          <w:rFonts w:ascii="Calibri" w:hAnsi="Calibri" w:cs="Calibri"/>
          <w:b w:val="0"/>
          <w:color w:val="auto"/>
          <w:sz w:val="24"/>
          <w:szCs w:val="24"/>
          <w:vertAlign w:val="subscript"/>
        </w:rPr>
        <w:t>2</w:t>
      </w:r>
      <w:r>
        <w:rPr>
          <w:rFonts w:ascii="Calibri" w:hAnsi="Calibri" w:cs="Calibri"/>
          <w:b w:val="0"/>
          <w:color w:val="auto"/>
          <w:sz w:val="24"/>
          <w:szCs w:val="24"/>
        </w:rPr>
        <w:t>&lt;97% within 24 hours of ICU admission</w:t>
      </w:r>
    </w:p>
    <w:p w14:paraId="50C7CAB3">
      <w:pPr>
        <w:pStyle w:val="3"/>
        <w:numPr>
          <w:ilvl w:val="0"/>
          <w:numId w:val="2"/>
        </w:numPr>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Sensitivity Strategy I: The lowest SF value within 48 hours of ICU admission and its contemporaneous PF value</w:t>
      </w:r>
    </w:p>
    <w:p w14:paraId="1BB80A00">
      <w:pPr>
        <w:pStyle w:val="3"/>
        <w:numPr>
          <w:ilvl w:val="0"/>
          <w:numId w:val="2"/>
        </w:numPr>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Sensitivity Strategy II: The lowest PF value within 48 hours of ICU admission and its contemporaneous SF value</w:t>
      </w:r>
    </w:p>
    <w:p w14:paraId="7E6454B9">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Inclusion and exclusion criteria for data points followed those established by Erlebach et al.</w:t>
      </w:r>
    </w:p>
    <w:p w14:paraId="6A133C48">
      <w:pPr>
        <w:pStyle w:val="3"/>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ARDS Classification</w:t>
      </w:r>
    </w:p>
    <w:p w14:paraId="7EFC98C1">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We classified ARDS severity according to the most recent ARDS definition [2] using the following thresholds:</w:t>
      </w:r>
    </w:p>
    <w:p w14:paraId="3B7D14F5">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SF ratio thresholds:</w:t>
      </w:r>
    </w:p>
    <w:p w14:paraId="4899C3C2">
      <w:pPr>
        <w:pStyle w:val="3"/>
        <w:numPr>
          <w:ilvl w:val="0"/>
          <w:numId w:val="3"/>
        </w:numPr>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≤315: Mild ARDS</w:t>
      </w:r>
    </w:p>
    <w:p w14:paraId="4DF7D1A0">
      <w:pPr>
        <w:pStyle w:val="3"/>
        <w:numPr>
          <w:ilvl w:val="0"/>
          <w:numId w:val="3"/>
        </w:numPr>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≤235: Moderate ARDS</w:t>
      </w:r>
    </w:p>
    <w:p w14:paraId="3731D366">
      <w:pPr>
        <w:pStyle w:val="3"/>
        <w:numPr>
          <w:ilvl w:val="0"/>
          <w:numId w:val="3"/>
        </w:numPr>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≤148: Severe ARDS</w:t>
      </w:r>
    </w:p>
    <w:p w14:paraId="0D87B597">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PF ratio thresholds:</w:t>
      </w:r>
    </w:p>
    <w:p w14:paraId="2A4E2AEA">
      <w:pPr>
        <w:pStyle w:val="3"/>
        <w:numPr>
          <w:ilvl w:val="0"/>
          <w:numId w:val="4"/>
        </w:numPr>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≤300: Mild ARDS</w:t>
      </w:r>
    </w:p>
    <w:p w14:paraId="13D10A4F">
      <w:pPr>
        <w:pStyle w:val="3"/>
        <w:numPr>
          <w:ilvl w:val="0"/>
          <w:numId w:val="4"/>
        </w:numPr>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≤200: Moderate ARDS</w:t>
      </w:r>
    </w:p>
    <w:p w14:paraId="55852E1F">
      <w:pPr>
        <w:pStyle w:val="3"/>
        <w:numPr>
          <w:ilvl w:val="0"/>
          <w:numId w:val="4"/>
        </w:numPr>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≤100: Severe ARDS</w:t>
      </w:r>
    </w:p>
    <w:p w14:paraId="714748A8">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Values above these thresholds were classified as "No ARDS."</w:t>
      </w:r>
    </w:p>
    <w:p w14:paraId="56BB365D">
      <w:pPr>
        <w:pStyle w:val="3"/>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Assessment of Concordance</w:t>
      </w:r>
    </w:p>
    <w:p w14:paraId="672165D3">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Concordance between SF- and PF-based classifications was evaluated using cross-tabulation to quantify frequency and percentage of concordant/discordant cases, including breakdowns by direction of discordance (SF &gt; PF or SF &lt; PF). Weighted kappa was calculated to measure agreement beyond chance, with 95% confidence intervals (CI) and expected agreement by chance. These analyses were performed for the primary strategy and replicated in sensitivity analyses.</w:t>
      </w:r>
    </w:p>
    <w:p w14:paraId="074C39E8">
      <w:pPr>
        <w:pStyle w:val="3"/>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Assessment of Performance of SF- and PF-based Category System</w:t>
      </w:r>
    </w:p>
    <w:p w14:paraId="12561C20">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The association between SF- and PF-based severity categories and prognosis was evaluated by examining their alignment with 28-day all-cause mortality. This included:</w:t>
      </w:r>
    </w:p>
    <w:p w14:paraId="0C81BCDD">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Kaplan–Meier survival analysis, with global log-rank tests to assess differences among severity categories and Bonferroni-adjusted pairwise comparisons. Patients were censored at 28 days if alive.</w:t>
      </w:r>
    </w:p>
    <w:p w14:paraId="68371777">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Harrell’s C-index from single-variable Cox proportional hazards models, using the SF- or PF-based category as the sole predictor, to quantify the strength of association with outcomes.</w:t>
      </w:r>
    </w:p>
    <w:p w14:paraId="248C1E61">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These metrics were computed across all three data selection strategies to assess consistency.</w:t>
      </w:r>
    </w:p>
    <w:p w14:paraId="2E76232A">
      <w:pPr>
        <w:pStyle w:val="3"/>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Assessment of Alignment Between Classification and Observed Mortality in Discordant Cases</w:t>
      </w:r>
    </w:p>
    <w:p w14:paraId="052FD761">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For patients with discordant SF and PF classifications, we examined the alignment between each classification system and observed 28-day mortality through a retrospective assessment of consistency:</w:t>
      </w:r>
    </w:p>
    <w:p w14:paraId="176664E7">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a) Reference Mortality Establishment: Using concordant cases, we calculated reference 28-day mortality rates for each severity level (No ARDS, Mild, Moderate, Severe) as benchmarks.</w:t>
      </w:r>
    </w:p>
    <w:p w14:paraId="4E39C264">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b) Deviation Quantification: For each discordant patient, absolute differences were computed between their binary outcome (death = 1, survival = 0) and the reference mortality for their assigned severity:</w:t>
      </w:r>
    </w:p>
    <w:p w14:paraId="18E35351">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SF deviation = |Actual outcome - Reference mortality for SF-assigned severity|</w:t>
      </w:r>
    </w:p>
    <w:p w14:paraId="64000DDC">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PF deviation = |Actual outcome - Reference mortality for PF-assigned severity|</w:t>
      </w:r>
    </w:p>
    <w:p w14:paraId="71209D0A">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c) Determination of Closer Alignment: The system with the smaller deviation showed stronger consistency with observed mortality; equal deviations indicated equivalent alignment.</w:t>
      </w:r>
    </w:p>
    <w:p w14:paraId="0B358CF6">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Mortality rates were then stratified by which system showed closer alignment, and absolute differences calculated. This was extended to severe ARDS cases by examining mismatches in classification, quantifying frequency and alignment strength.</w:t>
      </w:r>
    </w:p>
    <w:p w14:paraId="206D6474">
      <w:pPr>
        <w:pStyle w:val="3"/>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Subgroup and Secondary Analyses</w:t>
      </w:r>
    </w:p>
    <w:p w14:paraId="1FB37AA1">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a) Focused Evaluation of Reclassified Patients: Analysis of the subgroup reclassified from PF-moderate to SF-severe ARDS, comparing their 28-day mortality to reference PF-moderate and PF-severe groups using two-sample tests of proportions. This was repeated across strategies.</w:t>
      </w:r>
    </w:p>
    <w:p w14:paraId="437426B7">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b) Classification Discordance Analysis: Breakdown of discordant cases by direction (SF &gt; PF or SF &lt; PF), with frequencies and percentages.</w:t>
      </w:r>
    </w:p>
    <w:p w14:paraId="59FE051C">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c) Severe ARDS Discrimination Analysis: Focused on mismatches in severe ARDS classification, with alignment counts and percentages.</w:t>
      </w:r>
    </w:p>
    <w:p w14:paraId="0116D9B8">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d) Mortality Stratification Analysis: Comparison of mortality rates between subgroups where SF showed closer alignment vs. where PF did.</w:t>
      </w:r>
    </w:p>
    <w:p w14:paraId="64AB1373">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e) Racial Variability Analysis: Stratification by race (Black, White, Other) to compare SF and PF category distributions using Pearson's chi-squared tests on 3×4 contingency tables and Kruskal–Wallis tests for ordinal sensitivity, motivated by reports of SpO</w:t>
      </w:r>
      <w:r>
        <w:rPr>
          <w:rFonts w:ascii="Calibri" w:hAnsi="Calibri" w:cs="Calibri"/>
          <w:b w:val="0"/>
          <w:color w:val="auto"/>
          <w:sz w:val="24"/>
          <w:szCs w:val="24"/>
          <w:vertAlign w:val="subscript"/>
        </w:rPr>
        <w:t>2</w:t>
      </w:r>
      <w:r>
        <w:rPr>
          <w:rFonts w:ascii="Calibri" w:hAnsi="Calibri" w:cs="Calibri"/>
          <w:b w:val="0"/>
          <w:color w:val="auto"/>
          <w:sz w:val="24"/>
          <w:szCs w:val="24"/>
        </w:rPr>
        <w:t xml:space="preserve"> bias (3).</w:t>
      </w:r>
    </w:p>
    <w:p w14:paraId="1216180B">
      <w:pPr>
        <w:pStyle w:val="3"/>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Statistical Analysis</w:t>
      </w:r>
    </w:p>
    <w:p w14:paraId="74A52733">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Continuous variables were reported as median and interquartile range (IQR) and compared using the Mann-Whitney U test due to non-normal distributions. Categorical variables were presented as counts and percentages and compared using chi-squared tests or Fisher's exact test when appropriate. Percentages are reported with 95% confidence intervals. Wilson score intervals were used by default for the calculation; for small cell counts (n &lt; 20) or extreme proportions, two-sided exact (Clopper–Pearson) intervals were used.</w:t>
      </w:r>
    </w:p>
    <w:p w14:paraId="7EDDBB1F">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Survival analysis was conducted using the Kaplan-Meier method with patients censored at 28 days if they remained alive. The log-rank test was used to compare survival curves between groups. All statistical analyses were performed using STATA version 17.0 (StataCorp, TX, USA). Two-sided p-values &lt;0.05 were considered statistically significant.</w:t>
      </w:r>
    </w:p>
    <w:p w14:paraId="1B608E2C">
      <w:pPr>
        <w:pStyle w:val="3"/>
        <w:spacing w:before="0" w:beforeAutospacing="0" w:after="0" w:afterAutospacing="0" w:line="360" w:lineRule="auto"/>
        <w:rPr>
          <w:rFonts w:ascii="Calibri" w:hAnsi="Calibri" w:cs="Calibri"/>
          <w:color w:val="auto"/>
          <w:sz w:val="24"/>
          <w:szCs w:val="24"/>
        </w:rPr>
        <w:sectPr>
          <w:pgSz w:w="11900" w:h="16840"/>
          <w:pgMar w:top="1440" w:right="1800" w:bottom="1440" w:left="1800" w:header="851" w:footer="992" w:gutter="0"/>
          <w:pgBorders>
            <w:top w:val="none" w:sz="0" w:space="0"/>
            <w:left w:val="none" w:sz="0" w:space="0"/>
            <w:bottom w:val="none" w:sz="0" w:space="0"/>
            <w:right w:val="none" w:sz="0" w:space="0"/>
          </w:pgBorders>
          <w:lnNumType w:countBy="1" w:restart="continuous"/>
          <w:cols w:space="425" w:num="1"/>
          <w:docGrid w:type="lines" w:linePitch="312" w:charSpace="0"/>
        </w:sectPr>
      </w:pPr>
    </w:p>
    <w:p w14:paraId="623AF5D7">
      <w:pPr>
        <w:pStyle w:val="3"/>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2. Primary Analysis: First SpO</w:t>
      </w:r>
      <w:r>
        <w:rPr>
          <w:rFonts w:ascii="Calibri" w:hAnsi="Calibri" w:cs="Calibri"/>
          <w:color w:val="auto"/>
          <w:sz w:val="24"/>
          <w:szCs w:val="24"/>
          <w:vertAlign w:val="subscript"/>
        </w:rPr>
        <w:t>2</w:t>
      </w:r>
      <w:r>
        <w:rPr>
          <w:rFonts w:ascii="Calibri" w:hAnsi="Calibri" w:cs="Calibri"/>
          <w:color w:val="auto"/>
          <w:sz w:val="24"/>
          <w:szCs w:val="24"/>
        </w:rPr>
        <w:t>&lt;97% within 24 Hours of ICU Admission</w:t>
      </w:r>
    </w:p>
    <w:p w14:paraId="0AF61A5E">
      <w:pPr>
        <w:pStyle w:val="4"/>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Table S1: Baseline Characteristics of ARDS Patients (n=582)</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0"/>
        <w:gridCol w:w="2169"/>
      </w:tblGrid>
      <w:tr w14:paraId="07C1AE68">
        <w:tc>
          <w:tcPr>
            <w:tcW w:w="0" w:type="auto"/>
          </w:tcPr>
          <w:p w14:paraId="1E5E32C9">
            <w:pPr>
              <w:pStyle w:val="4"/>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Demographic characteristics</w:t>
            </w:r>
          </w:p>
        </w:tc>
        <w:tc>
          <w:tcPr>
            <w:tcW w:w="0" w:type="auto"/>
          </w:tcPr>
          <w:p w14:paraId="1ECF0A0F">
            <w:pPr>
              <w:pStyle w:val="4"/>
              <w:spacing w:before="0" w:beforeAutospacing="0" w:after="0" w:afterAutospacing="0" w:line="360" w:lineRule="auto"/>
              <w:rPr>
                <w:rFonts w:ascii="Calibri" w:hAnsi="Calibri" w:cs="Calibri"/>
                <w:color w:val="auto"/>
                <w:sz w:val="24"/>
                <w:szCs w:val="24"/>
              </w:rPr>
            </w:pPr>
          </w:p>
        </w:tc>
      </w:tr>
      <w:tr w14:paraId="75FFD12B">
        <w:tc>
          <w:tcPr>
            <w:tcW w:w="0" w:type="auto"/>
          </w:tcPr>
          <w:p w14:paraId="2C4C6DCD">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Age (years), median (IQR)</w:t>
            </w:r>
          </w:p>
        </w:tc>
        <w:tc>
          <w:tcPr>
            <w:tcW w:w="0" w:type="auto"/>
          </w:tcPr>
          <w:p w14:paraId="0B1D16C9">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60.6 (49.1-71.4)</w:t>
            </w:r>
          </w:p>
        </w:tc>
      </w:tr>
      <w:tr w14:paraId="696E37D9">
        <w:tc>
          <w:tcPr>
            <w:tcW w:w="0" w:type="auto"/>
          </w:tcPr>
          <w:p w14:paraId="720848A4">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Male sex, n (%)</w:t>
            </w:r>
          </w:p>
        </w:tc>
        <w:tc>
          <w:tcPr>
            <w:tcW w:w="0" w:type="auto"/>
          </w:tcPr>
          <w:p w14:paraId="42D7BCAE">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339 (58.2)</w:t>
            </w:r>
          </w:p>
        </w:tc>
      </w:tr>
      <w:tr w14:paraId="6ED87D9B">
        <w:tc>
          <w:tcPr>
            <w:tcW w:w="0" w:type="auto"/>
          </w:tcPr>
          <w:p w14:paraId="44617B77">
            <w:pPr>
              <w:pStyle w:val="4"/>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Disease severity</w:t>
            </w:r>
          </w:p>
        </w:tc>
        <w:tc>
          <w:tcPr>
            <w:tcW w:w="0" w:type="auto"/>
          </w:tcPr>
          <w:p w14:paraId="6ACA52D4">
            <w:pPr>
              <w:pStyle w:val="4"/>
              <w:spacing w:before="0" w:beforeAutospacing="0" w:after="0" w:afterAutospacing="0" w:line="360" w:lineRule="auto"/>
              <w:rPr>
                <w:rFonts w:ascii="Calibri" w:hAnsi="Calibri" w:cs="Calibri"/>
                <w:color w:val="auto"/>
                <w:sz w:val="24"/>
                <w:szCs w:val="24"/>
              </w:rPr>
            </w:pPr>
          </w:p>
        </w:tc>
      </w:tr>
      <w:tr w14:paraId="546907EA">
        <w:tc>
          <w:tcPr>
            <w:tcW w:w="0" w:type="auto"/>
          </w:tcPr>
          <w:p w14:paraId="0257A769">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SOFA score, median (IQR)</w:t>
            </w:r>
          </w:p>
        </w:tc>
        <w:tc>
          <w:tcPr>
            <w:tcW w:w="0" w:type="auto"/>
          </w:tcPr>
          <w:p w14:paraId="77BE239C">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9.0 (6.0-11.0)</w:t>
            </w:r>
          </w:p>
        </w:tc>
      </w:tr>
      <w:tr w14:paraId="32BA5E1C">
        <w:tc>
          <w:tcPr>
            <w:tcW w:w="0" w:type="auto"/>
          </w:tcPr>
          <w:p w14:paraId="5C6190AB">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PaO₂/FiO₂ ratio, median (IQR)</w:t>
            </w:r>
          </w:p>
        </w:tc>
        <w:tc>
          <w:tcPr>
            <w:tcW w:w="0" w:type="auto"/>
          </w:tcPr>
          <w:p w14:paraId="25F7E935">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118.6 (83.0-176.0)</w:t>
            </w:r>
          </w:p>
        </w:tc>
      </w:tr>
      <w:tr w14:paraId="67A0FB67">
        <w:tc>
          <w:tcPr>
            <w:tcW w:w="0" w:type="auto"/>
          </w:tcPr>
          <w:p w14:paraId="32B9396E">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SpO₂/FiO₂ ratio, median (IQR)</w:t>
            </w:r>
          </w:p>
        </w:tc>
        <w:tc>
          <w:tcPr>
            <w:tcW w:w="0" w:type="auto"/>
          </w:tcPr>
          <w:p w14:paraId="06DD01F6">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118.8 (94.0-161.7)</w:t>
            </w:r>
          </w:p>
        </w:tc>
      </w:tr>
      <w:tr w14:paraId="141F5586">
        <w:tc>
          <w:tcPr>
            <w:tcW w:w="0" w:type="auto"/>
          </w:tcPr>
          <w:p w14:paraId="25D991BC">
            <w:pPr>
              <w:pStyle w:val="4"/>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ARDS classification</w:t>
            </w:r>
          </w:p>
        </w:tc>
        <w:tc>
          <w:tcPr>
            <w:tcW w:w="0" w:type="auto"/>
          </w:tcPr>
          <w:p w14:paraId="26B8A1AE">
            <w:pPr>
              <w:pStyle w:val="4"/>
              <w:spacing w:before="0" w:beforeAutospacing="0" w:after="0" w:afterAutospacing="0" w:line="360" w:lineRule="auto"/>
              <w:rPr>
                <w:rFonts w:ascii="Calibri" w:hAnsi="Calibri" w:cs="Calibri"/>
                <w:color w:val="auto"/>
                <w:sz w:val="24"/>
                <w:szCs w:val="24"/>
              </w:rPr>
            </w:pPr>
          </w:p>
        </w:tc>
      </w:tr>
      <w:tr w14:paraId="42AD9E4C">
        <w:tc>
          <w:tcPr>
            <w:tcW w:w="0" w:type="auto"/>
          </w:tcPr>
          <w:p w14:paraId="1120A9D5">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SF-based classification, n (%)</w:t>
            </w:r>
          </w:p>
        </w:tc>
        <w:tc>
          <w:tcPr>
            <w:tcW w:w="0" w:type="auto"/>
          </w:tcPr>
          <w:p w14:paraId="2D20140A">
            <w:pPr>
              <w:pStyle w:val="4"/>
              <w:spacing w:before="0" w:beforeAutospacing="0" w:after="0" w:afterAutospacing="0" w:line="360" w:lineRule="auto"/>
              <w:rPr>
                <w:rFonts w:ascii="Calibri" w:hAnsi="Calibri" w:cs="Calibri"/>
                <w:b w:val="0"/>
                <w:color w:val="auto"/>
                <w:sz w:val="24"/>
                <w:szCs w:val="24"/>
              </w:rPr>
            </w:pPr>
          </w:p>
        </w:tc>
      </w:tr>
      <w:tr w14:paraId="619A4931">
        <w:tc>
          <w:tcPr>
            <w:tcW w:w="0" w:type="auto"/>
          </w:tcPr>
          <w:p w14:paraId="199E9B35">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 No ARDS</w:t>
            </w:r>
          </w:p>
        </w:tc>
        <w:tc>
          <w:tcPr>
            <w:tcW w:w="0" w:type="auto"/>
          </w:tcPr>
          <w:p w14:paraId="74B512AC">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9 (1.5)</w:t>
            </w:r>
          </w:p>
        </w:tc>
      </w:tr>
      <w:tr w14:paraId="32C164CD">
        <w:tc>
          <w:tcPr>
            <w:tcW w:w="0" w:type="auto"/>
          </w:tcPr>
          <w:p w14:paraId="76F6CE9D">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 Mild ARDS</w:t>
            </w:r>
          </w:p>
        </w:tc>
        <w:tc>
          <w:tcPr>
            <w:tcW w:w="0" w:type="auto"/>
          </w:tcPr>
          <w:p w14:paraId="756159DD">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42 (7.2)</w:t>
            </w:r>
          </w:p>
        </w:tc>
      </w:tr>
      <w:tr w14:paraId="6A0E2730">
        <w:tc>
          <w:tcPr>
            <w:tcW w:w="0" w:type="auto"/>
          </w:tcPr>
          <w:p w14:paraId="4044ED81">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 Moderate ARDS</w:t>
            </w:r>
          </w:p>
        </w:tc>
        <w:tc>
          <w:tcPr>
            <w:tcW w:w="0" w:type="auto"/>
          </w:tcPr>
          <w:p w14:paraId="2F585052">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159 (27.3)</w:t>
            </w:r>
          </w:p>
        </w:tc>
      </w:tr>
      <w:tr w14:paraId="77010415">
        <w:tc>
          <w:tcPr>
            <w:tcW w:w="0" w:type="auto"/>
          </w:tcPr>
          <w:p w14:paraId="3C024EA1">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 Severe ARDS</w:t>
            </w:r>
          </w:p>
        </w:tc>
        <w:tc>
          <w:tcPr>
            <w:tcW w:w="0" w:type="auto"/>
          </w:tcPr>
          <w:p w14:paraId="3F8F496F">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372 (63.9)</w:t>
            </w:r>
          </w:p>
        </w:tc>
      </w:tr>
      <w:tr w14:paraId="605C2946">
        <w:tc>
          <w:tcPr>
            <w:tcW w:w="0" w:type="auto"/>
          </w:tcPr>
          <w:p w14:paraId="7D0694E2">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PF-based classification, n (%)</w:t>
            </w:r>
          </w:p>
        </w:tc>
        <w:tc>
          <w:tcPr>
            <w:tcW w:w="0" w:type="auto"/>
          </w:tcPr>
          <w:p w14:paraId="008A9AAA">
            <w:pPr>
              <w:pStyle w:val="4"/>
              <w:spacing w:before="0" w:beforeAutospacing="0" w:after="0" w:afterAutospacing="0" w:line="360" w:lineRule="auto"/>
              <w:rPr>
                <w:rFonts w:ascii="Calibri" w:hAnsi="Calibri" w:cs="Calibri"/>
                <w:b w:val="0"/>
                <w:color w:val="auto"/>
                <w:sz w:val="24"/>
                <w:szCs w:val="24"/>
              </w:rPr>
            </w:pPr>
          </w:p>
        </w:tc>
      </w:tr>
      <w:tr w14:paraId="7A7E7F27">
        <w:tc>
          <w:tcPr>
            <w:tcW w:w="0" w:type="auto"/>
          </w:tcPr>
          <w:p w14:paraId="4AA84124">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 No ARDS</w:t>
            </w:r>
          </w:p>
        </w:tc>
        <w:tc>
          <w:tcPr>
            <w:tcW w:w="0" w:type="auto"/>
          </w:tcPr>
          <w:p w14:paraId="33D7D7CC">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25 (4.3)</w:t>
            </w:r>
          </w:p>
        </w:tc>
      </w:tr>
      <w:tr w14:paraId="5B61E100">
        <w:tc>
          <w:tcPr>
            <w:tcW w:w="0" w:type="auto"/>
          </w:tcPr>
          <w:p w14:paraId="61E0F766">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 Mild ARDS</w:t>
            </w:r>
          </w:p>
        </w:tc>
        <w:tc>
          <w:tcPr>
            <w:tcW w:w="0" w:type="auto"/>
          </w:tcPr>
          <w:p w14:paraId="0E7FE431">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77 (13.2)</w:t>
            </w:r>
          </w:p>
        </w:tc>
      </w:tr>
      <w:tr w14:paraId="3CE644A7">
        <w:tc>
          <w:tcPr>
            <w:tcW w:w="0" w:type="auto"/>
          </w:tcPr>
          <w:p w14:paraId="5501957D">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 Moderate ARDS</w:t>
            </w:r>
          </w:p>
        </w:tc>
        <w:tc>
          <w:tcPr>
            <w:tcW w:w="0" w:type="auto"/>
          </w:tcPr>
          <w:p w14:paraId="38D0CA1B">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261 (44.8)</w:t>
            </w:r>
          </w:p>
        </w:tc>
      </w:tr>
      <w:tr w14:paraId="408BC9BB">
        <w:tc>
          <w:tcPr>
            <w:tcW w:w="0" w:type="auto"/>
          </w:tcPr>
          <w:p w14:paraId="68E48226">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 Severe ARDS</w:t>
            </w:r>
          </w:p>
        </w:tc>
        <w:tc>
          <w:tcPr>
            <w:tcW w:w="0" w:type="auto"/>
          </w:tcPr>
          <w:p w14:paraId="2161D096">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219 (37.6)</w:t>
            </w:r>
          </w:p>
        </w:tc>
      </w:tr>
      <w:tr w14:paraId="7E86E146">
        <w:tc>
          <w:tcPr>
            <w:tcW w:w="0" w:type="auto"/>
          </w:tcPr>
          <w:p w14:paraId="4DC6F076">
            <w:pPr>
              <w:pStyle w:val="4"/>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Organ support therapy</w:t>
            </w:r>
          </w:p>
        </w:tc>
        <w:tc>
          <w:tcPr>
            <w:tcW w:w="0" w:type="auto"/>
          </w:tcPr>
          <w:p w14:paraId="6403BD6D">
            <w:pPr>
              <w:pStyle w:val="4"/>
              <w:spacing w:before="0" w:beforeAutospacing="0" w:after="0" w:afterAutospacing="0" w:line="360" w:lineRule="auto"/>
              <w:rPr>
                <w:rFonts w:ascii="Calibri" w:hAnsi="Calibri" w:cs="Calibri"/>
                <w:color w:val="auto"/>
                <w:sz w:val="24"/>
                <w:szCs w:val="24"/>
              </w:rPr>
            </w:pPr>
          </w:p>
        </w:tc>
      </w:tr>
      <w:tr w14:paraId="5163EDB7">
        <w:tc>
          <w:tcPr>
            <w:tcW w:w="0" w:type="auto"/>
          </w:tcPr>
          <w:p w14:paraId="177D431A">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Duration of mechanical ventilation (days), median (IQR)</w:t>
            </w:r>
          </w:p>
        </w:tc>
        <w:tc>
          <w:tcPr>
            <w:tcW w:w="0" w:type="auto"/>
          </w:tcPr>
          <w:p w14:paraId="3B83FBE9">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6.5 (2.7, 12.0)</w:t>
            </w:r>
          </w:p>
        </w:tc>
      </w:tr>
      <w:tr w14:paraId="0499BD6A">
        <w:tc>
          <w:tcPr>
            <w:tcW w:w="0" w:type="auto"/>
          </w:tcPr>
          <w:p w14:paraId="01A357AE">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Vasopressor use, n (%)</w:t>
            </w:r>
          </w:p>
        </w:tc>
        <w:tc>
          <w:tcPr>
            <w:tcW w:w="0" w:type="auto"/>
          </w:tcPr>
          <w:p w14:paraId="72676BA6">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315 (54.1)</w:t>
            </w:r>
          </w:p>
        </w:tc>
      </w:tr>
      <w:tr w14:paraId="633AE083">
        <w:tc>
          <w:tcPr>
            <w:tcW w:w="0" w:type="auto"/>
          </w:tcPr>
          <w:p w14:paraId="19043F23">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Renal replacement therapy, n (%)</w:t>
            </w:r>
          </w:p>
        </w:tc>
        <w:tc>
          <w:tcPr>
            <w:tcW w:w="0" w:type="auto"/>
          </w:tcPr>
          <w:p w14:paraId="52F6DAF6">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86 (14.8)</w:t>
            </w:r>
          </w:p>
        </w:tc>
      </w:tr>
      <w:tr w14:paraId="009FDA1E">
        <w:tc>
          <w:tcPr>
            <w:tcW w:w="0" w:type="auto"/>
          </w:tcPr>
          <w:p w14:paraId="64C3F6ED">
            <w:pPr>
              <w:pStyle w:val="4"/>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Clinical outcomes</w:t>
            </w:r>
          </w:p>
        </w:tc>
        <w:tc>
          <w:tcPr>
            <w:tcW w:w="0" w:type="auto"/>
          </w:tcPr>
          <w:p w14:paraId="4CE4CD2B">
            <w:pPr>
              <w:pStyle w:val="4"/>
              <w:spacing w:before="0" w:beforeAutospacing="0" w:after="0" w:afterAutospacing="0" w:line="360" w:lineRule="auto"/>
              <w:rPr>
                <w:rFonts w:ascii="Calibri" w:hAnsi="Calibri" w:cs="Calibri"/>
                <w:color w:val="auto"/>
                <w:sz w:val="24"/>
                <w:szCs w:val="24"/>
              </w:rPr>
            </w:pPr>
          </w:p>
        </w:tc>
      </w:tr>
      <w:tr w14:paraId="5930D801">
        <w:tc>
          <w:tcPr>
            <w:tcW w:w="0" w:type="auto"/>
          </w:tcPr>
          <w:p w14:paraId="0F7F6F2B">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ICU length of stay (days), median (IQR)</w:t>
            </w:r>
          </w:p>
        </w:tc>
        <w:tc>
          <w:tcPr>
            <w:tcW w:w="0" w:type="auto"/>
          </w:tcPr>
          <w:p w14:paraId="26D875ED">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11.1 (5.3-19.6)</w:t>
            </w:r>
          </w:p>
        </w:tc>
      </w:tr>
      <w:tr w14:paraId="5108AB98">
        <w:tc>
          <w:tcPr>
            <w:tcW w:w="0" w:type="auto"/>
          </w:tcPr>
          <w:p w14:paraId="41DB8AD2">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ICU mortality, n (%)</w:t>
            </w:r>
          </w:p>
        </w:tc>
        <w:tc>
          <w:tcPr>
            <w:tcW w:w="0" w:type="auto"/>
          </w:tcPr>
          <w:p w14:paraId="1E698464">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236 (40.5)</w:t>
            </w:r>
          </w:p>
        </w:tc>
      </w:tr>
      <w:tr w14:paraId="2D1BF3B6">
        <w:tc>
          <w:tcPr>
            <w:tcW w:w="0" w:type="auto"/>
          </w:tcPr>
          <w:p w14:paraId="54ABDA0F">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28-day mortality, n (%)</w:t>
            </w:r>
          </w:p>
        </w:tc>
        <w:tc>
          <w:tcPr>
            <w:tcW w:w="0" w:type="auto"/>
          </w:tcPr>
          <w:p w14:paraId="5FD9443E">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243 (41.8)</w:t>
            </w:r>
          </w:p>
        </w:tc>
      </w:tr>
    </w:tbl>
    <w:p w14:paraId="24616A41">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 xml:space="preserve">IQR = interquartile range; SOFA = Sequential Organ Failure Assessment; PF = PaO₂/FiO₂; SF = SpO₂/FiO₂; ARDS = acute respiratory distress syndrome. </w:t>
      </w:r>
    </w:p>
    <w:p w14:paraId="483610FC">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 Data were based on our primary selection strategy (first SF-PF pair).</w:t>
      </w:r>
    </w:p>
    <w:p w14:paraId="5D36776D">
      <w:pPr>
        <w:pStyle w:val="4"/>
        <w:spacing w:before="0" w:beforeAutospacing="0" w:after="0" w:afterAutospacing="0" w:line="360" w:lineRule="auto"/>
        <w:rPr>
          <w:rFonts w:ascii="Calibri" w:hAnsi="Calibri" w:cs="Calibri"/>
          <w:color w:val="auto"/>
          <w:sz w:val="24"/>
          <w:szCs w:val="24"/>
        </w:rPr>
        <w:sectPr>
          <w:pgSz w:w="11900" w:h="16840"/>
          <w:pgMar w:top="1440" w:right="1800" w:bottom="1440" w:left="1800" w:header="851" w:footer="992" w:gutter="0"/>
          <w:pgBorders>
            <w:top w:val="none" w:sz="0" w:space="0"/>
            <w:left w:val="none" w:sz="0" w:space="0"/>
            <w:bottom w:val="none" w:sz="0" w:space="0"/>
            <w:right w:val="none" w:sz="0" w:space="0"/>
          </w:pgBorders>
          <w:lnNumType w:countBy="1" w:restart="continuous"/>
          <w:cols w:space="425" w:num="1"/>
          <w:docGrid w:type="lines" w:linePitch="312" w:charSpace="0"/>
        </w:sectPr>
      </w:pPr>
    </w:p>
    <w:p w14:paraId="0D906F4F">
      <w:pPr>
        <w:pStyle w:val="4"/>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Table S2: SF versus PF Classification Concordance Analysis</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80"/>
        <w:gridCol w:w="2317"/>
        <w:gridCol w:w="2804"/>
      </w:tblGrid>
      <w:tr w14:paraId="02EAB2DE">
        <w:tc>
          <w:tcPr>
            <w:tcW w:w="0" w:type="auto"/>
          </w:tcPr>
          <w:p w14:paraId="790AF3F3">
            <w:pPr>
              <w:pStyle w:val="4"/>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Classification Concordance</w:t>
            </w:r>
          </w:p>
        </w:tc>
        <w:tc>
          <w:tcPr>
            <w:tcW w:w="0" w:type="auto"/>
          </w:tcPr>
          <w:p w14:paraId="343DB1B5">
            <w:pPr>
              <w:pStyle w:val="4"/>
              <w:spacing w:before="0" w:beforeAutospacing="0" w:after="0" w:afterAutospacing="0" w:line="360" w:lineRule="auto"/>
              <w:jc w:val="center"/>
              <w:rPr>
                <w:rFonts w:ascii="Calibri" w:hAnsi="Calibri" w:cs="Calibri"/>
                <w:color w:val="auto"/>
                <w:sz w:val="24"/>
                <w:szCs w:val="24"/>
              </w:rPr>
            </w:pPr>
            <w:r>
              <w:rPr>
                <w:rFonts w:ascii="Calibri" w:hAnsi="Calibri" w:cs="Calibri"/>
                <w:color w:val="auto"/>
                <w:sz w:val="24"/>
                <w:szCs w:val="24"/>
              </w:rPr>
              <w:t>Frequency (n=582)</w:t>
            </w:r>
          </w:p>
        </w:tc>
        <w:tc>
          <w:tcPr>
            <w:tcW w:w="0" w:type="auto"/>
          </w:tcPr>
          <w:p w14:paraId="3DD72D1E">
            <w:pPr>
              <w:pStyle w:val="4"/>
              <w:spacing w:before="0" w:beforeAutospacing="0" w:after="0" w:afterAutospacing="0" w:line="360" w:lineRule="auto"/>
              <w:jc w:val="center"/>
              <w:rPr>
                <w:rFonts w:ascii="Calibri" w:hAnsi="Calibri" w:cs="Calibri"/>
                <w:color w:val="auto"/>
                <w:sz w:val="24"/>
                <w:szCs w:val="24"/>
              </w:rPr>
            </w:pPr>
            <w:r>
              <w:rPr>
                <w:rFonts w:ascii="Calibri" w:hAnsi="Calibri" w:cs="Calibri"/>
                <w:color w:val="auto"/>
                <w:sz w:val="24"/>
                <w:szCs w:val="24"/>
              </w:rPr>
              <w:t>Percentage (%)</w:t>
            </w:r>
          </w:p>
        </w:tc>
      </w:tr>
      <w:tr w14:paraId="24715253">
        <w:tc>
          <w:tcPr>
            <w:tcW w:w="0" w:type="auto"/>
          </w:tcPr>
          <w:p w14:paraId="00DC8F65">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Concordant classifications</w:t>
            </w:r>
          </w:p>
        </w:tc>
        <w:tc>
          <w:tcPr>
            <w:tcW w:w="0" w:type="auto"/>
          </w:tcPr>
          <w:p w14:paraId="2875D7A2">
            <w:pPr>
              <w:pStyle w:val="4"/>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357</w:t>
            </w:r>
          </w:p>
        </w:tc>
        <w:tc>
          <w:tcPr>
            <w:tcW w:w="0" w:type="auto"/>
          </w:tcPr>
          <w:p w14:paraId="4BDE2654">
            <w:pPr>
              <w:pStyle w:val="4"/>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61.3 (95% CI 57.4–65.3)</w:t>
            </w:r>
          </w:p>
        </w:tc>
      </w:tr>
      <w:tr w14:paraId="1688DFBB">
        <w:tc>
          <w:tcPr>
            <w:tcW w:w="0" w:type="auto"/>
          </w:tcPr>
          <w:p w14:paraId="2A70083B">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Discordant classifications</w:t>
            </w:r>
          </w:p>
        </w:tc>
        <w:tc>
          <w:tcPr>
            <w:tcW w:w="0" w:type="auto"/>
          </w:tcPr>
          <w:p w14:paraId="26F87D40">
            <w:pPr>
              <w:pStyle w:val="4"/>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225</w:t>
            </w:r>
          </w:p>
        </w:tc>
        <w:tc>
          <w:tcPr>
            <w:tcW w:w="0" w:type="auto"/>
          </w:tcPr>
          <w:p w14:paraId="25E9D479">
            <w:pPr>
              <w:pStyle w:val="4"/>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38.7 (95% CI 34.7–42.6)</w:t>
            </w:r>
          </w:p>
        </w:tc>
      </w:tr>
      <w:tr w14:paraId="0FB02651">
        <w:tc>
          <w:tcPr>
            <w:tcW w:w="0" w:type="auto"/>
          </w:tcPr>
          <w:p w14:paraId="1BFBBE23">
            <w:pPr>
              <w:pStyle w:val="4"/>
              <w:spacing w:before="0" w:beforeAutospacing="0" w:after="0" w:afterAutospacing="0" w:line="360" w:lineRule="auto"/>
              <w:ind w:firstLine="240" w:firstLineChars="100"/>
              <w:rPr>
                <w:rFonts w:ascii="Calibri" w:hAnsi="Calibri" w:cs="Calibri"/>
                <w:b w:val="0"/>
                <w:color w:val="auto"/>
                <w:sz w:val="24"/>
                <w:szCs w:val="24"/>
              </w:rPr>
            </w:pPr>
            <w:r>
              <w:rPr>
                <w:rFonts w:ascii="Calibri" w:hAnsi="Calibri" w:cs="Calibri"/>
                <w:b w:val="0"/>
                <w:color w:val="auto"/>
                <w:sz w:val="24"/>
                <w:szCs w:val="24"/>
              </w:rPr>
              <w:t>SF &gt; PF *</w:t>
            </w:r>
          </w:p>
        </w:tc>
        <w:tc>
          <w:tcPr>
            <w:tcW w:w="0" w:type="auto"/>
          </w:tcPr>
          <w:p w14:paraId="23B9F6D8">
            <w:pPr>
              <w:pStyle w:val="4"/>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208</w:t>
            </w:r>
          </w:p>
        </w:tc>
        <w:tc>
          <w:tcPr>
            <w:tcW w:w="0" w:type="auto"/>
          </w:tcPr>
          <w:p w14:paraId="303F83CD">
            <w:pPr>
              <w:pStyle w:val="4"/>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92.4 (95% CI 88.9–95.9)</w:t>
            </w:r>
          </w:p>
        </w:tc>
      </w:tr>
      <w:tr w14:paraId="18A67220">
        <w:tc>
          <w:tcPr>
            <w:tcW w:w="0" w:type="auto"/>
          </w:tcPr>
          <w:p w14:paraId="73BAB8E8">
            <w:pPr>
              <w:pStyle w:val="4"/>
              <w:spacing w:before="0" w:beforeAutospacing="0" w:after="0" w:afterAutospacing="0" w:line="360" w:lineRule="auto"/>
              <w:ind w:firstLine="240" w:firstLineChars="100"/>
              <w:rPr>
                <w:rFonts w:ascii="Calibri" w:hAnsi="Calibri" w:cs="Calibri"/>
                <w:b w:val="0"/>
                <w:color w:val="auto"/>
                <w:sz w:val="24"/>
                <w:szCs w:val="24"/>
              </w:rPr>
            </w:pPr>
            <w:r>
              <w:rPr>
                <w:rFonts w:ascii="Calibri" w:hAnsi="Calibri" w:cs="Calibri"/>
                <w:b w:val="0"/>
                <w:color w:val="auto"/>
                <w:sz w:val="24"/>
                <w:szCs w:val="24"/>
              </w:rPr>
              <w:t>SF &lt; PF *</w:t>
            </w:r>
          </w:p>
        </w:tc>
        <w:tc>
          <w:tcPr>
            <w:tcW w:w="0" w:type="auto"/>
          </w:tcPr>
          <w:p w14:paraId="5D54810F">
            <w:pPr>
              <w:pStyle w:val="4"/>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17</w:t>
            </w:r>
          </w:p>
        </w:tc>
        <w:tc>
          <w:tcPr>
            <w:tcW w:w="0" w:type="auto"/>
          </w:tcPr>
          <w:p w14:paraId="0DE80221">
            <w:pPr>
              <w:pStyle w:val="4"/>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7.6 (95% CI 4.1–11.0)</w:t>
            </w:r>
          </w:p>
        </w:tc>
      </w:tr>
    </w:tbl>
    <w:p w14:paraId="4474E9B3">
      <w:pPr>
        <w:pStyle w:val="8"/>
        <w:spacing w:before="0" w:beforeAutospacing="0" w:after="0" w:afterAutospacing="0" w:line="360" w:lineRule="auto"/>
        <w:rPr>
          <w:rFonts w:ascii="Calibri" w:hAnsi="Calibri" w:cs="Calibri"/>
          <w:color w:val="auto"/>
        </w:rPr>
      </w:pPr>
      <w:r>
        <w:rPr>
          <w:rFonts w:ascii="Calibri" w:hAnsi="Calibri" w:cs="Calibri"/>
          <w:color w:val="auto"/>
        </w:rPr>
        <w:t>*Percentages calculated based on total discordant cases (n=225)</w:t>
      </w:r>
    </w:p>
    <w:p w14:paraId="54365B15">
      <w:pPr>
        <w:pStyle w:val="4"/>
        <w:spacing w:before="0" w:beforeAutospacing="0" w:after="0" w:afterAutospacing="0" w:line="360" w:lineRule="auto"/>
        <w:rPr>
          <w:rFonts w:ascii="Calibri" w:hAnsi="Calibri" w:cs="Calibri"/>
          <w:color w:val="auto"/>
          <w:sz w:val="24"/>
          <w:szCs w:val="24"/>
        </w:rPr>
      </w:pPr>
    </w:p>
    <w:p w14:paraId="4451136A">
      <w:pPr>
        <w:pStyle w:val="4"/>
        <w:spacing w:before="0" w:beforeAutospacing="0" w:after="0" w:afterAutospacing="0" w:line="360" w:lineRule="auto"/>
        <w:rPr>
          <w:rFonts w:ascii="Calibri" w:hAnsi="Calibri" w:cs="Calibri"/>
          <w:color w:val="auto"/>
          <w:sz w:val="24"/>
          <w:szCs w:val="24"/>
        </w:rPr>
        <w:sectPr>
          <w:pgSz w:w="11900" w:h="16840"/>
          <w:pgMar w:top="1440" w:right="1800" w:bottom="1440" w:left="1800" w:header="851" w:footer="992" w:gutter="0"/>
          <w:pgBorders>
            <w:top w:val="none" w:sz="0" w:space="0"/>
            <w:left w:val="none" w:sz="0" w:space="0"/>
            <w:bottom w:val="none" w:sz="0" w:space="0"/>
            <w:right w:val="none" w:sz="0" w:space="0"/>
          </w:pgBorders>
          <w:lnNumType w:countBy="1" w:restart="continuous"/>
          <w:cols w:space="425" w:num="1"/>
          <w:docGrid w:type="lines" w:linePitch="312" w:charSpace="0"/>
        </w:sectPr>
      </w:pPr>
    </w:p>
    <w:p w14:paraId="75629ABA">
      <w:pPr>
        <w:pStyle w:val="4"/>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Table S3: Cross-tabulation of SF and PF Classifications</w:t>
      </w:r>
    </w:p>
    <w:tbl>
      <w:tblPr>
        <w:tblStyle w:val="10"/>
        <w:tblpPr w:leftFromText="180" w:rightFromText="180" w:vertAnchor="text" w:horzAnchor="margin" w:tblpY="175"/>
        <w:tblW w:w="0" w:type="auto"/>
        <w:tblInd w:w="0" w:type="dxa"/>
        <w:tblBorders>
          <w:top w:val="single" w:color="FF0000" w:sz="4" w:space="0"/>
          <w:left w:val="single" w:color="FF0000" w:sz="4" w:space="0"/>
          <w:bottom w:val="single" w:color="FF0000" w:sz="4" w:space="0"/>
          <w:right w:val="single" w:color="FF0000" w:sz="4" w:space="0"/>
          <w:insideH w:val="single" w:color="FF0000" w:sz="4" w:space="0"/>
          <w:insideV w:val="single" w:color="FF0000" w:sz="4" w:space="0"/>
        </w:tblBorders>
        <w:tblLayout w:type="autofit"/>
        <w:tblCellMar>
          <w:top w:w="0" w:type="dxa"/>
          <w:left w:w="108" w:type="dxa"/>
          <w:bottom w:w="0" w:type="dxa"/>
          <w:right w:w="108" w:type="dxa"/>
        </w:tblCellMar>
      </w:tblPr>
      <w:tblGrid>
        <w:gridCol w:w="2121"/>
        <w:gridCol w:w="993"/>
        <w:gridCol w:w="1276"/>
        <w:gridCol w:w="1701"/>
        <w:gridCol w:w="1631"/>
        <w:gridCol w:w="794"/>
      </w:tblGrid>
      <w:tr w14:paraId="694B9F74">
        <w:tc>
          <w:tcPr>
            <w:tcW w:w="212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2D6CDE0">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rPr>
                <w:rFonts w:ascii="Calibri" w:hAnsi="Calibri" w:cs="Calibri"/>
                <w:color w:val="auto"/>
                <w:sz w:val="24"/>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5A4F166">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eastAsia="宋体" w:cs="Calibri"/>
                <w:b/>
                <w:bCs/>
                <w:color w:val="auto"/>
                <w:sz w:val="24"/>
              </w:rPr>
            </w:pPr>
            <w:r>
              <w:rPr>
                <w:rFonts w:ascii="Calibri" w:hAnsi="Calibri" w:cs="Calibri"/>
                <w:b/>
                <w:bCs/>
                <w:color w:val="auto"/>
                <w:sz w:val="24"/>
              </w:rPr>
              <w:t>PF No ARDS</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3CDCCE5">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b/>
                <w:bCs/>
                <w:color w:val="auto"/>
                <w:sz w:val="24"/>
              </w:rPr>
            </w:pPr>
            <w:r>
              <w:rPr>
                <w:rFonts w:ascii="Calibri" w:hAnsi="Calibri" w:cs="Calibri"/>
                <w:b/>
                <w:bCs/>
                <w:color w:val="auto"/>
                <w:sz w:val="24"/>
              </w:rPr>
              <w:t>PF Mild ARDS</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93A23D1">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b/>
                <w:bCs/>
                <w:color w:val="auto"/>
                <w:sz w:val="24"/>
              </w:rPr>
            </w:pPr>
            <w:r>
              <w:rPr>
                <w:rFonts w:ascii="Calibri" w:hAnsi="Calibri" w:cs="Calibri"/>
                <w:b/>
                <w:bCs/>
                <w:color w:val="auto"/>
                <w:sz w:val="24"/>
              </w:rPr>
              <w:t>PF Moderate ARDS</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67CCC5D">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b/>
                <w:bCs/>
                <w:color w:val="auto"/>
                <w:sz w:val="24"/>
              </w:rPr>
            </w:pPr>
            <w:r>
              <w:rPr>
                <w:rFonts w:ascii="Calibri" w:hAnsi="Calibri" w:cs="Calibri"/>
                <w:b/>
                <w:bCs/>
                <w:color w:val="auto"/>
                <w:sz w:val="24"/>
              </w:rPr>
              <w:t>PF Severe ARDS</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CB8D18B">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b/>
                <w:bCs/>
                <w:color w:val="auto"/>
                <w:sz w:val="24"/>
              </w:rPr>
            </w:pPr>
            <w:r>
              <w:rPr>
                <w:rFonts w:ascii="Calibri" w:hAnsi="Calibri" w:cs="Calibri"/>
                <w:b/>
                <w:bCs/>
                <w:color w:val="auto"/>
                <w:sz w:val="24"/>
              </w:rPr>
              <w:t>Total</w:t>
            </w:r>
          </w:p>
        </w:tc>
      </w:tr>
      <w:tr w14:paraId="63719C3B">
        <w:tc>
          <w:tcPr>
            <w:tcW w:w="212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5311CCE">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left"/>
              <w:rPr>
                <w:rFonts w:ascii="Calibri" w:hAnsi="Calibri" w:cs="Calibri"/>
                <w:b/>
                <w:color w:val="auto"/>
                <w:sz w:val="24"/>
              </w:rPr>
            </w:pPr>
            <w:r>
              <w:rPr>
                <w:rFonts w:ascii="Calibri" w:hAnsi="Calibri" w:cs="Calibri"/>
                <w:b/>
                <w:color w:val="auto"/>
                <w:sz w:val="24"/>
              </w:rPr>
              <w:t>SF No ARDS</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82AC163">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color w:val="auto"/>
                <w:sz w:val="24"/>
              </w:rPr>
            </w:pPr>
            <w:r>
              <w:rPr>
                <w:rFonts w:ascii="Calibri" w:hAnsi="Calibri" w:cs="Calibri"/>
                <w:color w:val="auto"/>
                <w:sz w:val="24"/>
              </w:rPr>
              <w:t>5</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B49AF6F">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color w:val="auto"/>
                <w:sz w:val="24"/>
              </w:rPr>
            </w:pPr>
            <w:r>
              <w:rPr>
                <w:rFonts w:ascii="Calibri" w:hAnsi="Calibri" w:cs="Calibri"/>
                <w:color w:val="auto"/>
                <w:sz w:val="24"/>
              </w:rPr>
              <w:t>4</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4DBFF35">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color w:val="auto"/>
                <w:sz w:val="24"/>
              </w:rPr>
            </w:pPr>
            <w:r>
              <w:rPr>
                <w:rFonts w:ascii="Calibri" w:hAnsi="Calibri" w:cs="Calibri"/>
                <w:color w:val="auto"/>
                <w:sz w:val="24"/>
              </w:rPr>
              <w:t>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6DA4B7A">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color w:val="auto"/>
                <w:sz w:val="24"/>
              </w:rPr>
            </w:pPr>
            <w:r>
              <w:rPr>
                <w:rFonts w:ascii="Calibri" w:hAnsi="Calibri" w:cs="Calibri"/>
                <w:color w:val="auto"/>
                <w:sz w:val="24"/>
              </w:rPr>
              <w:t>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F8E5C24">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color w:val="auto"/>
                <w:sz w:val="24"/>
              </w:rPr>
            </w:pPr>
            <w:r>
              <w:rPr>
                <w:rFonts w:ascii="Calibri" w:hAnsi="Calibri" w:cs="Calibri"/>
                <w:color w:val="auto"/>
                <w:sz w:val="24"/>
              </w:rPr>
              <w:t>9</w:t>
            </w:r>
          </w:p>
        </w:tc>
      </w:tr>
      <w:tr w14:paraId="24C7BCA6">
        <w:tc>
          <w:tcPr>
            <w:tcW w:w="212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8836465">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rPr>
                <w:rFonts w:ascii="Calibri" w:hAnsi="Calibri" w:cs="Calibri"/>
                <w:b/>
                <w:color w:val="auto"/>
                <w:sz w:val="24"/>
              </w:rPr>
            </w:pPr>
            <w:r>
              <w:rPr>
                <w:rFonts w:ascii="Calibri" w:hAnsi="Calibri" w:cs="Calibri"/>
                <w:b/>
                <w:color w:val="auto"/>
                <w:sz w:val="24"/>
              </w:rPr>
              <w:t>SF Mild ARDS</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3AF2BD2">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color w:val="auto"/>
                <w:sz w:val="24"/>
              </w:rPr>
            </w:pPr>
            <w:r>
              <w:rPr>
                <w:rFonts w:ascii="Calibri" w:hAnsi="Calibri" w:cs="Calibri"/>
                <w:color w:val="auto"/>
                <w:sz w:val="24"/>
              </w:rPr>
              <w:t>9</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30C272">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color w:val="auto"/>
                <w:sz w:val="24"/>
              </w:rPr>
            </w:pPr>
            <w:r>
              <w:rPr>
                <w:rFonts w:ascii="Calibri" w:hAnsi="Calibri" w:cs="Calibri"/>
                <w:color w:val="auto"/>
                <w:sz w:val="24"/>
              </w:rPr>
              <w:t>24</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3A0813B">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color w:val="auto"/>
                <w:sz w:val="24"/>
              </w:rPr>
            </w:pPr>
            <w:r>
              <w:rPr>
                <w:rFonts w:ascii="Calibri" w:hAnsi="Calibri" w:cs="Calibri"/>
                <w:color w:val="auto"/>
                <w:sz w:val="24"/>
              </w:rPr>
              <w:t>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F8A8AFA">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color w:val="auto"/>
                <w:sz w:val="24"/>
              </w:rPr>
            </w:pPr>
            <w:r>
              <w:rPr>
                <w:rFonts w:ascii="Calibri" w:hAnsi="Calibri" w:cs="Calibri"/>
                <w:color w:val="auto"/>
                <w:sz w:val="24"/>
              </w:rPr>
              <w:t>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1026ACC">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color w:val="auto"/>
                <w:sz w:val="24"/>
              </w:rPr>
            </w:pPr>
            <w:r>
              <w:rPr>
                <w:rFonts w:ascii="Calibri" w:hAnsi="Calibri" w:cs="Calibri"/>
                <w:color w:val="auto"/>
                <w:sz w:val="24"/>
              </w:rPr>
              <w:t>42</w:t>
            </w:r>
          </w:p>
        </w:tc>
      </w:tr>
      <w:tr w14:paraId="06FA37F1">
        <w:tc>
          <w:tcPr>
            <w:tcW w:w="212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D9CEA0C">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rPr>
                <w:rFonts w:ascii="Calibri" w:hAnsi="Calibri" w:cs="Calibri"/>
                <w:b/>
                <w:color w:val="auto"/>
                <w:sz w:val="24"/>
              </w:rPr>
            </w:pPr>
            <w:r>
              <w:rPr>
                <w:rFonts w:ascii="Calibri" w:hAnsi="Calibri" w:cs="Calibri"/>
                <w:b/>
                <w:color w:val="auto"/>
                <w:sz w:val="24"/>
              </w:rPr>
              <w:t>SF Moderate ARDS</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7CB9B9D">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color w:val="auto"/>
                <w:sz w:val="24"/>
              </w:rPr>
            </w:pPr>
            <w:r>
              <w:rPr>
                <w:rFonts w:ascii="Calibri" w:hAnsi="Calibri" w:cs="Calibri"/>
                <w:color w:val="auto"/>
                <w:sz w:val="24"/>
              </w:rPr>
              <w:t>9</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91D93ED">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color w:val="auto"/>
                <w:sz w:val="24"/>
              </w:rPr>
            </w:pPr>
            <w:r>
              <w:rPr>
                <w:rFonts w:ascii="Calibri" w:hAnsi="Calibri" w:cs="Calibri"/>
                <w:color w:val="auto"/>
                <w:sz w:val="24"/>
              </w:rPr>
              <w:t>33</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EC0C64A">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color w:val="auto"/>
                <w:sz w:val="24"/>
              </w:rPr>
            </w:pPr>
            <w:r>
              <w:rPr>
                <w:rFonts w:ascii="Calibri" w:hAnsi="Calibri" w:cs="Calibri"/>
                <w:color w:val="auto"/>
                <w:sz w:val="24"/>
              </w:rPr>
              <w:t>113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483BA89">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color w:val="auto"/>
                <w:sz w:val="24"/>
              </w:rPr>
            </w:pPr>
            <w:r>
              <w:rPr>
                <w:rFonts w:ascii="Calibri" w:hAnsi="Calibri" w:cs="Calibri"/>
                <w:color w:val="auto"/>
                <w:sz w:val="24"/>
              </w:rPr>
              <w:t>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C97CF59">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color w:val="auto"/>
                <w:sz w:val="24"/>
              </w:rPr>
            </w:pPr>
            <w:r>
              <w:rPr>
                <w:rFonts w:ascii="Calibri" w:hAnsi="Calibri" w:cs="Calibri"/>
                <w:color w:val="auto"/>
                <w:sz w:val="24"/>
              </w:rPr>
              <w:t>159</w:t>
            </w:r>
          </w:p>
        </w:tc>
      </w:tr>
      <w:tr w14:paraId="1652DD7B">
        <w:tc>
          <w:tcPr>
            <w:tcW w:w="212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840CB47">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rPr>
                <w:rFonts w:ascii="Calibri" w:hAnsi="Calibri" w:cs="Calibri"/>
                <w:b/>
                <w:color w:val="auto"/>
                <w:sz w:val="24"/>
              </w:rPr>
            </w:pPr>
            <w:r>
              <w:rPr>
                <w:rFonts w:ascii="Calibri" w:hAnsi="Calibri" w:cs="Calibri"/>
                <w:b/>
                <w:color w:val="auto"/>
                <w:sz w:val="24"/>
              </w:rPr>
              <w:t>SF Severe ARDS</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8C33B81">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color w:val="auto"/>
                <w:sz w:val="24"/>
              </w:rPr>
            </w:pPr>
            <w:r>
              <w:rPr>
                <w:rFonts w:ascii="Calibri" w:hAnsi="Calibri" w:cs="Calibri"/>
                <w:color w:val="auto"/>
                <w:sz w:val="24"/>
              </w:rPr>
              <w:t>2</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CEC676">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color w:val="auto"/>
                <w:sz w:val="24"/>
              </w:rPr>
            </w:pPr>
            <w:r>
              <w:rPr>
                <w:rFonts w:ascii="Calibri" w:hAnsi="Calibri" w:cs="Calibri"/>
                <w:color w:val="auto"/>
                <w:sz w:val="24"/>
              </w:rPr>
              <w:t>16</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BA08DC9">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color w:val="auto"/>
                <w:sz w:val="24"/>
              </w:rPr>
            </w:pPr>
            <w:r>
              <w:rPr>
                <w:rFonts w:ascii="Calibri" w:hAnsi="Calibri" w:cs="Calibri"/>
                <w:color w:val="auto"/>
                <w:sz w:val="24"/>
              </w:rPr>
              <w:t>139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96C27AC">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color w:val="auto"/>
                <w:sz w:val="24"/>
              </w:rPr>
            </w:pPr>
            <w:r>
              <w:rPr>
                <w:rFonts w:ascii="Calibri" w:hAnsi="Calibri" w:cs="Calibri"/>
                <w:color w:val="auto"/>
                <w:sz w:val="24"/>
              </w:rPr>
              <w:t>215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3AA82E">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color w:val="auto"/>
                <w:sz w:val="24"/>
              </w:rPr>
            </w:pPr>
            <w:r>
              <w:rPr>
                <w:rFonts w:ascii="Calibri" w:hAnsi="Calibri" w:cs="Calibri"/>
                <w:color w:val="auto"/>
                <w:sz w:val="24"/>
              </w:rPr>
              <w:t>372</w:t>
            </w:r>
          </w:p>
        </w:tc>
      </w:tr>
      <w:tr w14:paraId="4E3CAC71">
        <w:tc>
          <w:tcPr>
            <w:tcW w:w="212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4077953">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rPr>
                <w:rFonts w:ascii="Calibri" w:hAnsi="Calibri" w:cs="Calibri"/>
                <w:color w:val="auto"/>
                <w:sz w:val="24"/>
              </w:rPr>
            </w:pPr>
            <w:r>
              <w:rPr>
                <w:rStyle w:val="12"/>
                <w:rFonts w:ascii="Calibri" w:hAnsi="Calibri" w:cs="Calibri"/>
                <w:color w:val="auto"/>
                <w:sz w:val="24"/>
              </w:rPr>
              <w:t>Total</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DC61D20">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b/>
                <w:color w:val="auto"/>
                <w:sz w:val="24"/>
              </w:rPr>
            </w:pPr>
            <w:r>
              <w:rPr>
                <w:rStyle w:val="12"/>
                <w:rFonts w:ascii="Calibri" w:hAnsi="Calibri" w:cs="Calibri"/>
                <w:b w:val="0"/>
                <w:color w:val="auto"/>
                <w:sz w:val="24"/>
              </w:rPr>
              <w:t>25</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4582267">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b/>
                <w:color w:val="auto"/>
                <w:sz w:val="24"/>
              </w:rPr>
            </w:pPr>
            <w:r>
              <w:rPr>
                <w:rStyle w:val="12"/>
                <w:rFonts w:ascii="Calibri" w:hAnsi="Calibri" w:cs="Calibri"/>
                <w:b w:val="0"/>
                <w:color w:val="auto"/>
                <w:sz w:val="24"/>
              </w:rPr>
              <w:t>77</w:t>
            </w: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2C91B9">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b/>
                <w:color w:val="auto"/>
                <w:sz w:val="24"/>
              </w:rPr>
            </w:pPr>
            <w:r>
              <w:rPr>
                <w:rStyle w:val="12"/>
                <w:rFonts w:ascii="Calibri" w:hAnsi="Calibri" w:cs="Calibri"/>
                <w:b w:val="0"/>
                <w:color w:val="auto"/>
                <w:sz w:val="24"/>
              </w:rPr>
              <w:t>261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CDF4AEA">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b/>
                <w:color w:val="auto"/>
                <w:sz w:val="24"/>
              </w:rPr>
            </w:pPr>
            <w:r>
              <w:rPr>
                <w:rStyle w:val="12"/>
                <w:rFonts w:ascii="Calibri" w:hAnsi="Calibri" w:cs="Calibri"/>
                <w:b w:val="0"/>
                <w:color w:val="auto"/>
                <w:sz w:val="24"/>
              </w:rPr>
              <w:t>219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D49AB48">
            <w:pPr>
              <w:pBdr>
                <w:top w:val="none" w:color="auto" w:sz="0" w:space="1"/>
                <w:left w:val="none" w:color="auto" w:sz="0" w:space="4"/>
                <w:bottom w:val="none" w:color="auto" w:sz="0" w:space="1"/>
                <w:right w:val="none" w:color="auto" w:sz="0" w:space="4"/>
                <w:between w:val="none" w:color="auto" w:sz="0" w:space="0"/>
              </w:pBdr>
              <w:spacing w:before="0" w:beforeAutospacing="0" w:after="0" w:afterAutospacing="0" w:line="360" w:lineRule="auto"/>
              <w:jc w:val="center"/>
              <w:rPr>
                <w:rFonts w:ascii="Calibri" w:hAnsi="Calibri" w:cs="Calibri"/>
                <w:b/>
                <w:color w:val="auto"/>
                <w:sz w:val="24"/>
              </w:rPr>
            </w:pPr>
            <w:r>
              <w:rPr>
                <w:rStyle w:val="12"/>
                <w:rFonts w:ascii="Calibri" w:hAnsi="Calibri" w:cs="Calibri"/>
                <w:b w:val="0"/>
                <w:color w:val="auto"/>
                <w:sz w:val="24"/>
              </w:rPr>
              <w:t>582</w:t>
            </w:r>
          </w:p>
        </w:tc>
      </w:tr>
    </w:tbl>
    <w:p w14:paraId="08B0493D">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The observed agreement between SF-based and PF-based classifications was 61.34%. The weighted kappa coefficient was 0.3832 (95% CI: 0.328-0.438, P &lt; 0.001). The expected agreement by chance was 37.32%.</w:t>
      </w:r>
    </w:p>
    <w:p w14:paraId="6DF668FF">
      <w:pPr>
        <w:pStyle w:val="4"/>
        <w:spacing w:before="0" w:beforeAutospacing="0" w:after="0" w:afterAutospacing="0" w:line="360" w:lineRule="auto"/>
        <w:rPr>
          <w:rFonts w:ascii="Calibri" w:hAnsi="Calibri" w:cs="Calibri"/>
          <w:color w:val="auto"/>
          <w:sz w:val="24"/>
          <w:szCs w:val="24"/>
        </w:rPr>
      </w:pPr>
    </w:p>
    <w:p w14:paraId="2126F58D">
      <w:pPr>
        <w:pStyle w:val="4"/>
        <w:spacing w:before="0" w:beforeAutospacing="0" w:after="0" w:afterAutospacing="0" w:line="360" w:lineRule="auto"/>
        <w:rPr>
          <w:rFonts w:ascii="Calibri" w:hAnsi="Calibri" w:cs="Calibri"/>
          <w:color w:val="auto"/>
          <w:sz w:val="24"/>
          <w:szCs w:val="24"/>
        </w:rPr>
      </w:pPr>
    </w:p>
    <w:p w14:paraId="6EA6DFE3">
      <w:pPr>
        <w:pStyle w:val="4"/>
        <w:spacing w:before="0" w:beforeAutospacing="0" w:after="0" w:afterAutospacing="0" w:line="360" w:lineRule="auto"/>
        <w:rPr>
          <w:rFonts w:ascii="Calibri" w:hAnsi="Calibri" w:cs="Calibri"/>
          <w:color w:val="auto"/>
          <w:sz w:val="24"/>
          <w:szCs w:val="24"/>
        </w:rPr>
      </w:pPr>
    </w:p>
    <w:p w14:paraId="12E7F41D">
      <w:pPr>
        <w:pStyle w:val="4"/>
        <w:spacing w:before="0" w:beforeAutospacing="0" w:after="0" w:afterAutospacing="0" w:line="360" w:lineRule="auto"/>
        <w:rPr>
          <w:rFonts w:ascii="Calibri" w:hAnsi="Calibri" w:cs="Calibri"/>
          <w:color w:val="auto"/>
          <w:sz w:val="24"/>
          <w:szCs w:val="24"/>
        </w:rPr>
      </w:pPr>
    </w:p>
    <w:p w14:paraId="678CBEB2">
      <w:pPr>
        <w:pStyle w:val="4"/>
        <w:spacing w:before="0" w:beforeAutospacing="0" w:after="0" w:afterAutospacing="0" w:line="360" w:lineRule="auto"/>
        <w:rPr>
          <w:rFonts w:ascii="Calibri" w:hAnsi="Calibri" w:cs="Calibri"/>
          <w:color w:val="auto"/>
          <w:sz w:val="24"/>
          <w:szCs w:val="24"/>
        </w:rPr>
      </w:pPr>
    </w:p>
    <w:p w14:paraId="1D7C9B6B">
      <w:pPr>
        <w:pStyle w:val="4"/>
        <w:spacing w:before="0" w:beforeAutospacing="0" w:after="0" w:afterAutospacing="0" w:line="360" w:lineRule="auto"/>
        <w:rPr>
          <w:rFonts w:ascii="Calibri" w:hAnsi="Calibri" w:cs="Calibri"/>
          <w:color w:val="auto"/>
          <w:sz w:val="24"/>
          <w:szCs w:val="24"/>
        </w:rPr>
        <w:sectPr>
          <w:pgSz w:w="11900" w:h="16840"/>
          <w:pgMar w:top="1440" w:right="1800" w:bottom="1440" w:left="1800" w:header="851" w:footer="992" w:gutter="0"/>
          <w:pgBorders>
            <w:top w:val="none" w:sz="0" w:space="0"/>
            <w:left w:val="none" w:sz="0" w:space="0"/>
            <w:bottom w:val="none" w:sz="0" w:space="0"/>
            <w:right w:val="none" w:sz="0" w:space="0"/>
          </w:pgBorders>
          <w:lnNumType w:countBy="1" w:restart="continuous"/>
          <w:cols w:space="425" w:num="1"/>
          <w:docGrid w:type="lines" w:linePitch="312" w:charSpace="0"/>
        </w:sectPr>
      </w:pPr>
      <w:bookmarkStart w:id="0" w:name="_GoBack"/>
      <w:bookmarkEnd w:id="0"/>
    </w:p>
    <w:p w14:paraId="506308CC">
      <w:pPr>
        <w:spacing w:line="360" w:lineRule="auto"/>
        <w:rPr>
          <w:rFonts w:ascii="Calibri" w:hAnsi="Calibri" w:cs="Calibri"/>
          <w:color w:val="auto"/>
          <w:sz w:val="24"/>
        </w:rPr>
      </w:pPr>
      <w:r>
        <w:rPr>
          <w:rFonts w:ascii="Calibri" w:hAnsi="Calibri" w:cs="Calibri"/>
          <w:b/>
          <w:bCs/>
          <w:color w:val="auto"/>
          <w:sz w:val="24"/>
        </w:rPr>
        <w:t>Table S4: 28-Day Mortality Rates by SF-based and PF-based ARDS Severity Classification</w:t>
      </w:r>
    </w:p>
    <w:tbl>
      <w:tblPr>
        <w:tblStyle w:val="10"/>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123"/>
        <w:gridCol w:w="562"/>
        <w:gridCol w:w="916"/>
        <w:gridCol w:w="1091"/>
        <w:gridCol w:w="1127"/>
        <w:gridCol w:w="562"/>
        <w:gridCol w:w="916"/>
        <w:gridCol w:w="1091"/>
        <w:gridCol w:w="1128"/>
      </w:tblGrid>
      <w:tr w14:paraId="2904DDD1">
        <w:tc>
          <w:tcPr>
            <w:tcW w:w="0" w:type="auto"/>
            <w:tcBorders>
              <w:tl2br w:val="nil"/>
              <w:tr2bl w:val="nil"/>
            </w:tcBorders>
          </w:tcPr>
          <w:p w14:paraId="02556B68">
            <w:pPr>
              <w:spacing w:line="360" w:lineRule="auto"/>
              <w:rPr>
                <w:rFonts w:ascii="Calibri" w:hAnsi="Calibri" w:cs="Calibri"/>
                <w:color w:val="auto"/>
                <w:sz w:val="24"/>
              </w:rPr>
            </w:pPr>
          </w:p>
        </w:tc>
        <w:tc>
          <w:tcPr>
            <w:tcW w:w="0" w:type="auto"/>
            <w:gridSpan w:val="4"/>
            <w:tcBorders>
              <w:tl2br w:val="nil"/>
              <w:tr2bl w:val="nil"/>
            </w:tcBorders>
          </w:tcPr>
          <w:p w14:paraId="22061A79">
            <w:pPr>
              <w:spacing w:line="360" w:lineRule="auto"/>
              <w:jc w:val="center"/>
              <w:rPr>
                <w:rFonts w:ascii="Calibri" w:hAnsi="Calibri" w:cs="Calibri"/>
                <w:b/>
                <w:bCs/>
                <w:color w:val="auto"/>
                <w:sz w:val="24"/>
              </w:rPr>
            </w:pPr>
            <w:r>
              <w:rPr>
                <w:rFonts w:ascii="Calibri" w:hAnsi="Calibri" w:cs="Calibri"/>
                <w:b/>
                <w:bCs/>
                <w:color w:val="auto"/>
                <w:sz w:val="24"/>
              </w:rPr>
              <w:t>PF Ratio</w:t>
            </w:r>
          </w:p>
        </w:tc>
        <w:tc>
          <w:tcPr>
            <w:tcW w:w="0" w:type="auto"/>
            <w:gridSpan w:val="4"/>
            <w:tcBorders>
              <w:tl2br w:val="nil"/>
              <w:tr2bl w:val="nil"/>
            </w:tcBorders>
          </w:tcPr>
          <w:p w14:paraId="5F325572">
            <w:pPr>
              <w:spacing w:line="360" w:lineRule="auto"/>
              <w:jc w:val="center"/>
              <w:rPr>
                <w:rFonts w:ascii="Calibri" w:hAnsi="Calibri" w:cs="Calibri"/>
                <w:b/>
                <w:bCs/>
                <w:color w:val="auto"/>
                <w:sz w:val="24"/>
              </w:rPr>
            </w:pPr>
            <w:r>
              <w:rPr>
                <w:rFonts w:ascii="Calibri" w:hAnsi="Calibri" w:cs="Calibri"/>
                <w:b/>
                <w:bCs/>
                <w:color w:val="auto"/>
                <w:sz w:val="24"/>
              </w:rPr>
              <w:t>SF Ratio</w:t>
            </w:r>
          </w:p>
        </w:tc>
      </w:tr>
      <w:tr w14:paraId="1CD12DFB">
        <w:tc>
          <w:tcPr>
            <w:tcW w:w="0" w:type="auto"/>
            <w:tcBorders>
              <w:tl2br w:val="nil"/>
              <w:tr2bl w:val="nil"/>
            </w:tcBorders>
          </w:tcPr>
          <w:p w14:paraId="3ABE67E1">
            <w:pPr>
              <w:spacing w:line="360" w:lineRule="auto"/>
              <w:rPr>
                <w:rFonts w:ascii="Calibri" w:hAnsi="Calibri" w:cs="Calibri"/>
                <w:color w:val="auto"/>
                <w:sz w:val="24"/>
              </w:rPr>
            </w:pPr>
            <w:r>
              <w:rPr>
                <w:rFonts w:ascii="Calibri" w:hAnsi="Calibri" w:cs="Calibri"/>
                <w:b/>
                <w:bCs/>
                <w:color w:val="auto"/>
                <w:sz w:val="24"/>
              </w:rPr>
              <w:t>Category</w:t>
            </w:r>
          </w:p>
        </w:tc>
        <w:tc>
          <w:tcPr>
            <w:tcW w:w="0" w:type="auto"/>
            <w:tcBorders>
              <w:tl2br w:val="nil"/>
              <w:tr2bl w:val="nil"/>
            </w:tcBorders>
          </w:tcPr>
          <w:p w14:paraId="35A3EB1F">
            <w:pPr>
              <w:spacing w:line="360" w:lineRule="auto"/>
              <w:jc w:val="center"/>
              <w:rPr>
                <w:rFonts w:ascii="Calibri" w:hAnsi="Calibri" w:cs="Calibri"/>
                <w:color w:val="auto"/>
                <w:sz w:val="24"/>
              </w:rPr>
            </w:pPr>
            <w:r>
              <w:rPr>
                <w:rFonts w:ascii="Calibri" w:hAnsi="Calibri" w:cs="Calibri"/>
                <w:b/>
                <w:bCs/>
                <w:color w:val="auto"/>
                <w:sz w:val="24"/>
              </w:rPr>
              <w:t>n</w:t>
            </w:r>
          </w:p>
        </w:tc>
        <w:tc>
          <w:tcPr>
            <w:tcW w:w="0" w:type="auto"/>
            <w:tcBorders>
              <w:tl2br w:val="nil"/>
              <w:tr2bl w:val="nil"/>
            </w:tcBorders>
          </w:tcPr>
          <w:p w14:paraId="6C7FC991">
            <w:pPr>
              <w:spacing w:line="360" w:lineRule="auto"/>
              <w:jc w:val="center"/>
              <w:rPr>
                <w:rFonts w:ascii="Calibri" w:hAnsi="Calibri" w:cs="Calibri"/>
                <w:color w:val="auto"/>
                <w:sz w:val="24"/>
              </w:rPr>
            </w:pPr>
            <w:r>
              <w:rPr>
                <w:rFonts w:ascii="Calibri" w:hAnsi="Calibri" w:cs="Calibri"/>
                <w:b/>
                <w:bCs/>
                <w:color w:val="auto"/>
                <w:sz w:val="24"/>
              </w:rPr>
              <w:t>Deaths</w:t>
            </w:r>
          </w:p>
        </w:tc>
        <w:tc>
          <w:tcPr>
            <w:tcW w:w="0" w:type="auto"/>
            <w:tcBorders>
              <w:tl2br w:val="nil"/>
              <w:tr2bl w:val="nil"/>
            </w:tcBorders>
          </w:tcPr>
          <w:p w14:paraId="7D64C08D">
            <w:pPr>
              <w:spacing w:line="360" w:lineRule="auto"/>
              <w:jc w:val="center"/>
              <w:rPr>
                <w:rFonts w:ascii="Calibri" w:hAnsi="Calibri" w:cs="Calibri"/>
                <w:color w:val="auto"/>
                <w:sz w:val="24"/>
              </w:rPr>
            </w:pPr>
            <w:r>
              <w:rPr>
                <w:rFonts w:ascii="Calibri" w:hAnsi="Calibri" w:cs="Calibri"/>
                <w:b/>
                <w:bCs/>
                <w:color w:val="auto"/>
                <w:sz w:val="24"/>
              </w:rPr>
              <w:t>Mortality (%)</w:t>
            </w:r>
          </w:p>
        </w:tc>
        <w:tc>
          <w:tcPr>
            <w:tcW w:w="0" w:type="auto"/>
            <w:tcBorders>
              <w:tl2br w:val="nil"/>
              <w:tr2bl w:val="nil"/>
            </w:tcBorders>
            <w:vAlign w:val="center"/>
          </w:tcPr>
          <w:p w14:paraId="1D3BCB40">
            <w:pPr>
              <w:spacing w:line="360" w:lineRule="auto"/>
              <w:jc w:val="center"/>
              <w:rPr>
                <w:rFonts w:ascii="Calibri" w:hAnsi="Calibri" w:cs="Calibri"/>
                <w:b/>
                <w:bCs/>
                <w:color w:val="auto"/>
                <w:sz w:val="24"/>
              </w:rPr>
            </w:pPr>
            <w:r>
              <w:rPr>
                <w:rFonts w:ascii="Calibri" w:hAnsi="Calibri" w:eastAsia="宋体" w:cs="Calibri"/>
                <w:b/>
                <w:bCs/>
                <w:color w:val="auto"/>
                <w:kern w:val="0"/>
                <w:sz w:val="24"/>
              </w:rPr>
              <w:t>95% CI</w:t>
            </w:r>
          </w:p>
        </w:tc>
        <w:tc>
          <w:tcPr>
            <w:tcW w:w="0" w:type="auto"/>
            <w:tcBorders>
              <w:tl2br w:val="nil"/>
              <w:tr2bl w:val="nil"/>
            </w:tcBorders>
          </w:tcPr>
          <w:p w14:paraId="19F10AA1">
            <w:pPr>
              <w:spacing w:line="360" w:lineRule="auto"/>
              <w:jc w:val="center"/>
              <w:rPr>
                <w:rFonts w:ascii="Calibri" w:hAnsi="Calibri" w:cs="Calibri"/>
                <w:color w:val="auto"/>
                <w:sz w:val="24"/>
              </w:rPr>
            </w:pPr>
            <w:r>
              <w:rPr>
                <w:rFonts w:ascii="Calibri" w:hAnsi="Calibri" w:cs="Calibri"/>
                <w:b/>
                <w:bCs/>
                <w:color w:val="auto"/>
                <w:sz w:val="24"/>
              </w:rPr>
              <w:t>n</w:t>
            </w:r>
          </w:p>
        </w:tc>
        <w:tc>
          <w:tcPr>
            <w:tcW w:w="0" w:type="auto"/>
            <w:tcBorders>
              <w:tl2br w:val="nil"/>
              <w:tr2bl w:val="nil"/>
            </w:tcBorders>
          </w:tcPr>
          <w:p w14:paraId="4F3174B1">
            <w:pPr>
              <w:spacing w:line="360" w:lineRule="auto"/>
              <w:jc w:val="center"/>
              <w:rPr>
                <w:rFonts w:ascii="Calibri" w:hAnsi="Calibri" w:cs="Calibri"/>
                <w:color w:val="auto"/>
                <w:sz w:val="24"/>
              </w:rPr>
            </w:pPr>
            <w:r>
              <w:rPr>
                <w:rFonts w:ascii="Calibri" w:hAnsi="Calibri" w:cs="Calibri"/>
                <w:b/>
                <w:bCs/>
                <w:color w:val="auto"/>
                <w:sz w:val="24"/>
              </w:rPr>
              <w:t>Deaths</w:t>
            </w:r>
          </w:p>
        </w:tc>
        <w:tc>
          <w:tcPr>
            <w:tcW w:w="0" w:type="auto"/>
            <w:tcBorders>
              <w:tl2br w:val="nil"/>
              <w:tr2bl w:val="nil"/>
            </w:tcBorders>
          </w:tcPr>
          <w:p w14:paraId="3756789A">
            <w:pPr>
              <w:spacing w:line="360" w:lineRule="auto"/>
              <w:jc w:val="center"/>
              <w:rPr>
                <w:rFonts w:ascii="Calibri" w:hAnsi="Calibri" w:cs="Calibri"/>
                <w:color w:val="auto"/>
                <w:sz w:val="24"/>
              </w:rPr>
            </w:pPr>
            <w:r>
              <w:rPr>
                <w:rFonts w:ascii="Calibri" w:hAnsi="Calibri" w:cs="Calibri"/>
                <w:b/>
                <w:bCs/>
                <w:color w:val="auto"/>
                <w:sz w:val="24"/>
              </w:rPr>
              <w:t>Mortality (%)</w:t>
            </w:r>
          </w:p>
        </w:tc>
        <w:tc>
          <w:tcPr>
            <w:tcW w:w="0" w:type="auto"/>
            <w:tcBorders>
              <w:tl2br w:val="nil"/>
              <w:tr2bl w:val="nil"/>
            </w:tcBorders>
            <w:vAlign w:val="center"/>
          </w:tcPr>
          <w:p w14:paraId="0B5D7EAB">
            <w:pPr>
              <w:spacing w:line="360" w:lineRule="auto"/>
              <w:jc w:val="center"/>
              <w:rPr>
                <w:rFonts w:ascii="Calibri" w:hAnsi="Calibri" w:cs="Calibri"/>
                <w:b/>
                <w:bCs/>
                <w:color w:val="auto"/>
                <w:sz w:val="24"/>
              </w:rPr>
            </w:pPr>
            <w:r>
              <w:rPr>
                <w:rFonts w:ascii="Calibri" w:hAnsi="Calibri" w:eastAsia="宋体" w:cs="Calibri"/>
                <w:b/>
                <w:bCs/>
                <w:color w:val="auto"/>
                <w:kern w:val="0"/>
                <w:sz w:val="24"/>
              </w:rPr>
              <w:t>95% CI</w:t>
            </w:r>
          </w:p>
        </w:tc>
      </w:tr>
      <w:tr w14:paraId="62199742">
        <w:tc>
          <w:tcPr>
            <w:tcW w:w="0" w:type="auto"/>
            <w:tcBorders>
              <w:tl2br w:val="nil"/>
              <w:tr2bl w:val="nil"/>
            </w:tcBorders>
          </w:tcPr>
          <w:p w14:paraId="1FDDB114">
            <w:pPr>
              <w:spacing w:line="360" w:lineRule="auto"/>
              <w:rPr>
                <w:rFonts w:ascii="Calibri" w:hAnsi="Calibri" w:cs="Calibri"/>
                <w:color w:val="auto"/>
                <w:sz w:val="24"/>
              </w:rPr>
            </w:pPr>
            <w:r>
              <w:rPr>
                <w:rFonts w:ascii="Calibri" w:hAnsi="Calibri" w:cs="Calibri"/>
                <w:color w:val="auto"/>
                <w:sz w:val="24"/>
              </w:rPr>
              <w:t>No ARDS</w:t>
            </w:r>
          </w:p>
        </w:tc>
        <w:tc>
          <w:tcPr>
            <w:tcW w:w="0" w:type="auto"/>
            <w:tcBorders>
              <w:tl2br w:val="nil"/>
              <w:tr2bl w:val="nil"/>
            </w:tcBorders>
          </w:tcPr>
          <w:p w14:paraId="16DF1D44">
            <w:pPr>
              <w:spacing w:line="360" w:lineRule="auto"/>
              <w:jc w:val="center"/>
              <w:rPr>
                <w:rFonts w:ascii="Calibri" w:hAnsi="Calibri" w:cs="Calibri"/>
                <w:color w:val="auto"/>
                <w:sz w:val="24"/>
              </w:rPr>
            </w:pPr>
            <w:r>
              <w:rPr>
                <w:rFonts w:ascii="Calibri" w:hAnsi="Calibri" w:cs="Calibri"/>
                <w:color w:val="auto"/>
                <w:sz w:val="24"/>
              </w:rPr>
              <w:t>25</w:t>
            </w:r>
          </w:p>
        </w:tc>
        <w:tc>
          <w:tcPr>
            <w:tcW w:w="0" w:type="auto"/>
            <w:tcBorders>
              <w:tl2br w:val="nil"/>
              <w:tr2bl w:val="nil"/>
            </w:tcBorders>
          </w:tcPr>
          <w:p w14:paraId="08727ABF">
            <w:pPr>
              <w:spacing w:line="360" w:lineRule="auto"/>
              <w:jc w:val="center"/>
              <w:rPr>
                <w:rFonts w:ascii="Calibri" w:hAnsi="Calibri" w:cs="Calibri"/>
                <w:color w:val="auto"/>
                <w:sz w:val="24"/>
              </w:rPr>
            </w:pPr>
            <w:r>
              <w:rPr>
                <w:rFonts w:ascii="Calibri" w:hAnsi="Calibri" w:cs="Calibri"/>
                <w:color w:val="auto"/>
                <w:sz w:val="24"/>
              </w:rPr>
              <w:t>9</w:t>
            </w:r>
          </w:p>
        </w:tc>
        <w:tc>
          <w:tcPr>
            <w:tcW w:w="0" w:type="auto"/>
            <w:tcBorders>
              <w:tl2br w:val="nil"/>
              <w:tr2bl w:val="nil"/>
            </w:tcBorders>
          </w:tcPr>
          <w:p w14:paraId="2ADB97FA">
            <w:pPr>
              <w:spacing w:line="360" w:lineRule="auto"/>
              <w:jc w:val="center"/>
              <w:rPr>
                <w:rFonts w:ascii="Calibri" w:hAnsi="Calibri" w:cs="Calibri"/>
                <w:color w:val="auto"/>
                <w:sz w:val="24"/>
              </w:rPr>
            </w:pPr>
            <w:r>
              <w:rPr>
                <w:rFonts w:ascii="Calibri" w:hAnsi="Calibri" w:cs="Calibri"/>
                <w:color w:val="auto"/>
                <w:sz w:val="24"/>
              </w:rPr>
              <w:t>36.0%</w:t>
            </w:r>
          </w:p>
        </w:tc>
        <w:tc>
          <w:tcPr>
            <w:tcW w:w="0" w:type="auto"/>
            <w:tcBorders>
              <w:tl2br w:val="nil"/>
              <w:tr2bl w:val="nil"/>
            </w:tcBorders>
            <w:vAlign w:val="center"/>
          </w:tcPr>
          <w:p w14:paraId="45621A33">
            <w:pPr>
              <w:spacing w:line="360" w:lineRule="auto"/>
              <w:jc w:val="center"/>
              <w:rPr>
                <w:rFonts w:ascii="Calibri" w:hAnsi="Calibri" w:cs="Calibri"/>
                <w:color w:val="auto"/>
                <w:sz w:val="24"/>
              </w:rPr>
            </w:pPr>
            <w:r>
              <w:rPr>
                <w:rFonts w:ascii="Calibri" w:hAnsi="Calibri" w:eastAsia="宋体" w:cs="Calibri"/>
                <w:color w:val="auto"/>
                <w:kern w:val="0"/>
                <w:sz w:val="24"/>
              </w:rPr>
              <w:t>17.2–54.8</w:t>
            </w:r>
          </w:p>
        </w:tc>
        <w:tc>
          <w:tcPr>
            <w:tcW w:w="0" w:type="auto"/>
            <w:tcBorders>
              <w:tl2br w:val="nil"/>
              <w:tr2bl w:val="nil"/>
            </w:tcBorders>
          </w:tcPr>
          <w:p w14:paraId="5F940233">
            <w:pPr>
              <w:spacing w:line="360" w:lineRule="auto"/>
              <w:jc w:val="center"/>
              <w:rPr>
                <w:rFonts w:ascii="Calibri" w:hAnsi="Calibri" w:cs="Calibri"/>
                <w:color w:val="auto"/>
                <w:sz w:val="24"/>
              </w:rPr>
            </w:pPr>
            <w:r>
              <w:rPr>
                <w:rFonts w:ascii="Calibri" w:hAnsi="Calibri" w:cs="Calibri"/>
                <w:color w:val="auto"/>
                <w:sz w:val="24"/>
              </w:rPr>
              <w:t>9</w:t>
            </w:r>
          </w:p>
        </w:tc>
        <w:tc>
          <w:tcPr>
            <w:tcW w:w="0" w:type="auto"/>
            <w:tcBorders>
              <w:tl2br w:val="nil"/>
              <w:tr2bl w:val="nil"/>
            </w:tcBorders>
          </w:tcPr>
          <w:p w14:paraId="4C25390A">
            <w:pPr>
              <w:spacing w:line="360" w:lineRule="auto"/>
              <w:jc w:val="center"/>
              <w:rPr>
                <w:rFonts w:ascii="Calibri" w:hAnsi="Calibri" w:cs="Calibri"/>
                <w:color w:val="auto"/>
                <w:sz w:val="24"/>
              </w:rPr>
            </w:pPr>
            <w:r>
              <w:rPr>
                <w:rFonts w:ascii="Calibri" w:hAnsi="Calibri" w:cs="Calibri"/>
                <w:color w:val="auto"/>
                <w:sz w:val="24"/>
              </w:rPr>
              <w:t>4</w:t>
            </w:r>
          </w:p>
        </w:tc>
        <w:tc>
          <w:tcPr>
            <w:tcW w:w="0" w:type="auto"/>
            <w:tcBorders>
              <w:tl2br w:val="nil"/>
              <w:tr2bl w:val="nil"/>
            </w:tcBorders>
          </w:tcPr>
          <w:p w14:paraId="4B0A1EA8">
            <w:pPr>
              <w:spacing w:line="360" w:lineRule="auto"/>
              <w:jc w:val="center"/>
              <w:rPr>
                <w:rFonts w:ascii="Calibri" w:hAnsi="Calibri" w:cs="Calibri"/>
                <w:color w:val="auto"/>
                <w:sz w:val="24"/>
              </w:rPr>
            </w:pPr>
            <w:r>
              <w:rPr>
                <w:rFonts w:ascii="Calibri" w:hAnsi="Calibri" w:cs="Calibri"/>
                <w:color w:val="auto"/>
                <w:sz w:val="24"/>
              </w:rPr>
              <w:t>44.4%</w:t>
            </w:r>
          </w:p>
        </w:tc>
        <w:tc>
          <w:tcPr>
            <w:tcW w:w="0" w:type="auto"/>
            <w:tcBorders>
              <w:tl2br w:val="nil"/>
              <w:tr2bl w:val="nil"/>
            </w:tcBorders>
            <w:vAlign w:val="center"/>
          </w:tcPr>
          <w:p w14:paraId="5E46EDB1">
            <w:pPr>
              <w:spacing w:line="360" w:lineRule="auto"/>
              <w:jc w:val="center"/>
              <w:rPr>
                <w:rFonts w:ascii="Calibri" w:hAnsi="Calibri" w:cs="Calibri"/>
                <w:color w:val="auto"/>
                <w:sz w:val="24"/>
              </w:rPr>
            </w:pPr>
            <w:r>
              <w:rPr>
                <w:rFonts w:ascii="Calibri" w:hAnsi="Calibri" w:eastAsia="宋体" w:cs="Calibri"/>
                <w:color w:val="auto"/>
                <w:kern w:val="0"/>
                <w:sz w:val="24"/>
              </w:rPr>
              <w:t>12.1–76.7</w:t>
            </w:r>
          </w:p>
        </w:tc>
      </w:tr>
      <w:tr w14:paraId="7F17CAF0">
        <w:tc>
          <w:tcPr>
            <w:tcW w:w="0" w:type="auto"/>
            <w:tcBorders>
              <w:tl2br w:val="nil"/>
              <w:tr2bl w:val="nil"/>
            </w:tcBorders>
          </w:tcPr>
          <w:p w14:paraId="0ACCB7C4">
            <w:pPr>
              <w:spacing w:line="360" w:lineRule="auto"/>
              <w:rPr>
                <w:rFonts w:ascii="Calibri" w:hAnsi="Calibri" w:cs="Calibri"/>
                <w:color w:val="auto"/>
                <w:sz w:val="24"/>
              </w:rPr>
            </w:pPr>
            <w:r>
              <w:rPr>
                <w:rFonts w:ascii="Calibri" w:hAnsi="Calibri" w:cs="Calibri"/>
                <w:color w:val="auto"/>
                <w:sz w:val="24"/>
              </w:rPr>
              <w:t>Mild ARDS</w:t>
            </w:r>
          </w:p>
        </w:tc>
        <w:tc>
          <w:tcPr>
            <w:tcW w:w="0" w:type="auto"/>
            <w:tcBorders>
              <w:tl2br w:val="nil"/>
              <w:tr2bl w:val="nil"/>
            </w:tcBorders>
          </w:tcPr>
          <w:p w14:paraId="6AB2862F">
            <w:pPr>
              <w:spacing w:line="360" w:lineRule="auto"/>
              <w:jc w:val="center"/>
              <w:rPr>
                <w:rFonts w:ascii="Calibri" w:hAnsi="Calibri" w:cs="Calibri"/>
                <w:color w:val="auto"/>
                <w:sz w:val="24"/>
              </w:rPr>
            </w:pPr>
            <w:r>
              <w:rPr>
                <w:rFonts w:ascii="Calibri" w:hAnsi="Calibri" w:cs="Calibri"/>
                <w:color w:val="auto"/>
                <w:sz w:val="24"/>
              </w:rPr>
              <w:t>77</w:t>
            </w:r>
          </w:p>
        </w:tc>
        <w:tc>
          <w:tcPr>
            <w:tcW w:w="0" w:type="auto"/>
            <w:tcBorders>
              <w:tl2br w:val="nil"/>
              <w:tr2bl w:val="nil"/>
            </w:tcBorders>
          </w:tcPr>
          <w:p w14:paraId="5DD2AAD0">
            <w:pPr>
              <w:spacing w:line="360" w:lineRule="auto"/>
              <w:jc w:val="center"/>
              <w:rPr>
                <w:rFonts w:ascii="Calibri" w:hAnsi="Calibri" w:cs="Calibri"/>
                <w:color w:val="auto"/>
                <w:sz w:val="24"/>
              </w:rPr>
            </w:pPr>
            <w:r>
              <w:rPr>
                <w:rFonts w:ascii="Calibri" w:hAnsi="Calibri" w:cs="Calibri"/>
                <w:color w:val="auto"/>
                <w:sz w:val="24"/>
              </w:rPr>
              <w:t>33</w:t>
            </w:r>
          </w:p>
        </w:tc>
        <w:tc>
          <w:tcPr>
            <w:tcW w:w="0" w:type="auto"/>
            <w:tcBorders>
              <w:tl2br w:val="nil"/>
              <w:tr2bl w:val="nil"/>
            </w:tcBorders>
          </w:tcPr>
          <w:p w14:paraId="75EFE36C">
            <w:pPr>
              <w:spacing w:line="360" w:lineRule="auto"/>
              <w:jc w:val="center"/>
              <w:rPr>
                <w:rFonts w:ascii="Calibri" w:hAnsi="Calibri" w:cs="Calibri"/>
                <w:color w:val="auto"/>
                <w:sz w:val="24"/>
              </w:rPr>
            </w:pPr>
            <w:r>
              <w:rPr>
                <w:rFonts w:ascii="Calibri" w:hAnsi="Calibri" w:cs="Calibri"/>
                <w:color w:val="auto"/>
                <w:sz w:val="24"/>
              </w:rPr>
              <w:t>42.9%</w:t>
            </w:r>
          </w:p>
        </w:tc>
        <w:tc>
          <w:tcPr>
            <w:tcW w:w="0" w:type="auto"/>
            <w:tcBorders>
              <w:tl2br w:val="nil"/>
              <w:tr2bl w:val="nil"/>
            </w:tcBorders>
            <w:vAlign w:val="center"/>
          </w:tcPr>
          <w:p w14:paraId="0EF49BBA">
            <w:pPr>
              <w:spacing w:line="360" w:lineRule="auto"/>
              <w:jc w:val="center"/>
              <w:rPr>
                <w:rFonts w:ascii="Calibri" w:hAnsi="Calibri" w:cs="Calibri"/>
                <w:color w:val="auto"/>
                <w:sz w:val="24"/>
              </w:rPr>
            </w:pPr>
            <w:r>
              <w:rPr>
                <w:rFonts w:ascii="Calibri" w:hAnsi="Calibri" w:eastAsia="宋体" w:cs="Calibri"/>
                <w:color w:val="auto"/>
                <w:kern w:val="0"/>
                <w:sz w:val="24"/>
              </w:rPr>
              <w:t>31.9–53.9</w:t>
            </w:r>
          </w:p>
        </w:tc>
        <w:tc>
          <w:tcPr>
            <w:tcW w:w="0" w:type="auto"/>
            <w:tcBorders>
              <w:tl2br w:val="nil"/>
              <w:tr2bl w:val="nil"/>
            </w:tcBorders>
          </w:tcPr>
          <w:p w14:paraId="5906DADA">
            <w:pPr>
              <w:spacing w:line="360" w:lineRule="auto"/>
              <w:jc w:val="center"/>
              <w:rPr>
                <w:rFonts w:ascii="Calibri" w:hAnsi="Calibri" w:cs="Calibri"/>
                <w:color w:val="auto"/>
                <w:sz w:val="24"/>
              </w:rPr>
            </w:pPr>
            <w:r>
              <w:rPr>
                <w:rFonts w:ascii="Calibri" w:hAnsi="Calibri" w:cs="Calibri"/>
                <w:color w:val="auto"/>
                <w:sz w:val="24"/>
              </w:rPr>
              <w:t>42</w:t>
            </w:r>
          </w:p>
        </w:tc>
        <w:tc>
          <w:tcPr>
            <w:tcW w:w="0" w:type="auto"/>
            <w:tcBorders>
              <w:tl2br w:val="nil"/>
              <w:tr2bl w:val="nil"/>
            </w:tcBorders>
          </w:tcPr>
          <w:p w14:paraId="7706C472">
            <w:pPr>
              <w:spacing w:line="360" w:lineRule="auto"/>
              <w:jc w:val="center"/>
              <w:rPr>
                <w:rFonts w:ascii="Calibri" w:hAnsi="Calibri" w:cs="Calibri"/>
                <w:color w:val="auto"/>
                <w:sz w:val="24"/>
              </w:rPr>
            </w:pPr>
            <w:r>
              <w:rPr>
                <w:rFonts w:ascii="Calibri" w:hAnsi="Calibri" w:cs="Calibri"/>
                <w:color w:val="auto"/>
                <w:sz w:val="24"/>
              </w:rPr>
              <w:t>20</w:t>
            </w:r>
          </w:p>
        </w:tc>
        <w:tc>
          <w:tcPr>
            <w:tcW w:w="0" w:type="auto"/>
            <w:tcBorders>
              <w:tl2br w:val="nil"/>
              <w:tr2bl w:val="nil"/>
            </w:tcBorders>
          </w:tcPr>
          <w:p w14:paraId="59AB2ECA">
            <w:pPr>
              <w:spacing w:line="360" w:lineRule="auto"/>
              <w:jc w:val="center"/>
              <w:rPr>
                <w:rFonts w:ascii="Calibri" w:hAnsi="Calibri" w:cs="Calibri"/>
                <w:color w:val="auto"/>
                <w:sz w:val="24"/>
              </w:rPr>
            </w:pPr>
            <w:r>
              <w:rPr>
                <w:rFonts w:ascii="Calibri" w:hAnsi="Calibri" w:cs="Calibri"/>
                <w:color w:val="auto"/>
                <w:sz w:val="24"/>
              </w:rPr>
              <w:t>47.6%</w:t>
            </w:r>
          </w:p>
        </w:tc>
        <w:tc>
          <w:tcPr>
            <w:tcW w:w="0" w:type="auto"/>
            <w:tcBorders>
              <w:tl2br w:val="nil"/>
              <w:tr2bl w:val="nil"/>
            </w:tcBorders>
            <w:vAlign w:val="center"/>
          </w:tcPr>
          <w:p w14:paraId="172EF272">
            <w:pPr>
              <w:spacing w:line="360" w:lineRule="auto"/>
              <w:jc w:val="center"/>
              <w:rPr>
                <w:rFonts w:ascii="Calibri" w:hAnsi="Calibri" w:cs="Calibri"/>
                <w:color w:val="auto"/>
                <w:sz w:val="24"/>
              </w:rPr>
            </w:pPr>
            <w:r>
              <w:rPr>
                <w:rFonts w:ascii="Calibri" w:hAnsi="Calibri" w:eastAsia="宋体" w:cs="Calibri"/>
                <w:color w:val="auto"/>
                <w:kern w:val="0"/>
                <w:sz w:val="24"/>
              </w:rPr>
              <w:t>32.5–62.7</w:t>
            </w:r>
          </w:p>
        </w:tc>
      </w:tr>
      <w:tr w14:paraId="6F4C76FD">
        <w:tc>
          <w:tcPr>
            <w:tcW w:w="0" w:type="auto"/>
            <w:tcBorders>
              <w:tl2br w:val="nil"/>
              <w:tr2bl w:val="nil"/>
            </w:tcBorders>
          </w:tcPr>
          <w:p w14:paraId="4ED15CFC">
            <w:pPr>
              <w:spacing w:line="360" w:lineRule="auto"/>
              <w:rPr>
                <w:rFonts w:ascii="Calibri" w:hAnsi="Calibri" w:cs="Calibri"/>
                <w:color w:val="auto"/>
                <w:sz w:val="24"/>
              </w:rPr>
            </w:pPr>
            <w:r>
              <w:rPr>
                <w:rFonts w:ascii="Calibri" w:hAnsi="Calibri" w:cs="Calibri"/>
                <w:color w:val="auto"/>
                <w:sz w:val="24"/>
              </w:rPr>
              <w:t>Moderate ARDS</w:t>
            </w:r>
          </w:p>
        </w:tc>
        <w:tc>
          <w:tcPr>
            <w:tcW w:w="0" w:type="auto"/>
            <w:tcBorders>
              <w:tl2br w:val="nil"/>
              <w:tr2bl w:val="nil"/>
            </w:tcBorders>
          </w:tcPr>
          <w:p w14:paraId="50E91CDE">
            <w:pPr>
              <w:spacing w:line="360" w:lineRule="auto"/>
              <w:jc w:val="center"/>
              <w:rPr>
                <w:rFonts w:ascii="Calibri" w:hAnsi="Calibri" w:cs="Calibri"/>
                <w:color w:val="auto"/>
                <w:sz w:val="24"/>
              </w:rPr>
            </w:pPr>
            <w:r>
              <w:rPr>
                <w:rFonts w:ascii="Calibri" w:hAnsi="Calibri" w:cs="Calibri"/>
                <w:color w:val="auto"/>
                <w:sz w:val="24"/>
              </w:rPr>
              <w:t>261</w:t>
            </w:r>
          </w:p>
        </w:tc>
        <w:tc>
          <w:tcPr>
            <w:tcW w:w="0" w:type="auto"/>
            <w:tcBorders>
              <w:tl2br w:val="nil"/>
              <w:tr2bl w:val="nil"/>
            </w:tcBorders>
          </w:tcPr>
          <w:p w14:paraId="1A054B04">
            <w:pPr>
              <w:spacing w:line="360" w:lineRule="auto"/>
              <w:jc w:val="center"/>
              <w:rPr>
                <w:rFonts w:ascii="Calibri" w:hAnsi="Calibri" w:cs="Calibri"/>
                <w:color w:val="auto"/>
                <w:sz w:val="24"/>
              </w:rPr>
            </w:pPr>
            <w:r>
              <w:rPr>
                <w:rFonts w:ascii="Calibri" w:hAnsi="Calibri" w:cs="Calibri"/>
                <w:color w:val="auto"/>
                <w:sz w:val="24"/>
              </w:rPr>
              <w:t>92</w:t>
            </w:r>
          </w:p>
        </w:tc>
        <w:tc>
          <w:tcPr>
            <w:tcW w:w="0" w:type="auto"/>
            <w:tcBorders>
              <w:tl2br w:val="nil"/>
              <w:tr2bl w:val="nil"/>
            </w:tcBorders>
          </w:tcPr>
          <w:p w14:paraId="581B8E2D">
            <w:pPr>
              <w:spacing w:line="360" w:lineRule="auto"/>
              <w:jc w:val="center"/>
              <w:rPr>
                <w:rFonts w:ascii="Calibri" w:hAnsi="Calibri" w:cs="Calibri"/>
                <w:color w:val="auto"/>
                <w:sz w:val="24"/>
              </w:rPr>
            </w:pPr>
            <w:r>
              <w:rPr>
                <w:rFonts w:ascii="Calibri" w:hAnsi="Calibri" w:cs="Calibri"/>
                <w:color w:val="auto"/>
                <w:sz w:val="24"/>
              </w:rPr>
              <w:t>35.3%</w:t>
            </w:r>
          </w:p>
        </w:tc>
        <w:tc>
          <w:tcPr>
            <w:tcW w:w="0" w:type="auto"/>
            <w:tcBorders>
              <w:tl2br w:val="nil"/>
              <w:tr2bl w:val="nil"/>
            </w:tcBorders>
            <w:vAlign w:val="center"/>
          </w:tcPr>
          <w:p w14:paraId="342A3741">
            <w:pPr>
              <w:spacing w:line="360" w:lineRule="auto"/>
              <w:jc w:val="center"/>
              <w:rPr>
                <w:rFonts w:ascii="Calibri" w:hAnsi="Calibri" w:cs="Calibri"/>
                <w:color w:val="auto"/>
                <w:sz w:val="24"/>
              </w:rPr>
            </w:pPr>
            <w:r>
              <w:rPr>
                <w:rFonts w:ascii="Calibri" w:hAnsi="Calibri" w:eastAsia="宋体" w:cs="Calibri"/>
                <w:color w:val="auto"/>
                <w:kern w:val="0"/>
                <w:sz w:val="24"/>
              </w:rPr>
              <w:t>29.5–41.1</w:t>
            </w:r>
          </w:p>
        </w:tc>
        <w:tc>
          <w:tcPr>
            <w:tcW w:w="0" w:type="auto"/>
            <w:tcBorders>
              <w:tl2br w:val="nil"/>
              <w:tr2bl w:val="nil"/>
            </w:tcBorders>
          </w:tcPr>
          <w:p w14:paraId="52968976">
            <w:pPr>
              <w:spacing w:line="360" w:lineRule="auto"/>
              <w:jc w:val="center"/>
              <w:rPr>
                <w:rFonts w:ascii="Calibri" w:hAnsi="Calibri" w:cs="Calibri"/>
                <w:color w:val="auto"/>
                <w:sz w:val="24"/>
              </w:rPr>
            </w:pPr>
            <w:r>
              <w:rPr>
                <w:rFonts w:ascii="Calibri" w:hAnsi="Calibri" w:cs="Calibri"/>
                <w:color w:val="auto"/>
                <w:sz w:val="24"/>
              </w:rPr>
              <w:t>159</w:t>
            </w:r>
          </w:p>
        </w:tc>
        <w:tc>
          <w:tcPr>
            <w:tcW w:w="0" w:type="auto"/>
            <w:tcBorders>
              <w:tl2br w:val="nil"/>
              <w:tr2bl w:val="nil"/>
            </w:tcBorders>
          </w:tcPr>
          <w:p w14:paraId="74244D54">
            <w:pPr>
              <w:spacing w:line="360" w:lineRule="auto"/>
              <w:jc w:val="center"/>
              <w:rPr>
                <w:rFonts w:ascii="Calibri" w:hAnsi="Calibri" w:cs="Calibri"/>
                <w:color w:val="auto"/>
                <w:sz w:val="24"/>
              </w:rPr>
            </w:pPr>
            <w:r>
              <w:rPr>
                <w:rFonts w:ascii="Calibri" w:hAnsi="Calibri" w:cs="Calibri"/>
                <w:color w:val="auto"/>
                <w:sz w:val="24"/>
              </w:rPr>
              <w:t>54</w:t>
            </w:r>
          </w:p>
        </w:tc>
        <w:tc>
          <w:tcPr>
            <w:tcW w:w="0" w:type="auto"/>
            <w:tcBorders>
              <w:tl2br w:val="nil"/>
              <w:tr2bl w:val="nil"/>
            </w:tcBorders>
          </w:tcPr>
          <w:p w14:paraId="2FB78B13">
            <w:pPr>
              <w:spacing w:line="360" w:lineRule="auto"/>
              <w:jc w:val="center"/>
              <w:rPr>
                <w:rFonts w:ascii="Calibri" w:hAnsi="Calibri" w:cs="Calibri"/>
                <w:color w:val="auto"/>
                <w:sz w:val="24"/>
              </w:rPr>
            </w:pPr>
            <w:r>
              <w:rPr>
                <w:rFonts w:ascii="Calibri" w:hAnsi="Calibri" w:cs="Calibri"/>
                <w:color w:val="auto"/>
                <w:sz w:val="24"/>
              </w:rPr>
              <w:t>34.0%</w:t>
            </w:r>
          </w:p>
        </w:tc>
        <w:tc>
          <w:tcPr>
            <w:tcW w:w="0" w:type="auto"/>
            <w:tcBorders>
              <w:tl2br w:val="nil"/>
              <w:tr2bl w:val="nil"/>
            </w:tcBorders>
            <w:vAlign w:val="center"/>
          </w:tcPr>
          <w:p w14:paraId="2F5F1F9C">
            <w:pPr>
              <w:spacing w:line="360" w:lineRule="auto"/>
              <w:jc w:val="center"/>
              <w:rPr>
                <w:rFonts w:ascii="Calibri" w:hAnsi="Calibri" w:cs="Calibri"/>
                <w:color w:val="auto"/>
                <w:sz w:val="24"/>
              </w:rPr>
            </w:pPr>
            <w:r>
              <w:rPr>
                <w:rFonts w:ascii="Calibri" w:hAnsi="Calibri" w:eastAsia="宋体" w:cs="Calibri"/>
                <w:color w:val="auto"/>
                <w:kern w:val="0"/>
                <w:sz w:val="24"/>
              </w:rPr>
              <w:t>26.6–41.4</w:t>
            </w:r>
          </w:p>
        </w:tc>
      </w:tr>
      <w:tr w14:paraId="05014525">
        <w:tc>
          <w:tcPr>
            <w:tcW w:w="0" w:type="auto"/>
            <w:tcBorders>
              <w:tl2br w:val="nil"/>
              <w:tr2bl w:val="nil"/>
            </w:tcBorders>
          </w:tcPr>
          <w:p w14:paraId="637DC783">
            <w:pPr>
              <w:spacing w:line="360" w:lineRule="auto"/>
              <w:rPr>
                <w:rFonts w:ascii="Calibri" w:hAnsi="Calibri" w:cs="Calibri"/>
                <w:color w:val="auto"/>
                <w:sz w:val="24"/>
              </w:rPr>
            </w:pPr>
            <w:r>
              <w:rPr>
                <w:rFonts w:ascii="Calibri" w:hAnsi="Calibri" w:cs="Calibri"/>
                <w:color w:val="auto"/>
                <w:sz w:val="24"/>
              </w:rPr>
              <w:t>Severe ARDS</w:t>
            </w:r>
          </w:p>
        </w:tc>
        <w:tc>
          <w:tcPr>
            <w:tcW w:w="0" w:type="auto"/>
            <w:tcBorders>
              <w:tl2br w:val="nil"/>
              <w:tr2bl w:val="nil"/>
            </w:tcBorders>
          </w:tcPr>
          <w:p w14:paraId="6B5BD350">
            <w:pPr>
              <w:spacing w:line="360" w:lineRule="auto"/>
              <w:jc w:val="center"/>
              <w:rPr>
                <w:rFonts w:ascii="Calibri" w:hAnsi="Calibri" w:cs="Calibri"/>
                <w:color w:val="auto"/>
                <w:sz w:val="24"/>
              </w:rPr>
            </w:pPr>
            <w:r>
              <w:rPr>
                <w:rFonts w:ascii="Calibri" w:hAnsi="Calibri" w:cs="Calibri"/>
                <w:color w:val="auto"/>
                <w:sz w:val="24"/>
              </w:rPr>
              <w:t>219</w:t>
            </w:r>
          </w:p>
        </w:tc>
        <w:tc>
          <w:tcPr>
            <w:tcW w:w="0" w:type="auto"/>
            <w:tcBorders>
              <w:tl2br w:val="nil"/>
              <w:tr2bl w:val="nil"/>
            </w:tcBorders>
          </w:tcPr>
          <w:p w14:paraId="3CC6A564">
            <w:pPr>
              <w:spacing w:line="360" w:lineRule="auto"/>
              <w:jc w:val="center"/>
              <w:rPr>
                <w:rFonts w:ascii="Calibri" w:hAnsi="Calibri" w:cs="Calibri"/>
                <w:color w:val="auto"/>
                <w:sz w:val="24"/>
              </w:rPr>
            </w:pPr>
            <w:r>
              <w:rPr>
                <w:rFonts w:ascii="Calibri" w:hAnsi="Calibri" w:cs="Calibri"/>
                <w:color w:val="auto"/>
                <w:sz w:val="24"/>
              </w:rPr>
              <w:t>109</w:t>
            </w:r>
          </w:p>
        </w:tc>
        <w:tc>
          <w:tcPr>
            <w:tcW w:w="0" w:type="auto"/>
            <w:tcBorders>
              <w:tl2br w:val="nil"/>
              <w:tr2bl w:val="nil"/>
            </w:tcBorders>
          </w:tcPr>
          <w:p w14:paraId="2BC3B496">
            <w:pPr>
              <w:spacing w:line="360" w:lineRule="auto"/>
              <w:jc w:val="center"/>
              <w:rPr>
                <w:rFonts w:ascii="Calibri" w:hAnsi="Calibri" w:cs="Calibri"/>
                <w:color w:val="auto"/>
                <w:sz w:val="24"/>
              </w:rPr>
            </w:pPr>
            <w:r>
              <w:rPr>
                <w:rFonts w:ascii="Calibri" w:hAnsi="Calibri" w:cs="Calibri"/>
                <w:color w:val="auto"/>
                <w:sz w:val="24"/>
              </w:rPr>
              <w:t>49.8%</w:t>
            </w:r>
          </w:p>
        </w:tc>
        <w:tc>
          <w:tcPr>
            <w:tcW w:w="0" w:type="auto"/>
            <w:tcBorders>
              <w:tl2br w:val="nil"/>
              <w:tr2bl w:val="nil"/>
            </w:tcBorders>
            <w:vAlign w:val="center"/>
          </w:tcPr>
          <w:p w14:paraId="0DF3AE5E">
            <w:pPr>
              <w:spacing w:line="360" w:lineRule="auto"/>
              <w:jc w:val="center"/>
              <w:rPr>
                <w:rFonts w:ascii="Calibri" w:hAnsi="Calibri" w:cs="Calibri"/>
                <w:color w:val="auto"/>
                <w:sz w:val="24"/>
              </w:rPr>
            </w:pPr>
            <w:r>
              <w:rPr>
                <w:rFonts w:ascii="Calibri" w:hAnsi="Calibri" w:eastAsia="宋体" w:cs="Calibri"/>
                <w:color w:val="auto"/>
                <w:kern w:val="0"/>
                <w:sz w:val="24"/>
              </w:rPr>
              <w:t>43.2–56.4</w:t>
            </w:r>
          </w:p>
        </w:tc>
        <w:tc>
          <w:tcPr>
            <w:tcW w:w="0" w:type="auto"/>
            <w:tcBorders>
              <w:tl2br w:val="nil"/>
              <w:tr2bl w:val="nil"/>
            </w:tcBorders>
          </w:tcPr>
          <w:p w14:paraId="587517C0">
            <w:pPr>
              <w:spacing w:line="360" w:lineRule="auto"/>
              <w:jc w:val="center"/>
              <w:rPr>
                <w:rFonts w:ascii="Calibri" w:hAnsi="Calibri" w:cs="Calibri"/>
                <w:color w:val="auto"/>
                <w:sz w:val="24"/>
              </w:rPr>
            </w:pPr>
            <w:r>
              <w:rPr>
                <w:rFonts w:ascii="Calibri" w:hAnsi="Calibri" w:cs="Calibri"/>
                <w:color w:val="auto"/>
                <w:sz w:val="24"/>
              </w:rPr>
              <w:t>372</w:t>
            </w:r>
          </w:p>
        </w:tc>
        <w:tc>
          <w:tcPr>
            <w:tcW w:w="0" w:type="auto"/>
            <w:tcBorders>
              <w:tl2br w:val="nil"/>
              <w:tr2bl w:val="nil"/>
            </w:tcBorders>
          </w:tcPr>
          <w:p w14:paraId="1F1D0528">
            <w:pPr>
              <w:spacing w:line="360" w:lineRule="auto"/>
              <w:jc w:val="center"/>
              <w:rPr>
                <w:rFonts w:ascii="Calibri" w:hAnsi="Calibri" w:cs="Calibri"/>
                <w:color w:val="auto"/>
                <w:sz w:val="24"/>
              </w:rPr>
            </w:pPr>
            <w:r>
              <w:rPr>
                <w:rFonts w:ascii="Calibri" w:hAnsi="Calibri" w:cs="Calibri"/>
                <w:color w:val="auto"/>
                <w:sz w:val="24"/>
              </w:rPr>
              <w:t>165</w:t>
            </w:r>
          </w:p>
        </w:tc>
        <w:tc>
          <w:tcPr>
            <w:tcW w:w="0" w:type="auto"/>
            <w:tcBorders>
              <w:tl2br w:val="nil"/>
              <w:tr2bl w:val="nil"/>
            </w:tcBorders>
          </w:tcPr>
          <w:p w14:paraId="375B924B">
            <w:pPr>
              <w:spacing w:line="360" w:lineRule="auto"/>
              <w:jc w:val="center"/>
              <w:rPr>
                <w:rFonts w:ascii="Calibri" w:hAnsi="Calibri" w:cs="Calibri"/>
                <w:color w:val="auto"/>
                <w:sz w:val="24"/>
              </w:rPr>
            </w:pPr>
            <w:r>
              <w:rPr>
                <w:rFonts w:ascii="Calibri" w:hAnsi="Calibri" w:cs="Calibri"/>
                <w:color w:val="auto"/>
                <w:sz w:val="24"/>
              </w:rPr>
              <w:t>44.4%</w:t>
            </w:r>
          </w:p>
        </w:tc>
        <w:tc>
          <w:tcPr>
            <w:tcW w:w="0" w:type="auto"/>
            <w:tcBorders>
              <w:tl2br w:val="nil"/>
              <w:tr2bl w:val="nil"/>
            </w:tcBorders>
            <w:vAlign w:val="center"/>
          </w:tcPr>
          <w:p w14:paraId="4F081B04">
            <w:pPr>
              <w:spacing w:line="360" w:lineRule="auto"/>
              <w:jc w:val="center"/>
              <w:rPr>
                <w:rFonts w:ascii="Calibri" w:hAnsi="Calibri" w:cs="Calibri"/>
                <w:color w:val="auto"/>
                <w:sz w:val="24"/>
              </w:rPr>
            </w:pPr>
            <w:r>
              <w:rPr>
                <w:rFonts w:ascii="Calibri" w:hAnsi="Calibri" w:eastAsia="宋体" w:cs="Calibri"/>
                <w:color w:val="auto"/>
                <w:kern w:val="0"/>
                <w:sz w:val="24"/>
              </w:rPr>
              <w:t>39.3–49.5</w:t>
            </w:r>
          </w:p>
        </w:tc>
      </w:tr>
    </w:tbl>
    <w:p w14:paraId="1CC64402">
      <w:pPr>
        <w:spacing w:line="360" w:lineRule="auto"/>
        <w:rPr>
          <w:rFonts w:ascii="Calibri" w:hAnsi="Calibri" w:cs="Calibri"/>
          <w:color w:val="auto"/>
          <w:sz w:val="24"/>
        </w:rPr>
      </w:pPr>
    </w:p>
    <w:p w14:paraId="7D2BB09A">
      <w:pPr>
        <w:spacing w:line="360" w:lineRule="auto"/>
        <w:rPr>
          <w:rFonts w:ascii="Calibri" w:hAnsi="Calibri" w:cs="Calibri"/>
          <w:color w:val="auto"/>
          <w:sz w:val="24"/>
        </w:rPr>
      </w:pPr>
    </w:p>
    <w:p w14:paraId="102306C6">
      <w:pPr>
        <w:pStyle w:val="4"/>
        <w:spacing w:before="0" w:beforeAutospacing="0" w:after="0" w:afterAutospacing="0" w:line="360" w:lineRule="auto"/>
        <w:rPr>
          <w:rFonts w:ascii="Calibri" w:hAnsi="Calibri" w:cs="Calibri"/>
          <w:color w:val="auto"/>
          <w:sz w:val="24"/>
          <w:szCs w:val="24"/>
        </w:rPr>
        <w:sectPr>
          <w:pgSz w:w="11900" w:h="16840"/>
          <w:pgMar w:top="1440" w:right="1800" w:bottom="1440" w:left="1800" w:header="851" w:footer="992" w:gutter="0"/>
          <w:pgBorders>
            <w:top w:val="none" w:sz="0" w:space="0"/>
            <w:left w:val="none" w:sz="0" w:space="0"/>
            <w:bottom w:val="none" w:sz="0" w:space="0"/>
            <w:right w:val="none" w:sz="0" w:space="0"/>
          </w:pgBorders>
          <w:lnNumType w:countBy="1" w:restart="continuous"/>
          <w:cols w:space="425" w:num="1"/>
          <w:docGrid w:type="lines" w:linePitch="312" w:charSpace="0"/>
        </w:sectPr>
      </w:pPr>
    </w:p>
    <w:p w14:paraId="2AC7931A">
      <w:pPr>
        <w:spacing w:line="360" w:lineRule="auto"/>
        <w:jc w:val="left"/>
        <w:rPr>
          <w:rFonts w:ascii="Calibri" w:hAnsi="Calibri" w:cs="Calibri"/>
          <w:b/>
          <w:bCs/>
          <w:color w:val="auto"/>
          <w:sz w:val="24"/>
        </w:rPr>
      </w:pPr>
      <w:r>
        <w:rPr>
          <w:rFonts w:ascii="Calibri" w:hAnsi="Calibri" w:cs="Calibri"/>
          <w:b/>
          <w:bCs/>
          <w:color w:val="auto"/>
          <w:sz w:val="24"/>
        </w:rPr>
        <w:t>Table S5: Prognostic Implication of Re-classification from PF-Moderate to SF-Severe ARDS</w:t>
      </w:r>
    </w:p>
    <w:tbl>
      <w:tblPr>
        <w:tblStyle w:val="10"/>
        <w:tblW w:w="0" w:type="auto"/>
        <w:tblInd w:w="0" w:type="dxa"/>
        <w:tblBorders>
          <w:top w:val="single" w:color="FF0000" w:sz="4" w:space="0"/>
          <w:left w:val="single" w:color="FF0000" w:sz="4" w:space="0"/>
          <w:bottom w:val="single" w:color="FF0000" w:sz="4" w:space="0"/>
          <w:right w:val="single" w:color="FF0000" w:sz="4" w:space="0"/>
          <w:insideH w:val="single" w:color="FF0000" w:sz="4" w:space="0"/>
          <w:insideV w:val="single" w:color="FF0000" w:sz="4" w:space="0"/>
        </w:tblBorders>
        <w:tblLayout w:type="autofit"/>
        <w:tblCellMar>
          <w:top w:w="0" w:type="dxa"/>
          <w:left w:w="108" w:type="dxa"/>
          <w:bottom w:w="0" w:type="dxa"/>
          <w:right w:w="108" w:type="dxa"/>
        </w:tblCellMar>
      </w:tblPr>
      <w:tblGrid>
        <w:gridCol w:w="1663"/>
        <w:gridCol w:w="617"/>
        <w:gridCol w:w="1026"/>
        <w:gridCol w:w="1232"/>
        <w:gridCol w:w="1271"/>
        <w:gridCol w:w="1641"/>
        <w:gridCol w:w="1066"/>
      </w:tblGrid>
      <w:tr w14:paraId="23296590">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56316A0">
            <w:pPr>
              <w:spacing w:line="360" w:lineRule="auto"/>
              <w:jc w:val="left"/>
              <w:rPr>
                <w:rFonts w:ascii="Calibri" w:hAnsi="Calibri" w:cs="Calibri"/>
                <w:b/>
                <w:bCs/>
                <w:color w:val="auto"/>
                <w:sz w:val="24"/>
              </w:rPr>
            </w:pPr>
            <w:r>
              <w:rPr>
                <w:rFonts w:ascii="Calibri" w:hAnsi="Calibri" w:cs="Calibri"/>
                <w:b/>
                <w:bCs/>
                <w:color w:val="auto"/>
                <w:sz w:val="24"/>
              </w:rPr>
              <w:t>Group Description</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567CB39">
            <w:pPr>
              <w:spacing w:line="360" w:lineRule="auto"/>
              <w:jc w:val="center"/>
              <w:rPr>
                <w:rFonts w:ascii="Calibri" w:hAnsi="Calibri" w:cs="Calibri"/>
                <w:b/>
                <w:bCs/>
                <w:color w:val="auto"/>
                <w:sz w:val="24"/>
              </w:rPr>
            </w:pPr>
            <w:r>
              <w:rPr>
                <w:rFonts w:ascii="Calibri" w:hAnsi="Calibri" w:cs="Calibri"/>
                <w:b/>
                <w:bCs/>
                <w:color w:val="auto"/>
                <w:sz w:val="24"/>
              </w:rPr>
              <w:t>n</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9EC0E0A">
            <w:pPr>
              <w:spacing w:line="360" w:lineRule="auto"/>
              <w:jc w:val="center"/>
              <w:rPr>
                <w:rFonts w:ascii="Calibri" w:hAnsi="Calibri" w:cs="Calibri"/>
                <w:b/>
                <w:bCs/>
                <w:color w:val="auto"/>
                <w:sz w:val="24"/>
              </w:rPr>
            </w:pPr>
            <w:r>
              <w:rPr>
                <w:rFonts w:ascii="Calibri" w:hAnsi="Calibri" w:cs="Calibri"/>
                <w:b/>
                <w:bCs/>
                <w:color w:val="auto"/>
                <w:sz w:val="24"/>
              </w:rPr>
              <w:t>Deaths</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FE388A5">
            <w:pPr>
              <w:spacing w:line="360" w:lineRule="auto"/>
              <w:jc w:val="center"/>
              <w:rPr>
                <w:rFonts w:ascii="Calibri" w:hAnsi="Calibri" w:cs="Calibri"/>
                <w:b/>
                <w:bCs/>
                <w:color w:val="auto"/>
                <w:sz w:val="24"/>
              </w:rPr>
            </w:pPr>
            <w:r>
              <w:rPr>
                <w:rFonts w:ascii="Calibri" w:hAnsi="Calibri" w:cs="Calibri"/>
                <w:b/>
                <w:bCs/>
                <w:color w:val="auto"/>
                <w:sz w:val="24"/>
              </w:rPr>
              <w:t>Mortality (%)</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6FE1B41">
            <w:pPr>
              <w:spacing w:line="360" w:lineRule="auto"/>
              <w:jc w:val="center"/>
              <w:rPr>
                <w:rFonts w:ascii="Calibri" w:hAnsi="Calibri" w:cs="Calibri"/>
                <w:b/>
                <w:bCs/>
                <w:color w:val="auto"/>
                <w:sz w:val="24"/>
              </w:rPr>
            </w:pPr>
            <w:r>
              <w:rPr>
                <w:rFonts w:ascii="Calibri" w:hAnsi="Calibri" w:eastAsia="宋体" w:cs="Calibri"/>
                <w:b/>
                <w:bCs/>
                <w:color w:val="auto"/>
                <w:kern w:val="0"/>
                <w:sz w:val="24"/>
              </w:rPr>
              <w:t>95% CI</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D684316">
            <w:pPr>
              <w:spacing w:line="360" w:lineRule="auto"/>
              <w:jc w:val="center"/>
              <w:rPr>
                <w:rFonts w:ascii="Calibri" w:hAnsi="Calibri" w:cs="Calibri"/>
                <w:b/>
                <w:bCs/>
                <w:color w:val="auto"/>
                <w:sz w:val="24"/>
              </w:rPr>
            </w:pPr>
            <w:r>
              <w:rPr>
                <w:rFonts w:ascii="Calibri" w:hAnsi="Calibri" w:cs="Calibri"/>
                <w:b/>
                <w:bCs/>
                <w:color w:val="auto"/>
                <w:sz w:val="24"/>
              </w:rPr>
              <w:t>Comparison Group</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3E27EDC">
            <w:pPr>
              <w:spacing w:line="360" w:lineRule="auto"/>
              <w:jc w:val="center"/>
              <w:rPr>
                <w:rFonts w:ascii="Calibri" w:hAnsi="Calibri" w:cs="Calibri"/>
                <w:b/>
                <w:bCs/>
                <w:color w:val="auto"/>
                <w:sz w:val="24"/>
              </w:rPr>
            </w:pPr>
            <w:r>
              <w:rPr>
                <w:rFonts w:ascii="Calibri" w:hAnsi="Calibri" w:cs="Calibri"/>
                <w:b/>
                <w:bCs/>
                <w:color w:val="auto"/>
                <w:sz w:val="24"/>
              </w:rPr>
              <w:t>p-value *</w:t>
            </w:r>
          </w:p>
        </w:tc>
      </w:tr>
      <w:tr w14:paraId="3FE95185">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629FC2A">
            <w:pPr>
              <w:spacing w:line="360" w:lineRule="auto"/>
              <w:jc w:val="left"/>
              <w:rPr>
                <w:rFonts w:ascii="Calibri" w:hAnsi="Calibri" w:cs="Calibri"/>
                <w:color w:val="auto"/>
                <w:sz w:val="24"/>
              </w:rPr>
            </w:pPr>
            <w:r>
              <w:rPr>
                <w:rFonts w:ascii="Calibri" w:hAnsi="Calibri" w:cs="Calibri"/>
                <w:bCs/>
                <w:color w:val="auto"/>
                <w:sz w:val="24"/>
              </w:rPr>
              <w:t xml:space="preserve">SF-severe but PF-moderate ARDS </w:t>
            </w:r>
            <w:r>
              <w:rPr>
                <w:rFonts w:ascii="Calibri" w:hAnsi="Calibri" w:cs="Calibri"/>
                <w:i/>
                <w:iCs/>
                <w:color w:val="auto"/>
                <w:sz w:val="24"/>
              </w:rPr>
              <w:t>(Discordant Group)</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3BB893D">
            <w:pPr>
              <w:spacing w:line="360" w:lineRule="auto"/>
              <w:jc w:val="center"/>
              <w:rPr>
                <w:rFonts w:ascii="Calibri" w:hAnsi="Calibri" w:cs="Calibri"/>
                <w:color w:val="auto"/>
                <w:sz w:val="24"/>
              </w:rPr>
            </w:pPr>
            <w:r>
              <w:rPr>
                <w:rFonts w:ascii="Calibri" w:hAnsi="Calibri" w:cs="Calibri"/>
                <w:color w:val="auto"/>
                <w:sz w:val="24"/>
              </w:rPr>
              <w:t>139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C8CA28F">
            <w:pPr>
              <w:spacing w:line="360" w:lineRule="auto"/>
              <w:jc w:val="center"/>
              <w:rPr>
                <w:rFonts w:ascii="Calibri" w:hAnsi="Calibri" w:cs="Calibri"/>
                <w:color w:val="auto"/>
                <w:sz w:val="24"/>
              </w:rPr>
            </w:pPr>
            <w:r>
              <w:rPr>
                <w:rFonts w:ascii="Calibri" w:hAnsi="Calibri" w:cs="Calibri"/>
                <w:color w:val="auto"/>
                <w:sz w:val="24"/>
              </w:rPr>
              <w:t>51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A4500AB">
            <w:pPr>
              <w:spacing w:line="360" w:lineRule="auto"/>
              <w:jc w:val="center"/>
              <w:rPr>
                <w:rFonts w:ascii="Calibri" w:hAnsi="Calibri" w:cs="Calibri"/>
                <w:color w:val="auto"/>
                <w:sz w:val="24"/>
              </w:rPr>
            </w:pPr>
            <w:r>
              <w:rPr>
                <w:rFonts w:ascii="Calibri" w:hAnsi="Calibri" w:cs="Calibri"/>
                <w:color w:val="auto"/>
                <w:sz w:val="24"/>
              </w:rPr>
              <w:t>36.7%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4378D38">
            <w:pPr>
              <w:spacing w:line="360" w:lineRule="auto"/>
              <w:jc w:val="center"/>
              <w:rPr>
                <w:rFonts w:ascii="Calibri" w:hAnsi="Calibri" w:cs="Calibri"/>
                <w:color w:val="auto"/>
                <w:sz w:val="24"/>
              </w:rPr>
            </w:pPr>
            <w:r>
              <w:rPr>
                <w:rFonts w:ascii="Calibri" w:hAnsi="Calibri" w:eastAsia="宋体" w:cs="Calibri"/>
                <w:color w:val="auto"/>
                <w:kern w:val="0"/>
                <w:sz w:val="24"/>
              </w:rPr>
              <w:t>28.7–44.7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23162CE">
            <w:pPr>
              <w:spacing w:line="360" w:lineRule="auto"/>
              <w:jc w:val="center"/>
              <w:rPr>
                <w:rFonts w:ascii="Calibri" w:hAnsi="Calibri" w:cs="Calibri"/>
                <w:color w:val="auto"/>
                <w:sz w:val="24"/>
              </w:rPr>
            </w:pPr>
            <w:r>
              <w:rPr>
                <w:rFonts w:ascii="Calibri" w:hAnsi="Calibri" w:cs="Calibri"/>
                <w:color w:val="auto"/>
                <w:sz w:val="24"/>
              </w:rPr>
              <w:t>vs. All PF-moderate ARDS</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BA83AEC">
            <w:pPr>
              <w:spacing w:line="360" w:lineRule="auto"/>
              <w:jc w:val="center"/>
              <w:rPr>
                <w:rFonts w:ascii="Calibri" w:hAnsi="Calibri" w:cs="Calibri"/>
                <w:color w:val="auto"/>
                <w:sz w:val="24"/>
              </w:rPr>
            </w:pPr>
            <w:r>
              <w:rPr>
                <w:rFonts w:ascii="Calibri" w:hAnsi="Calibri" w:cs="Calibri"/>
                <w:color w:val="auto"/>
                <w:sz w:val="24"/>
              </w:rPr>
              <w:t>0.775</w:t>
            </w:r>
          </w:p>
        </w:tc>
      </w:tr>
      <w:tr w14:paraId="089F7DCD">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4E9275E">
            <w:pPr>
              <w:spacing w:line="360" w:lineRule="auto"/>
              <w:jc w:val="left"/>
              <w:rPr>
                <w:rFonts w:ascii="Calibri" w:hAnsi="Calibri" w:cs="Calibri"/>
                <w:color w:val="auto"/>
                <w:sz w:val="24"/>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F982900">
            <w:pPr>
              <w:spacing w:line="360" w:lineRule="auto"/>
              <w:jc w:val="center"/>
              <w:rPr>
                <w:rFonts w:ascii="Calibri" w:hAnsi="Calibri" w:cs="Calibri"/>
                <w:color w:val="auto"/>
                <w:sz w:val="24"/>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B69B58B">
            <w:pPr>
              <w:spacing w:line="360" w:lineRule="auto"/>
              <w:jc w:val="center"/>
              <w:rPr>
                <w:rFonts w:ascii="Calibri" w:hAnsi="Calibri" w:cs="Calibri"/>
                <w:color w:val="auto"/>
                <w:sz w:val="24"/>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1669FD1">
            <w:pPr>
              <w:spacing w:line="360" w:lineRule="auto"/>
              <w:jc w:val="center"/>
              <w:rPr>
                <w:rFonts w:ascii="Calibri" w:hAnsi="Calibri" w:cs="Calibri"/>
                <w:color w:val="auto"/>
                <w:sz w:val="24"/>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90DD463">
            <w:pPr>
              <w:spacing w:line="360" w:lineRule="auto"/>
              <w:jc w:val="center"/>
              <w:rPr>
                <w:rFonts w:ascii="Calibri" w:hAnsi="Calibri" w:cs="Calibri"/>
                <w:color w:val="auto"/>
                <w:sz w:val="24"/>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299D466">
            <w:pPr>
              <w:spacing w:line="360" w:lineRule="auto"/>
              <w:jc w:val="center"/>
              <w:rPr>
                <w:rFonts w:ascii="Calibri" w:hAnsi="Calibri" w:cs="Calibri"/>
                <w:color w:val="auto"/>
                <w:sz w:val="24"/>
              </w:rPr>
            </w:pPr>
            <w:r>
              <w:rPr>
                <w:rFonts w:ascii="Calibri" w:hAnsi="Calibri" w:cs="Calibri"/>
                <w:color w:val="auto"/>
                <w:sz w:val="24"/>
              </w:rPr>
              <w:t>vs. All PF-severe ARDS</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2761F68">
            <w:pPr>
              <w:spacing w:line="360" w:lineRule="auto"/>
              <w:jc w:val="center"/>
              <w:rPr>
                <w:rFonts w:ascii="Calibri" w:hAnsi="Calibri" w:cs="Calibri"/>
                <w:color w:val="auto"/>
                <w:sz w:val="24"/>
              </w:rPr>
            </w:pPr>
            <w:r>
              <w:rPr>
                <w:rFonts w:ascii="Calibri" w:hAnsi="Calibri" w:cs="Calibri"/>
                <w:bCs/>
                <w:color w:val="auto"/>
                <w:sz w:val="24"/>
              </w:rPr>
              <w:t>0.015</w:t>
            </w:r>
          </w:p>
        </w:tc>
      </w:tr>
      <w:tr w14:paraId="2AFBF4CD">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9A9CA9C">
            <w:pPr>
              <w:spacing w:line="360" w:lineRule="auto"/>
              <w:jc w:val="left"/>
              <w:rPr>
                <w:rFonts w:ascii="Calibri" w:hAnsi="Calibri" w:cs="Calibri"/>
                <w:color w:val="auto"/>
                <w:sz w:val="24"/>
              </w:rPr>
            </w:pPr>
            <w:r>
              <w:rPr>
                <w:rFonts w:ascii="Calibri" w:hAnsi="Calibri" w:cs="Calibri"/>
                <w:bCs/>
                <w:i/>
                <w:iCs/>
                <w:color w:val="auto"/>
                <w:sz w:val="24"/>
              </w:rPr>
              <w:t>Reference Groups:</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1CEA8CA">
            <w:pPr>
              <w:spacing w:line="360" w:lineRule="auto"/>
              <w:jc w:val="center"/>
              <w:rPr>
                <w:rFonts w:ascii="Calibri" w:hAnsi="Calibri" w:cs="Calibri"/>
                <w:color w:val="auto"/>
                <w:sz w:val="24"/>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02E2E0A">
            <w:pPr>
              <w:spacing w:line="360" w:lineRule="auto"/>
              <w:jc w:val="center"/>
              <w:rPr>
                <w:rFonts w:ascii="Calibri" w:hAnsi="Calibri" w:cs="Calibri"/>
                <w:color w:val="auto"/>
                <w:sz w:val="24"/>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6A91B9C">
            <w:pPr>
              <w:spacing w:line="360" w:lineRule="auto"/>
              <w:jc w:val="center"/>
              <w:rPr>
                <w:rFonts w:ascii="Calibri" w:hAnsi="Calibri" w:cs="Calibri"/>
                <w:color w:val="auto"/>
                <w:sz w:val="24"/>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09511AF">
            <w:pPr>
              <w:spacing w:line="360" w:lineRule="auto"/>
              <w:jc w:val="center"/>
              <w:rPr>
                <w:rFonts w:ascii="Calibri" w:hAnsi="Calibri" w:cs="Calibri"/>
                <w:color w:val="auto"/>
                <w:sz w:val="24"/>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1D40A2A">
            <w:pPr>
              <w:spacing w:line="360" w:lineRule="auto"/>
              <w:jc w:val="center"/>
              <w:rPr>
                <w:rFonts w:ascii="Calibri" w:hAnsi="Calibri" w:cs="Calibri"/>
                <w:color w:val="auto"/>
                <w:sz w:val="24"/>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E96D1CF">
            <w:pPr>
              <w:spacing w:line="360" w:lineRule="auto"/>
              <w:jc w:val="center"/>
              <w:rPr>
                <w:rFonts w:ascii="Calibri" w:hAnsi="Calibri" w:cs="Calibri"/>
                <w:color w:val="auto"/>
                <w:sz w:val="24"/>
              </w:rPr>
            </w:pPr>
          </w:p>
        </w:tc>
      </w:tr>
      <w:tr w14:paraId="208085A8">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EEB2707">
            <w:pPr>
              <w:spacing w:line="360" w:lineRule="auto"/>
              <w:jc w:val="left"/>
              <w:rPr>
                <w:rFonts w:ascii="Calibri" w:hAnsi="Calibri" w:cs="Calibri"/>
                <w:color w:val="auto"/>
                <w:sz w:val="24"/>
              </w:rPr>
            </w:pPr>
            <w:r>
              <w:rPr>
                <w:rFonts w:ascii="Calibri" w:hAnsi="Calibri" w:cs="Calibri"/>
                <w:color w:val="auto"/>
                <w:sz w:val="24"/>
              </w:rPr>
              <w:t>All PF-moderate ARDS</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E45071E">
            <w:pPr>
              <w:spacing w:line="360" w:lineRule="auto"/>
              <w:jc w:val="center"/>
              <w:rPr>
                <w:rFonts w:ascii="Calibri" w:hAnsi="Calibri" w:cs="Calibri"/>
                <w:color w:val="auto"/>
                <w:sz w:val="24"/>
              </w:rPr>
            </w:pPr>
            <w:r>
              <w:rPr>
                <w:rFonts w:ascii="Calibri" w:hAnsi="Calibri" w:cs="Calibri"/>
                <w:color w:val="auto"/>
                <w:sz w:val="24"/>
              </w:rPr>
              <w:t>261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92EDFFD">
            <w:pPr>
              <w:spacing w:line="360" w:lineRule="auto"/>
              <w:jc w:val="center"/>
              <w:rPr>
                <w:rFonts w:ascii="Calibri" w:hAnsi="Calibri" w:cs="Calibri"/>
                <w:color w:val="auto"/>
                <w:sz w:val="24"/>
              </w:rPr>
            </w:pPr>
            <w:r>
              <w:rPr>
                <w:rFonts w:ascii="Calibri" w:hAnsi="Calibri" w:cs="Calibri"/>
                <w:color w:val="auto"/>
                <w:sz w:val="24"/>
              </w:rPr>
              <w:t>92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653E1CD">
            <w:pPr>
              <w:spacing w:line="360" w:lineRule="auto"/>
              <w:jc w:val="center"/>
              <w:rPr>
                <w:rFonts w:ascii="Calibri" w:hAnsi="Calibri" w:cs="Calibri"/>
                <w:color w:val="auto"/>
                <w:sz w:val="24"/>
              </w:rPr>
            </w:pPr>
            <w:r>
              <w:rPr>
                <w:rFonts w:ascii="Calibri" w:hAnsi="Calibri" w:cs="Calibri"/>
                <w:color w:val="auto"/>
                <w:sz w:val="24"/>
              </w:rPr>
              <w:t>35.3%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B0A36BD">
            <w:pPr>
              <w:spacing w:line="360" w:lineRule="auto"/>
              <w:jc w:val="center"/>
              <w:rPr>
                <w:rFonts w:ascii="Calibri" w:hAnsi="Calibri" w:cs="Calibri"/>
                <w:color w:val="auto"/>
                <w:sz w:val="24"/>
              </w:rPr>
            </w:pPr>
            <w:r>
              <w:rPr>
                <w:rFonts w:ascii="Calibri" w:hAnsi="Calibri" w:eastAsia="宋体" w:cs="Calibri"/>
                <w:color w:val="auto"/>
                <w:kern w:val="0"/>
                <w:sz w:val="24"/>
              </w:rPr>
              <w:t>29.5–41.1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1E2AC27">
            <w:pPr>
              <w:spacing w:line="360" w:lineRule="auto"/>
              <w:jc w:val="center"/>
              <w:rPr>
                <w:rFonts w:ascii="Calibri" w:hAnsi="Calibri" w:cs="Calibri"/>
                <w:color w:val="auto"/>
                <w:sz w:val="24"/>
              </w:rPr>
            </w:pPr>
            <w:r>
              <w:rPr>
                <w:rFonts w:ascii="Calibri" w:hAnsi="Calibri" w:cs="Calibri"/>
                <w:color w:val="auto"/>
                <w:sz w:val="24"/>
              </w:rPr>
              <w:t>-</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FF3368D">
            <w:pPr>
              <w:spacing w:line="360" w:lineRule="auto"/>
              <w:jc w:val="center"/>
              <w:rPr>
                <w:rFonts w:ascii="Calibri" w:hAnsi="Calibri" w:cs="Calibri"/>
                <w:color w:val="auto"/>
                <w:sz w:val="24"/>
              </w:rPr>
            </w:pPr>
            <w:r>
              <w:rPr>
                <w:rFonts w:ascii="Calibri" w:hAnsi="Calibri" w:cs="Calibri"/>
                <w:color w:val="auto"/>
                <w:sz w:val="24"/>
              </w:rPr>
              <w:t>-</w:t>
            </w:r>
          </w:p>
        </w:tc>
      </w:tr>
      <w:tr w14:paraId="2FE18C19">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D944DFA">
            <w:pPr>
              <w:spacing w:line="360" w:lineRule="auto"/>
              <w:jc w:val="left"/>
              <w:rPr>
                <w:rFonts w:ascii="Calibri" w:hAnsi="Calibri" w:cs="Calibri"/>
                <w:color w:val="auto"/>
                <w:sz w:val="24"/>
              </w:rPr>
            </w:pPr>
            <w:r>
              <w:rPr>
                <w:rFonts w:ascii="Calibri" w:hAnsi="Calibri" w:cs="Calibri"/>
                <w:color w:val="auto"/>
                <w:sz w:val="24"/>
              </w:rPr>
              <w:t>All PF-severe ARDS</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D8068C1">
            <w:pPr>
              <w:spacing w:line="360" w:lineRule="auto"/>
              <w:jc w:val="center"/>
              <w:rPr>
                <w:rFonts w:ascii="Calibri" w:hAnsi="Calibri" w:cs="Calibri"/>
                <w:color w:val="auto"/>
                <w:sz w:val="24"/>
              </w:rPr>
            </w:pPr>
            <w:r>
              <w:rPr>
                <w:rFonts w:ascii="Calibri" w:hAnsi="Calibri" w:cs="Calibri"/>
                <w:color w:val="auto"/>
                <w:sz w:val="24"/>
              </w:rPr>
              <w:t>219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23F948D">
            <w:pPr>
              <w:spacing w:line="360" w:lineRule="auto"/>
              <w:jc w:val="center"/>
              <w:rPr>
                <w:rFonts w:ascii="Calibri" w:hAnsi="Calibri" w:cs="Calibri"/>
                <w:color w:val="auto"/>
                <w:sz w:val="24"/>
              </w:rPr>
            </w:pPr>
            <w:r>
              <w:rPr>
                <w:rFonts w:ascii="Calibri" w:hAnsi="Calibri" w:cs="Calibri"/>
                <w:color w:val="auto"/>
                <w:sz w:val="24"/>
              </w:rPr>
              <w:t>109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C328FEE">
            <w:pPr>
              <w:spacing w:line="360" w:lineRule="auto"/>
              <w:jc w:val="center"/>
              <w:rPr>
                <w:rFonts w:ascii="Calibri" w:hAnsi="Calibri" w:cs="Calibri"/>
                <w:color w:val="auto"/>
                <w:sz w:val="24"/>
              </w:rPr>
            </w:pPr>
            <w:r>
              <w:rPr>
                <w:rFonts w:ascii="Calibri" w:hAnsi="Calibri" w:cs="Calibri"/>
                <w:color w:val="auto"/>
                <w:sz w:val="24"/>
              </w:rPr>
              <w:t>49.8%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AC88BD6">
            <w:pPr>
              <w:spacing w:line="360" w:lineRule="auto"/>
              <w:jc w:val="center"/>
              <w:rPr>
                <w:rFonts w:ascii="Calibri" w:hAnsi="Calibri" w:cs="Calibri"/>
                <w:color w:val="auto"/>
                <w:sz w:val="24"/>
              </w:rPr>
            </w:pPr>
            <w:r>
              <w:rPr>
                <w:rFonts w:ascii="Calibri" w:hAnsi="Calibri" w:eastAsia="宋体" w:cs="Calibri"/>
                <w:color w:val="auto"/>
                <w:kern w:val="0"/>
                <w:sz w:val="24"/>
              </w:rPr>
              <w:t>43.2–56.4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AA94A37">
            <w:pPr>
              <w:spacing w:line="360" w:lineRule="auto"/>
              <w:jc w:val="center"/>
              <w:rPr>
                <w:rFonts w:ascii="Calibri" w:hAnsi="Calibri" w:cs="Calibri"/>
                <w:color w:val="auto"/>
                <w:sz w:val="24"/>
              </w:rPr>
            </w:pPr>
            <w:r>
              <w:rPr>
                <w:rFonts w:ascii="Calibri" w:hAnsi="Calibri" w:cs="Calibri"/>
                <w:color w:val="auto"/>
                <w:sz w:val="24"/>
              </w:rPr>
              <w:t>-</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B90DFAB">
            <w:pPr>
              <w:spacing w:line="360" w:lineRule="auto"/>
              <w:jc w:val="center"/>
              <w:rPr>
                <w:rFonts w:ascii="Calibri" w:hAnsi="Calibri" w:cs="Calibri"/>
                <w:color w:val="auto"/>
                <w:sz w:val="24"/>
              </w:rPr>
            </w:pPr>
            <w:r>
              <w:rPr>
                <w:rFonts w:ascii="Calibri" w:hAnsi="Calibri" w:cs="Calibri"/>
                <w:color w:val="auto"/>
                <w:sz w:val="24"/>
              </w:rPr>
              <w:t>-</w:t>
            </w:r>
          </w:p>
        </w:tc>
      </w:tr>
    </w:tbl>
    <w:p w14:paraId="7AC860FD">
      <w:pPr>
        <w:spacing w:line="360" w:lineRule="auto"/>
        <w:jc w:val="left"/>
        <w:rPr>
          <w:rFonts w:ascii="Calibri" w:hAnsi="Calibri" w:cs="Calibri"/>
          <w:color w:val="auto"/>
          <w:sz w:val="24"/>
        </w:rPr>
      </w:pPr>
      <w:r>
        <w:rPr>
          <w:rFonts w:ascii="Calibri" w:hAnsi="Calibri" w:cs="Calibri"/>
          <w:iCs/>
          <w:color w:val="auto"/>
          <w:sz w:val="24"/>
        </w:rPr>
        <w:t>*: p-values calculated using a two-sample test of proportions.</w:t>
      </w:r>
    </w:p>
    <w:p w14:paraId="743DB5CE">
      <w:pPr>
        <w:spacing w:line="360" w:lineRule="auto"/>
        <w:jc w:val="left"/>
        <w:rPr>
          <w:rFonts w:ascii="Calibri" w:hAnsi="Calibri" w:cs="Calibri"/>
          <w:color w:val="auto"/>
          <w:sz w:val="24"/>
        </w:rPr>
      </w:pPr>
    </w:p>
    <w:p w14:paraId="7E748F40">
      <w:pPr>
        <w:spacing w:line="360" w:lineRule="auto"/>
        <w:jc w:val="left"/>
        <w:rPr>
          <w:rFonts w:ascii="Calibri" w:hAnsi="Calibri" w:cs="Calibri"/>
          <w:color w:val="auto"/>
          <w:sz w:val="24"/>
        </w:rPr>
      </w:pPr>
    </w:p>
    <w:p w14:paraId="58A88E59">
      <w:pPr>
        <w:pStyle w:val="4"/>
        <w:spacing w:before="0" w:beforeAutospacing="0" w:after="0" w:afterAutospacing="0" w:line="360" w:lineRule="auto"/>
        <w:rPr>
          <w:rFonts w:ascii="Calibri" w:hAnsi="Calibri" w:cs="Calibri"/>
          <w:color w:val="auto"/>
          <w:sz w:val="24"/>
          <w:szCs w:val="24"/>
        </w:rPr>
        <w:sectPr>
          <w:pgSz w:w="11900" w:h="16840"/>
          <w:pgMar w:top="1440" w:right="1800" w:bottom="1440" w:left="1800" w:header="851" w:footer="992" w:gutter="0"/>
          <w:pgBorders>
            <w:top w:val="none" w:sz="0" w:space="0"/>
            <w:left w:val="none" w:sz="0" w:space="0"/>
            <w:bottom w:val="none" w:sz="0" w:space="0"/>
            <w:right w:val="none" w:sz="0" w:space="0"/>
          </w:pgBorders>
          <w:lnNumType w:countBy="1" w:restart="continuous"/>
          <w:cols w:space="425" w:num="1"/>
          <w:docGrid w:type="lines" w:linePitch="312" w:charSpace="0"/>
        </w:sectPr>
      </w:pPr>
    </w:p>
    <w:p w14:paraId="5569CF29">
      <w:pPr>
        <w:widowControl/>
        <w:shd w:val="clear" w:color="auto" w:fill="FFFFFF"/>
        <w:spacing w:line="360" w:lineRule="auto"/>
        <w:jc w:val="left"/>
        <w:rPr>
          <w:rFonts w:ascii="Calibri" w:hAnsi="Calibri" w:eastAsia="宋体" w:cs="Calibri"/>
          <w:color w:val="auto"/>
          <w:kern w:val="0"/>
          <w:sz w:val="24"/>
        </w:rPr>
      </w:pPr>
      <w:r>
        <w:rPr>
          <w:rFonts w:ascii="Calibri" w:hAnsi="Calibri" w:eastAsia="宋体" w:cs="Calibri"/>
          <w:b/>
          <w:bCs/>
          <w:color w:val="auto"/>
          <w:kern w:val="0"/>
          <w:sz w:val="24"/>
        </w:rPr>
        <w:t>3. Subgroup and Secondary Analysis Tables</w:t>
      </w:r>
    </w:p>
    <w:p w14:paraId="573D4823">
      <w:pPr>
        <w:pStyle w:val="4"/>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Table S6: Retrospective Analysis of Classification Alignment with 28-Day Mortality in Patients with Discordant Classifications</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2"/>
        <w:gridCol w:w="1528"/>
        <w:gridCol w:w="1725"/>
        <w:gridCol w:w="2611"/>
      </w:tblGrid>
      <w:tr w14:paraId="511E1D67">
        <w:tc>
          <w:tcPr>
            <w:tcW w:w="1557" w:type="pct"/>
          </w:tcPr>
          <w:p w14:paraId="6505444C">
            <w:pPr>
              <w:pStyle w:val="4"/>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Predictive Accuracy</w:t>
            </w:r>
          </w:p>
        </w:tc>
        <w:tc>
          <w:tcPr>
            <w:tcW w:w="897" w:type="pct"/>
          </w:tcPr>
          <w:p w14:paraId="161A12CB">
            <w:pPr>
              <w:pStyle w:val="4"/>
              <w:spacing w:before="0" w:beforeAutospacing="0" w:after="0" w:afterAutospacing="0" w:line="360" w:lineRule="auto"/>
              <w:jc w:val="center"/>
              <w:rPr>
                <w:rFonts w:ascii="Calibri" w:hAnsi="Calibri" w:cs="Calibri"/>
                <w:color w:val="auto"/>
                <w:sz w:val="24"/>
                <w:szCs w:val="24"/>
              </w:rPr>
            </w:pPr>
            <w:r>
              <w:rPr>
                <w:rFonts w:ascii="Calibri" w:hAnsi="Calibri" w:cs="Calibri"/>
                <w:color w:val="auto"/>
                <w:sz w:val="24"/>
                <w:szCs w:val="24"/>
              </w:rPr>
              <w:t>Frequency (n=225)</w:t>
            </w:r>
          </w:p>
        </w:tc>
        <w:tc>
          <w:tcPr>
            <w:tcW w:w="1013" w:type="pct"/>
          </w:tcPr>
          <w:p w14:paraId="014FC0E7">
            <w:pPr>
              <w:pStyle w:val="4"/>
              <w:spacing w:before="0" w:beforeAutospacing="0" w:after="0" w:afterAutospacing="0" w:line="360" w:lineRule="auto"/>
              <w:jc w:val="center"/>
              <w:rPr>
                <w:rFonts w:ascii="Calibri" w:hAnsi="Calibri" w:cs="Calibri"/>
                <w:color w:val="auto"/>
                <w:sz w:val="24"/>
                <w:szCs w:val="24"/>
              </w:rPr>
            </w:pPr>
            <w:r>
              <w:rPr>
                <w:rFonts w:ascii="Calibri" w:hAnsi="Calibri" w:cs="Calibri"/>
                <w:color w:val="auto"/>
                <w:sz w:val="24"/>
                <w:szCs w:val="24"/>
              </w:rPr>
              <w:t>Percentage</w:t>
            </w:r>
          </w:p>
          <w:p w14:paraId="6BA81882">
            <w:pPr>
              <w:pStyle w:val="4"/>
              <w:spacing w:before="0" w:beforeAutospacing="0" w:after="0" w:afterAutospacing="0" w:line="360" w:lineRule="auto"/>
              <w:jc w:val="center"/>
              <w:rPr>
                <w:rFonts w:ascii="Calibri" w:hAnsi="Calibri" w:cs="Calibri"/>
                <w:color w:val="auto"/>
                <w:sz w:val="24"/>
                <w:szCs w:val="24"/>
              </w:rPr>
            </w:pPr>
            <w:r>
              <w:rPr>
                <w:rFonts w:ascii="Calibri" w:hAnsi="Calibri" w:cs="Calibri"/>
                <w:color w:val="auto"/>
                <w:sz w:val="24"/>
                <w:szCs w:val="24"/>
              </w:rPr>
              <w:t>(95% CI)</w:t>
            </w:r>
          </w:p>
        </w:tc>
        <w:tc>
          <w:tcPr>
            <w:tcW w:w="1533" w:type="pct"/>
          </w:tcPr>
          <w:p w14:paraId="2AC13515">
            <w:pPr>
              <w:pStyle w:val="4"/>
              <w:spacing w:before="0" w:beforeAutospacing="0" w:after="0" w:afterAutospacing="0" w:line="360" w:lineRule="auto"/>
              <w:jc w:val="center"/>
              <w:rPr>
                <w:rFonts w:ascii="Calibri" w:hAnsi="Calibri" w:cs="Calibri"/>
                <w:color w:val="auto"/>
                <w:sz w:val="24"/>
                <w:szCs w:val="24"/>
              </w:rPr>
            </w:pPr>
            <w:r>
              <w:rPr>
                <w:rFonts w:ascii="Calibri" w:hAnsi="Calibri" w:cs="Calibri"/>
                <w:color w:val="auto"/>
                <w:sz w:val="24"/>
                <w:szCs w:val="24"/>
              </w:rPr>
              <w:t>28-day Mortality (%) (95% CI)</w:t>
            </w:r>
          </w:p>
        </w:tc>
      </w:tr>
      <w:tr w14:paraId="1C5373E3">
        <w:tc>
          <w:tcPr>
            <w:tcW w:w="1557" w:type="pct"/>
          </w:tcPr>
          <w:p w14:paraId="0B5AC9CB">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PF more accurate</w:t>
            </w:r>
          </w:p>
        </w:tc>
        <w:tc>
          <w:tcPr>
            <w:tcW w:w="897" w:type="pct"/>
          </w:tcPr>
          <w:p w14:paraId="34FC2E43">
            <w:pPr>
              <w:pStyle w:val="4"/>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125</w:t>
            </w:r>
          </w:p>
        </w:tc>
        <w:tc>
          <w:tcPr>
            <w:tcW w:w="1013" w:type="pct"/>
          </w:tcPr>
          <w:p w14:paraId="49879F0D">
            <w:pPr>
              <w:pStyle w:val="4"/>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55.6 (49.1–62.1)</w:t>
            </w:r>
          </w:p>
        </w:tc>
        <w:tc>
          <w:tcPr>
            <w:tcW w:w="1533" w:type="pct"/>
          </w:tcPr>
          <w:p w14:paraId="72ED7FF9">
            <w:pPr>
              <w:pStyle w:val="4"/>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18.4 (11.6–25.2)</w:t>
            </w:r>
          </w:p>
        </w:tc>
      </w:tr>
      <w:tr w14:paraId="4BE09BEB">
        <w:tc>
          <w:tcPr>
            <w:tcW w:w="1557" w:type="pct"/>
          </w:tcPr>
          <w:p w14:paraId="48918BD4">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SF more accurate</w:t>
            </w:r>
          </w:p>
        </w:tc>
        <w:tc>
          <w:tcPr>
            <w:tcW w:w="897" w:type="pct"/>
          </w:tcPr>
          <w:p w14:paraId="12AE1EFB">
            <w:pPr>
              <w:pStyle w:val="4"/>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100</w:t>
            </w:r>
          </w:p>
        </w:tc>
        <w:tc>
          <w:tcPr>
            <w:tcW w:w="1013" w:type="pct"/>
          </w:tcPr>
          <w:p w14:paraId="3CE74A4B">
            <w:pPr>
              <w:pStyle w:val="4"/>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44.4 (37.9–50.9)</w:t>
            </w:r>
          </w:p>
        </w:tc>
        <w:tc>
          <w:tcPr>
            <w:tcW w:w="1533" w:type="pct"/>
          </w:tcPr>
          <w:p w14:paraId="1019E130">
            <w:pPr>
              <w:pStyle w:val="4"/>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57.0 (47.3–66.7)</w:t>
            </w:r>
          </w:p>
        </w:tc>
      </w:tr>
      <w:tr w14:paraId="6DC3426B">
        <w:tc>
          <w:tcPr>
            <w:tcW w:w="1557" w:type="pct"/>
          </w:tcPr>
          <w:p w14:paraId="02CA6A08">
            <w:pPr>
              <w:pStyle w:val="4"/>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Absolute mortality difference</w:t>
            </w:r>
          </w:p>
        </w:tc>
        <w:tc>
          <w:tcPr>
            <w:tcW w:w="897" w:type="pct"/>
          </w:tcPr>
          <w:p w14:paraId="2A525859">
            <w:pPr>
              <w:pStyle w:val="4"/>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w:t>
            </w:r>
          </w:p>
        </w:tc>
        <w:tc>
          <w:tcPr>
            <w:tcW w:w="1013" w:type="pct"/>
          </w:tcPr>
          <w:p w14:paraId="341424F4">
            <w:pPr>
              <w:pStyle w:val="4"/>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w:t>
            </w:r>
          </w:p>
        </w:tc>
        <w:tc>
          <w:tcPr>
            <w:tcW w:w="1533" w:type="pct"/>
          </w:tcPr>
          <w:p w14:paraId="03DA6E39">
            <w:pPr>
              <w:pStyle w:val="4"/>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38.6</w:t>
            </w:r>
          </w:p>
        </w:tc>
      </w:tr>
    </w:tbl>
    <w:p w14:paraId="76D7E82C">
      <w:pPr>
        <w:pStyle w:val="4"/>
        <w:spacing w:before="0" w:beforeAutospacing="0" w:after="0" w:afterAutospacing="0" w:line="360" w:lineRule="auto"/>
        <w:rPr>
          <w:rFonts w:ascii="Calibri" w:hAnsi="Calibri" w:cs="Calibri"/>
          <w:color w:val="auto"/>
          <w:sz w:val="24"/>
          <w:szCs w:val="24"/>
        </w:rPr>
      </w:pPr>
    </w:p>
    <w:p w14:paraId="53F2D000">
      <w:pPr>
        <w:pStyle w:val="4"/>
        <w:spacing w:before="0" w:beforeAutospacing="0" w:after="0" w:afterAutospacing="0" w:line="360" w:lineRule="auto"/>
        <w:rPr>
          <w:rFonts w:ascii="Calibri" w:hAnsi="Calibri" w:cs="Calibri"/>
          <w:color w:val="auto"/>
          <w:sz w:val="24"/>
          <w:szCs w:val="24"/>
        </w:rPr>
        <w:sectPr>
          <w:pgSz w:w="11900" w:h="16840"/>
          <w:pgMar w:top="1440" w:right="1800" w:bottom="1440" w:left="1800" w:header="851" w:footer="992" w:gutter="0"/>
          <w:pgBorders>
            <w:top w:val="none" w:sz="0" w:space="0"/>
            <w:left w:val="none" w:sz="0" w:space="0"/>
            <w:bottom w:val="none" w:sz="0" w:space="0"/>
            <w:right w:val="none" w:sz="0" w:space="0"/>
          </w:pgBorders>
          <w:lnNumType w:countBy="1" w:restart="continuous"/>
          <w:cols w:space="425" w:num="1"/>
          <w:docGrid w:type="lines" w:linePitch="312" w:charSpace="0"/>
        </w:sectPr>
      </w:pPr>
    </w:p>
    <w:p w14:paraId="25227F1F">
      <w:pPr>
        <w:pStyle w:val="4"/>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Table S7: Analysis of Classification Performance in Discriminating Severe ARDS</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73"/>
        <w:gridCol w:w="1421"/>
        <w:gridCol w:w="2261"/>
        <w:gridCol w:w="2261"/>
      </w:tblGrid>
      <w:tr w14:paraId="5C860E8D">
        <w:tc>
          <w:tcPr>
            <w:tcW w:w="0" w:type="auto"/>
          </w:tcPr>
          <w:p w14:paraId="37738A0D">
            <w:pPr>
              <w:spacing w:line="360" w:lineRule="auto"/>
              <w:jc w:val="center"/>
              <w:rPr>
                <w:rFonts w:ascii="Calibri" w:hAnsi="Calibri" w:cs="Calibri"/>
                <w:b/>
                <w:bCs/>
                <w:color w:val="auto"/>
                <w:sz w:val="24"/>
              </w:rPr>
            </w:pPr>
            <w:r>
              <w:rPr>
                <w:rFonts w:ascii="Calibri" w:hAnsi="Calibri" w:cs="Calibri"/>
                <w:b/>
                <w:bCs/>
                <w:color w:val="auto"/>
                <w:sz w:val="24"/>
              </w:rPr>
              <w:t>Severe ARDS Discrimination</w:t>
            </w:r>
          </w:p>
        </w:tc>
        <w:tc>
          <w:tcPr>
            <w:tcW w:w="0" w:type="auto"/>
          </w:tcPr>
          <w:p w14:paraId="6683DAA1">
            <w:pPr>
              <w:spacing w:line="360" w:lineRule="auto"/>
              <w:jc w:val="center"/>
              <w:rPr>
                <w:rFonts w:ascii="Calibri" w:hAnsi="Calibri" w:cs="Calibri"/>
                <w:b/>
                <w:bCs/>
                <w:color w:val="auto"/>
                <w:sz w:val="24"/>
              </w:rPr>
            </w:pPr>
            <w:r>
              <w:rPr>
                <w:rFonts w:ascii="Calibri" w:hAnsi="Calibri" w:cs="Calibri"/>
                <w:b/>
                <w:bCs/>
                <w:color w:val="auto"/>
                <w:sz w:val="24"/>
              </w:rPr>
              <w:t>Frequency</w:t>
            </w:r>
          </w:p>
        </w:tc>
        <w:tc>
          <w:tcPr>
            <w:tcW w:w="0" w:type="auto"/>
          </w:tcPr>
          <w:p w14:paraId="6B673E62">
            <w:pPr>
              <w:spacing w:line="360" w:lineRule="auto"/>
              <w:jc w:val="center"/>
              <w:rPr>
                <w:rFonts w:ascii="Calibri" w:hAnsi="Calibri" w:cs="Calibri"/>
                <w:b/>
                <w:bCs/>
                <w:color w:val="auto"/>
                <w:sz w:val="24"/>
              </w:rPr>
            </w:pPr>
            <w:r>
              <w:rPr>
                <w:rFonts w:ascii="Calibri" w:hAnsi="Calibri" w:cs="Calibri"/>
                <w:b/>
                <w:bCs/>
                <w:color w:val="auto"/>
                <w:sz w:val="24"/>
              </w:rPr>
              <w:t>PF More Accurate</w:t>
            </w:r>
          </w:p>
        </w:tc>
        <w:tc>
          <w:tcPr>
            <w:tcW w:w="0" w:type="auto"/>
          </w:tcPr>
          <w:p w14:paraId="72D12504">
            <w:pPr>
              <w:spacing w:line="360" w:lineRule="auto"/>
              <w:jc w:val="center"/>
              <w:rPr>
                <w:rFonts w:ascii="Calibri" w:hAnsi="Calibri" w:cs="Calibri"/>
                <w:b/>
                <w:bCs/>
                <w:color w:val="auto"/>
                <w:sz w:val="24"/>
              </w:rPr>
            </w:pPr>
            <w:r>
              <w:rPr>
                <w:rFonts w:ascii="Calibri" w:hAnsi="Calibri" w:cs="Calibri"/>
                <w:b/>
                <w:bCs/>
                <w:color w:val="auto"/>
                <w:sz w:val="24"/>
              </w:rPr>
              <w:t>SF More Accurate</w:t>
            </w:r>
          </w:p>
        </w:tc>
      </w:tr>
      <w:tr w14:paraId="16DDA10B">
        <w:tc>
          <w:tcPr>
            <w:tcW w:w="0" w:type="auto"/>
          </w:tcPr>
          <w:p w14:paraId="1DE91A0E">
            <w:pPr>
              <w:spacing w:line="360" w:lineRule="auto"/>
              <w:jc w:val="left"/>
              <w:rPr>
                <w:rFonts w:ascii="Calibri" w:hAnsi="Calibri" w:cs="Calibri"/>
                <w:color w:val="auto"/>
                <w:sz w:val="24"/>
              </w:rPr>
            </w:pPr>
            <w:r>
              <w:rPr>
                <w:rFonts w:ascii="Calibri" w:hAnsi="Calibri" w:cs="Calibri"/>
                <w:color w:val="auto"/>
                <w:sz w:val="24"/>
              </w:rPr>
              <w:t>SF severe, PF non-severe</w:t>
            </w:r>
          </w:p>
        </w:tc>
        <w:tc>
          <w:tcPr>
            <w:tcW w:w="0" w:type="auto"/>
          </w:tcPr>
          <w:p w14:paraId="129954F8">
            <w:pPr>
              <w:spacing w:line="360" w:lineRule="auto"/>
              <w:jc w:val="center"/>
              <w:rPr>
                <w:rFonts w:ascii="Calibri" w:hAnsi="Calibri" w:cs="Calibri"/>
                <w:color w:val="auto"/>
                <w:sz w:val="24"/>
              </w:rPr>
            </w:pPr>
            <w:r>
              <w:rPr>
                <w:rFonts w:ascii="Calibri" w:hAnsi="Calibri" w:cs="Calibri"/>
                <w:color w:val="auto"/>
                <w:sz w:val="24"/>
              </w:rPr>
              <w:t>157</w:t>
            </w:r>
          </w:p>
        </w:tc>
        <w:tc>
          <w:tcPr>
            <w:tcW w:w="0" w:type="auto"/>
          </w:tcPr>
          <w:p w14:paraId="1F5D6551">
            <w:pPr>
              <w:spacing w:line="360" w:lineRule="auto"/>
              <w:jc w:val="center"/>
              <w:rPr>
                <w:rFonts w:ascii="Calibri" w:hAnsi="Calibri" w:cs="Calibri"/>
                <w:color w:val="auto"/>
                <w:sz w:val="24"/>
              </w:rPr>
            </w:pPr>
            <w:r>
              <w:rPr>
                <w:rFonts w:ascii="Calibri" w:hAnsi="Calibri" w:cs="Calibri"/>
                <w:color w:val="auto"/>
                <w:sz w:val="24"/>
              </w:rPr>
              <w:t>95 (60.5%, 95% CI 53.2–67.8)</w:t>
            </w:r>
          </w:p>
        </w:tc>
        <w:tc>
          <w:tcPr>
            <w:tcW w:w="0" w:type="auto"/>
          </w:tcPr>
          <w:p w14:paraId="5D04A93E">
            <w:pPr>
              <w:spacing w:line="360" w:lineRule="auto"/>
              <w:jc w:val="center"/>
              <w:rPr>
                <w:rFonts w:ascii="Calibri" w:hAnsi="Calibri" w:cs="Calibri"/>
                <w:color w:val="auto"/>
                <w:sz w:val="24"/>
              </w:rPr>
            </w:pPr>
            <w:r>
              <w:rPr>
                <w:rFonts w:ascii="Calibri" w:hAnsi="Calibri" w:cs="Calibri"/>
                <w:color w:val="auto"/>
                <w:sz w:val="24"/>
              </w:rPr>
              <w:t>62 (39.5%, 95% CI 32.2–46.8)</w:t>
            </w:r>
          </w:p>
        </w:tc>
      </w:tr>
      <w:tr w14:paraId="11C5028B">
        <w:tc>
          <w:tcPr>
            <w:tcW w:w="0" w:type="auto"/>
          </w:tcPr>
          <w:p w14:paraId="4F77DD97">
            <w:pPr>
              <w:spacing w:line="360" w:lineRule="auto"/>
              <w:rPr>
                <w:rFonts w:ascii="Calibri" w:hAnsi="Calibri" w:cs="Calibri"/>
                <w:color w:val="auto"/>
                <w:sz w:val="24"/>
              </w:rPr>
            </w:pPr>
            <w:r>
              <w:rPr>
                <w:rFonts w:ascii="Calibri" w:hAnsi="Calibri" w:cs="Calibri"/>
                <w:color w:val="auto"/>
                <w:sz w:val="24"/>
              </w:rPr>
              <w:t>PF severe, SF non-severe</w:t>
            </w:r>
          </w:p>
        </w:tc>
        <w:tc>
          <w:tcPr>
            <w:tcW w:w="0" w:type="auto"/>
          </w:tcPr>
          <w:p w14:paraId="447CC558">
            <w:pPr>
              <w:spacing w:line="360" w:lineRule="auto"/>
              <w:jc w:val="center"/>
              <w:rPr>
                <w:rFonts w:ascii="Calibri" w:hAnsi="Calibri" w:cs="Calibri"/>
                <w:color w:val="auto"/>
                <w:sz w:val="24"/>
              </w:rPr>
            </w:pPr>
            <w:r>
              <w:rPr>
                <w:rFonts w:ascii="Calibri" w:hAnsi="Calibri" w:cs="Calibri"/>
                <w:color w:val="auto"/>
                <w:sz w:val="24"/>
              </w:rPr>
              <w:t>4</w:t>
            </w:r>
          </w:p>
        </w:tc>
        <w:tc>
          <w:tcPr>
            <w:tcW w:w="0" w:type="auto"/>
          </w:tcPr>
          <w:p w14:paraId="01AB927F">
            <w:pPr>
              <w:spacing w:line="360" w:lineRule="auto"/>
              <w:jc w:val="center"/>
              <w:rPr>
                <w:rFonts w:ascii="Calibri" w:hAnsi="Calibri" w:cs="Calibri"/>
                <w:color w:val="auto"/>
                <w:sz w:val="24"/>
              </w:rPr>
            </w:pPr>
            <w:r>
              <w:rPr>
                <w:rFonts w:ascii="Calibri" w:hAnsi="Calibri" w:cs="Calibri"/>
                <w:color w:val="auto"/>
                <w:sz w:val="24"/>
              </w:rPr>
              <w:t>2 (50.0%, 95% CI 9.4–90.6)</w:t>
            </w:r>
          </w:p>
        </w:tc>
        <w:tc>
          <w:tcPr>
            <w:tcW w:w="0" w:type="auto"/>
          </w:tcPr>
          <w:p w14:paraId="2E1FB73A">
            <w:pPr>
              <w:spacing w:line="360" w:lineRule="auto"/>
              <w:jc w:val="center"/>
              <w:rPr>
                <w:rFonts w:ascii="Calibri" w:hAnsi="Calibri" w:cs="Calibri"/>
                <w:color w:val="auto"/>
                <w:sz w:val="24"/>
              </w:rPr>
            </w:pPr>
            <w:r>
              <w:rPr>
                <w:rFonts w:ascii="Calibri" w:hAnsi="Calibri" w:cs="Calibri"/>
                <w:color w:val="auto"/>
                <w:sz w:val="24"/>
              </w:rPr>
              <w:t>2 (50.0%, 95% CI 9.4–90.6)</w:t>
            </w:r>
          </w:p>
        </w:tc>
      </w:tr>
    </w:tbl>
    <w:p w14:paraId="4DFF4A23">
      <w:pPr>
        <w:pStyle w:val="3"/>
        <w:spacing w:before="0" w:beforeAutospacing="0" w:after="0" w:afterAutospacing="0" w:line="360" w:lineRule="auto"/>
        <w:rPr>
          <w:rFonts w:ascii="Calibri" w:hAnsi="Calibri" w:cs="Calibri"/>
          <w:color w:val="auto"/>
          <w:sz w:val="24"/>
          <w:szCs w:val="24"/>
        </w:rPr>
        <w:sectPr>
          <w:pgSz w:w="11900" w:h="16840"/>
          <w:pgMar w:top="1440" w:right="1800" w:bottom="1440" w:left="1800" w:header="851" w:footer="992" w:gutter="0"/>
          <w:pgBorders>
            <w:top w:val="none" w:sz="0" w:space="0"/>
            <w:left w:val="none" w:sz="0" w:space="0"/>
            <w:bottom w:val="none" w:sz="0" w:space="0"/>
            <w:right w:val="none" w:sz="0" w:space="0"/>
          </w:pgBorders>
          <w:lnNumType w:countBy="1" w:restart="continuous"/>
          <w:cols w:space="425" w:num="1"/>
          <w:docGrid w:type="lines" w:linePitch="312" w:charSpace="0"/>
        </w:sectPr>
      </w:pPr>
    </w:p>
    <w:p w14:paraId="55CC1108">
      <w:pPr>
        <w:pStyle w:val="3"/>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Table S8: Racial Variability in SF and PF Categories</w:t>
      </w:r>
    </w:p>
    <w:tbl>
      <w:tblPr>
        <w:tblStyle w:val="10"/>
        <w:tblW w:w="5000" w:type="pct"/>
        <w:tblInd w:w="0" w:type="dxa"/>
        <w:tblBorders>
          <w:top w:val="single" w:color="FF0000" w:sz="4" w:space="0"/>
          <w:left w:val="single" w:color="FF0000" w:sz="4" w:space="0"/>
          <w:bottom w:val="single" w:color="FF0000" w:sz="4" w:space="0"/>
          <w:right w:val="single" w:color="FF0000" w:sz="4" w:space="0"/>
          <w:insideH w:val="single" w:color="FF0000" w:sz="4" w:space="0"/>
          <w:insideV w:val="single" w:color="FF0000" w:sz="4" w:space="0"/>
        </w:tblBorders>
        <w:tblLayout w:type="autofit"/>
        <w:tblCellMar>
          <w:top w:w="0" w:type="dxa"/>
          <w:left w:w="108" w:type="dxa"/>
          <w:bottom w:w="0" w:type="dxa"/>
          <w:right w:w="108" w:type="dxa"/>
        </w:tblCellMar>
      </w:tblPr>
      <w:tblGrid>
        <w:gridCol w:w="2685"/>
        <w:gridCol w:w="1880"/>
        <w:gridCol w:w="2081"/>
        <w:gridCol w:w="2937"/>
        <w:gridCol w:w="2413"/>
        <w:gridCol w:w="2180"/>
      </w:tblGrid>
      <w:tr w14:paraId="5161F1BA">
        <w:tc>
          <w:tcPr>
            <w:tcW w:w="947"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0B64477">
            <w:pPr>
              <w:pStyle w:val="3"/>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Race</w:t>
            </w:r>
          </w:p>
        </w:tc>
        <w:tc>
          <w:tcPr>
            <w:tcW w:w="663"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B6D3391">
            <w:pPr>
              <w:pStyle w:val="3"/>
              <w:spacing w:before="0" w:beforeAutospacing="0" w:after="0" w:afterAutospacing="0" w:line="360" w:lineRule="auto"/>
              <w:jc w:val="center"/>
              <w:rPr>
                <w:rFonts w:ascii="Calibri" w:hAnsi="Calibri" w:cs="Calibri"/>
                <w:color w:val="auto"/>
                <w:sz w:val="24"/>
                <w:szCs w:val="24"/>
              </w:rPr>
            </w:pPr>
            <w:r>
              <w:rPr>
                <w:rFonts w:ascii="Calibri" w:hAnsi="Calibri" w:cs="Calibri"/>
                <w:color w:val="auto"/>
                <w:sz w:val="24"/>
                <w:szCs w:val="24"/>
              </w:rPr>
              <w:t>No ARDS</w:t>
            </w:r>
          </w:p>
        </w:tc>
        <w:tc>
          <w:tcPr>
            <w:tcW w:w="734"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7600D34">
            <w:pPr>
              <w:pStyle w:val="3"/>
              <w:spacing w:before="0" w:beforeAutospacing="0" w:after="0" w:afterAutospacing="0" w:line="360" w:lineRule="auto"/>
              <w:jc w:val="center"/>
              <w:rPr>
                <w:rFonts w:ascii="Calibri" w:hAnsi="Calibri" w:cs="Calibri"/>
                <w:color w:val="auto"/>
                <w:sz w:val="24"/>
                <w:szCs w:val="24"/>
              </w:rPr>
            </w:pPr>
            <w:r>
              <w:rPr>
                <w:rFonts w:ascii="Calibri" w:hAnsi="Calibri" w:cs="Calibri"/>
                <w:color w:val="auto"/>
                <w:sz w:val="24"/>
                <w:szCs w:val="24"/>
              </w:rPr>
              <w:t>Mild ARDS</w:t>
            </w:r>
          </w:p>
        </w:tc>
        <w:tc>
          <w:tcPr>
            <w:tcW w:w="1036"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AE76153">
            <w:pPr>
              <w:pStyle w:val="3"/>
              <w:spacing w:before="0" w:beforeAutospacing="0" w:after="0" w:afterAutospacing="0" w:line="360" w:lineRule="auto"/>
              <w:jc w:val="center"/>
              <w:rPr>
                <w:rFonts w:ascii="Calibri" w:hAnsi="Calibri" w:cs="Calibri"/>
                <w:color w:val="auto"/>
                <w:sz w:val="24"/>
                <w:szCs w:val="24"/>
              </w:rPr>
            </w:pPr>
            <w:r>
              <w:rPr>
                <w:rFonts w:ascii="Calibri" w:hAnsi="Calibri" w:cs="Calibri"/>
                <w:color w:val="auto"/>
                <w:sz w:val="24"/>
                <w:szCs w:val="24"/>
              </w:rPr>
              <w:t>Moderate ARDS</w:t>
            </w:r>
          </w:p>
        </w:tc>
        <w:tc>
          <w:tcPr>
            <w:tcW w:w="851"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8D9A66">
            <w:pPr>
              <w:pStyle w:val="3"/>
              <w:spacing w:before="0" w:beforeAutospacing="0" w:after="0" w:afterAutospacing="0" w:line="360" w:lineRule="auto"/>
              <w:jc w:val="center"/>
              <w:rPr>
                <w:rFonts w:ascii="Calibri" w:hAnsi="Calibri" w:cs="Calibri"/>
                <w:color w:val="auto"/>
                <w:sz w:val="24"/>
                <w:szCs w:val="24"/>
              </w:rPr>
            </w:pPr>
            <w:r>
              <w:rPr>
                <w:rFonts w:ascii="Calibri" w:hAnsi="Calibri" w:cs="Calibri"/>
                <w:color w:val="auto"/>
                <w:sz w:val="24"/>
                <w:szCs w:val="24"/>
              </w:rPr>
              <w:t>Severe ARDS</w:t>
            </w:r>
          </w:p>
        </w:tc>
        <w:tc>
          <w:tcPr>
            <w:tcW w:w="769"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8690E99">
            <w:pPr>
              <w:pStyle w:val="3"/>
              <w:spacing w:before="0" w:beforeAutospacing="0" w:after="0" w:afterAutospacing="0" w:line="360" w:lineRule="auto"/>
              <w:jc w:val="center"/>
              <w:rPr>
                <w:rFonts w:ascii="Calibri" w:hAnsi="Calibri" w:cs="Calibri"/>
                <w:color w:val="auto"/>
                <w:sz w:val="24"/>
                <w:szCs w:val="24"/>
              </w:rPr>
            </w:pPr>
            <w:r>
              <w:rPr>
                <w:rFonts w:ascii="Calibri" w:hAnsi="Calibri" w:cs="Calibri"/>
                <w:color w:val="auto"/>
                <w:sz w:val="24"/>
                <w:szCs w:val="24"/>
              </w:rPr>
              <w:t>Total</w:t>
            </w:r>
          </w:p>
        </w:tc>
      </w:tr>
      <w:tr w14:paraId="0E736D15">
        <w:tc>
          <w:tcPr>
            <w:tcW w:w="947"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58346DC">
            <w:pPr>
              <w:pStyle w:val="3"/>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PF Categories</w:t>
            </w:r>
          </w:p>
        </w:tc>
        <w:tc>
          <w:tcPr>
            <w:tcW w:w="663"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8423B0B">
            <w:pPr>
              <w:pStyle w:val="3"/>
              <w:spacing w:before="0" w:beforeAutospacing="0" w:after="0" w:afterAutospacing="0" w:line="360" w:lineRule="auto"/>
              <w:jc w:val="center"/>
              <w:rPr>
                <w:rFonts w:ascii="Calibri" w:hAnsi="Calibri" w:cs="Calibri"/>
                <w:b w:val="0"/>
                <w:color w:val="auto"/>
                <w:sz w:val="24"/>
                <w:szCs w:val="24"/>
              </w:rPr>
            </w:pPr>
          </w:p>
        </w:tc>
        <w:tc>
          <w:tcPr>
            <w:tcW w:w="734"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FDFD5A8">
            <w:pPr>
              <w:pStyle w:val="3"/>
              <w:spacing w:before="0" w:beforeAutospacing="0" w:after="0" w:afterAutospacing="0" w:line="360" w:lineRule="auto"/>
              <w:jc w:val="center"/>
              <w:rPr>
                <w:rFonts w:ascii="Calibri" w:hAnsi="Calibri" w:cs="Calibri"/>
                <w:b w:val="0"/>
                <w:color w:val="auto"/>
                <w:sz w:val="24"/>
                <w:szCs w:val="24"/>
              </w:rPr>
            </w:pPr>
          </w:p>
        </w:tc>
        <w:tc>
          <w:tcPr>
            <w:tcW w:w="1036"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91484DD">
            <w:pPr>
              <w:pStyle w:val="3"/>
              <w:spacing w:before="0" w:beforeAutospacing="0" w:after="0" w:afterAutospacing="0" w:line="360" w:lineRule="auto"/>
              <w:jc w:val="center"/>
              <w:rPr>
                <w:rFonts w:ascii="Calibri" w:hAnsi="Calibri" w:cs="Calibri"/>
                <w:b w:val="0"/>
                <w:color w:val="auto"/>
                <w:sz w:val="24"/>
                <w:szCs w:val="24"/>
              </w:rPr>
            </w:pPr>
          </w:p>
        </w:tc>
        <w:tc>
          <w:tcPr>
            <w:tcW w:w="851"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33A15C9">
            <w:pPr>
              <w:pStyle w:val="3"/>
              <w:spacing w:before="0" w:beforeAutospacing="0" w:after="0" w:afterAutospacing="0" w:line="360" w:lineRule="auto"/>
              <w:jc w:val="center"/>
              <w:rPr>
                <w:rFonts w:ascii="Calibri" w:hAnsi="Calibri" w:cs="Calibri"/>
                <w:b w:val="0"/>
                <w:color w:val="auto"/>
                <w:sz w:val="24"/>
                <w:szCs w:val="24"/>
              </w:rPr>
            </w:pPr>
          </w:p>
        </w:tc>
        <w:tc>
          <w:tcPr>
            <w:tcW w:w="769"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6629178">
            <w:pPr>
              <w:pStyle w:val="3"/>
              <w:spacing w:before="0" w:beforeAutospacing="0" w:after="0" w:afterAutospacing="0" w:line="360" w:lineRule="auto"/>
              <w:jc w:val="center"/>
              <w:rPr>
                <w:rFonts w:ascii="Calibri" w:hAnsi="Calibri" w:cs="Calibri"/>
                <w:b w:val="0"/>
                <w:color w:val="auto"/>
                <w:sz w:val="24"/>
                <w:szCs w:val="24"/>
              </w:rPr>
            </w:pPr>
          </w:p>
        </w:tc>
      </w:tr>
      <w:tr w14:paraId="1CB97E4D">
        <w:tc>
          <w:tcPr>
            <w:tcW w:w="947"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D2C72DA">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Black (n=74)</w:t>
            </w:r>
          </w:p>
        </w:tc>
        <w:tc>
          <w:tcPr>
            <w:tcW w:w="663"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D3F0630">
            <w:pPr>
              <w:pStyle w:val="3"/>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3 (4.1%)</w:t>
            </w:r>
          </w:p>
        </w:tc>
        <w:tc>
          <w:tcPr>
            <w:tcW w:w="734"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5DD35FA">
            <w:pPr>
              <w:pStyle w:val="3"/>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6 (8.1%)</w:t>
            </w:r>
          </w:p>
        </w:tc>
        <w:tc>
          <w:tcPr>
            <w:tcW w:w="1036"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26CB027">
            <w:pPr>
              <w:pStyle w:val="3"/>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33 (44.6%)</w:t>
            </w:r>
          </w:p>
        </w:tc>
        <w:tc>
          <w:tcPr>
            <w:tcW w:w="851"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EAEBD6E">
            <w:pPr>
              <w:pStyle w:val="3"/>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32 (43.2%)</w:t>
            </w:r>
          </w:p>
        </w:tc>
        <w:tc>
          <w:tcPr>
            <w:tcW w:w="769"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0A60924">
            <w:pPr>
              <w:pStyle w:val="3"/>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74 (100%)</w:t>
            </w:r>
          </w:p>
        </w:tc>
      </w:tr>
      <w:tr w14:paraId="0FC5DB74">
        <w:tc>
          <w:tcPr>
            <w:tcW w:w="947"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32F09BF">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White (n=251)</w:t>
            </w:r>
          </w:p>
        </w:tc>
        <w:tc>
          <w:tcPr>
            <w:tcW w:w="663"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E959997">
            <w:pPr>
              <w:pStyle w:val="3"/>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13 (5.2%)</w:t>
            </w:r>
          </w:p>
        </w:tc>
        <w:tc>
          <w:tcPr>
            <w:tcW w:w="734"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C31E7FC">
            <w:pPr>
              <w:pStyle w:val="3"/>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32 (12.8%)</w:t>
            </w:r>
          </w:p>
        </w:tc>
        <w:tc>
          <w:tcPr>
            <w:tcW w:w="1036"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19D75E1">
            <w:pPr>
              <w:pStyle w:val="3"/>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117 (46.6%)</w:t>
            </w:r>
          </w:p>
        </w:tc>
        <w:tc>
          <w:tcPr>
            <w:tcW w:w="851"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0C00F94">
            <w:pPr>
              <w:pStyle w:val="3"/>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89 (35.5%)</w:t>
            </w:r>
          </w:p>
        </w:tc>
        <w:tc>
          <w:tcPr>
            <w:tcW w:w="769"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3228E9C">
            <w:pPr>
              <w:pStyle w:val="3"/>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251 (100%)</w:t>
            </w:r>
          </w:p>
        </w:tc>
      </w:tr>
      <w:tr w14:paraId="1397C7BC">
        <w:tc>
          <w:tcPr>
            <w:tcW w:w="947"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480B075">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Other (n=257)</w:t>
            </w:r>
          </w:p>
        </w:tc>
        <w:tc>
          <w:tcPr>
            <w:tcW w:w="663"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7FE3EA3">
            <w:pPr>
              <w:pStyle w:val="3"/>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9 (3.5%)</w:t>
            </w:r>
          </w:p>
        </w:tc>
        <w:tc>
          <w:tcPr>
            <w:tcW w:w="734"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FB5CDA6">
            <w:pPr>
              <w:pStyle w:val="3"/>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39 (15.2%)</w:t>
            </w:r>
          </w:p>
        </w:tc>
        <w:tc>
          <w:tcPr>
            <w:tcW w:w="1036"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C9F62B8">
            <w:pPr>
              <w:pStyle w:val="3"/>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111 (43.2%)</w:t>
            </w:r>
          </w:p>
        </w:tc>
        <w:tc>
          <w:tcPr>
            <w:tcW w:w="851"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99B3225">
            <w:pPr>
              <w:pStyle w:val="3"/>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98 (38.1%)</w:t>
            </w:r>
          </w:p>
        </w:tc>
        <w:tc>
          <w:tcPr>
            <w:tcW w:w="769"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1DF6E50">
            <w:pPr>
              <w:pStyle w:val="3"/>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257 (100%)</w:t>
            </w:r>
          </w:p>
        </w:tc>
      </w:tr>
      <w:tr w14:paraId="0831F9DE">
        <w:tc>
          <w:tcPr>
            <w:tcW w:w="947"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0D63483">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Total</w:t>
            </w:r>
          </w:p>
        </w:tc>
        <w:tc>
          <w:tcPr>
            <w:tcW w:w="663"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4A96EC9">
            <w:pPr>
              <w:pStyle w:val="3"/>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25 (4.3%)</w:t>
            </w:r>
          </w:p>
        </w:tc>
        <w:tc>
          <w:tcPr>
            <w:tcW w:w="734"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30C1620">
            <w:pPr>
              <w:pStyle w:val="3"/>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77 (13.2%)</w:t>
            </w:r>
          </w:p>
        </w:tc>
        <w:tc>
          <w:tcPr>
            <w:tcW w:w="1036"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1B97BE7">
            <w:pPr>
              <w:pStyle w:val="3"/>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261 (44.8%)</w:t>
            </w:r>
          </w:p>
        </w:tc>
        <w:tc>
          <w:tcPr>
            <w:tcW w:w="851"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3D3222F">
            <w:pPr>
              <w:pStyle w:val="3"/>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219 (37.6%)</w:t>
            </w:r>
          </w:p>
        </w:tc>
        <w:tc>
          <w:tcPr>
            <w:tcW w:w="769"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5D35A0A">
            <w:pPr>
              <w:pStyle w:val="3"/>
              <w:spacing w:before="0" w:beforeAutospacing="0" w:after="0" w:afterAutospacing="0" w:line="360" w:lineRule="auto"/>
              <w:jc w:val="center"/>
              <w:rPr>
                <w:rFonts w:ascii="Calibri" w:hAnsi="Calibri" w:cs="Calibri"/>
                <w:b w:val="0"/>
                <w:color w:val="auto"/>
                <w:sz w:val="24"/>
                <w:szCs w:val="24"/>
              </w:rPr>
            </w:pPr>
            <w:r>
              <w:rPr>
                <w:rFonts w:ascii="Calibri" w:hAnsi="Calibri" w:cs="Calibri"/>
                <w:b w:val="0"/>
                <w:color w:val="auto"/>
                <w:sz w:val="24"/>
                <w:szCs w:val="24"/>
              </w:rPr>
              <w:t>582 (100%)</w:t>
            </w:r>
          </w:p>
        </w:tc>
      </w:tr>
      <w:tr w14:paraId="26EDDF56">
        <w:tc>
          <w:tcPr>
            <w:tcW w:w="947"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04B7106">
            <w:pPr>
              <w:pStyle w:val="3"/>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SF Categories</w:t>
            </w:r>
          </w:p>
        </w:tc>
        <w:tc>
          <w:tcPr>
            <w:tcW w:w="663"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93BAF92">
            <w:pPr>
              <w:pStyle w:val="3"/>
              <w:spacing w:before="0" w:beforeAutospacing="0" w:after="0" w:afterAutospacing="0" w:line="360" w:lineRule="auto"/>
              <w:jc w:val="center"/>
              <w:rPr>
                <w:rFonts w:ascii="Calibri" w:hAnsi="Calibri" w:cs="Calibri"/>
                <w:b w:val="0"/>
                <w:color w:val="auto"/>
                <w:sz w:val="24"/>
                <w:szCs w:val="24"/>
              </w:rPr>
            </w:pPr>
          </w:p>
        </w:tc>
        <w:tc>
          <w:tcPr>
            <w:tcW w:w="734"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1CB5D51">
            <w:pPr>
              <w:pStyle w:val="3"/>
              <w:spacing w:before="0" w:beforeAutospacing="0" w:after="0" w:afterAutospacing="0" w:line="360" w:lineRule="auto"/>
              <w:jc w:val="center"/>
              <w:rPr>
                <w:rFonts w:ascii="Calibri" w:hAnsi="Calibri" w:cs="Calibri"/>
                <w:b w:val="0"/>
                <w:color w:val="auto"/>
                <w:sz w:val="24"/>
                <w:szCs w:val="24"/>
              </w:rPr>
            </w:pPr>
          </w:p>
        </w:tc>
        <w:tc>
          <w:tcPr>
            <w:tcW w:w="1036"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1C7B627">
            <w:pPr>
              <w:pStyle w:val="3"/>
              <w:spacing w:before="0" w:beforeAutospacing="0" w:after="0" w:afterAutospacing="0" w:line="360" w:lineRule="auto"/>
              <w:jc w:val="center"/>
              <w:rPr>
                <w:rFonts w:ascii="Calibri" w:hAnsi="Calibri" w:cs="Calibri"/>
                <w:b w:val="0"/>
                <w:color w:val="auto"/>
                <w:sz w:val="24"/>
                <w:szCs w:val="24"/>
              </w:rPr>
            </w:pPr>
          </w:p>
        </w:tc>
        <w:tc>
          <w:tcPr>
            <w:tcW w:w="851"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5A3EC2E">
            <w:pPr>
              <w:pStyle w:val="3"/>
              <w:spacing w:before="0" w:beforeAutospacing="0" w:after="0" w:afterAutospacing="0" w:line="360" w:lineRule="auto"/>
              <w:jc w:val="center"/>
              <w:rPr>
                <w:rFonts w:ascii="Calibri" w:hAnsi="Calibri" w:cs="Calibri"/>
                <w:b w:val="0"/>
                <w:color w:val="auto"/>
                <w:sz w:val="24"/>
                <w:szCs w:val="24"/>
              </w:rPr>
            </w:pPr>
          </w:p>
        </w:tc>
        <w:tc>
          <w:tcPr>
            <w:tcW w:w="769"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CA87DC6">
            <w:pPr>
              <w:pStyle w:val="3"/>
              <w:spacing w:before="0" w:beforeAutospacing="0" w:after="0" w:afterAutospacing="0" w:line="360" w:lineRule="auto"/>
              <w:jc w:val="center"/>
              <w:rPr>
                <w:rFonts w:ascii="Calibri" w:hAnsi="Calibri" w:cs="Calibri"/>
                <w:b w:val="0"/>
                <w:color w:val="auto"/>
                <w:sz w:val="24"/>
                <w:szCs w:val="24"/>
              </w:rPr>
            </w:pPr>
          </w:p>
        </w:tc>
      </w:tr>
      <w:tr w14:paraId="010673EA">
        <w:tc>
          <w:tcPr>
            <w:tcW w:w="947"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E9DA7E2">
            <w:pPr>
              <w:widowControl/>
              <w:spacing w:line="360" w:lineRule="auto"/>
              <w:jc w:val="left"/>
              <w:rPr>
                <w:rFonts w:ascii="Calibri" w:hAnsi="Calibri" w:eastAsia="宋体" w:cs="Calibri"/>
                <w:color w:val="auto"/>
                <w:kern w:val="0"/>
                <w:sz w:val="24"/>
              </w:rPr>
            </w:pPr>
            <w:r>
              <w:rPr>
                <w:rFonts w:ascii="Calibri" w:hAnsi="Calibri" w:eastAsia="宋体" w:cs="Calibri"/>
                <w:color w:val="auto"/>
                <w:kern w:val="0"/>
                <w:sz w:val="24"/>
              </w:rPr>
              <w:t>Black (n=74)</w:t>
            </w:r>
          </w:p>
        </w:tc>
        <w:tc>
          <w:tcPr>
            <w:tcW w:w="663"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13E4113">
            <w:pPr>
              <w:widowControl/>
              <w:spacing w:line="360" w:lineRule="auto"/>
              <w:jc w:val="center"/>
              <w:rPr>
                <w:rFonts w:ascii="Calibri" w:hAnsi="Calibri" w:eastAsia="宋体" w:cs="Calibri"/>
                <w:color w:val="auto"/>
                <w:kern w:val="0"/>
                <w:sz w:val="24"/>
              </w:rPr>
            </w:pPr>
            <w:r>
              <w:rPr>
                <w:rFonts w:ascii="Calibri" w:hAnsi="Calibri" w:eastAsia="宋体" w:cs="Calibri"/>
                <w:color w:val="auto"/>
                <w:kern w:val="0"/>
                <w:sz w:val="24"/>
              </w:rPr>
              <w:t>2 (2.7%)</w:t>
            </w:r>
          </w:p>
        </w:tc>
        <w:tc>
          <w:tcPr>
            <w:tcW w:w="734"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C5343AD">
            <w:pPr>
              <w:widowControl/>
              <w:spacing w:line="360" w:lineRule="auto"/>
              <w:jc w:val="center"/>
              <w:rPr>
                <w:rFonts w:ascii="Calibri" w:hAnsi="Calibri" w:eastAsia="宋体" w:cs="Calibri"/>
                <w:color w:val="auto"/>
                <w:kern w:val="0"/>
                <w:sz w:val="24"/>
              </w:rPr>
            </w:pPr>
            <w:r>
              <w:rPr>
                <w:rFonts w:ascii="Calibri" w:hAnsi="Calibri" w:eastAsia="宋体" w:cs="Calibri"/>
                <w:color w:val="auto"/>
                <w:kern w:val="0"/>
                <w:sz w:val="24"/>
              </w:rPr>
              <w:t>5 (6.8%)</w:t>
            </w:r>
          </w:p>
        </w:tc>
        <w:tc>
          <w:tcPr>
            <w:tcW w:w="1036"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1583285">
            <w:pPr>
              <w:widowControl/>
              <w:spacing w:line="360" w:lineRule="auto"/>
              <w:jc w:val="center"/>
              <w:rPr>
                <w:rFonts w:ascii="Calibri" w:hAnsi="Calibri" w:eastAsia="宋体" w:cs="Calibri"/>
                <w:color w:val="auto"/>
                <w:kern w:val="0"/>
                <w:sz w:val="24"/>
              </w:rPr>
            </w:pPr>
            <w:r>
              <w:rPr>
                <w:rFonts w:ascii="Calibri" w:hAnsi="Calibri" w:eastAsia="宋体" w:cs="Calibri"/>
                <w:color w:val="auto"/>
                <w:kern w:val="0"/>
                <w:sz w:val="24"/>
              </w:rPr>
              <w:t>17 (23.0%)</w:t>
            </w:r>
          </w:p>
        </w:tc>
        <w:tc>
          <w:tcPr>
            <w:tcW w:w="851"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F96D6A8">
            <w:pPr>
              <w:widowControl/>
              <w:spacing w:line="360" w:lineRule="auto"/>
              <w:jc w:val="center"/>
              <w:rPr>
                <w:rFonts w:ascii="Calibri" w:hAnsi="Calibri" w:eastAsia="宋体" w:cs="Calibri"/>
                <w:color w:val="auto"/>
                <w:kern w:val="0"/>
                <w:sz w:val="24"/>
              </w:rPr>
            </w:pPr>
            <w:r>
              <w:rPr>
                <w:rFonts w:ascii="Calibri" w:hAnsi="Calibri" w:eastAsia="宋体" w:cs="Calibri"/>
                <w:color w:val="auto"/>
                <w:kern w:val="0"/>
                <w:sz w:val="24"/>
              </w:rPr>
              <w:t>50 (67.6%)</w:t>
            </w:r>
          </w:p>
        </w:tc>
        <w:tc>
          <w:tcPr>
            <w:tcW w:w="769"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8B5C9AB">
            <w:pPr>
              <w:widowControl/>
              <w:spacing w:line="360" w:lineRule="auto"/>
              <w:jc w:val="center"/>
              <w:rPr>
                <w:rFonts w:ascii="Calibri" w:hAnsi="Calibri" w:eastAsia="宋体" w:cs="Calibri"/>
                <w:color w:val="auto"/>
                <w:kern w:val="0"/>
                <w:sz w:val="24"/>
              </w:rPr>
            </w:pPr>
            <w:r>
              <w:rPr>
                <w:rFonts w:ascii="Calibri" w:hAnsi="Calibri" w:eastAsia="宋体" w:cs="Calibri"/>
                <w:color w:val="auto"/>
                <w:kern w:val="0"/>
                <w:sz w:val="24"/>
              </w:rPr>
              <w:t>74 (100%)</w:t>
            </w:r>
          </w:p>
        </w:tc>
      </w:tr>
      <w:tr w14:paraId="1B42B5C0">
        <w:tc>
          <w:tcPr>
            <w:tcW w:w="947"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F997813">
            <w:pPr>
              <w:widowControl/>
              <w:spacing w:line="360" w:lineRule="auto"/>
              <w:jc w:val="left"/>
              <w:rPr>
                <w:rFonts w:ascii="Calibri" w:hAnsi="Calibri" w:eastAsia="宋体" w:cs="Calibri"/>
                <w:color w:val="auto"/>
                <w:kern w:val="0"/>
                <w:sz w:val="24"/>
              </w:rPr>
            </w:pPr>
            <w:r>
              <w:rPr>
                <w:rFonts w:ascii="Calibri" w:hAnsi="Calibri" w:eastAsia="宋体" w:cs="Calibri"/>
                <w:color w:val="auto"/>
                <w:kern w:val="0"/>
                <w:sz w:val="24"/>
              </w:rPr>
              <w:t>White (n=251)</w:t>
            </w:r>
          </w:p>
        </w:tc>
        <w:tc>
          <w:tcPr>
            <w:tcW w:w="663"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DA06736">
            <w:pPr>
              <w:widowControl/>
              <w:spacing w:line="360" w:lineRule="auto"/>
              <w:jc w:val="center"/>
              <w:rPr>
                <w:rFonts w:ascii="Calibri" w:hAnsi="Calibri" w:eastAsia="宋体" w:cs="Calibri"/>
                <w:color w:val="auto"/>
                <w:kern w:val="0"/>
                <w:sz w:val="24"/>
              </w:rPr>
            </w:pPr>
            <w:r>
              <w:rPr>
                <w:rFonts w:ascii="Calibri" w:hAnsi="Calibri" w:eastAsia="宋体" w:cs="Calibri"/>
                <w:color w:val="auto"/>
                <w:kern w:val="0"/>
                <w:sz w:val="24"/>
              </w:rPr>
              <w:t>1 (0.4%)</w:t>
            </w:r>
          </w:p>
        </w:tc>
        <w:tc>
          <w:tcPr>
            <w:tcW w:w="734"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DA4872A">
            <w:pPr>
              <w:widowControl/>
              <w:spacing w:line="360" w:lineRule="auto"/>
              <w:jc w:val="center"/>
              <w:rPr>
                <w:rFonts w:ascii="Calibri" w:hAnsi="Calibri" w:eastAsia="宋体" w:cs="Calibri"/>
                <w:color w:val="auto"/>
                <w:kern w:val="0"/>
                <w:sz w:val="24"/>
              </w:rPr>
            </w:pPr>
            <w:r>
              <w:rPr>
                <w:rFonts w:ascii="Calibri" w:hAnsi="Calibri" w:eastAsia="宋体" w:cs="Calibri"/>
                <w:color w:val="auto"/>
                <w:kern w:val="0"/>
                <w:sz w:val="24"/>
              </w:rPr>
              <w:t>19 (7.6%)</w:t>
            </w:r>
          </w:p>
        </w:tc>
        <w:tc>
          <w:tcPr>
            <w:tcW w:w="1036"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BE23C88">
            <w:pPr>
              <w:widowControl/>
              <w:spacing w:line="360" w:lineRule="auto"/>
              <w:jc w:val="center"/>
              <w:rPr>
                <w:rFonts w:ascii="Calibri" w:hAnsi="Calibri" w:eastAsia="宋体" w:cs="Calibri"/>
                <w:color w:val="auto"/>
                <w:kern w:val="0"/>
                <w:sz w:val="24"/>
              </w:rPr>
            </w:pPr>
            <w:r>
              <w:rPr>
                <w:rFonts w:ascii="Calibri" w:hAnsi="Calibri" w:eastAsia="宋体" w:cs="Calibri"/>
                <w:color w:val="auto"/>
                <w:kern w:val="0"/>
                <w:sz w:val="24"/>
              </w:rPr>
              <w:t>73 (29.1%)</w:t>
            </w:r>
          </w:p>
        </w:tc>
        <w:tc>
          <w:tcPr>
            <w:tcW w:w="851"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1392B49">
            <w:pPr>
              <w:widowControl/>
              <w:spacing w:line="360" w:lineRule="auto"/>
              <w:jc w:val="center"/>
              <w:rPr>
                <w:rFonts w:ascii="Calibri" w:hAnsi="Calibri" w:eastAsia="宋体" w:cs="Calibri"/>
                <w:color w:val="auto"/>
                <w:kern w:val="0"/>
                <w:sz w:val="24"/>
              </w:rPr>
            </w:pPr>
            <w:r>
              <w:rPr>
                <w:rFonts w:ascii="Calibri" w:hAnsi="Calibri" w:eastAsia="宋体" w:cs="Calibri"/>
                <w:color w:val="auto"/>
                <w:kern w:val="0"/>
                <w:sz w:val="24"/>
              </w:rPr>
              <w:t>158 (62.9%)</w:t>
            </w:r>
          </w:p>
        </w:tc>
        <w:tc>
          <w:tcPr>
            <w:tcW w:w="769"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93E6F5A">
            <w:pPr>
              <w:widowControl/>
              <w:spacing w:line="360" w:lineRule="auto"/>
              <w:jc w:val="center"/>
              <w:rPr>
                <w:rFonts w:ascii="Calibri" w:hAnsi="Calibri" w:eastAsia="宋体" w:cs="Calibri"/>
                <w:color w:val="auto"/>
                <w:kern w:val="0"/>
                <w:sz w:val="24"/>
              </w:rPr>
            </w:pPr>
            <w:r>
              <w:rPr>
                <w:rFonts w:ascii="Calibri" w:hAnsi="Calibri" w:eastAsia="宋体" w:cs="Calibri"/>
                <w:color w:val="auto"/>
                <w:kern w:val="0"/>
                <w:sz w:val="24"/>
              </w:rPr>
              <w:t>251 (100%)</w:t>
            </w:r>
          </w:p>
        </w:tc>
      </w:tr>
      <w:tr w14:paraId="2934771D">
        <w:tc>
          <w:tcPr>
            <w:tcW w:w="947"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943495C">
            <w:pPr>
              <w:widowControl/>
              <w:spacing w:line="360" w:lineRule="auto"/>
              <w:jc w:val="left"/>
              <w:rPr>
                <w:rFonts w:ascii="Calibri" w:hAnsi="Calibri" w:eastAsia="宋体" w:cs="Calibri"/>
                <w:color w:val="auto"/>
                <w:kern w:val="0"/>
                <w:sz w:val="24"/>
              </w:rPr>
            </w:pPr>
            <w:r>
              <w:rPr>
                <w:rFonts w:ascii="Calibri" w:hAnsi="Calibri" w:eastAsia="宋体" w:cs="Calibri"/>
                <w:color w:val="auto"/>
                <w:kern w:val="0"/>
                <w:sz w:val="24"/>
              </w:rPr>
              <w:t>Other (n=257)</w:t>
            </w:r>
          </w:p>
        </w:tc>
        <w:tc>
          <w:tcPr>
            <w:tcW w:w="663"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5623A9E">
            <w:pPr>
              <w:widowControl/>
              <w:spacing w:line="360" w:lineRule="auto"/>
              <w:jc w:val="center"/>
              <w:rPr>
                <w:rFonts w:ascii="Calibri" w:hAnsi="Calibri" w:eastAsia="宋体" w:cs="Calibri"/>
                <w:color w:val="auto"/>
                <w:kern w:val="0"/>
                <w:sz w:val="24"/>
              </w:rPr>
            </w:pPr>
            <w:r>
              <w:rPr>
                <w:rFonts w:ascii="Calibri" w:hAnsi="Calibri" w:eastAsia="宋体" w:cs="Calibri"/>
                <w:color w:val="auto"/>
                <w:kern w:val="0"/>
                <w:sz w:val="24"/>
              </w:rPr>
              <w:t>6 (2.3%)</w:t>
            </w:r>
          </w:p>
        </w:tc>
        <w:tc>
          <w:tcPr>
            <w:tcW w:w="734"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46FA454">
            <w:pPr>
              <w:widowControl/>
              <w:spacing w:line="360" w:lineRule="auto"/>
              <w:jc w:val="center"/>
              <w:rPr>
                <w:rFonts w:ascii="Calibri" w:hAnsi="Calibri" w:eastAsia="宋体" w:cs="Calibri"/>
                <w:color w:val="auto"/>
                <w:kern w:val="0"/>
                <w:sz w:val="24"/>
              </w:rPr>
            </w:pPr>
            <w:r>
              <w:rPr>
                <w:rFonts w:ascii="Calibri" w:hAnsi="Calibri" w:eastAsia="宋体" w:cs="Calibri"/>
                <w:color w:val="auto"/>
                <w:kern w:val="0"/>
                <w:sz w:val="24"/>
              </w:rPr>
              <w:t>18 (7.0%)</w:t>
            </w:r>
          </w:p>
        </w:tc>
        <w:tc>
          <w:tcPr>
            <w:tcW w:w="1036"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9FFF7B1">
            <w:pPr>
              <w:widowControl/>
              <w:spacing w:line="360" w:lineRule="auto"/>
              <w:jc w:val="center"/>
              <w:rPr>
                <w:rFonts w:ascii="Calibri" w:hAnsi="Calibri" w:eastAsia="宋体" w:cs="Calibri"/>
                <w:color w:val="auto"/>
                <w:kern w:val="0"/>
                <w:sz w:val="24"/>
              </w:rPr>
            </w:pPr>
            <w:r>
              <w:rPr>
                <w:rFonts w:ascii="Calibri" w:hAnsi="Calibri" w:eastAsia="宋体" w:cs="Calibri"/>
                <w:color w:val="auto"/>
                <w:kern w:val="0"/>
                <w:sz w:val="24"/>
              </w:rPr>
              <w:t>69 (26.8%)</w:t>
            </w:r>
          </w:p>
        </w:tc>
        <w:tc>
          <w:tcPr>
            <w:tcW w:w="851"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BCE1E97">
            <w:pPr>
              <w:widowControl/>
              <w:spacing w:line="360" w:lineRule="auto"/>
              <w:jc w:val="center"/>
              <w:rPr>
                <w:rFonts w:ascii="Calibri" w:hAnsi="Calibri" w:eastAsia="宋体" w:cs="Calibri"/>
                <w:color w:val="auto"/>
                <w:kern w:val="0"/>
                <w:sz w:val="24"/>
              </w:rPr>
            </w:pPr>
            <w:r>
              <w:rPr>
                <w:rFonts w:ascii="Calibri" w:hAnsi="Calibri" w:eastAsia="宋体" w:cs="Calibri"/>
                <w:color w:val="auto"/>
                <w:kern w:val="0"/>
                <w:sz w:val="24"/>
              </w:rPr>
              <w:t>164 (63.8%)</w:t>
            </w:r>
          </w:p>
        </w:tc>
        <w:tc>
          <w:tcPr>
            <w:tcW w:w="769"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D783FCE">
            <w:pPr>
              <w:widowControl/>
              <w:spacing w:line="360" w:lineRule="auto"/>
              <w:jc w:val="center"/>
              <w:rPr>
                <w:rFonts w:ascii="Calibri" w:hAnsi="Calibri" w:eastAsia="宋体" w:cs="Calibri"/>
                <w:color w:val="auto"/>
                <w:kern w:val="0"/>
                <w:sz w:val="24"/>
              </w:rPr>
            </w:pPr>
            <w:r>
              <w:rPr>
                <w:rFonts w:ascii="Calibri" w:hAnsi="Calibri" w:eastAsia="宋体" w:cs="Calibri"/>
                <w:color w:val="auto"/>
                <w:kern w:val="0"/>
                <w:sz w:val="24"/>
              </w:rPr>
              <w:t>257 (100%)</w:t>
            </w:r>
          </w:p>
        </w:tc>
      </w:tr>
      <w:tr w14:paraId="6CE9B31F">
        <w:tc>
          <w:tcPr>
            <w:tcW w:w="947"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CCA4CA1">
            <w:pPr>
              <w:widowControl/>
              <w:spacing w:line="360" w:lineRule="auto"/>
              <w:jc w:val="left"/>
              <w:rPr>
                <w:rFonts w:ascii="Calibri" w:hAnsi="Calibri" w:eastAsia="宋体" w:cs="Calibri"/>
                <w:color w:val="auto"/>
                <w:kern w:val="0"/>
                <w:sz w:val="24"/>
              </w:rPr>
            </w:pPr>
            <w:r>
              <w:rPr>
                <w:rFonts w:ascii="Calibri" w:hAnsi="Calibri" w:eastAsia="宋体" w:cs="Calibri"/>
                <w:bCs/>
                <w:color w:val="auto"/>
                <w:kern w:val="0"/>
                <w:sz w:val="24"/>
              </w:rPr>
              <w:t>Total</w:t>
            </w:r>
          </w:p>
        </w:tc>
        <w:tc>
          <w:tcPr>
            <w:tcW w:w="663"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7EAA610">
            <w:pPr>
              <w:widowControl/>
              <w:spacing w:line="360" w:lineRule="auto"/>
              <w:jc w:val="center"/>
              <w:rPr>
                <w:rFonts w:ascii="Calibri" w:hAnsi="Calibri" w:eastAsia="宋体" w:cs="Calibri"/>
                <w:color w:val="auto"/>
                <w:kern w:val="0"/>
                <w:sz w:val="24"/>
              </w:rPr>
            </w:pPr>
            <w:r>
              <w:rPr>
                <w:rFonts w:ascii="Calibri" w:hAnsi="Calibri" w:eastAsia="宋体" w:cs="Calibri"/>
                <w:color w:val="auto"/>
                <w:kern w:val="0"/>
                <w:sz w:val="24"/>
              </w:rPr>
              <w:t>9 (1.5%)</w:t>
            </w:r>
          </w:p>
        </w:tc>
        <w:tc>
          <w:tcPr>
            <w:tcW w:w="734"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FF18B07">
            <w:pPr>
              <w:widowControl/>
              <w:spacing w:line="360" w:lineRule="auto"/>
              <w:jc w:val="center"/>
              <w:rPr>
                <w:rFonts w:ascii="Calibri" w:hAnsi="Calibri" w:eastAsia="宋体" w:cs="Calibri"/>
                <w:color w:val="auto"/>
                <w:kern w:val="0"/>
                <w:sz w:val="24"/>
              </w:rPr>
            </w:pPr>
            <w:r>
              <w:rPr>
                <w:rFonts w:ascii="Calibri" w:hAnsi="Calibri" w:eastAsia="宋体" w:cs="Calibri"/>
                <w:color w:val="auto"/>
                <w:kern w:val="0"/>
                <w:sz w:val="24"/>
              </w:rPr>
              <w:t>42 (7.2%)</w:t>
            </w:r>
          </w:p>
        </w:tc>
        <w:tc>
          <w:tcPr>
            <w:tcW w:w="1036"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06F75DE">
            <w:pPr>
              <w:widowControl/>
              <w:spacing w:line="360" w:lineRule="auto"/>
              <w:jc w:val="center"/>
              <w:rPr>
                <w:rFonts w:ascii="Calibri" w:hAnsi="Calibri" w:eastAsia="宋体" w:cs="Calibri"/>
                <w:color w:val="auto"/>
                <w:kern w:val="0"/>
                <w:sz w:val="24"/>
              </w:rPr>
            </w:pPr>
            <w:r>
              <w:rPr>
                <w:rFonts w:ascii="Calibri" w:hAnsi="Calibri" w:eastAsia="宋体" w:cs="Calibri"/>
                <w:color w:val="auto"/>
                <w:kern w:val="0"/>
                <w:sz w:val="24"/>
              </w:rPr>
              <w:t>159 (27.3%)</w:t>
            </w:r>
          </w:p>
        </w:tc>
        <w:tc>
          <w:tcPr>
            <w:tcW w:w="851"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F0995D2">
            <w:pPr>
              <w:widowControl/>
              <w:spacing w:line="360" w:lineRule="auto"/>
              <w:jc w:val="center"/>
              <w:rPr>
                <w:rFonts w:ascii="Calibri" w:hAnsi="Calibri" w:eastAsia="宋体" w:cs="Calibri"/>
                <w:color w:val="auto"/>
                <w:kern w:val="0"/>
                <w:sz w:val="24"/>
              </w:rPr>
            </w:pPr>
            <w:r>
              <w:rPr>
                <w:rFonts w:ascii="Calibri" w:hAnsi="Calibri" w:eastAsia="宋体" w:cs="Calibri"/>
                <w:color w:val="auto"/>
                <w:kern w:val="0"/>
                <w:sz w:val="24"/>
              </w:rPr>
              <w:t>372 (63.9%)</w:t>
            </w:r>
          </w:p>
        </w:tc>
        <w:tc>
          <w:tcPr>
            <w:tcW w:w="769"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DC580C5">
            <w:pPr>
              <w:widowControl/>
              <w:spacing w:line="360" w:lineRule="auto"/>
              <w:jc w:val="center"/>
              <w:rPr>
                <w:rFonts w:ascii="Calibri" w:hAnsi="Calibri" w:eastAsia="宋体" w:cs="Calibri"/>
                <w:color w:val="auto"/>
                <w:kern w:val="0"/>
                <w:sz w:val="24"/>
              </w:rPr>
            </w:pPr>
            <w:r>
              <w:rPr>
                <w:rFonts w:ascii="Calibri" w:hAnsi="Calibri" w:eastAsia="宋体" w:cs="Calibri"/>
                <w:color w:val="auto"/>
                <w:kern w:val="0"/>
                <w:sz w:val="24"/>
              </w:rPr>
              <w:t>582 (100%)</w:t>
            </w:r>
          </w:p>
        </w:tc>
      </w:tr>
    </w:tbl>
    <w:p w14:paraId="5C8996E2">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 xml:space="preserve">Category distributions across three racial groups. Primary test was Pearson's χ² test of independence on 3×4 contingency tables. Sensitivity tests (leveraging ordinality) included Kruskal–Wallis test for three groups. All analyses were unadjusted. </w:t>
      </w:r>
    </w:p>
    <w:p w14:paraId="256E483A">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No difference was observed in both PF category (Pearson's χ² p=0.626; Kruskal–Wallis p=0.369) and SF category (Pearson's χ² p=0.556; Kruskal–Wallis p=0.854).</w:t>
      </w:r>
    </w:p>
    <w:p w14:paraId="12D590AC">
      <w:pPr>
        <w:pStyle w:val="3"/>
        <w:spacing w:before="0" w:beforeAutospacing="0" w:after="0" w:afterAutospacing="0" w:line="360" w:lineRule="auto"/>
        <w:rPr>
          <w:rFonts w:ascii="Calibri" w:hAnsi="Calibri" w:cs="Calibri"/>
          <w:color w:val="auto"/>
          <w:sz w:val="24"/>
          <w:szCs w:val="24"/>
        </w:rPr>
        <w:sectPr>
          <w:pgSz w:w="16840" w:h="11900" w:orient="landscape"/>
          <w:pgMar w:top="1800" w:right="1440" w:bottom="1800" w:left="1440" w:header="851" w:footer="992" w:gutter="0"/>
          <w:pgBorders>
            <w:top w:val="none" w:sz="0" w:space="0"/>
            <w:left w:val="none" w:sz="0" w:space="0"/>
            <w:bottom w:val="none" w:sz="0" w:space="0"/>
            <w:right w:val="none" w:sz="0" w:space="0"/>
          </w:pgBorders>
          <w:lnNumType w:countBy="1" w:restart="continuous"/>
          <w:cols w:space="425" w:num="1"/>
          <w:docGrid w:type="lines" w:linePitch="312" w:charSpace="0"/>
        </w:sectPr>
      </w:pPr>
    </w:p>
    <w:p w14:paraId="261BC16C">
      <w:pPr>
        <w:widowControl/>
        <w:shd w:val="clear" w:color="auto" w:fill="FFFFFF"/>
        <w:spacing w:line="360" w:lineRule="auto"/>
        <w:jc w:val="left"/>
        <w:rPr>
          <w:rFonts w:ascii="Calibri" w:hAnsi="Calibri" w:eastAsia="宋体" w:cs="Calibri"/>
          <w:color w:val="auto"/>
          <w:kern w:val="0"/>
          <w:sz w:val="24"/>
        </w:rPr>
      </w:pPr>
      <w:r>
        <w:rPr>
          <w:rFonts w:ascii="Calibri" w:hAnsi="Calibri" w:eastAsia="宋体" w:cs="Calibri"/>
          <w:b/>
          <w:bCs/>
          <w:color w:val="auto"/>
          <w:kern w:val="0"/>
          <w:sz w:val="24"/>
        </w:rPr>
        <w:t xml:space="preserve">4. Sensitivity Analysis Tables </w:t>
      </w:r>
    </w:p>
    <w:p w14:paraId="11D802C9">
      <w:pPr>
        <w:pStyle w:val="3"/>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Table S9: Sensitivity Analyses Comparing Prognostic Performance Across Three SF-PF Pairing Strategies</w:t>
      </w:r>
    </w:p>
    <w:tbl>
      <w:tblPr>
        <w:tblStyle w:val="10"/>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648"/>
        <w:gridCol w:w="1996"/>
        <w:gridCol w:w="1891"/>
        <w:gridCol w:w="1981"/>
      </w:tblGrid>
      <w:tr w14:paraId="7F14032E">
        <w:tc>
          <w:tcPr>
            <w:tcW w:w="1555" w:type="pct"/>
            <w:tcBorders>
              <w:tl2br w:val="nil"/>
              <w:tr2bl w:val="nil"/>
            </w:tcBorders>
          </w:tcPr>
          <w:p w14:paraId="26EF957D">
            <w:pPr>
              <w:widowControl/>
              <w:spacing w:line="360" w:lineRule="auto"/>
              <w:jc w:val="left"/>
              <w:rPr>
                <w:rFonts w:ascii="Calibri" w:hAnsi="Calibri" w:eastAsia="宋体" w:cs="Calibri"/>
                <w:b/>
                <w:bCs/>
                <w:color w:val="auto"/>
                <w:kern w:val="0"/>
                <w:sz w:val="24"/>
              </w:rPr>
            </w:pPr>
            <w:r>
              <w:rPr>
                <w:rFonts w:ascii="Calibri" w:hAnsi="Calibri" w:eastAsia="宋体" w:cs="Calibri"/>
                <w:b/>
                <w:bCs/>
                <w:color w:val="auto"/>
                <w:kern w:val="0"/>
                <w:sz w:val="24"/>
              </w:rPr>
              <w:t>Prognostic Metric</w:t>
            </w:r>
          </w:p>
        </w:tc>
        <w:tc>
          <w:tcPr>
            <w:tcW w:w="1172" w:type="pct"/>
            <w:tcBorders>
              <w:tl2br w:val="nil"/>
              <w:tr2bl w:val="nil"/>
            </w:tcBorders>
          </w:tcPr>
          <w:p w14:paraId="5046A64A">
            <w:pPr>
              <w:widowControl/>
              <w:spacing w:line="360" w:lineRule="auto"/>
              <w:jc w:val="center"/>
              <w:rPr>
                <w:rFonts w:ascii="Calibri" w:hAnsi="Calibri" w:eastAsia="宋体" w:cs="Calibri"/>
                <w:b/>
                <w:bCs/>
                <w:color w:val="auto"/>
                <w:kern w:val="0"/>
                <w:sz w:val="24"/>
              </w:rPr>
            </w:pPr>
            <w:r>
              <w:rPr>
                <w:rFonts w:ascii="Calibri" w:hAnsi="Calibri" w:eastAsia="宋体" w:cs="Calibri"/>
                <w:b/>
                <w:bCs/>
                <w:color w:val="auto"/>
                <w:kern w:val="0"/>
                <w:sz w:val="24"/>
              </w:rPr>
              <w:t>Primary Strategy</w:t>
            </w:r>
          </w:p>
        </w:tc>
        <w:tc>
          <w:tcPr>
            <w:tcW w:w="1110" w:type="pct"/>
            <w:tcBorders>
              <w:tl2br w:val="nil"/>
              <w:tr2bl w:val="nil"/>
            </w:tcBorders>
          </w:tcPr>
          <w:p w14:paraId="41664278">
            <w:pPr>
              <w:widowControl/>
              <w:spacing w:line="360" w:lineRule="auto"/>
              <w:jc w:val="center"/>
              <w:rPr>
                <w:rFonts w:ascii="Calibri" w:hAnsi="Calibri" w:eastAsia="宋体" w:cs="Calibri"/>
                <w:b/>
                <w:bCs/>
                <w:color w:val="auto"/>
                <w:kern w:val="0"/>
                <w:sz w:val="24"/>
              </w:rPr>
            </w:pPr>
            <w:r>
              <w:rPr>
                <w:rFonts w:ascii="Calibri" w:hAnsi="Calibri" w:eastAsia="宋体" w:cs="Calibri"/>
                <w:b/>
                <w:bCs/>
                <w:color w:val="auto"/>
                <w:kern w:val="0"/>
                <w:sz w:val="24"/>
              </w:rPr>
              <w:t>Sensitivity I</w:t>
            </w:r>
          </w:p>
          <w:p w14:paraId="0B10CA6B">
            <w:pPr>
              <w:widowControl/>
              <w:spacing w:line="360" w:lineRule="auto"/>
              <w:jc w:val="center"/>
              <w:rPr>
                <w:rFonts w:ascii="Calibri" w:hAnsi="Calibri" w:eastAsia="宋体" w:cs="Calibri"/>
                <w:b/>
                <w:bCs/>
                <w:color w:val="auto"/>
                <w:kern w:val="0"/>
                <w:sz w:val="24"/>
              </w:rPr>
            </w:pPr>
            <w:r>
              <w:rPr>
                <w:rFonts w:ascii="Calibri" w:hAnsi="Calibri" w:eastAsia="宋体" w:cs="Calibri"/>
                <w:b/>
                <w:bCs/>
                <w:color w:val="auto"/>
                <w:kern w:val="0"/>
                <w:sz w:val="24"/>
              </w:rPr>
              <w:t>(Lowest SF value)</w:t>
            </w:r>
          </w:p>
        </w:tc>
        <w:tc>
          <w:tcPr>
            <w:tcW w:w="1163" w:type="pct"/>
            <w:tcBorders>
              <w:tl2br w:val="nil"/>
              <w:tr2bl w:val="nil"/>
            </w:tcBorders>
          </w:tcPr>
          <w:p w14:paraId="1E320FAA">
            <w:pPr>
              <w:widowControl/>
              <w:spacing w:line="360" w:lineRule="auto"/>
              <w:jc w:val="center"/>
              <w:rPr>
                <w:rFonts w:ascii="Calibri" w:hAnsi="Calibri" w:eastAsia="宋体" w:cs="Calibri"/>
                <w:b/>
                <w:bCs/>
                <w:color w:val="auto"/>
                <w:kern w:val="0"/>
                <w:sz w:val="24"/>
              </w:rPr>
            </w:pPr>
            <w:r>
              <w:rPr>
                <w:rFonts w:ascii="Calibri" w:hAnsi="Calibri" w:eastAsia="宋体" w:cs="Calibri"/>
                <w:b/>
                <w:bCs/>
                <w:color w:val="auto"/>
                <w:kern w:val="0"/>
                <w:sz w:val="24"/>
              </w:rPr>
              <w:t>Sensitivity II</w:t>
            </w:r>
          </w:p>
          <w:p w14:paraId="018FA75B">
            <w:pPr>
              <w:widowControl/>
              <w:spacing w:line="360" w:lineRule="auto"/>
              <w:jc w:val="center"/>
              <w:rPr>
                <w:rFonts w:ascii="Calibri" w:hAnsi="Calibri" w:eastAsia="宋体" w:cs="Calibri"/>
                <w:b/>
                <w:bCs/>
                <w:color w:val="auto"/>
                <w:kern w:val="0"/>
                <w:sz w:val="24"/>
              </w:rPr>
            </w:pPr>
            <w:r>
              <w:rPr>
                <w:rFonts w:ascii="Calibri" w:hAnsi="Calibri" w:eastAsia="宋体" w:cs="Calibri"/>
                <w:b/>
                <w:bCs/>
                <w:color w:val="auto"/>
                <w:kern w:val="0"/>
                <w:sz w:val="24"/>
              </w:rPr>
              <w:t>(Lowest PF value)</w:t>
            </w:r>
          </w:p>
        </w:tc>
      </w:tr>
      <w:tr w14:paraId="3CD1FC14">
        <w:tc>
          <w:tcPr>
            <w:tcW w:w="1555" w:type="pct"/>
            <w:tcBorders>
              <w:tl2br w:val="nil"/>
              <w:tr2bl w:val="nil"/>
            </w:tcBorders>
          </w:tcPr>
          <w:p w14:paraId="3DCAF399">
            <w:pPr>
              <w:widowControl/>
              <w:spacing w:line="360" w:lineRule="auto"/>
              <w:jc w:val="left"/>
              <w:rPr>
                <w:rFonts w:ascii="Calibri" w:hAnsi="Calibri" w:eastAsia="宋体" w:cs="Calibri"/>
                <w:color w:val="auto"/>
                <w:kern w:val="0"/>
                <w:sz w:val="24"/>
              </w:rPr>
            </w:pPr>
            <w:r>
              <w:rPr>
                <w:rFonts w:ascii="Calibri" w:hAnsi="Calibri" w:eastAsia="宋体" w:cs="Calibri"/>
                <w:bCs/>
                <w:color w:val="auto"/>
                <w:kern w:val="0"/>
                <w:sz w:val="24"/>
              </w:rPr>
              <w:t>PF Classification System</w:t>
            </w:r>
          </w:p>
        </w:tc>
        <w:tc>
          <w:tcPr>
            <w:tcW w:w="1172" w:type="pct"/>
            <w:tcBorders>
              <w:tl2br w:val="nil"/>
              <w:tr2bl w:val="nil"/>
            </w:tcBorders>
          </w:tcPr>
          <w:p w14:paraId="2DF00B93">
            <w:pPr>
              <w:widowControl/>
              <w:spacing w:line="360" w:lineRule="auto"/>
              <w:jc w:val="center"/>
              <w:rPr>
                <w:rFonts w:ascii="Calibri" w:hAnsi="Calibri" w:eastAsia="宋体" w:cs="Calibri"/>
                <w:b/>
                <w:color w:val="auto"/>
                <w:kern w:val="0"/>
                <w:sz w:val="24"/>
              </w:rPr>
            </w:pPr>
          </w:p>
        </w:tc>
        <w:tc>
          <w:tcPr>
            <w:tcW w:w="1110" w:type="pct"/>
            <w:tcBorders>
              <w:tl2br w:val="nil"/>
              <w:tr2bl w:val="nil"/>
            </w:tcBorders>
          </w:tcPr>
          <w:p w14:paraId="6CF8DBD1">
            <w:pPr>
              <w:widowControl/>
              <w:spacing w:line="360" w:lineRule="auto"/>
              <w:jc w:val="center"/>
              <w:rPr>
                <w:rFonts w:ascii="Calibri" w:hAnsi="Calibri" w:eastAsia="Times New Roman" w:cs="Calibri"/>
                <w:b/>
                <w:color w:val="auto"/>
                <w:kern w:val="0"/>
                <w:sz w:val="24"/>
              </w:rPr>
            </w:pPr>
          </w:p>
        </w:tc>
        <w:tc>
          <w:tcPr>
            <w:tcW w:w="1163" w:type="pct"/>
            <w:tcBorders>
              <w:tl2br w:val="nil"/>
              <w:tr2bl w:val="nil"/>
            </w:tcBorders>
          </w:tcPr>
          <w:p w14:paraId="2215E3D4">
            <w:pPr>
              <w:widowControl/>
              <w:spacing w:line="360" w:lineRule="auto"/>
              <w:jc w:val="center"/>
              <w:rPr>
                <w:rFonts w:ascii="Calibri" w:hAnsi="Calibri" w:eastAsia="Times New Roman" w:cs="Calibri"/>
                <w:b/>
                <w:color w:val="auto"/>
                <w:kern w:val="0"/>
                <w:sz w:val="24"/>
              </w:rPr>
            </w:pPr>
          </w:p>
        </w:tc>
      </w:tr>
      <w:tr w14:paraId="20571CF0">
        <w:tc>
          <w:tcPr>
            <w:tcW w:w="1555" w:type="pct"/>
            <w:tcBorders>
              <w:tl2br w:val="nil"/>
              <w:tr2bl w:val="nil"/>
            </w:tcBorders>
          </w:tcPr>
          <w:p w14:paraId="5EC070B8">
            <w:pPr>
              <w:widowControl/>
              <w:spacing w:line="360" w:lineRule="auto"/>
              <w:ind w:firstLine="240" w:firstLineChars="100"/>
              <w:jc w:val="left"/>
              <w:rPr>
                <w:rFonts w:ascii="Calibri" w:hAnsi="Calibri" w:eastAsia="宋体" w:cs="Calibri"/>
                <w:color w:val="auto"/>
                <w:kern w:val="0"/>
                <w:sz w:val="24"/>
              </w:rPr>
            </w:pPr>
            <w:r>
              <w:rPr>
                <w:rFonts w:ascii="Calibri" w:hAnsi="Calibri" w:eastAsia="宋体" w:cs="Calibri"/>
                <w:color w:val="auto"/>
                <w:kern w:val="0"/>
                <w:sz w:val="24"/>
              </w:rPr>
              <w:t>Global Log-Rank P-value</w:t>
            </w:r>
          </w:p>
        </w:tc>
        <w:tc>
          <w:tcPr>
            <w:tcW w:w="1172" w:type="pct"/>
            <w:tcBorders>
              <w:tl2br w:val="nil"/>
              <w:tr2bl w:val="nil"/>
            </w:tcBorders>
          </w:tcPr>
          <w:p w14:paraId="17B11A70">
            <w:pPr>
              <w:widowControl/>
              <w:spacing w:line="360" w:lineRule="auto"/>
              <w:jc w:val="center"/>
              <w:rPr>
                <w:rFonts w:ascii="Calibri" w:hAnsi="Calibri" w:eastAsia="宋体" w:cs="Calibri"/>
                <w:color w:val="auto"/>
                <w:kern w:val="0"/>
                <w:sz w:val="24"/>
              </w:rPr>
            </w:pPr>
            <w:r>
              <w:rPr>
                <w:rFonts w:ascii="Calibri" w:hAnsi="Calibri" w:eastAsia="宋体" w:cs="Calibri"/>
                <w:bCs/>
                <w:color w:val="auto"/>
                <w:kern w:val="0"/>
                <w:sz w:val="24"/>
              </w:rPr>
              <w:t>0.003</w:t>
            </w:r>
          </w:p>
        </w:tc>
        <w:tc>
          <w:tcPr>
            <w:tcW w:w="1110" w:type="pct"/>
            <w:tcBorders>
              <w:tl2br w:val="nil"/>
              <w:tr2bl w:val="nil"/>
            </w:tcBorders>
          </w:tcPr>
          <w:p w14:paraId="004FFB21">
            <w:pPr>
              <w:widowControl/>
              <w:spacing w:line="360" w:lineRule="auto"/>
              <w:jc w:val="center"/>
              <w:rPr>
                <w:rFonts w:ascii="Calibri" w:hAnsi="Calibri" w:eastAsia="宋体" w:cs="Calibri"/>
                <w:color w:val="auto"/>
                <w:kern w:val="0"/>
                <w:sz w:val="24"/>
              </w:rPr>
            </w:pPr>
            <w:r>
              <w:rPr>
                <w:rFonts w:ascii="Calibri" w:hAnsi="Calibri" w:eastAsia="宋体" w:cs="Calibri"/>
                <w:bCs/>
                <w:color w:val="auto"/>
                <w:kern w:val="0"/>
                <w:sz w:val="24"/>
              </w:rPr>
              <w:t>0.033</w:t>
            </w:r>
          </w:p>
        </w:tc>
        <w:tc>
          <w:tcPr>
            <w:tcW w:w="1163" w:type="pct"/>
            <w:tcBorders>
              <w:tl2br w:val="nil"/>
              <w:tr2bl w:val="nil"/>
            </w:tcBorders>
          </w:tcPr>
          <w:p w14:paraId="1761DC8F">
            <w:pPr>
              <w:widowControl/>
              <w:spacing w:line="360" w:lineRule="auto"/>
              <w:jc w:val="center"/>
              <w:rPr>
                <w:rFonts w:ascii="Calibri" w:hAnsi="Calibri" w:eastAsia="宋体" w:cs="Calibri"/>
                <w:color w:val="auto"/>
                <w:kern w:val="0"/>
                <w:sz w:val="24"/>
              </w:rPr>
            </w:pPr>
            <w:r>
              <w:rPr>
                <w:rFonts w:ascii="Calibri" w:hAnsi="Calibri" w:eastAsia="宋体" w:cs="Calibri"/>
                <w:bCs/>
                <w:color w:val="auto"/>
                <w:kern w:val="0"/>
                <w:sz w:val="24"/>
              </w:rPr>
              <w:t xml:space="preserve">0.008 </w:t>
            </w:r>
          </w:p>
        </w:tc>
      </w:tr>
      <w:tr w14:paraId="6B61EDAD">
        <w:tc>
          <w:tcPr>
            <w:tcW w:w="1555" w:type="pct"/>
            <w:tcBorders>
              <w:tl2br w:val="nil"/>
              <w:tr2bl w:val="nil"/>
            </w:tcBorders>
          </w:tcPr>
          <w:p w14:paraId="48FDF3DE">
            <w:pPr>
              <w:widowControl/>
              <w:spacing w:line="360" w:lineRule="auto"/>
              <w:ind w:firstLine="240" w:firstLineChars="100"/>
              <w:jc w:val="left"/>
              <w:rPr>
                <w:rFonts w:ascii="Calibri" w:hAnsi="Calibri" w:eastAsia="宋体" w:cs="Calibri"/>
                <w:color w:val="auto"/>
                <w:kern w:val="0"/>
                <w:sz w:val="24"/>
              </w:rPr>
            </w:pPr>
            <w:r>
              <w:rPr>
                <w:rFonts w:ascii="Calibri" w:hAnsi="Calibri" w:eastAsia="宋体" w:cs="Calibri"/>
                <w:color w:val="auto"/>
                <w:kern w:val="0"/>
                <w:sz w:val="24"/>
              </w:rPr>
              <w:t>Harrell's C-index (95% CI)</w:t>
            </w:r>
          </w:p>
        </w:tc>
        <w:tc>
          <w:tcPr>
            <w:tcW w:w="1172" w:type="pct"/>
            <w:tcBorders>
              <w:tl2br w:val="nil"/>
              <w:tr2bl w:val="nil"/>
            </w:tcBorders>
          </w:tcPr>
          <w:p w14:paraId="51815F0B">
            <w:pPr>
              <w:widowControl/>
              <w:spacing w:line="360" w:lineRule="auto"/>
              <w:jc w:val="center"/>
              <w:rPr>
                <w:rFonts w:ascii="Calibri" w:hAnsi="Calibri" w:eastAsia="宋体" w:cs="Calibri"/>
                <w:color w:val="auto"/>
                <w:kern w:val="0"/>
                <w:sz w:val="24"/>
              </w:rPr>
            </w:pPr>
            <w:r>
              <w:rPr>
                <w:rFonts w:ascii="Calibri" w:hAnsi="Calibri" w:eastAsia="宋体" w:cs="Calibri"/>
                <w:bCs/>
                <w:color w:val="auto"/>
                <w:kern w:val="0"/>
                <w:sz w:val="24"/>
              </w:rPr>
              <w:t>0.568 (0.538-0.604)</w:t>
            </w:r>
          </w:p>
        </w:tc>
        <w:tc>
          <w:tcPr>
            <w:tcW w:w="1110" w:type="pct"/>
            <w:tcBorders>
              <w:tl2br w:val="nil"/>
              <w:tr2bl w:val="nil"/>
            </w:tcBorders>
          </w:tcPr>
          <w:p w14:paraId="6B280934">
            <w:pPr>
              <w:widowControl/>
              <w:spacing w:line="360" w:lineRule="auto"/>
              <w:jc w:val="center"/>
              <w:rPr>
                <w:rFonts w:ascii="Calibri" w:hAnsi="Calibri" w:eastAsia="宋体" w:cs="Calibri"/>
                <w:color w:val="auto"/>
                <w:kern w:val="0"/>
                <w:sz w:val="24"/>
              </w:rPr>
            </w:pPr>
            <w:r>
              <w:rPr>
                <w:rFonts w:ascii="Calibri" w:hAnsi="Calibri" w:eastAsia="宋体" w:cs="Calibri"/>
                <w:bCs/>
                <w:color w:val="auto"/>
                <w:kern w:val="0"/>
                <w:sz w:val="24"/>
              </w:rPr>
              <w:t>0.556 (0.528-0.592)</w:t>
            </w:r>
          </w:p>
        </w:tc>
        <w:tc>
          <w:tcPr>
            <w:tcW w:w="1163" w:type="pct"/>
            <w:tcBorders>
              <w:tl2br w:val="nil"/>
              <w:tr2bl w:val="nil"/>
            </w:tcBorders>
          </w:tcPr>
          <w:p w14:paraId="79F5F26B">
            <w:pPr>
              <w:widowControl/>
              <w:spacing w:line="360" w:lineRule="auto"/>
              <w:jc w:val="center"/>
              <w:rPr>
                <w:rFonts w:ascii="Calibri" w:hAnsi="Calibri" w:eastAsia="宋体" w:cs="Calibri"/>
                <w:color w:val="auto"/>
                <w:kern w:val="0"/>
                <w:sz w:val="24"/>
              </w:rPr>
            </w:pPr>
            <w:r>
              <w:rPr>
                <w:rFonts w:ascii="Calibri" w:hAnsi="Calibri" w:eastAsia="宋体" w:cs="Calibri"/>
                <w:bCs/>
                <w:color w:val="auto"/>
                <w:kern w:val="0"/>
                <w:sz w:val="24"/>
              </w:rPr>
              <w:t>0.565 (0.536-0.597)</w:t>
            </w:r>
          </w:p>
        </w:tc>
      </w:tr>
      <w:tr w14:paraId="6CA047E6">
        <w:tc>
          <w:tcPr>
            <w:tcW w:w="1555" w:type="pct"/>
            <w:tcBorders>
              <w:tl2br w:val="nil"/>
              <w:tr2bl w:val="nil"/>
            </w:tcBorders>
          </w:tcPr>
          <w:p w14:paraId="26E7FAF6">
            <w:pPr>
              <w:widowControl/>
              <w:spacing w:line="360" w:lineRule="auto"/>
              <w:jc w:val="left"/>
              <w:rPr>
                <w:rFonts w:ascii="Calibri" w:hAnsi="Calibri" w:eastAsia="宋体" w:cs="Calibri"/>
                <w:color w:val="auto"/>
                <w:kern w:val="0"/>
                <w:sz w:val="24"/>
              </w:rPr>
            </w:pPr>
            <w:r>
              <w:rPr>
                <w:rFonts w:ascii="Calibri" w:hAnsi="Calibri" w:eastAsia="宋体" w:cs="Calibri"/>
                <w:bCs/>
                <w:color w:val="auto"/>
                <w:kern w:val="0"/>
                <w:sz w:val="24"/>
              </w:rPr>
              <w:t>SF Classification System</w:t>
            </w:r>
          </w:p>
        </w:tc>
        <w:tc>
          <w:tcPr>
            <w:tcW w:w="1172" w:type="pct"/>
            <w:tcBorders>
              <w:tl2br w:val="nil"/>
              <w:tr2bl w:val="nil"/>
            </w:tcBorders>
          </w:tcPr>
          <w:p w14:paraId="2C93859C">
            <w:pPr>
              <w:widowControl/>
              <w:spacing w:line="360" w:lineRule="auto"/>
              <w:jc w:val="center"/>
              <w:rPr>
                <w:rFonts w:ascii="Calibri" w:hAnsi="Calibri" w:eastAsia="宋体" w:cs="Calibri"/>
                <w:color w:val="auto"/>
                <w:kern w:val="0"/>
                <w:sz w:val="24"/>
              </w:rPr>
            </w:pPr>
          </w:p>
        </w:tc>
        <w:tc>
          <w:tcPr>
            <w:tcW w:w="1110" w:type="pct"/>
            <w:tcBorders>
              <w:tl2br w:val="nil"/>
              <w:tr2bl w:val="nil"/>
            </w:tcBorders>
          </w:tcPr>
          <w:p w14:paraId="32798E22">
            <w:pPr>
              <w:widowControl/>
              <w:spacing w:line="360" w:lineRule="auto"/>
              <w:jc w:val="center"/>
              <w:rPr>
                <w:rFonts w:ascii="Calibri" w:hAnsi="Calibri" w:eastAsia="Times New Roman" w:cs="Calibri"/>
                <w:color w:val="auto"/>
                <w:kern w:val="0"/>
                <w:sz w:val="24"/>
              </w:rPr>
            </w:pPr>
          </w:p>
        </w:tc>
        <w:tc>
          <w:tcPr>
            <w:tcW w:w="1163" w:type="pct"/>
            <w:tcBorders>
              <w:tl2br w:val="nil"/>
              <w:tr2bl w:val="nil"/>
            </w:tcBorders>
          </w:tcPr>
          <w:p w14:paraId="7C4E8DBB">
            <w:pPr>
              <w:widowControl/>
              <w:spacing w:line="360" w:lineRule="auto"/>
              <w:jc w:val="center"/>
              <w:rPr>
                <w:rFonts w:ascii="Calibri" w:hAnsi="Calibri" w:eastAsia="Times New Roman" w:cs="Calibri"/>
                <w:color w:val="auto"/>
                <w:kern w:val="0"/>
                <w:sz w:val="24"/>
              </w:rPr>
            </w:pPr>
          </w:p>
        </w:tc>
      </w:tr>
      <w:tr w14:paraId="02E700AB">
        <w:tc>
          <w:tcPr>
            <w:tcW w:w="1555" w:type="pct"/>
            <w:tcBorders>
              <w:tl2br w:val="nil"/>
              <w:tr2bl w:val="nil"/>
            </w:tcBorders>
          </w:tcPr>
          <w:p w14:paraId="5BF34441">
            <w:pPr>
              <w:widowControl/>
              <w:spacing w:line="360" w:lineRule="auto"/>
              <w:ind w:firstLine="240" w:firstLineChars="100"/>
              <w:jc w:val="left"/>
              <w:rPr>
                <w:rFonts w:ascii="Calibri" w:hAnsi="Calibri" w:eastAsia="宋体" w:cs="Calibri"/>
                <w:color w:val="auto"/>
                <w:kern w:val="0"/>
                <w:sz w:val="24"/>
              </w:rPr>
            </w:pPr>
            <w:r>
              <w:rPr>
                <w:rFonts w:ascii="Calibri" w:hAnsi="Calibri" w:eastAsia="宋体" w:cs="Calibri"/>
                <w:color w:val="auto"/>
                <w:kern w:val="0"/>
                <w:sz w:val="24"/>
              </w:rPr>
              <w:t>Global Log-Rank P-value</w:t>
            </w:r>
          </w:p>
        </w:tc>
        <w:tc>
          <w:tcPr>
            <w:tcW w:w="1172" w:type="pct"/>
            <w:tcBorders>
              <w:tl2br w:val="nil"/>
              <w:tr2bl w:val="nil"/>
            </w:tcBorders>
          </w:tcPr>
          <w:p w14:paraId="1E8E5BA4">
            <w:pPr>
              <w:widowControl/>
              <w:spacing w:line="360" w:lineRule="auto"/>
              <w:jc w:val="center"/>
              <w:rPr>
                <w:rFonts w:ascii="Calibri" w:hAnsi="Calibri" w:eastAsia="宋体" w:cs="Calibri"/>
                <w:color w:val="auto"/>
                <w:kern w:val="0"/>
                <w:sz w:val="24"/>
              </w:rPr>
            </w:pPr>
            <w:r>
              <w:rPr>
                <w:rFonts w:ascii="Calibri" w:hAnsi="Calibri" w:eastAsia="宋体" w:cs="Calibri"/>
                <w:bCs/>
                <w:color w:val="auto"/>
                <w:kern w:val="0"/>
                <w:sz w:val="24"/>
              </w:rPr>
              <w:t>0.131</w:t>
            </w:r>
          </w:p>
        </w:tc>
        <w:tc>
          <w:tcPr>
            <w:tcW w:w="1110" w:type="pct"/>
            <w:tcBorders>
              <w:tl2br w:val="nil"/>
              <w:tr2bl w:val="nil"/>
            </w:tcBorders>
          </w:tcPr>
          <w:p w14:paraId="565E56E1">
            <w:pPr>
              <w:widowControl/>
              <w:spacing w:line="360" w:lineRule="auto"/>
              <w:jc w:val="center"/>
              <w:rPr>
                <w:rFonts w:ascii="Calibri" w:hAnsi="Calibri" w:eastAsia="宋体" w:cs="Calibri"/>
                <w:color w:val="auto"/>
                <w:kern w:val="0"/>
                <w:sz w:val="24"/>
              </w:rPr>
            </w:pPr>
            <w:r>
              <w:rPr>
                <w:rFonts w:ascii="Calibri" w:hAnsi="Calibri" w:eastAsia="宋体" w:cs="Calibri"/>
                <w:bCs/>
                <w:color w:val="auto"/>
                <w:kern w:val="0"/>
                <w:sz w:val="24"/>
              </w:rPr>
              <w:t>0.146</w:t>
            </w:r>
          </w:p>
        </w:tc>
        <w:tc>
          <w:tcPr>
            <w:tcW w:w="1163" w:type="pct"/>
            <w:tcBorders>
              <w:tl2br w:val="nil"/>
              <w:tr2bl w:val="nil"/>
            </w:tcBorders>
          </w:tcPr>
          <w:p w14:paraId="7C37C755">
            <w:pPr>
              <w:widowControl/>
              <w:spacing w:line="360" w:lineRule="auto"/>
              <w:jc w:val="center"/>
              <w:rPr>
                <w:rFonts w:ascii="Calibri" w:hAnsi="Calibri" w:eastAsia="宋体" w:cs="Calibri"/>
                <w:color w:val="auto"/>
                <w:kern w:val="0"/>
                <w:sz w:val="24"/>
              </w:rPr>
            </w:pPr>
            <w:r>
              <w:rPr>
                <w:rFonts w:ascii="Calibri" w:hAnsi="Calibri" w:eastAsia="宋体" w:cs="Calibri"/>
                <w:bCs/>
                <w:color w:val="auto"/>
                <w:kern w:val="0"/>
                <w:sz w:val="24"/>
              </w:rPr>
              <w:t>0.162</w:t>
            </w:r>
          </w:p>
        </w:tc>
      </w:tr>
      <w:tr w14:paraId="37A242E7">
        <w:tc>
          <w:tcPr>
            <w:tcW w:w="1555" w:type="pct"/>
            <w:tcBorders>
              <w:tl2br w:val="nil"/>
              <w:tr2bl w:val="nil"/>
            </w:tcBorders>
          </w:tcPr>
          <w:p w14:paraId="73114C1A">
            <w:pPr>
              <w:widowControl/>
              <w:spacing w:line="360" w:lineRule="auto"/>
              <w:ind w:firstLine="240" w:firstLineChars="100"/>
              <w:jc w:val="left"/>
              <w:rPr>
                <w:rFonts w:ascii="Calibri" w:hAnsi="Calibri" w:eastAsia="宋体" w:cs="Calibri"/>
                <w:color w:val="auto"/>
                <w:kern w:val="0"/>
                <w:sz w:val="24"/>
              </w:rPr>
            </w:pPr>
            <w:r>
              <w:rPr>
                <w:rFonts w:ascii="Calibri" w:hAnsi="Calibri" w:eastAsia="宋体" w:cs="Calibri"/>
                <w:color w:val="auto"/>
                <w:kern w:val="0"/>
                <w:sz w:val="24"/>
              </w:rPr>
              <w:t>Harrell's C-index (95% CI)</w:t>
            </w:r>
          </w:p>
        </w:tc>
        <w:tc>
          <w:tcPr>
            <w:tcW w:w="1172" w:type="pct"/>
            <w:tcBorders>
              <w:tl2br w:val="nil"/>
              <w:tr2bl w:val="nil"/>
            </w:tcBorders>
          </w:tcPr>
          <w:p w14:paraId="79A17330">
            <w:pPr>
              <w:widowControl/>
              <w:spacing w:line="360" w:lineRule="auto"/>
              <w:jc w:val="center"/>
              <w:rPr>
                <w:rFonts w:ascii="Calibri" w:hAnsi="Calibri" w:eastAsia="宋体" w:cs="Calibri"/>
                <w:color w:val="auto"/>
                <w:kern w:val="0"/>
                <w:sz w:val="24"/>
              </w:rPr>
            </w:pPr>
            <w:r>
              <w:rPr>
                <w:rFonts w:ascii="Calibri" w:hAnsi="Calibri" w:eastAsia="宋体" w:cs="Calibri"/>
                <w:bCs/>
                <w:color w:val="auto"/>
                <w:kern w:val="0"/>
                <w:sz w:val="24"/>
              </w:rPr>
              <w:t>0.535 (0.516-0.571)</w:t>
            </w:r>
          </w:p>
        </w:tc>
        <w:tc>
          <w:tcPr>
            <w:tcW w:w="1110" w:type="pct"/>
            <w:tcBorders>
              <w:tl2br w:val="nil"/>
              <w:tr2bl w:val="nil"/>
            </w:tcBorders>
          </w:tcPr>
          <w:p w14:paraId="41CCDF04">
            <w:pPr>
              <w:widowControl/>
              <w:spacing w:line="360" w:lineRule="auto"/>
              <w:jc w:val="center"/>
              <w:rPr>
                <w:rFonts w:ascii="Calibri" w:hAnsi="Calibri" w:eastAsia="宋体" w:cs="Calibri"/>
                <w:color w:val="auto"/>
                <w:kern w:val="0"/>
                <w:sz w:val="24"/>
              </w:rPr>
            </w:pPr>
            <w:r>
              <w:rPr>
                <w:rFonts w:ascii="Calibri" w:hAnsi="Calibri" w:eastAsia="宋体" w:cs="Calibri"/>
                <w:bCs/>
                <w:color w:val="auto"/>
                <w:kern w:val="0"/>
                <w:sz w:val="24"/>
              </w:rPr>
              <w:t>0.533 (0.515-0.564)</w:t>
            </w:r>
          </w:p>
        </w:tc>
        <w:tc>
          <w:tcPr>
            <w:tcW w:w="1163" w:type="pct"/>
            <w:tcBorders>
              <w:tl2br w:val="nil"/>
              <w:tr2bl w:val="nil"/>
            </w:tcBorders>
          </w:tcPr>
          <w:p w14:paraId="6B94698D">
            <w:pPr>
              <w:widowControl/>
              <w:spacing w:line="360" w:lineRule="auto"/>
              <w:jc w:val="center"/>
              <w:rPr>
                <w:rFonts w:ascii="Calibri" w:hAnsi="Calibri" w:eastAsia="宋体" w:cs="Calibri"/>
                <w:color w:val="auto"/>
                <w:kern w:val="0"/>
                <w:sz w:val="24"/>
              </w:rPr>
            </w:pPr>
            <w:r>
              <w:rPr>
                <w:rFonts w:ascii="Calibri" w:hAnsi="Calibri" w:eastAsia="宋体" w:cs="Calibri"/>
                <w:bCs/>
                <w:color w:val="auto"/>
                <w:kern w:val="0"/>
                <w:sz w:val="24"/>
              </w:rPr>
              <w:t>0.536 (0.515-0.568)</w:t>
            </w:r>
          </w:p>
        </w:tc>
      </w:tr>
      <w:tr w14:paraId="4DB631A1">
        <w:tc>
          <w:tcPr>
            <w:tcW w:w="1555" w:type="pct"/>
            <w:tcBorders>
              <w:tl2br w:val="nil"/>
              <w:tr2bl w:val="nil"/>
            </w:tcBorders>
            <w:vAlign w:val="center"/>
          </w:tcPr>
          <w:p w14:paraId="66ED7B59">
            <w:pPr>
              <w:widowControl/>
              <w:spacing w:line="360" w:lineRule="auto"/>
              <w:jc w:val="left"/>
              <w:rPr>
                <w:rStyle w:val="12"/>
                <w:rFonts w:ascii="Calibri" w:hAnsi="Calibri" w:cs="Calibri"/>
                <w:b w:val="0"/>
                <w:color w:val="auto"/>
                <w:sz w:val="24"/>
              </w:rPr>
            </w:pPr>
            <w:r>
              <w:rPr>
                <w:rStyle w:val="12"/>
                <w:rFonts w:ascii="Calibri" w:hAnsi="Calibri" w:cs="Calibri"/>
                <w:b w:val="0"/>
                <w:color w:val="auto"/>
                <w:sz w:val="24"/>
              </w:rPr>
              <w:t>Discordant Subgroup</w:t>
            </w:r>
          </w:p>
          <w:p w14:paraId="3FA1E098">
            <w:pPr>
              <w:widowControl/>
              <w:spacing w:line="360" w:lineRule="auto"/>
              <w:jc w:val="left"/>
              <w:rPr>
                <w:rFonts w:ascii="Calibri" w:hAnsi="Calibri" w:eastAsia="宋体" w:cs="Calibri"/>
                <w:color w:val="auto"/>
                <w:kern w:val="0"/>
                <w:sz w:val="24"/>
              </w:rPr>
            </w:pPr>
            <w:r>
              <w:rPr>
                <w:rFonts w:ascii="Calibri" w:hAnsi="Calibri" w:cs="Calibri"/>
                <w:color w:val="auto"/>
                <w:sz w:val="24"/>
              </w:rPr>
              <w:t>(PF-moderate but SF-severe)</w:t>
            </w:r>
          </w:p>
        </w:tc>
        <w:tc>
          <w:tcPr>
            <w:tcW w:w="1172" w:type="pct"/>
            <w:tcBorders>
              <w:tl2br w:val="nil"/>
              <w:tr2bl w:val="nil"/>
            </w:tcBorders>
            <w:vAlign w:val="center"/>
          </w:tcPr>
          <w:p w14:paraId="40320A33">
            <w:pPr>
              <w:widowControl/>
              <w:spacing w:line="360" w:lineRule="auto"/>
              <w:jc w:val="center"/>
              <w:rPr>
                <w:rFonts w:ascii="Calibri" w:hAnsi="Calibri" w:eastAsia="宋体" w:cs="Calibri"/>
                <w:b/>
                <w:color w:val="auto"/>
                <w:kern w:val="0"/>
                <w:sz w:val="24"/>
              </w:rPr>
            </w:pPr>
            <w:r>
              <w:rPr>
                <w:rStyle w:val="12"/>
                <w:rFonts w:ascii="Calibri" w:hAnsi="Calibri" w:cs="Calibri"/>
                <w:b w:val="0"/>
                <w:color w:val="auto"/>
                <w:sz w:val="24"/>
              </w:rPr>
              <w:t>51/139 (36.7%)</w:t>
            </w:r>
          </w:p>
        </w:tc>
        <w:tc>
          <w:tcPr>
            <w:tcW w:w="1110" w:type="pct"/>
            <w:tcBorders>
              <w:tl2br w:val="nil"/>
              <w:tr2bl w:val="nil"/>
            </w:tcBorders>
            <w:vAlign w:val="center"/>
          </w:tcPr>
          <w:p w14:paraId="5ABE1E58">
            <w:pPr>
              <w:widowControl/>
              <w:spacing w:line="360" w:lineRule="auto"/>
              <w:jc w:val="center"/>
              <w:rPr>
                <w:rFonts w:ascii="Calibri" w:hAnsi="Calibri" w:eastAsia="宋体" w:cs="Calibri"/>
                <w:b/>
                <w:color w:val="auto"/>
                <w:kern w:val="0"/>
                <w:sz w:val="24"/>
              </w:rPr>
            </w:pPr>
            <w:r>
              <w:rPr>
                <w:rStyle w:val="12"/>
                <w:rFonts w:ascii="Calibri" w:hAnsi="Calibri" w:cs="Calibri"/>
                <w:b w:val="0"/>
                <w:color w:val="auto"/>
                <w:sz w:val="24"/>
              </w:rPr>
              <w:t>54/142 (38.0%)</w:t>
            </w:r>
          </w:p>
        </w:tc>
        <w:tc>
          <w:tcPr>
            <w:tcW w:w="1163" w:type="pct"/>
            <w:tcBorders>
              <w:tl2br w:val="nil"/>
              <w:tr2bl w:val="nil"/>
            </w:tcBorders>
            <w:vAlign w:val="center"/>
          </w:tcPr>
          <w:p w14:paraId="4A9EEB50">
            <w:pPr>
              <w:widowControl/>
              <w:spacing w:line="360" w:lineRule="auto"/>
              <w:jc w:val="center"/>
              <w:rPr>
                <w:rFonts w:ascii="Calibri" w:hAnsi="Calibri" w:eastAsia="宋体" w:cs="Calibri"/>
                <w:b/>
                <w:color w:val="auto"/>
                <w:kern w:val="0"/>
                <w:sz w:val="24"/>
              </w:rPr>
            </w:pPr>
            <w:r>
              <w:rPr>
                <w:rStyle w:val="12"/>
                <w:rFonts w:ascii="Calibri" w:hAnsi="Calibri" w:cs="Calibri"/>
                <w:b w:val="0"/>
                <w:color w:val="auto"/>
                <w:sz w:val="24"/>
              </w:rPr>
              <w:t>31/95 (32.6%)</w:t>
            </w:r>
          </w:p>
        </w:tc>
      </w:tr>
      <w:tr w14:paraId="49DE9A31">
        <w:tc>
          <w:tcPr>
            <w:tcW w:w="1555" w:type="pct"/>
            <w:tcBorders>
              <w:tl2br w:val="nil"/>
              <w:tr2bl w:val="nil"/>
            </w:tcBorders>
            <w:vAlign w:val="center"/>
          </w:tcPr>
          <w:p w14:paraId="619AD7F6">
            <w:pPr>
              <w:widowControl/>
              <w:spacing w:line="360" w:lineRule="auto"/>
              <w:ind w:firstLine="240" w:firstLineChars="100"/>
              <w:jc w:val="left"/>
              <w:rPr>
                <w:rFonts w:ascii="Calibri" w:hAnsi="Calibri" w:eastAsia="宋体" w:cs="Calibri"/>
                <w:color w:val="auto"/>
                <w:kern w:val="0"/>
                <w:sz w:val="24"/>
              </w:rPr>
            </w:pPr>
            <w:r>
              <w:rPr>
                <w:rFonts w:ascii="Calibri" w:hAnsi="Calibri" w:cs="Calibri"/>
                <w:color w:val="auto"/>
                <w:sz w:val="24"/>
              </w:rPr>
              <w:t>Vs. PF-moderate mortality</w:t>
            </w:r>
          </w:p>
        </w:tc>
        <w:tc>
          <w:tcPr>
            <w:tcW w:w="1172" w:type="pct"/>
            <w:tcBorders>
              <w:tl2br w:val="nil"/>
              <w:tr2bl w:val="nil"/>
            </w:tcBorders>
            <w:vAlign w:val="center"/>
          </w:tcPr>
          <w:p w14:paraId="0C5BD67B">
            <w:pPr>
              <w:widowControl/>
              <w:spacing w:line="360" w:lineRule="auto"/>
              <w:jc w:val="center"/>
              <w:rPr>
                <w:rFonts w:ascii="Calibri" w:hAnsi="Calibri" w:eastAsia="宋体" w:cs="Calibri"/>
                <w:color w:val="auto"/>
                <w:kern w:val="0"/>
                <w:sz w:val="24"/>
              </w:rPr>
            </w:pPr>
            <w:r>
              <w:rPr>
                <w:rFonts w:ascii="Calibri" w:hAnsi="Calibri" w:cs="Calibri"/>
                <w:color w:val="auto"/>
                <w:sz w:val="24"/>
              </w:rPr>
              <w:t>Vs. 35.3% (p=0.775)</w:t>
            </w:r>
          </w:p>
        </w:tc>
        <w:tc>
          <w:tcPr>
            <w:tcW w:w="1110" w:type="pct"/>
            <w:tcBorders>
              <w:tl2br w:val="nil"/>
              <w:tr2bl w:val="nil"/>
            </w:tcBorders>
            <w:vAlign w:val="center"/>
          </w:tcPr>
          <w:p w14:paraId="3A3FE58E">
            <w:pPr>
              <w:widowControl/>
              <w:spacing w:line="360" w:lineRule="auto"/>
              <w:jc w:val="center"/>
              <w:rPr>
                <w:rFonts w:ascii="Calibri" w:hAnsi="Calibri" w:eastAsia="宋体" w:cs="Calibri"/>
                <w:color w:val="auto"/>
                <w:kern w:val="0"/>
                <w:sz w:val="24"/>
              </w:rPr>
            </w:pPr>
            <w:r>
              <w:rPr>
                <w:rFonts w:ascii="Calibri" w:hAnsi="Calibri" w:cs="Calibri"/>
                <w:color w:val="auto"/>
                <w:sz w:val="24"/>
              </w:rPr>
              <w:t>Vs. 37.0% (p=0.846)</w:t>
            </w:r>
          </w:p>
        </w:tc>
        <w:tc>
          <w:tcPr>
            <w:tcW w:w="1163" w:type="pct"/>
            <w:tcBorders>
              <w:tl2br w:val="nil"/>
              <w:tr2bl w:val="nil"/>
            </w:tcBorders>
            <w:vAlign w:val="center"/>
          </w:tcPr>
          <w:p w14:paraId="40564D41">
            <w:pPr>
              <w:widowControl/>
              <w:spacing w:line="360" w:lineRule="auto"/>
              <w:jc w:val="center"/>
              <w:rPr>
                <w:rFonts w:ascii="Calibri" w:hAnsi="Calibri" w:eastAsia="宋体" w:cs="Calibri"/>
                <w:color w:val="auto"/>
                <w:kern w:val="0"/>
                <w:sz w:val="24"/>
              </w:rPr>
            </w:pPr>
            <w:r>
              <w:rPr>
                <w:rFonts w:ascii="Calibri" w:hAnsi="Calibri" w:cs="Calibri"/>
                <w:color w:val="auto"/>
                <w:sz w:val="24"/>
              </w:rPr>
              <w:t>Vs. 34.4% (p=0.765)</w:t>
            </w:r>
          </w:p>
        </w:tc>
      </w:tr>
      <w:tr w14:paraId="07894421">
        <w:tc>
          <w:tcPr>
            <w:tcW w:w="1555" w:type="pct"/>
            <w:tcBorders>
              <w:tl2br w:val="nil"/>
              <w:tr2bl w:val="nil"/>
            </w:tcBorders>
            <w:vAlign w:val="center"/>
          </w:tcPr>
          <w:p w14:paraId="7BCE32FF">
            <w:pPr>
              <w:widowControl/>
              <w:spacing w:line="360" w:lineRule="auto"/>
              <w:ind w:firstLine="240" w:firstLineChars="100"/>
              <w:jc w:val="left"/>
              <w:rPr>
                <w:rFonts w:ascii="Calibri" w:hAnsi="Calibri" w:eastAsia="宋体" w:cs="Calibri"/>
                <w:color w:val="auto"/>
                <w:kern w:val="0"/>
                <w:sz w:val="24"/>
              </w:rPr>
            </w:pPr>
            <w:r>
              <w:rPr>
                <w:rFonts w:ascii="Calibri" w:hAnsi="Calibri" w:cs="Calibri"/>
                <w:color w:val="auto"/>
                <w:sz w:val="24"/>
              </w:rPr>
              <w:t>Vs. PF-severe mortality</w:t>
            </w:r>
          </w:p>
        </w:tc>
        <w:tc>
          <w:tcPr>
            <w:tcW w:w="1172" w:type="pct"/>
            <w:tcBorders>
              <w:tl2br w:val="nil"/>
              <w:tr2bl w:val="nil"/>
            </w:tcBorders>
            <w:vAlign w:val="center"/>
          </w:tcPr>
          <w:p w14:paraId="308761BD">
            <w:pPr>
              <w:widowControl/>
              <w:spacing w:line="360" w:lineRule="auto"/>
              <w:jc w:val="center"/>
              <w:rPr>
                <w:rFonts w:ascii="Calibri" w:hAnsi="Calibri" w:eastAsia="宋体" w:cs="Calibri"/>
                <w:color w:val="auto"/>
                <w:kern w:val="0"/>
                <w:sz w:val="24"/>
              </w:rPr>
            </w:pPr>
            <w:r>
              <w:rPr>
                <w:rFonts w:ascii="Calibri" w:hAnsi="Calibri" w:cs="Calibri"/>
                <w:color w:val="auto"/>
                <w:sz w:val="24"/>
              </w:rPr>
              <w:t>Vs. 49.8% (p=0.015*)</w:t>
            </w:r>
          </w:p>
        </w:tc>
        <w:tc>
          <w:tcPr>
            <w:tcW w:w="1110" w:type="pct"/>
            <w:tcBorders>
              <w:tl2br w:val="nil"/>
              <w:tr2bl w:val="nil"/>
            </w:tcBorders>
            <w:vAlign w:val="center"/>
          </w:tcPr>
          <w:p w14:paraId="54BD684D">
            <w:pPr>
              <w:widowControl/>
              <w:spacing w:line="360" w:lineRule="auto"/>
              <w:jc w:val="center"/>
              <w:rPr>
                <w:rFonts w:ascii="Calibri" w:hAnsi="Calibri" w:eastAsia="宋体" w:cs="Calibri"/>
                <w:color w:val="auto"/>
                <w:kern w:val="0"/>
                <w:sz w:val="24"/>
              </w:rPr>
            </w:pPr>
            <w:r>
              <w:rPr>
                <w:rFonts w:ascii="Calibri" w:hAnsi="Calibri" w:cs="Calibri"/>
                <w:color w:val="auto"/>
                <w:sz w:val="24"/>
              </w:rPr>
              <w:t>Vs. 47.1% (p=0.078)</w:t>
            </w:r>
          </w:p>
        </w:tc>
        <w:tc>
          <w:tcPr>
            <w:tcW w:w="1163" w:type="pct"/>
            <w:tcBorders>
              <w:tl2br w:val="nil"/>
              <w:tr2bl w:val="nil"/>
            </w:tcBorders>
            <w:vAlign w:val="center"/>
          </w:tcPr>
          <w:p w14:paraId="0157273F">
            <w:pPr>
              <w:widowControl/>
              <w:spacing w:line="360" w:lineRule="auto"/>
              <w:jc w:val="center"/>
              <w:rPr>
                <w:rFonts w:ascii="Calibri" w:hAnsi="Calibri" w:eastAsia="宋体" w:cs="Calibri"/>
                <w:color w:val="auto"/>
                <w:kern w:val="0"/>
                <w:sz w:val="24"/>
              </w:rPr>
            </w:pPr>
            <w:r>
              <w:rPr>
                <w:rFonts w:ascii="Calibri" w:hAnsi="Calibri" w:cs="Calibri"/>
                <w:color w:val="auto"/>
                <w:sz w:val="24"/>
              </w:rPr>
              <w:t>Vs. 47.2% (p=0.012*)</w:t>
            </w:r>
          </w:p>
        </w:tc>
      </w:tr>
    </w:tbl>
    <w:p w14:paraId="380747DC">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This table summarizes the prognostic performance of PF and SF classification systems across three SF-PF pairing strategies. Overall, the PF system consistently shows stronger risk stratification for 28-day mortality compared to SF, with statistical significance for PF (global log-rank p-values: 0.003–0.033) but not for SF (p-values: 0.131–0.162).</w:t>
      </w:r>
    </w:p>
    <w:p w14:paraId="0A5C85CD">
      <w:pPr>
        <w:pStyle w:val="3"/>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In the discordant subgroup analysis (patients classified as PF-moderate but SF-severe), mortality rates range from 32.6% to 38.0%. These rates are similar to PF-moderate reference mortality (34.4%–37.0%; all p&gt;0.05) but lower than PF-severe reference mortality (47.1%–49.8%; p=0.012–0.015), although in Sensitivity Analysis I there is only a marginal trend toward significance (p=0.078).</w:t>
      </w:r>
    </w:p>
    <w:p w14:paraId="1A85AE31">
      <w:pPr>
        <w:pStyle w:val="3"/>
        <w:spacing w:before="0" w:beforeAutospacing="0" w:after="0" w:afterAutospacing="0" w:line="360" w:lineRule="auto"/>
        <w:rPr>
          <w:rFonts w:ascii="Calibri" w:hAnsi="Calibri" w:cs="Calibri"/>
          <w:color w:val="auto"/>
          <w:sz w:val="24"/>
          <w:szCs w:val="24"/>
        </w:rPr>
      </w:pPr>
    </w:p>
    <w:p w14:paraId="1578416E">
      <w:pPr>
        <w:pStyle w:val="3"/>
        <w:spacing w:before="0" w:beforeAutospacing="0" w:after="0" w:afterAutospacing="0" w:line="360" w:lineRule="auto"/>
        <w:rPr>
          <w:rFonts w:ascii="Calibri" w:hAnsi="Calibri" w:cs="Calibri"/>
          <w:color w:val="auto"/>
          <w:sz w:val="24"/>
          <w:szCs w:val="24"/>
        </w:rPr>
        <w:sectPr>
          <w:pgSz w:w="11900" w:h="16840"/>
          <w:pgMar w:top="1440" w:right="1800" w:bottom="1440" w:left="1800" w:header="851" w:footer="992" w:gutter="0"/>
          <w:pgBorders>
            <w:top w:val="none" w:sz="0" w:space="0"/>
            <w:left w:val="none" w:sz="0" w:space="0"/>
            <w:bottom w:val="none" w:sz="0" w:space="0"/>
            <w:right w:val="none" w:sz="0" w:space="0"/>
          </w:pgBorders>
          <w:lnNumType w:countBy="1" w:restart="continuous"/>
          <w:cols w:space="425" w:num="1"/>
          <w:docGrid w:type="lines" w:linePitch="312" w:charSpace="0"/>
        </w:sectPr>
      </w:pPr>
    </w:p>
    <w:p w14:paraId="4172D235">
      <w:pPr>
        <w:pStyle w:val="3"/>
        <w:spacing w:before="0" w:beforeAutospacing="0" w:after="0" w:afterAutospacing="0" w:line="360" w:lineRule="auto"/>
        <w:rPr>
          <w:rFonts w:ascii="Calibri" w:hAnsi="Calibri" w:cs="Calibri"/>
          <w:color w:val="auto"/>
          <w:sz w:val="24"/>
          <w:szCs w:val="24"/>
        </w:rPr>
      </w:pPr>
      <w:r>
        <w:rPr>
          <w:rFonts w:ascii="Calibri" w:hAnsi="Calibri" w:cs="Calibri"/>
          <w:bCs w:val="0"/>
          <w:color w:val="auto"/>
          <w:sz w:val="24"/>
          <w:szCs w:val="24"/>
        </w:rPr>
        <w:t>5.</w:t>
      </w:r>
      <w:r>
        <w:rPr>
          <w:rFonts w:ascii="Calibri" w:hAnsi="Calibri" w:cs="Calibri"/>
          <w:color w:val="auto"/>
          <w:sz w:val="24"/>
          <w:szCs w:val="24"/>
        </w:rPr>
        <w:t xml:space="preserve"> Interpretation</w:t>
      </w:r>
    </w:p>
    <w:p w14:paraId="6CF70C66">
      <w:pPr>
        <w:pStyle w:val="8"/>
        <w:spacing w:before="0" w:beforeAutospacing="0" w:after="0" w:afterAutospacing="0" w:line="360" w:lineRule="auto"/>
        <w:rPr>
          <w:rFonts w:ascii="Calibri" w:hAnsi="Calibri" w:cs="Calibri"/>
          <w:color w:val="auto"/>
        </w:rPr>
      </w:pPr>
      <w:r>
        <w:rPr>
          <w:rFonts w:ascii="Calibri" w:hAnsi="Calibri" w:cs="Calibri"/>
          <w:bCs/>
          <w:color w:val="auto"/>
        </w:rPr>
        <w:t>Our concordance analysis revealed moderate agreement between SF- and PF-based classifications, with an observed agreement of 61.3% and a weighted kappa of 0.383 (95% CI 0.328-0.438), indicating fair-to-moderate reliability beyond chance (expected agreement 37.3%). Discordance was common (38.7%), predominantly in the direction of SF overestimating severity relative to PF (92.4% of discordant cases). This pattern, evident in the cross-tabulation (Table S3), suggests that SF thresholds may systematically shift patients toward higher severity categories, potentially introducing noise into risk assessment without enhancing prognostic clarity.</w:t>
      </w:r>
    </w:p>
    <w:p w14:paraId="5CA39A64">
      <w:pPr>
        <w:pStyle w:val="8"/>
        <w:spacing w:before="0" w:beforeAutospacing="0" w:after="0" w:afterAutospacing="0" w:line="360" w:lineRule="auto"/>
        <w:rPr>
          <w:rFonts w:ascii="Calibri" w:hAnsi="Calibri" w:cs="Calibri"/>
          <w:color w:val="auto"/>
        </w:rPr>
      </w:pPr>
      <w:r>
        <w:rPr>
          <w:rFonts w:ascii="Calibri" w:hAnsi="Calibri" w:cs="Calibri"/>
          <w:color w:val="auto"/>
        </w:rPr>
        <w:t>To specifically investigate the prognostic value of reclassification by the SF ratio, we analyzed the subgroup of patients classified as moderate ARDS by the PF ratio but as severe ARDS by the SF ratio. In our cohort, 139 patients met these criteria. The 28</w:t>
      </w:r>
      <w:r>
        <w:rPr>
          <w:rFonts w:ascii="Cambria Math" w:hAnsi="Cambria Math" w:cs="Cambria Math"/>
          <w:color w:val="auto"/>
        </w:rPr>
        <w:t>‑</w:t>
      </w:r>
      <w:r>
        <w:rPr>
          <w:rFonts w:ascii="Calibri" w:hAnsi="Calibri" w:cs="Calibri"/>
          <w:color w:val="auto"/>
        </w:rPr>
        <w:t>day mortality for this discordant group was 36.7% (51/139). We compared this mortality rate with that of the PF</w:t>
      </w:r>
      <w:r>
        <w:rPr>
          <w:rFonts w:ascii="Cambria Math" w:hAnsi="Cambria Math" w:cs="Cambria Math"/>
          <w:color w:val="auto"/>
        </w:rPr>
        <w:t>‑</w:t>
      </w:r>
      <w:r>
        <w:rPr>
          <w:rFonts w:ascii="Calibri" w:hAnsi="Calibri" w:cs="Calibri"/>
          <w:color w:val="auto"/>
        </w:rPr>
        <w:t>defined groups (Table S5). The mortality of the discordant group was not significantly different from patients with PF</w:t>
      </w:r>
      <w:r>
        <w:rPr>
          <w:rFonts w:ascii="Cambria Math" w:hAnsi="Cambria Math" w:cs="Cambria Math"/>
          <w:color w:val="auto"/>
        </w:rPr>
        <w:t>‑</w:t>
      </w:r>
      <w:r>
        <w:rPr>
          <w:rFonts w:ascii="Calibri" w:hAnsi="Calibri" w:cs="Calibri"/>
          <w:color w:val="auto"/>
        </w:rPr>
        <w:t>moderate ARDS (35.3%; p = 0.775) but was significantly lower than patients with PF</w:t>
      </w:r>
      <w:r>
        <w:rPr>
          <w:rFonts w:ascii="Cambria Math" w:hAnsi="Cambria Math" w:cs="Cambria Math"/>
          <w:color w:val="auto"/>
        </w:rPr>
        <w:t>‑</w:t>
      </w:r>
      <w:r>
        <w:rPr>
          <w:rFonts w:ascii="Calibri" w:hAnsi="Calibri" w:cs="Calibri"/>
          <w:color w:val="auto"/>
        </w:rPr>
        <w:t>severe ARDS (49.8%; p = 0.015).</w:t>
      </w:r>
    </w:p>
    <w:p w14:paraId="0B66D98E">
      <w:pPr>
        <w:pStyle w:val="8"/>
        <w:spacing w:before="0" w:beforeAutospacing="0" w:after="0" w:afterAutospacing="0" w:line="360" w:lineRule="auto"/>
        <w:rPr>
          <w:rFonts w:ascii="Calibri" w:hAnsi="Calibri" w:cs="Calibri"/>
          <w:color w:val="auto"/>
        </w:rPr>
      </w:pPr>
      <w:r>
        <w:rPr>
          <w:rFonts w:ascii="Calibri" w:hAnsi="Calibri" w:cs="Calibri"/>
          <w:color w:val="auto"/>
        </w:rPr>
        <w:t>Direct comparison of 28-day mortality rates across severity categories highlighted PF's stronger prognostic gradient (Table S4). For PF, mortality increased from 36.0% (No ARDS) to 49.8% (Severe ARDS), reflecting coherent risk stratification. In contrast, SF showed a flatter profile, with severe ARDS mortality (44.4%) lower than PF's equivalent and closer to moderate categories, indicating diluted discriminatory power.</w:t>
      </w:r>
    </w:p>
    <w:p w14:paraId="4A346C45">
      <w:pPr>
        <w:spacing w:line="360" w:lineRule="auto"/>
        <w:rPr>
          <w:rFonts w:ascii="Calibri" w:hAnsi="Calibri" w:cs="Calibri"/>
          <w:bCs/>
          <w:color w:val="auto"/>
          <w:sz w:val="24"/>
        </w:rPr>
      </w:pPr>
      <w:r>
        <w:rPr>
          <w:rFonts w:ascii="Calibri" w:hAnsi="Calibri" w:cs="Calibri"/>
          <w:bCs/>
          <w:color w:val="auto"/>
          <w:sz w:val="24"/>
        </w:rPr>
        <w:t>Our primary prognostic analysis directly compared the ability of PF</w:t>
      </w:r>
      <w:r>
        <w:rPr>
          <w:rFonts w:ascii="Cambria Math" w:hAnsi="Cambria Math" w:cs="Cambria Math"/>
          <w:bCs/>
          <w:color w:val="auto"/>
          <w:sz w:val="24"/>
        </w:rPr>
        <w:t>‑</w:t>
      </w:r>
      <w:r>
        <w:rPr>
          <w:rFonts w:ascii="Calibri" w:hAnsi="Calibri" w:cs="Calibri"/>
          <w:bCs/>
          <w:color w:val="auto"/>
          <w:sz w:val="24"/>
        </w:rPr>
        <w:t xml:space="preserve"> and SF</w:t>
      </w:r>
      <w:r>
        <w:rPr>
          <w:rFonts w:ascii="Cambria Math" w:hAnsi="Cambria Math" w:cs="Cambria Math"/>
          <w:bCs/>
          <w:color w:val="auto"/>
          <w:sz w:val="24"/>
        </w:rPr>
        <w:t>‑</w:t>
      </w:r>
      <w:r>
        <w:rPr>
          <w:rFonts w:ascii="Calibri" w:hAnsi="Calibri" w:cs="Calibri"/>
          <w:bCs/>
          <w:color w:val="auto"/>
          <w:sz w:val="24"/>
        </w:rPr>
        <w:t>based classifications to stratify patients according to 28</w:t>
      </w:r>
      <w:r>
        <w:rPr>
          <w:rFonts w:ascii="Cambria Math" w:hAnsi="Cambria Math" w:cs="Cambria Math"/>
          <w:bCs/>
          <w:color w:val="auto"/>
          <w:sz w:val="24"/>
        </w:rPr>
        <w:t>‑</w:t>
      </w:r>
      <w:r>
        <w:rPr>
          <w:rFonts w:ascii="Calibri" w:hAnsi="Calibri" w:cs="Calibri"/>
          <w:bCs/>
          <w:color w:val="auto"/>
          <w:sz w:val="24"/>
        </w:rPr>
        <w:t>day mortality. Kaplan–Meier analysis revealed that the PF classification system demonstrated a statistically significant difference in survival among its severity categories (log</w:t>
      </w:r>
      <w:r>
        <w:rPr>
          <w:rFonts w:ascii="Cambria Math" w:hAnsi="Cambria Math" w:cs="Cambria Math"/>
          <w:bCs/>
          <w:color w:val="auto"/>
          <w:sz w:val="24"/>
        </w:rPr>
        <w:t>‑</w:t>
      </w:r>
      <w:r>
        <w:rPr>
          <w:rFonts w:ascii="Calibri" w:hAnsi="Calibri" w:cs="Calibri"/>
          <w:bCs/>
          <w:color w:val="auto"/>
          <w:sz w:val="24"/>
        </w:rPr>
        <w:t>rank p = 0.003). In contrast, the SF classification failed to show a significant difference among its groups (log</w:t>
      </w:r>
      <w:r>
        <w:rPr>
          <w:rFonts w:ascii="Cambria Math" w:hAnsi="Cambria Math" w:cs="Cambria Math"/>
          <w:bCs/>
          <w:color w:val="auto"/>
          <w:sz w:val="24"/>
        </w:rPr>
        <w:t>‑</w:t>
      </w:r>
      <w:r>
        <w:rPr>
          <w:rFonts w:ascii="Calibri" w:hAnsi="Calibri" w:cs="Calibri"/>
          <w:bCs/>
          <w:color w:val="auto"/>
          <w:sz w:val="24"/>
        </w:rPr>
        <w:t>rank p = 0.131; Figure 1). To quantify and confirm these findings, we calculated Harrell’s C</w:t>
      </w:r>
      <w:r>
        <w:rPr>
          <w:rFonts w:ascii="Cambria Math" w:hAnsi="Cambria Math" w:cs="Cambria Math"/>
          <w:bCs/>
          <w:color w:val="auto"/>
          <w:sz w:val="24"/>
        </w:rPr>
        <w:t>‑</w:t>
      </w:r>
      <w:r>
        <w:rPr>
          <w:rFonts w:ascii="Calibri" w:hAnsi="Calibri" w:cs="Calibri"/>
          <w:bCs/>
          <w:color w:val="auto"/>
          <w:sz w:val="24"/>
        </w:rPr>
        <w:t>index from single</w:t>
      </w:r>
      <w:r>
        <w:rPr>
          <w:rFonts w:ascii="Cambria Math" w:hAnsi="Cambria Math" w:cs="Cambria Math"/>
          <w:bCs/>
          <w:color w:val="auto"/>
          <w:sz w:val="24"/>
        </w:rPr>
        <w:t>‑</w:t>
      </w:r>
      <w:r>
        <w:rPr>
          <w:rFonts w:ascii="Calibri" w:hAnsi="Calibri" w:cs="Calibri"/>
          <w:bCs/>
          <w:color w:val="auto"/>
          <w:sz w:val="24"/>
        </w:rPr>
        <w:t>variable models. The PF</w:t>
      </w:r>
      <w:r>
        <w:rPr>
          <w:rFonts w:ascii="Cambria Math" w:hAnsi="Cambria Math" w:cs="Cambria Math"/>
          <w:bCs/>
          <w:color w:val="auto"/>
          <w:sz w:val="24"/>
        </w:rPr>
        <w:t>‑</w:t>
      </w:r>
      <w:r>
        <w:rPr>
          <w:rFonts w:ascii="Calibri" w:hAnsi="Calibri" w:cs="Calibri"/>
          <w:bCs/>
          <w:color w:val="auto"/>
          <w:sz w:val="24"/>
        </w:rPr>
        <w:t>based model showed modest but significant discriminative power (C</w:t>
      </w:r>
      <w:r>
        <w:rPr>
          <w:rFonts w:ascii="Cambria Math" w:hAnsi="Cambria Math" w:cs="Cambria Math"/>
          <w:bCs/>
          <w:color w:val="auto"/>
          <w:sz w:val="24"/>
        </w:rPr>
        <w:t>‑</w:t>
      </w:r>
      <w:r>
        <w:rPr>
          <w:rFonts w:ascii="Calibri" w:hAnsi="Calibri" w:cs="Calibri"/>
          <w:bCs/>
          <w:color w:val="auto"/>
          <w:sz w:val="24"/>
        </w:rPr>
        <w:t>index = 0.568; 95% CI, 0.538–0.604), whereas the SF</w:t>
      </w:r>
      <w:r>
        <w:rPr>
          <w:rFonts w:ascii="Cambria Math" w:hAnsi="Cambria Math" w:cs="Cambria Math"/>
          <w:bCs/>
          <w:color w:val="auto"/>
          <w:sz w:val="24"/>
        </w:rPr>
        <w:t>‑</w:t>
      </w:r>
      <w:r>
        <w:rPr>
          <w:rFonts w:ascii="Calibri" w:hAnsi="Calibri" w:cs="Calibri"/>
          <w:bCs/>
          <w:color w:val="auto"/>
          <w:sz w:val="24"/>
        </w:rPr>
        <w:t>based model showed limited discrimination (C</w:t>
      </w:r>
      <w:r>
        <w:rPr>
          <w:rFonts w:ascii="Cambria Math" w:hAnsi="Cambria Math" w:cs="Cambria Math"/>
          <w:bCs/>
          <w:color w:val="auto"/>
          <w:sz w:val="24"/>
        </w:rPr>
        <w:t>‑</w:t>
      </w:r>
      <w:r>
        <w:rPr>
          <w:rFonts w:ascii="Calibri" w:hAnsi="Calibri" w:cs="Calibri"/>
          <w:bCs/>
          <w:color w:val="auto"/>
          <w:sz w:val="24"/>
        </w:rPr>
        <w:t>index = 0.535; 95% CI, 0.516–0.571). Together, these results demonstrate that the PF ratio is a superior and more reliable tool for risk stratification than the SF ratio in our cohort.</w:t>
      </w:r>
    </w:p>
    <w:p w14:paraId="582A6B7B">
      <w:pPr>
        <w:spacing w:line="360" w:lineRule="auto"/>
        <w:rPr>
          <w:rFonts w:ascii="Calibri" w:hAnsi="Calibri" w:cs="Calibri"/>
          <w:color w:val="auto"/>
          <w:sz w:val="24"/>
        </w:rPr>
      </w:pPr>
      <w:r>
        <w:rPr>
          <w:rFonts w:ascii="Calibri" w:hAnsi="Calibri" w:cs="Calibri"/>
          <w:color w:val="auto"/>
          <w:sz w:val="24"/>
        </w:rPr>
        <w:t>To address potential racial variability in SF [3], we examined SF and PF category distributions across Black (n = 74), White (n = 251), and Other (n = 257) groups. No significant differences were observed across racial groups. Although this contrasts with some reports of SpO</w:t>
      </w:r>
      <w:r>
        <w:rPr>
          <w:rFonts w:ascii="Calibri" w:hAnsi="Calibri" w:cs="Calibri"/>
          <w:color w:val="auto"/>
          <w:sz w:val="24"/>
          <w:vertAlign w:val="subscript"/>
        </w:rPr>
        <w:t>2</w:t>
      </w:r>
      <w:r>
        <w:rPr>
          <w:rFonts w:ascii="Calibri" w:hAnsi="Calibri" w:cs="Calibri"/>
          <w:color w:val="auto"/>
          <w:sz w:val="24"/>
        </w:rPr>
        <w:t xml:space="preserve"> bias in individuals with darker skin, the absence of a detectable signal here may reflect limited power in the Black subgroup or mitigation by our paired SF–PF design; replication in larger, more diverse cohorts is warranted.</w:t>
      </w:r>
    </w:p>
    <w:p w14:paraId="6E6A3468">
      <w:pPr>
        <w:pStyle w:val="2"/>
        <w:spacing w:before="0" w:beforeAutospacing="0" w:after="0" w:afterAutospacing="0" w:line="360" w:lineRule="auto"/>
        <w:rPr>
          <w:rFonts w:ascii="Calibri" w:hAnsi="Calibri" w:cs="Calibri"/>
          <w:b w:val="0"/>
          <w:color w:val="auto"/>
          <w:sz w:val="24"/>
          <w:szCs w:val="24"/>
        </w:rPr>
      </w:pPr>
      <w:r>
        <w:rPr>
          <w:rFonts w:ascii="Calibri" w:hAnsi="Calibri" w:cs="Calibri" w:eastAsiaTheme="minorEastAsia"/>
          <w:b w:val="0"/>
          <w:bCs w:val="0"/>
          <w:color w:val="auto"/>
          <w:kern w:val="2"/>
          <w:sz w:val="24"/>
          <w:szCs w:val="24"/>
        </w:rPr>
        <w:t>Sensitivity analyses corroborated these findings (Table S9). Using the lowest 48</w:t>
      </w:r>
      <w:r>
        <w:rPr>
          <w:rFonts w:ascii="Cambria Math" w:hAnsi="Cambria Math" w:cs="Cambria Math" w:eastAsiaTheme="minorEastAsia"/>
          <w:b w:val="0"/>
          <w:bCs w:val="0"/>
          <w:color w:val="auto"/>
          <w:kern w:val="2"/>
          <w:sz w:val="24"/>
          <w:szCs w:val="24"/>
        </w:rPr>
        <w:t>‑</w:t>
      </w:r>
      <w:r>
        <w:rPr>
          <w:rFonts w:ascii="Calibri" w:hAnsi="Calibri" w:cs="Calibri" w:eastAsiaTheme="minorEastAsia"/>
          <w:b w:val="0"/>
          <w:bCs w:val="0"/>
          <w:color w:val="auto"/>
          <w:kern w:val="2"/>
          <w:sz w:val="24"/>
          <w:szCs w:val="24"/>
        </w:rPr>
        <w:t>hour SF pairing strategy, PF</w:t>
      </w:r>
      <w:r>
        <w:rPr>
          <w:rFonts w:ascii="Cambria Math" w:hAnsi="Cambria Math" w:cs="Cambria Math" w:eastAsiaTheme="minorEastAsia"/>
          <w:b w:val="0"/>
          <w:bCs w:val="0"/>
          <w:color w:val="auto"/>
          <w:kern w:val="2"/>
          <w:sz w:val="24"/>
          <w:szCs w:val="24"/>
        </w:rPr>
        <w:t>‑</w:t>
      </w:r>
      <w:r>
        <w:rPr>
          <w:rFonts w:ascii="Calibri" w:hAnsi="Calibri" w:cs="Calibri" w:eastAsiaTheme="minorEastAsia"/>
          <w:b w:val="0"/>
          <w:bCs w:val="0"/>
          <w:color w:val="auto"/>
          <w:kern w:val="2"/>
          <w:sz w:val="24"/>
          <w:szCs w:val="24"/>
        </w:rPr>
        <w:t>based categories discriminated 28</w:t>
      </w:r>
      <w:r>
        <w:rPr>
          <w:rFonts w:ascii="Cambria Math" w:hAnsi="Cambria Math" w:cs="Cambria Math" w:eastAsiaTheme="minorEastAsia"/>
          <w:b w:val="0"/>
          <w:bCs w:val="0"/>
          <w:color w:val="auto"/>
          <w:kern w:val="2"/>
          <w:sz w:val="24"/>
          <w:szCs w:val="24"/>
        </w:rPr>
        <w:t>‑</w:t>
      </w:r>
      <w:r>
        <w:rPr>
          <w:rFonts w:ascii="Calibri" w:hAnsi="Calibri" w:cs="Calibri" w:eastAsiaTheme="minorEastAsia"/>
          <w:b w:val="0"/>
          <w:bCs w:val="0"/>
          <w:color w:val="auto"/>
          <w:kern w:val="2"/>
          <w:sz w:val="24"/>
          <w:szCs w:val="24"/>
        </w:rPr>
        <w:t>day mortality (C</w:t>
      </w:r>
      <w:r>
        <w:rPr>
          <w:rFonts w:ascii="Cambria Math" w:hAnsi="Cambria Math" w:cs="Cambria Math" w:eastAsiaTheme="minorEastAsia"/>
          <w:b w:val="0"/>
          <w:bCs w:val="0"/>
          <w:color w:val="auto"/>
          <w:kern w:val="2"/>
          <w:sz w:val="24"/>
          <w:szCs w:val="24"/>
        </w:rPr>
        <w:t>‑</w:t>
      </w:r>
      <w:r>
        <w:rPr>
          <w:rFonts w:ascii="Calibri" w:hAnsi="Calibri" w:cs="Calibri" w:eastAsiaTheme="minorEastAsia"/>
          <w:b w:val="0"/>
          <w:bCs w:val="0"/>
          <w:color w:val="auto"/>
          <w:kern w:val="2"/>
          <w:sz w:val="24"/>
          <w:szCs w:val="24"/>
        </w:rPr>
        <w:t>index = 0.556), whereas SF did not (C</w:t>
      </w:r>
      <w:r>
        <w:rPr>
          <w:rFonts w:ascii="Cambria Math" w:hAnsi="Cambria Math" w:cs="Cambria Math" w:eastAsiaTheme="minorEastAsia"/>
          <w:b w:val="0"/>
          <w:bCs w:val="0"/>
          <w:color w:val="auto"/>
          <w:kern w:val="2"/>
          <w:sz w:val="24"/>
          <w:szCs w:val="24"/>
        </w:rPr>
        <w:t>‑</w:t>
      </w:r>
      <w:r>
        <w:rPr>
          <w:rFonts w:ascii="Calibri" w:hAnsi="Calibri" w:cs="Calibri" w:eastAsiaTheme="minorEastAsia"/>
          <w:b w:val="0"/>
          <w:bCs w:val="0"/>
          <w:color w:val="auto"/>
          <w:kern w:val="2"/>
          <w:sz w:val="24"/>
          <w:szCs w:val="24"/>
        </w:rPr>
        <w:t>index = 0.533). Using the lowest 48</w:t>
      </w:r>
      <w:r>
        <w:rPr>
          <w:rFonts w:ascii="Cambria Math" w:hAnsi="Cambria Math" w:cs="Cambria Math" w:eastAsiaTheme="minorEastAsia"/>
          <w:b w:val="0"/>
          <w:bCs w:val="0"/>
          <w:color w:val="auto"/>
          <w:kern w:val="2"/>
          <w:sz w:val="24"/>
          <w:szCs w:val="24"/>
        </w:rPr>
        <w:t>‑</w:t>
      </w:r>
      <w:r>
        <w:rPr>
          <w:rFonts w:ascii="Calibri" w:hAnsi="Calibri" w:cs="Calibri" w:eastAsiaTheme="minorEastAsia"/>
          <w:b w:val="0"/>
          <w:bCs w:val="0"/>
          <w:color w:val="auto"/>
          <w:kern w:val="2"/>
          <w:sz w:val="24"/>
          <w:szCs w:val="24"/>
        </w:rPr>
        <w:t>hour PF pairing strategy, PF again outperformed SF (C</w:t>
      </w:r>
      <w:r>
        <w:rPr>
          <w:rFonts w:ascii="Cambria Math" w:hAnsi="Cambria Math" w:cs="Cambria Math" w:eastAsiaTheme="minorEastAsia"/>
          <w:b w:val="0"/>
          <w:bCs w:val="0"/>
          <w:color w:val="auto"/>
          <w:kern w:val="2"/>
          <w:sz w:val="24"/>
          <w:szCs w:val="24"/>
        </w:rPr>
        <w:t>‑</w:t>
      </w:r>
      <w:r>
        <w:rPr>
          <w:rFonts w:ascii="Calibri" w:hAnsi="Calibri" w:cs="Calibri" w:eastAsiaTheme="minorEastAsia"/>
          <w:b w:val="0"/>
          <w:bCs w:val="0"/>
          <w:color w:val="auto"/>
          <w:kern w:val="2"/>
          <w:sz w:val="24"/>
          <w:szCs w:val="24"/>
        </w:rPr>
        <w:t>index = 0.565 vs 0.536). Across strategies, the subgroup reclassified from PF</w:t>
      </w:r>
      <w:r>
        <w:rPr>
          <w:rFonts w:ascii="Cambria Math" w:hAnsi="Cambria Math" w:cs="Cambria Math" w:eastAsiaTheme="minorEastAsia"/>
          <w:b w:val="0"/>
          <w:bCs w:val="0"/>
          <w:color w:val="auto"/>
          <w:kern w:val="2"/>
          <w:sz w:val="24"/>
          <w:szCs w:val="24"/>
        </w:rPr>
        <w:t>‑</w:t>
      </w:r>
      <w:r>
        <w:rPr>
          <w:rFonts w:ascii="Calibri" w:hAnsi="Calibri" w:cs="Calibri" w:eastAsiaTheme="minorEastAsia"/>
          <w:b w:val="0"/>
          <w:bCs w:val="0"/>
          <w:color w:val="auto"/>
          <w:kern w:val="2"/>
          <w:sz w:val="24"/>
          <w:szCs w:val="24"/>
        </w:rPr>
        <w:t>moderate to SF</w:t>
      </w:r>
      <w:r>
        <w:rPr>
          <w:rFonts w:ascii="Cambria Math" w:hAnsi="Cambria Math" w:cs="Cambria Math" w:eastAsiaTheme="minorEastAsia"/>
          <w:b w:val="0"/>
          <w:bCs w:val="0"/>
          <w:color w:val="auto"/>
          <w:kern w:val="2"/>
          <w:sz w:val="24"/>
          <w:szCs w:val="24"/>
        </w:rPr>
        <w:t>‑</w:t>
      </w:r>
      <w:r>
        <w:rPr>
          <w:rFonts w:ascii="Calibri" w:hAnsi="Calibri" w:cs="Calibri" w:eastAsiaTheme="minorEastAsia"/>
          <w:b w:val="0"/>
          <w:bCs w:val="0"/>
          <w:color w:val="auto"/>
          <w:kern w:val="2"/>
          <w:sz w:val="24"/>
          <w:szCs w:val="24"/>
        </w:rPr>
        <w:t>severe had mortality consistently similar to PF</w:t>
      </w:r>
      <w:r>
        <w:rPr>
          <w:rFonts w:ascii="Cambria Math" w:hAnsi="Cambria Math" w:cs="Cambria Math" w:eastAsiaTheme="minorEastAsia"/>
          <w:b w:val="0"/>
          <w:bCs w:val="0"/>
          <w:color w:val="auto"/>
          <w:kern w:val="2"/>
          <w:sz w:val="24"/>
          <w:szCs w:val="24"/>
        </w:rPr>
        <w:t>‑</w:t>
      </w:r>
      <w:r>
        <w:rPr>
          <w:rFonts w:ascii="Calibri" w:hAnsi="Calibri" w:cs="Calibri" w:eastAsiaTheme="minorEastAsia"/>
          <w:b w:val="0"/>
          <w:bCs w:val="0"/>
          <w:color w:val="auto"/>
          <w:kern w:val="2"/>
          <w:sz w:val="24"/>
          <w:szCs w:val="24"/>
        </w:rPr>
        <w:t>moderate and lower than PF</w:t>
      </w:r>
      <w:r>
        <w:rPr>
          <w:rFonts w:ascii="Cambria Math" w:hAnsi="Cambria Math" w:cs="Cambria Math" w:eastAsiaTheme="minorEastAsia"/>
          <w:b w:val="0"/>
          <w:bCs w:val="0"/>
          <w:color w:val="auto"/>
          <w:kern w:val="2"/>
          <w:sz w:val="24"/>
          <w:szCs w:val="24"/>
        </w:rPr>
        <w:t>‑</w:t>
      </w:r>
      <w:r>
        <w:rPr>
          <w:rFonts w:ascii="Calibri" w:hAnsi="Calibri" w:cs="Calibri" w:eastAsiaTheme="minorEastAsia"/>
          <w:b w:val="0"/>
          <w:bCs w:val="0"/>
          <w:color w:val="auto"/>
          <w:kern w:val="2"/>
          <w:sz w:val="24"/>
          <w:szCs w:val="24"/>
        </w:rPr>
        <w:t>severe.</w:t>
      </w:r>
    </w:p>
    <w:p w14:paraId="7B697B1B">
      <w:pPr>
        <w:spacing w:line="360" w:lineRule="auto"/>
        <w:rPr>
          <w:rFonts w:ascii="Calibri" w:hAnsi="Calibri" w:eastAsia="宋体" w:cs="Calibri"/>
          <w:bCs/>
          <w:color w:val="auto"/>
          <w:kern w:val="36"/>
          <w:sz w:val="24"/>
        </w:rPr>
      </w:pPr>
      <w:r>
        <w:rPr>
          <w:rFonts w:ascii="Calibri" w:hAnsi="Calibri" w:eastAsia="宋体" w:cs="Calibri"/>
          <w:bCs/>
          <w:color w:val="auto"/>
          <w:kern w:val="36"/>
          <w:sz w:val="24"/>
        </w:rPr>
        <w:t>The clinical utility of any ARDS classification rests on its capacity to order patients by risk in a way that is stable and decision</w:t>
      </w:r>
      <w:r>
        <w:rPr>
          <w:rFonts w:ascii="Cambria Math" w:hAnsi="Cambria Math" w:eastAsia="宋体" w:cs="Cambria Math"/>
          <w:bCs/>
          <w:color w:val="auto"/>
          <w:kern w:val="36"/>
          <w:sz w:val="24"/>
        </w:rPr>
        <w:t>‑</w:t>
      </w:r>
      <w:r>
        <w:rPr>
          <w:rFonts w:ascii="Calibri" w:hAnsi="Calibri" w:eastAsia="宋体" w:cs="Calibri"/>
          <w:bCs/>
          <w:color w:val="auto"/>
          <w:kern w:val="36"/>
          <w:sz w:val="24"/>
        </w:rPr>
        <w:t>relevant. In our analysis, PF</w:t>
      </w:r>
      <w:r>
        <w:rPr>
          <w:rFonts w:ascii="Cambria Math" w:hAnsi="Cambria Math" w:eastAsia="宋体" w:cs="Cambria Math"/>
          <w:bCs/>
          <w:color w:val="auto"/>
          <w:kern w:val="36"/>
          <w:sz w:val="24"/>
        </w:rPr>
        <w:t>‑</w:t>
      </w:r>
      <w:r>
        <w:rPr>
          <w:rFonts w:ascii="Calibri" w:hAnsi="Calibri" w:eastAsia="宋体" w:cs="Calibri"/>
          <w:bCs/>
          <w:color w:val="auto"/>
          <w:kern w:val="36"/>
          <w:sz w:val="24"/>
        </w:rPr>
        <w:t>based strata cohered with clinically meaningful risk gradients, whereas SF</w:t>
      </w:r>
      <w:r>
        <w:rPr>
          <w:rFonts w:ascii="Cambria Math" w:hAnsi="Cambria Math" w:eastAsia="宋体" w:cs="Cambria Math"/>
          <w:bCs/>
          <w:color w:val="auto"/>
          <w:kern w:val="36"/>
          <w:sz w:val="24"/>
        </w:rPr>
        <w:t>‑</w:t>
      </w:r>
      <w:r>
        <w:rPr>
          <w:rFonts w:ascii="Calibri" w:hAnsi="Calibri" w:eastAsia="宋体" w:cs="Calibri"/>
          <w:bCs/>
          <w:color w:val="auto"/>
          <w:kern w:val="36"/>
          <w:sz w:val="24"/>
        </w:rPr>
        <w:t>based categorization more often produced higher severity labels that did not translate into clearer prognostic separation. This pattern is more consistent with prognostic unreliability than with enhanced sensitivity for the sickest patients, reframing overestimation as noise rather than signal. SF remains attractive for its feasibility and noninvasiveness, but when ABG</w:t>
      </w:r>
      <w:r>
        <w:rPr>
          <w:rFonts w:ascii="Cambria Math" w:hAnsi="Cambria Math" w:eastAsia="宋体" w:cs="Cambria Math"/>
          <w:bCs/>
          <w:color w:val="auto"/>
          <w:kern w:val="36"/>
          <w:sz w:val="24"/>
        </w:rPr>
        <w:t>‑</w:t>
      </w:r>
      <w:r>
        <w:rPr>
          <w:rFonts w:ascii="Calibri" w:hAnsi="Calibri" w:eastAsia="宋体" w:cs="Calibri"/>
          <w:bCs/>
          <w:color w:val="auto"/>
          <w:kern w:val="36"/>
          <w:sz w:val="24"/>
        </w:rPr>
        <w:t>based PF is available, applying fixed SF thresholds for risk stratification carries a tangible risk of misclassification.</w:t>
      </w:r>
    </w:p>
    <w:p w14:paraId="18A4A86E">
      <w:pPr>
        <w:spacing w:line="360" w:lineRule="auto"/>
        <w:rPr>
          <w:rFonts w:ascii="Calibri" w:hAnsi="Calibri" w:cs="Calibri"/>
          <w:color w:val="auto"/>
          <w:sz w:val="24"/>
        </w:rPr>
      </w:pPr>
      <w:r>
        <w:rPr>
          <w:rFonts w:ascii="Calibri" w:hAnsi="Calibri" w:eastAsia="宋体" w:cs="Calibri"/>
          <w:bCs/>
          <w:color w:val="auto"/>
          <w:kern w:val="36"/>
          <w:sz w:val="24"/>
        </w:rPr>
        <w:t>These considerations have practical implications. For clinical care and trial design alike, risk enrichment and treatment selection should rely on measures with demonstrated prognostic discrimination; at present, that standard is better met by PF. Because SF thresholds have not undergone prospective, outcome</w:t>
      </w:r>
      <w:r>
        <w:rPr>
          <w:rFonts w:ascii="Cambria Math" w:hAnsi="Cambria Math" w:eastAsia="宋体" w:cs="Cambria Math"/>
          <w:bCs/>
          <w:color w:val="auto"/>
          <w:kern w:val="36"/>
          <w:sz w:val="24"/>
        </w:rPr>
        <w:t>‑</w:t>
      </w:r>
      <w:r>
        <w:rPr>
          <w:rFonts w:ascii="Calibri" w:hAnsi="Calibri" w:eastAsia="宋体" w:cs="Calibri"/>
          <w:bCs/>
          <w:color w:val="auto"/>
          <w:kern w:val="36"/>
          <w:sz w:val="24"/>
        </w:rPr>
        <w:t>anchored validation to guide interventions, they should be applied cautiously and not used to time therapies until such validation exists. Prospective studies with protocolized timing, explicit handling of competing risks, and prespecified decision thresholds are needed to determine whether SF can be calibrated to provide reliable prognostic stratification comparable to PF.</w:t>
      </w:r>
    </w:p>
    <w:p w14:paraId="7FDE53E8">
      <w:pPr>
        <w:pStyle w:val="2"/>
        <w:spacing w:before="0" w:beforeAutospacing="0" w:after="0" w:afterAutospacing="0" w:line="360" w:lineRule="auto"/>
        <w:rPr>
          <w:rFonts w:ascii="Calibri" w:hAnsi="Calibri" w:cs="Calibri"/>
          <w:b w:val="0"/>
          <w:color w:val="auto"/>
          <w:sz w:val="24"/>
          <w:szCs w:val="24"/>
        </w:rPr>
      </w:pPr>
      <w:r>
        <w:rPr>
          <w:rFonts w:ascii="Calibri" w:hAnsi="Calibri" w:cs="Calibri" w:eastAsiaTheme="minorEastAsia"/>
          <w:b w:val="0"/>
          <w:color w:val="auto"/>
          <w:kern w:val="2"/>
          <w:sz w:val="24"/>
          <w:szCs w:val="24"/>
        </w:rPr>
        <w:t>In interpreting outcomes, we emphasize that ARDS is infrequently the proximate cause of death. Accordingly, 28</w:t>
      </w:r>
      <w:r>
        <w:rPr>
          <w:rFonts w:ascii="Cambria Math" w:hAnsi="Cambria Math" w:cs="Cambria Math" w:eastAsiaTheme="minorEastAsia"/>
          <w:b w:val="0"/>
          <w:color w:val="auto"/>
          <w:kern w:val="2"/>
          <w:sz w:val="24"/>
          <w:szCs w:val="24"/>
        </w:rPr>
        <w:t>‑</w:t>
      </w:r>
      <w:r>
        <w:rPr>
          <w:rFonts w:ascii="Calibri" w:hAnsi="Calibri" w:cs="Calibri" w:eastAsiaTheme="minorEastAsia"/>
          <w:b w:val="0"/>
          <w:color w:val="auto"/>
          <w:kern w:val="2"/>
          <w:sz w:val="24"/>
          <w:szCs w:val="24"/>
        </w:rPr>
        <w:t>day all</w:t>
      </w:r>
      <w:r>
        <w:rPr>
          <w:rFonts w:ascii="Cambria Math" w:hAnsi="Cambria Math" w:cs="Cambria Math" w:eastAsiaTheme="minorEastAsia"/>
          <w:b w:val="0"/>
          <w:color w:val="auto"/>
          <w:kern w:val="2"/>
          <w:sz w:val="24"/>
          <w:szCs w:val="24"/>
        </w:rPr>
        <w:t>‑</w:t>
      </w:r>
      <w:r>
        <w:rPr>
          <w:rFonts w:ascii="Calibri" w:hAnsi="Calibri" w:cs="Calibri" w:eastAsiaTheme="minorEastAsia"/>
          <w:b w:val="0"/>
          <w:color w:val="auto"/>
          <w:kern w:val="2"/>
          <w:sz w:val="24"/>
          <w:szCs w:val="24"/>
        </w:rPr>
        <w:t>cause mortality was retained as a patient</w:t>
      </w:r>
      <w:r>
        <w:rPr>
          <w:rFonts w:ascii="Cambria Math" w:hAnsi="Cambria Math" w:cs="Cambria Math" w:eastAsiaTheme="minorEastAsia"/>
          <w:b w:val="0"/>
          <w:color w:val="auto"/>
          <w:kern w:val="2"/>
          <w:sz w:val="24"/>
          <w:szCs w:val="24"/>
        </w:rPr>
        <w:t>‑</w:t>
      </w:r>
      <w:r>
        <w:rPr>
          <w:rFonts w:ascii="Calibri" w:hAnsi="Calibri" w:cs="Calibri" w:eastAsiaTheme="minorEastAsia"/>
          <w:b w:val="0"/>
          <w:color w:val="auto"/>
          <w:kern w:val="2"/>
          <w:sz w:val="24"/>
          <w:szCs w:val="24"/>
        </w:rPr>
        <w:t>centered endpoint with complete ascertainment and strong cross</w:t>
      </w:r>
      <w:r>
        <w:rPr>
          <w:rFonts w:ascii="Cambria Math" w:hAnsi="Cambria Math" w:cs="Cambria Math" w:eastAsiaTheme="minorEastAsia"/>
          <w:b w:val="0"/>
          <w:color w:val="auto"/>
          <w:kern w:val="2"/>
          <w:sz w:val="24"/>
          <w:szCs w:val="24"/>
        </w:rPr>
        <w:t>‑</w:t>
      </w:r>
      <w:r>
        <w:rPr>
          <w:rFonts w:ascii="Calibri" w:hAnsi="Calibri" w:cs="Calibri" w:eastAsiaTheme="minorEastAsia"/>
          <w:b w:val="0"/>
          <w:color w:val="auto"/>
          <w:kern w:val="2"/>
          <w:sz w:val="24"/>
          <w:szCs w:val="24"/>
        </w:rPr>
        <w:t>study comparability, but interpreted within a competing</w:t>
      </w:r>
      <w:r>
        <w:rPr>
          <w:rFonts w:ascii="Cambria Math" w:hAnsi="Cambria Math" w:cs="Cambria Math" w:eastAsiaTheme="minorEastAsia"/>
          <w:b w:val="0"/>
          <w:color w:val="auto"/>
          <w:kern w:val="2"/>
          <w:sz w:val="24"/>
          <w:szCs w:val="24"/>
        </w:rPr>
        <w:t>‑</w:t>
      </w:r>
      <w:r>
        <w:rPr>
          <w:rFonts w:ascii="Calibri" w:hAnsi="Calibri" w:cs="Calibri" w:eastAsiaTheme="minorEastAsia"/>
          <w:b w:val="0"/>
          <w:color w:val="auto"/>
          <w:kern w:val="2"/>
          <w:sz w:val="24"/>
          <w:szCs w:val="24"/>
        </w:rPr>
        <w:t>risk context (e.g., treatment limitation, sepsis, cardiovascular failure) rather than as ARDS</w:t>
      </w:r>
      <w:r>
        <w:rPr>
          <w:rFonts w:ascii="Cambria Math" w:hAnsi="Cambria Math" w:cs="Cambria Math" w:eastAsiaTheme="minorEastAsia"/>
          <w:b w:val="0"/>
          <w:color w:val="auto"/>
          <w:kern w:val="2"/>
          <w:sz w:val="24"/>
          <w:szCs w:val="24"/>
        </w:rPr>
        <w:t>‑</w:t>
      </w:r>
      <w:r>
        <w:rPr>
          <w:rFonts w:ascii="Calibri" w:hAnsi="Calibri" w:cs="Calibri" w:eastAsiaTheme="minorEastAsia"/>
          <w:b w:val="0"/>
          <w:color w:val="auto"/>
          <w:kern w:val="2"/>
          <w:sz w:val="24"/>
          <w:szCs w:val="24"/>
        </w:rPr>
        <w:t>specific lethality. We considered ECMO initiation as an endpoint; however, ECMO events were rare and not reliably captured, and such process endpoints are highly contingent on center</w:t>
      </w:r>
      <w:r>
        <w:rPr>
          <w:rFonts w:ascii="Cambria Math" w:hAnsi="Cambria Math" w:cs="Cambria Math" w:eastAsiaTheme="minorEastAsia"/>
          <w:b w:val="0"/>
          <w:color w:val="auto"/>
          <w:kern w:val="2"/>
          <w:sz w:val="24"/>
          <w:szCs w:val="24"/>
        </w:rPr>
        <w:t>‑</w:t>
      </w:r>
      <w:r>
        <w:rPr>
          <w:rFonts w:ascii="Calibri" w:hAnsi="Calibri" w:cs="Calibri" w:eastAsiaTheme="minorEastAsia"/>
          <w:b w:val="0"/>
          <w:color w:val="auto"/>
          <w:kern w:val="2"/>
          <w:sz w:val="24"/>
          <w:szCs w:val="24"/>
        </w:rPr>
        <w:t>level resources, selection practices, and clinician discretion, precluding meaningful modeling. The observed non</w:t>
      </w:r>
      <w:r>
        <w:rPr>
          <w:rFonts w:ascii="Cambria Math" w:hAnsi="Cambria Math" w:cs="Cambria Math" w:eastAsiaTheme="minorEastAsia"/>
          <w:b w:val="0"/>
          <w:color w:val="auto"/>
          <w:kern w:val="2"/>
          <w:sz w:val="24"/>
          <w:szCs w:val="24"/>
        </w:rPr>
        <w:t>‑</w:t>
      </w:r>
      <w:r>
        <w:rPr>
          <w:rFonts w:ascii="Calibri" w:hAnsi="Calibri" w:cs="Calibri" w:eastAsiaTheme="minorEastAsia"/>
          <w:b w:val="0"/>
          <w:color w:val="auto"/>
          <w:kern w:val="2"/>
          <w:sz w:val="24"/>
          <w:szCs w:val="24"/>
        </w:rPr>
        <w:t>monotonic survival pattern across ARDS severity categories likely reflects these competing risks and practice</w:t>
      </w:r>
      <w:r>
        <w:rPr>
          <w:rFonts w:ascii="Cambria Math" w:hAnsi="Cambria Math" w:cs="Cambria Math" w:eastAsiaTheme="minorEastAsia"/>
          <w:b w:val="0"/>
          <w:color w:val="auto"/>
          <w:kern w:val="2"/>
          <w:sz w:val="24"/>
          <w:szCs w:val="24"/>
        </w:rPr>
        <w:t>‑</w:t>
      </w:r>
      <w:r>
        <w:rPr>
          <w:rFonts w:ascii="Calibri" w:hAnsi="Calibri" w:cs="Calibri" w:eastAsiaTheme="minorEastAsia"/>
          <w:b w:val="0"/>
          <w:color w:val="auto"/>
          <w:kern w:val="2"/>
          <w:sz w:val="24"/>
          <w:szCs w:val="24"/>
        </w:rPr>
        <w:t>pattern differences.</w:t>
      </w:r>
    </w:p>
    <w:p w14:paraId="0F45E438">
      <w:pPr>
        <w:spacing w:line="360" w:lineRule="auto"/>
        <w:rPr>
          <w:rFonts w:ascii="Calibri" w:hAnsi="Calibri" w:cs="Calibri"/>
          <w:color w:val="auto"/>
          <w:sz w:val="24"/>
        </w:rPr>
      </w:pPr>
      <w:r>
        <w:rPr>
          <w:rFonts w:ascii="Calibri" w:hAnsi="Calibri" w:cs="Calibri"/>
          <w:color w:val="auto"/>
          <w:sz w:val="24"/>
        </w:rPr>
        <w:t>The limitations of our study include its retrospective design and single</w:t>
      </w:r>
      <w:r>
        <w:rPr>
          <w:rFonts w:ascii="Cambria Math" w:hAnsi="Cambria Math" w:cs="Cambria Math"/>
          <w:color w:val="auto"/>
          <w:sz w:val="24"/>
        </w:rPr>
        <w:t>‑</w:t>
      </w:r>
      <w:r>
        <w:rPr>
          <w:rFonts w:ascii="Calibri" w:hAnsi="Calibri" w:cs="Calibri"/>
          <w:color w:val="auto"/>
          <w:sz w:val="24"/>
        </w:rPr>
        <w:t>center data source. Beyond the usual limitations of retrospective designs (e.g., residual confounding, missingness, selection bias), pairing SF with PF required anchoring SF to the time an arterial blood gas was available; consequently, the choice of the SF time was somewhat arbitrary. Although sensitivity analyses using alternative timing/selection rules yielded similar inferences, prospective studies with protocolized timing are needed. Second, PF</w:t>
      </w:r>
      <w:r>
        <w:rPr>
          <w:rFonts w:ascii="Cambria Math" w:hAnsi="Cambria Math" w:cs="Cambria Math"/>
          <w:color w:val="auto"/>
          <w:sz w:val="24"/>
        </w:rPr>
        <w:t>‑</w:t>
      </w:r>
      <w:r>
        <w:rPr>
          <w:rFonts w:ascii="Calibri" w:hAnsi="Calibri" w:cs="Calibri"/>
          <w:color w:val="auto"/>
          <w:sz w:val="24"/>
        </w:rPr>
        <w:t>based severity thresholds can trigger specific treatments; consequently, patients classified as less severe by PF may have received different therapies than those classified as severe, potentially biasing observed associations. Additionally, our analysis used baseline measurements within 24 hours of ICU admission and did not capture the dynamic nature of ARDS or treatment responses over time.</w:t>
      </w:r>
    </w:p>
    <w:p w14:paraId="0750F26B">
      <w:pPr>
        <w:pStyle w:val="8"/>
        <w:spacing w:before="0" w:beforeAutospacing="0" w:after="0" w:afterAutospacing="0" w:line="360" w:lineRule="auto"/>
        <w:rPr>
          <w:rFonts w:ascii="Calibri" w:hAnsi="Calibri" w:cs="Calibri"/>
          <w:color w:val="auto"/>
        </w:rPr>
      </w:pPr>
      <w:r>
        <w:rPr>
          <w:rFonts w:ascii="Calibri" w:hAnsi="Calibri" w:cs="Calibri"/>
          <w:bCs/>
          <w:color w:val="auto"/>
        </w:rPr>
        <w:t>Overall, these findings integrate to support the superiority of PF over SF in retrospective prognostic alignment, with consistent patterns across concordance, discordant subgroup, and sensitivity analyses. While SF offers practical advantages in resource-limited settings, its tendency toward severity overestimation and weaker discrimination highlights the need for cautious application, particularly in contexts requiring precise risk stratification. Future research should prioritize prospective validation to refine SF thresholds and explore hybrid approaches combining SF and PF for enhanced clinical utility.</w:t>
      </w:r>
    </w:p>
    <w:p w14:paraId="47709D95">
      <w:pPr>
        <w:pStyle w:val="3"/>
        <w:spacing w:before="0" w:beforeAutospacing="0" w:after="0" w:afterAutospacing="0" w:line="360" w:lineRule="auto"/>
        <w:rPr>
          <w:rFonts w:ascii="Calibri" w:hAnsi="Calibri" w:cs="Calibri"/>
          <w:color w:val="auto"/>
          <w:sz w:val="24"/>
          <w:szCs w:val="24"/>
        </w:rPr>
      </w:pPr>
    </w:p>
    <w:p w14:paraId="465A2523">
      <w:pPr>
        <w:pStyle w:val="3"/>
        <w:spacing w:before="0" w:beforeAutospacing="0" w:after="0" w:afterAutospacing="0" w:line="360" w:lineRule="auto"/>
        <w:rPr>
          <w:rFonts w:ascii="Calibri" w:hAnsi="Calibri" w:cs="Calibri"/>
          <w:color w:val="auto"/>
          <w:sz w:val="24"/>
          <w:szCs w:val="24"/>
        </w:rPr>
      </w:pPr>
      <w:r>
        <w:rPr>
          <w:rFonts w:ascii="Calibri" w:hAnsi="Calibri" w:cs="Calibri"/>
          <w:color w:val="auto"/>
          <w:sz w:val="24"/>
          <w:szCs w:val="24"/>
        </w:rPr>
        <w:t>References</w:t>
      </w:r>
    </w:p>
    <w:p w14:paraId="0B4F788C">
      <w:pPr>
        <w:pStyle w:val="2"/>
        <w:numPr>
          <w:ilvl w:val="0"/>
          <w:numId w:val="5"/>
        </w:numPr>
        <w:spacing w:before="0" w:beforeAutospacing="0" w:after="0" w:afterAutospacing="0" w:line="360" w:lineRule="auto"/>
        <w:rPr>
          <w:rFonts w:ascii="Calibri" w:hAnsi="Calibri" w:cs="Calibri"/>
          <w:b w:val="0"/>
          <w:color w:val="auto"/>
          <w:sz w:val="24"/>
          <w:szCs w:val="24"/>
        </w:rPr>
      </w:pPr>
      <w:r>
        <w:rPr>
          <w:rFonts w:ascii="Calibri" w:hAnsi="Calibri" w:cs="Calibri"/>
          <w:b w:val="0"/>
          <w:color w:val="auto"/>
          <w:sz w:val="24"/>
          <w:szCs w:val="24"/>
        </w:rPr>
        <w:t>Erlebach R, Pale U, Beck T, et al. Limitations of SpO</w:t>
      </w:r>
      <w:r>
        <w:rPr>
          <w:rFonts w:ascii="Calibri" w:hAnsi="Calibri" w:cs="Calibri"/>
          <w:b w:val="0"/>
          <w:color w:val="auto"/>
          <w:sz w:val="24"/>
          <w:szCs w:val="24"/>
          <w:vertAlign w:val="subscript"/>
        </w:rPr>
        <w:t>2</w:t>
      </w:r>
      <w:r>
        <w:rPr>
          <w:rFonts w:ascii="Calibri" w:hAnsi="Calibri" w:cs="Calibri"/>
          <w:b w:val="0"/>
          <w:color w:val="auto"/>
          <w:sz w:val="24"/>
          <w:szCs w:val="24"/>
        </w:rPr>
        <w:t>/FiO</w:t>
      </w:r>
      <w:r>
        <w:rPr>
          <w:rFonts w:ascii="Calibri" w:hAnsi="Calibri" w:cs="Calibri"/>
          <w:b w:val="0"/>
          <w:color w:val="auto"/>
          <w:sz w:val="24"/>
          <w:szCs w:val="24"/>
          <w:vertAlign w:val="subscript"/>
        </w:rPr>
        <w:t>2</w:t>
      </w:r>
      <w:r>
        <w:rPr>
          <w:rFonts w:ascii="Calibri" w:hAnsi="Calibri" w:cs="Calibri"/>
          <w:b w:val="0"/>
          <w:color w:val="auto"/>
          <w:sz w:val="24"/>
          <w:szCs w:val="24"/>
        </w:rPr>
        <w:t xml:space="preserve">-ratio for classification and monitoring of acute respiratory distress syndrome-an observational cohort study. Crit Care. 2025;29(1):82. </w:t>
      </w:r>
    </w:p>
    <w:p w14:paraId="02D05B9E">
      <w:pPr>
        <w:widowControl/>
        <w:numPr>
          <w:ilvl w:val="0"/>
          <w:numId w:val="5"/>
        </w:numPr>
        <w:shd w:val="clear" w:color="auto" w:fill="FFFFFF"/>
        <w:spacing w:line="360" w:lineRule="auto"/>
        <w:jc w:val="left"/>
        <w:rPr>
          <w:rFonts w:ascii="Calibri" w:hAnsi="Calibri" w:eastAsia="宋体" w:cs="Calibri"/>
          <w:color w:val="auto"/>
          <w:kern w:val="0"/>
          <w:sz w:val="24"/>
        </w:rPr>
      </w:pPr>
      <w:r>
        <w:rPr>
          <w:rFonts w:ascii="Calibri" w:hAnsi="Calibri" w:eastAsia="宋体" w:cs="Calibri"/>
          <w:color w:val="auto"/>
          <w:kern w:val="0"/>
          <w:sz w:val="24"/>
        </w:rPr>
        <w:t>Matthay MA, Arabi Y, Arroliga AC, et al. A New Global Definition of Acute Respiratory Distress Syndrome. </w:t>
      </w:r>
      <w:r>
        <w:rPr>
          <w:rFonts w:ascii="Calibri" w:hAnsi="Calibri" w:eastAsia="宋体" w:cs="Calibri"/>
          <w:iCs/>
          <w:color w:val="auto"/>
          <w:kern w:val="0"/>
          <w:sz w:val="24"/>
        </w:rPr>
        <w:t>Am J Respir Crit Care Med</w:t>
      </w:r>
      <w:r>
        <w:rPr>
          <w:rFonts w:ascii="Calibri" w:hAnsi="Calibri" w:eastAsia="宋体" w:cs="Calibri"/>
          <w:color w:val="auto"/>
          <w:kern w:val="0"/>
          <w:sz w:val="24"/>
        </w:rPr>
        <w:t>. 2024;209(1):37-47.</w:t>
      </w:r>
    </w:p>
    <w:p w14:paraId="0E577E30">
      <w:pPr>
        <w:pStyle w:val="2"/>
        <w:numPr>
          <w:ilvl w:val="0"/>
          <w:numId w:val="5"/>
        </w:numPr>
        <w:spacing w:before="0" w:beforeAutospacing="0" w:after="0" w:afterAutospacing="0" w:line="360" w:lineRule="auto"/>
        <w:rPr>
          <w:rFonts w:ascii="Calibri" w:hAnsi="Calibri" w:cs="Calibri"/>
          <w:color w:val="auto"/>
          <w:sz w:val="24"/>
          <w:szCs w:val="24"/>
        </w:rPr>
      </w:pPr>
      <w:r>
        <w:rPr>
          <w:rFonts w:ascii="Calibri" w:hAnsi="Calibri" w:cs="Calibri"/>
          <w:b w:val="0"/>
          <w:color w:val="auto"/>
          <w:sz w:val="24"/>
          <w:szCs w:val="24"/>
        </w:rPr>
        <w:t>Wong AI, Charpignon M, Kim H, et al. Analysis of Discrepancies Between Pulse Oximetry and Arterial Oxygen Saturation Measurements by Race and Ethnicity and Association With Organ Dysfunction and Mortality. JAMA Netw Open. 2021;4(11):e2131674.</w:t>
      </w:r>
    </w:p>
    <w:p w14:paraId="4D90BD59">
      <w:pPr>
        <w:widowControl/>
        <w:shd w:val="clear" w:color="auto" w:fill="FFFFFF"/>
        <w:tabs>
          <w:tab w:val="left" w:pos="720"/>
        </w:tabs>
        <w:spacing w:line="360" w:lineRule="auto"/>
        <w:ind w:left="720"/>
        <w:jc w:val="left"/>
        <w:rPr>
          <w:rFonts w:ascii="Calibri" w:hAnsi="Calibri" w:eastAsia="宋体" w:cs="Calibri"/>
          <w:color w:val="auto"/>
          <w:kern w:val="0"/>
          <w:sz w:val="24"/>
        </w:rPr>
      </w:pPr>
    </w:p>
    <w:sectPr>
      <w:pgSz w:w="11900" w:h="16840"/>
      <w:pgMar w:top="1440" w:right="1800" w:bottom="1440" w:left="1800" w:header="851" w:footer="992" w:gutter="0"/>
      <w:pgBorders>
        <w:top w:val="none" w:sz="0" w:space="0"/>
        <w:left w:val="none" w:sz="0" w:space="0"/>
        <w:bottom w:val="none" w:sz="0" w:space="0"/>
        <w:right w:val="none" w:sz="0" w:space="0"/>
      </w:pgBorders>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00"/>
    <w:family w:val="auto"/>
    <w:pitch w:val="default"/>
    <w:sig w:usb0="00000000" w:usb1="00000000" w:usb2="00000000" w:usb3="00000000" w:csb0="00000000" w:csb1="00000000"/>
  </w:font>
  <w:font w:name="Cambria Math">
    <w:altName w:val="Kingsoft Math"/>
    <w:panose1 w:val="02040503050406030204"/>
    <w:charset w:val="00"/>
    <w:family w:val="roman"/>
    <w:pitch w:val="default"/>
    <w:sig w:usb0="00000000" w:usb1="00000000" w:usb2="00000000"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等线KW">
    <w:panose1 w:val="01010104010101010101"/>
    <w:charset w:val="86"/>
    <w:family w:val="auto"/>
    <w:pitch w:val="default"/>
    <w:sig w:usb0="800002BF" w:usb1="004F7CFA" w:usb2="00000000" w:usb3="00000000" w:csb0="00040001" w:csb1="00000000"/>
  </w:font>
  <w:font w:name="冬青黑体简体中文">
    <w:panose1 w:val="020B0300000000000000"/>
    <w:charset w:val="86"/>
    <w:family w:val="auto"/>
    <w:pitch w:val="default"/>
    <w:sig w:usb0="A00002BF" w:usb1="1ACF7CFA" w:usb2="00000016" w:usb3="00000000" w:csb0="00060007" w:csb1="00000000"/>
  </w:font>
  <w:font w:name="Kingsoft Sign">
    <w:panose1 w:val="05050102010706020507"/>
    <w:charset w:val="00"/>
    <w:family w:val="auto"/>
    <w:pitch w:val="default"/>
    <w:sig w:usb0="00000000" w:usb1="10000000" w:usb2="00000000" w:usb3="00000000" w:csb0="00000001" w:csb1="00000000"/>
  </w:font>
  <w:font w:name="Kingsoft Math">
    <w:panose1 w:val="02040503050406030204"/>
    <w:charset w:val="00"/>
    <w:family w:val="auto"/>
    <w:pitch w:val="default"/>
    <w:sig w:usb0="80000087" w:usb1="00002068" w:usb2="00000000" w:usb3="00000000" w:csb0="2000019F"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3"/>
      </w:rPr>
      <w:id w:val="939687913"/>
      <w:docPartObj>
        <w:docPartGallery w:val="autotext"/>
      </w:docPartObj>
    </w:sdtPr>
    <w:sdtEndPr>
      <w:rPr>
        <w:rStyle w:val="13"/>
      </w:rPr>
    </w:sdtEndPr>
    <w:sdtContent>
      <w:p w14:paraId="1F7409E6">
        <w:pPr>
          <w:pStyle w:val="6"/>
          <w:framePr w:wrap="auto" w:vAnchor="text" w:hAnchor="margin" w:xAlign="center" w:y="1"/>
          <w:rPr>
            <w:rStyle w:val="13"/>
          </w:rPr>
        </w:pPr>
        <w:r>
          <w:rPr>
            <w:rStyle w:val="13"/>
          </w:rPr>
          <w:fldChar w:fldCharType="begin"/>
        </w:r>
        <w:r>
          <w:rPr>
            <w:rStyle w:val="13"/>
          </w:rPr>
          <w:instrText xml:space="preserve"> PAGE </w:instrText>
        </w:r>
        <w:r>
          <w:rPr>
            <w:rStyle w:val="13"/>
          </w:rPr>
          <w:fldChar w:fldCharType="separate"/>
        </w:r>
        <w:r>
          <w:rPr>
            <w:rStyle w:val="13"/>
          </w:rPr>
          <w:t>14</w:t>
        </w:r>
        <w:r>
          <w:rPr>
            <w:rStyle w:val="13"/>
          </w:rPr>
          <w:fldChar w:fldCharType="end"/>
        </w:r>
      </w:p>
    </w:sdtContent>
  </w:sdt>
  <w:p w14:paraId="399885FA">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43E8A3">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543E8A3">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3"/>
      </w:rPr>
      <w:id w:val="-1"/>
      <w:docPartObj>
        <w:docPartGallery w:val="autotext"/>
      </w:docPartObj>
    </w:sdtPr>
    <w:sdtEndPr>
      <w:rPr>
        <w:rStyle w:val="13"/>
      </w:rPr>
    </w:sdtEndPr>
    <w:sdtContent>
      <w:p w14:paraId="6B9DEF3C">
        <w:pPr>
          <w:pStyle w:val="6"/>
          <w:framePr w:wrap="auto" w:vAnchor="text" w:hAnchor="margin" w:xAlign="center" w:y="1"/>
          <w:rPr>
            <w:rStyle w:val="13"/>
          </w:rPr>
        </w:pPr>
        <w:r>
          <w:rPr>
            <w:rStyle w:val="13"/>
          </w:rPr>
          <w:fldChar w:fldCharType="begin"/>
        </w:r>
        <w:r>
          <w:rPr>
            <w:rStyle w:val="13"/>
          </w:rPr>
          <w:instrText xml:space="preserve"> PAGE </w:instrText>
        </w:r>
        <w:r>
          <w:rPr>
            <w:rStyle w:val="13"/>
          </w:rPr>
          <w:fldChar w:fldCharType="end"/>
        </w:r>
      </w:p>
    </w:sdtContent>
  </w:sdt>
  <w:p w14:paraId="791311C7">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8C9D1">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CF7E50"/>
    <w:multiLevelType w:val="multilevel"/>
    <w:tmpl w:val="26CF7E5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429E7328"/>
    <w:multiLevelType w:val="multilevel"/>
    <w:tmpl w:val="429E7328"/>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6E284519"/>
    <w:multiLevelType w:val="multilevel"/>
    <w:tmpl w:val="6E28451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787B53A3"/>
    <w:multiLevelType w:val="multilevel"/>
    <w:tmpl w:val="787B53A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7928514E"/>
    <w:multiLevelType w:val="multilevel"/>
    <w:tmpl w:val="7928514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AFE"/>
    <w:rsid w:val="0005365B"/>
    <w:rsid w:val="000945BC"/>
    <w:rsid w:val="00096027"/>
    <w:rsid w:val="00121431"/>
    <w:rsid w:val="00153558"/>
    <w:rsid w:val="0015434C"/>
    <w:rsid w:val="00157D14"/>
    <w:rsid w:val="001628F9"/>
    <w:rsid w:val="00175549"/>
    <w:rsid w:val="001965DF"/>
    <w:rsid w:val="001A267A"/>
    <w:rsid w:val="001C5050"/>
    <w:rsid w:val="001C62C7"/>
    <w:rsid w:val="001D0992"/>
    <w:rsid w:val="001D75E8"/>
    <w:rsid w:val="001E7D33"/>
    <w:rsid w:val="001F7F32"/>
    <w:rsid w:val="0020069F"/>
    <w:rsid w:val="00212579"/>
    <w:rsid w:val="00223084"/>
    <w:rsid w:val="002277B6"/>
    <w:rsid w:val="002337D1"/>
    <w:rsid w:val="002400B2"/>
    <w:rsid w:val="00280FEF"/>
    <w:rsid w:val="00291F1D"/>
    <w:rsid w:val="002A599F"/>
    <w:rsid w:val="002C6CA3"/>
    <w:rsid w:val="002E217F"/>
    <w:rsid w:val="002E5DD6"/>
    <w:rsid w:val="002F42AD"/>
    <w:rsid w:val="003147D1"/>
    <w:rsid w:val="00323628"/>
    <w:rsid w:val="0032577F"/>
    <w:rsid w:val="00330006"/>
    <w:rsid w:val="00350EE2"/>
    <w:rsid w:val="00387444"/>
    <w:rsid w:val="003942E5"/>
    <w:rsid w:val="003A2D7E"/>
    <w:rsid w:val="003F1827"/>
    <w:rsid w:val="0041676A"/>
    <w:rsid w:val="00441A3B"/>
    <w:rsid w:val="00443D5D"/>
    <w:rsid w:val="00474CDF"/>
    <w:rsid w:val="004772BC"/>
    <w:rsid w:val="00495EA0"/>
    <w:rsid w:val="004A3229"/>
    <w:rsid w:val="004B36F8"/>
    <w:rsid w:val="004D0EE5"/>
    <w:rsid w:val="00511287"/>
    <w:rsid w:val="00540FEE"/>
    <w:rsid w:val="0055197F"/>
    <w:rsid w:val="00554007"/>
    <w:rsid w:val="00561DF4"/>
    <w:rsid w:val="00580F2C"/>
    <w:rsid w:val="005F5A6E"/>
    <w:rsid w:val="0060636E"/>
    <w:rsid w:val="00620A00"/>
    <w:rsid w:val="006537B9"/>
    <w:rsid w:val="00663D2D"/>
    <w:rsid w:val="006B1BC2"/>
    <w:rsid w:val="006C5324"/>
    <w:rsid w:val="00715851"/>
    <w:rsid w:val="00727FC7"/>
    <w:rsid w:val="007B2158"/>
    <w:rsid w:val="007D356C"/>
    <w:rsid w:val="007E10FE"/>
    <w:rsid w:val="007E7145"/>
    <w:rsid w:val="007F7A89"/>
    <w:rsid w:val="008274AD"/>
    <w:rsid w:val="008574B9"/>
    <w:rsid w:val="00883D4F"/>
    <w:rsid w:val="008942D6"/>
    <w:rsid w:val="00897F6F"/>
    <w:rsid w:val="008A6061"/>
    <w:rsid w:val="008A6E10"/>
    <w:rsid w:val="008E73C9"/>
    <w:rsid w:val="008F74D2"/>
    <w:rsid w:val="00911087"/>
    <w:rsid w:val="009164ED"/>
    <w:rsid w:val="00917F28"/>
    <w:rsid w:val="00923B36"/>
    <w:rsid w:val="00936345"/>
    <w:rsid w:val="009408B3"/>
    <w:rsid w:val="009458BA"/>
    <w:rsid w:val="0095464C"/>
    <w:rsid w:val="00967AFE"/>
    <w:rsid w:val="009D248E"/>
    <w:rsid w:val="009E4441"/>
    <w:rsid w:val="009E7D2B"/>
    <w:rsid w:val="00A04D7E"/>
    <w:rsid w:val="00A055CB"/>
    <w:rsid w:val="00A065EA"/>
    <w:rsid w:val="00A06DC2"/>
    <w:rsid w:val="00A07CE4"/>
    <w:rsid w:val="00A107F6"/>
    <w:rsid w:val="00A1239F"/>
    <w:rsid w:val="00A1258B"/>
    <w:rsid w:val="00A37FDC"/>
    <w:rsid w:val="00A5086D"/>
    <w:rsid w:val="00A540AE"/>
    <w:rsid w:val="00A750D7"/>
    <w:rsid w:val="00A92E66"/>
    <w:rsid w:val="00AA1443"/>
    <w:rsid w:val="00AA39E3"/>
    <w:rsid w:val="00AB52D3"/>
    <w:rsid w:val="00AD78D5"/>
    <w:rsid w:val="00AE50D6"/>
    <w:rsid w:val="00AF5FCE"/>
    <w:rsid w:val="00B007AA"/>
    <w:rsid w:val="00B02AA6"/>
    <w:rsid w:val="00B167C0"/>
    <w:rsid w:val="00B33EA6"/>
    <w:rsid w:val="00B35140"/>
    <w:rsid w:val="00BB7F37"/>
    <w:rsid w:val="00BC4833"/>
    <w:rsid w:val="00BD35C0"/>
    <w:rsid w:val="00BE3057"/>
    <w:rsid w:val="00C3402F"/>
    <w:rsid w:val="00C46DA6"/>
    <w:rsid w:val="00C8562A"/>
    <w:rsid w:val="00CC75C5"/>
    <w:rsid w:val="00CE6F8D"/>
    <w:rsid w:val="00D0325E"/>
    <w:rsid w:val="00D22A5F"/>
    <w:rsid w:val="00D23FC4"/>
    <w:rsid w:val="00D451DF"/>
    <w:rsid w:val="00D53EFD"/>
    <w:rsid w:val="00D678DC"/>
    <w:rsid w:val="00D70679"/>
    <w:rsid w:val="00D971BB"/>
    <w:rsid w:val="00DD2D11"/>
    <w:rsid w:val="00DD4A05"/>
    <w:rsid w:val="00DD681E"/>
    <w:rsid w:val="00DD7982"/>
    <w:rsid w:val="00E0305E"/>
    <w:rsid w:val="00E8184C"/>
    <w:rsid w:val="00E9288B"/>
    <w:rsid w:val="00E95AA6"/>
    <w:rsid w:val="00EB50A9"/>
    <w:rsid w:val="00ED53E3"/>
    <w:rsid w:val="00EF25B1"/>
    <w:rsid w:val="00EF2D9F"/>
    <w:rsid w:val="00F16B50"/>
    <w:rsid w:val="00F55CE8"/>
    <w:rsid w:val="00F666C9"/>
    <w:rsid w:val="00F7227C"/>
    <w:rsid w:val="00FB000C"/>
    <w:rsid w:val="00FB7606"/>
    <w:rsid w:val="00FC533C"/>
    <w:rsid w:val="00FD5D83"/>
    <w:rsid w:val="16DFEA3C"/>
    <w:rsid w:val="3FF3B285"/>
    <w:rsid w:val="5FFFFE77"/>
    <w:rsid w:val="7DB746ED"/>
    <w:rsid w:val="E7FC5F6F"/>
    <w:rsid w:val="F3FC84D4"/>
    <w:rsid w:val="FDEF8D1B"/>
    <w:rsid w:val="FF7F6020"/>
    <w:rsid w:val="FFB7A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link w:val="17"/>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link w:val="18"/>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4">
    <w:name w:val="heading 3"/>
    <w:basedOn w:val="1"/>
    <w:link w:val="19"/>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paragraph" w:styleId="5">
    <w:name w:val="heading 4"/>
    <w:basedOn w:val="1"/>
    <w:link w:val="20"/>
    <w:qFormat/>
    <w:uiPriority w:val="9"/>
    <w:pPr>
      <w:widowControl/>
      <w:spacing w:before="100" w:beforeAutospacing="1" w:after="100" w:afterAutospacing="1"/>
      <w:jc w:val="left"/>
      <w:outlineLvl w:val="3"/>
    </w:pPr>
    <w:rPr>
      <w:rFonts w:ascii="宋体" w:hAnsi="宋体" w:eastAsia="宋体" w:cs="宋体"/>
      <w:b/>
      <w:bCs/>
      <w:kern w:val="0"/>
      <w:sz w:val="24"/>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6">
    <w:name w:val="footer"/>
    <w:basedOn w:val="1"/>
    <w:unhideWhenUsed/>
    <w:uiPriority w:val="99"/>
    <w:pPr>
      <w:tabs>
        <w:tab w:val="center" w:pos="4153"/>
        <w:tab w:val="right" w:pos="8306"/>
      </w:tabs>
      <w:snapToGrid w:val="0"/>
      <w:jc w:val="left"/>
    </w:pPr>
    <w:rPr>
      <w:sz w:val="18"/>
    </w:rPr>
  </w:style>
  <w:style w:type="paragraph" w:styleId="7">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semiHidden/>
    <w:unhideWhenUsed/>
    <w:uiPriority w:val="99"/>
    <w:pPr>
      <w:widowControl/>
      <w:spacing w:before="100" w:beforeAutospacing="1" w:after="100" w:afterAutospacing="1"/>
      <w:jc w:val="left"/>
    </w:pPr>
    <w:rPr>
      <w:rFonts w:ascii="宋体" w:hAnsi="宋体" w:eastAsia="宋体" w:cs="宋体"/>
      <w:kern w:val="0"/>
      <w:sz w:val="24"/>
    </w:rPr>
  </w:style>
  <w:style w:type="table" w:styleId="10">
    <w:name w:val="Table Grid"/>
    <w:basedOn w:val="9"/>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character" w:styleId="13">
    <w:name w:val="page number"/>
    <w:basedOn w:val="11"/>
    <w:semiHidden/>
    <w:unhideWhenUsed/>
    <w:uiPriority w:val="99"/>
  </w:style>
  <w:style w:type="character" w:styleId="14">
    <w:name w:val="Emphasis"/>
    <w:basedOn w:val="11"/>
    <w:qFormat/>
    <w:uiPriority w:val="20"/>
    <w:rPr>
      <w:i/>
      <w:iCs/>
    </w:rPr>
  </w:style>
  <w:style w:type="character" w:styleId="15">
    <w:name w:val="line number"/>
    <w:basedOn w:val="11"/>
    <w:semiHidden/>
    <w:unhideWhenUsed/>
    <w:uiPriority w:val="99"/>
  </w:style>
  <w:style w:type="character" w:styleId="16">
    <w:name w:val="Hyperlink"/>
    <w:basedOn w:val="11"/>
    <w:semiHidden/>
    <w:unhideWhenUsed/>
    <w:uiPriority w:val="99"/>
    <w:rPr>
      <w:color w:val="0000FF"/>
      <w:u w:val="single"/>
    </w:rPr>
  </w:style>
  <w:style w:type="character" w:customStyle="1" w:styleId="17">
    <w:name w:val="标题 1 字符"/>
    <w:basedOn w:val="11"/>
    <w:link w:val="2"/>
    <w:uiPriority w:val="9"/>
    <w:rPr>
      <w:rFonts w:ascii="宋体" w:hAnsi="宋体" w:eastAsia="宋体" w:cs="宋体"/>
      <w:b/>
      <w:bCs/>
      <w:kern w:val="36"/>
      <w:sz w:val="48"/>
      <w:szCs w:val="48"/>
    </w:rPr>
  </w:style>
  <w:style w:type="character" w:customStyle="1" w:styleId="18">
    <w:name w:val="标题 2 字符"/>
    <w:basedOn w:val="11"/>
    <w:link w:val="3"/>
    <w:uiPriority w:val="9"/>
    <w:rPr>
      <w:rFonts w:ascii="宋体" w:hAnsi="宋体" w:eastAsia="宋体" w:cs="宋体"/>
      <w:b/>
      <w:bCs/>
      <w:kern w:val="0"/>
      <w:sz w:val="36"/>
      <w:szCs w:val="36"/>
    </w:rPr>
  </w:style>
  <w:style w:type="character" w:customStyle="1" w:styleId="19">
    <w:name w:val="标题 3 字符"/>
    <w:basedOn w:val="11"/>
    <w:link w:val="4"/>
    <w:uiPriority w:val="9"/>
    <w:rPr>
      <w:rFonts w:ascii="宋体" w:hAnsi="宋体" w:eastAsia="宋体" w:cs="宋体"/>
      <w:b/>
      <w:bCs/>
      <w:kern w:val="0"/>
      <w:sz w:val="27"/>
      <w:szCs w:val="27"/>
    </w:rPr>
  </w:style>
  <w:style w:type="character" w:customStyle="1" w:styleId="20">
    <w:name w:val="标题 4 字符"/>
    <w:basedOn w:val="11"/>
    <w:link w:val="5"/>
    <w:uiPriority w:val="9"/>
    <w:rPr>
      <w:rFonts w:ascii="宋体" w:hAnsi="宋体" w:eastAsia="宋体" w:cs="宋体"/>
      <w:b/>
      <w:bCs/>
      <w:kern w:val="0"/>
      <w:sz w:val="24"/>
    </w:rPr>
  </w:style>
  <w:style w:type="paragraph" w:customStyle="1" w:styleId="21">
    <w:name w:val="submit-manuscript"/>
    <w:basedOn w:val="1"/>
    <w:uiPriority w:val="0"/>
    <w:pPr>
      <w:widowControl/>
      <w:spacing w:before="100" w:beforeAutospacing="1" w:after="100" w:afterAutospacing="1"/>
      <w:jc w:val="left"/>
    </w:pPr>
    <w:rPr>
      <w:rFonts w:ascii="宋体" w:hAnsi="宋体" w:eastAsia="宋体" w:cs="宋体"/>
      <w:kern w:val="0"/>
      <w:sz w:val="24"/>
    </w:rPr>
  </w:style>
  <w:style w:type="character" w:customStyle="1" w:styleId="22">
    <w:name w:val="font11"/>
    <w:basedOn w:val="11"/>
    <w:uiPriority w:val="0"/>
    <w:rPr>
      <w:rFonts w:hint="eastAsia" w:ascii="宋体" w:hAnsi="宋体" w:eastAsia="宋体" w:cs="宋体"/>
      <w:color w:val="000000"/>
      <w:sz w:val="21"/>
      <w:szCs w:val="21"/>
      <w:u w:val="none"/>
    </w:rPr>
  </w:style>
  <w:style w:type="paragraph" w:styleId="23">
    <w:name w:val="List Paragraph"/>
    <w:basedOn w:val="1"/>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655DBE-9435-4A4E-A6BA-4E6E71936799}">
  <ds:schemaRefs/>
</ds:datastoreItem>
</file>

<file path=docProps/app.xml><?xml version="1.0" encoding="utf-8"?>
<Properties xmlns="http://schemas.openxmlformats.org/officeDocument/2006/extended-properties" xmlns:vt="http://schemas.openxmlformats.org/officeDocument/2006/docPropsVTypes">
  <Template>Normal.dotm</Template>
  <Pages>21</Pages>
  <Words>3145</Words>
  <Characters>17930</Characters>
  <Lines>149</Lines>
  <Paragraphs>42</Paragraphs>
  <TotalTime>19</TotalTime>
  <ScaleCrop>false</ScaleCrop>
  <LinksUpToDate>false</LinksUpToDate>
  <CharactersWithSpaces>21033</CharactersWithSpaces>
  <Application>WPS Office_12.1.22522.22522_F1E327BC-269C-435d-A152-05C5408002CA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2025-09-24T11:01:00Z</dcterms:created>
  <dc:creator>Chen Han</dc:creator>
  <cp:lastModifiedBy>yummy</cp:lastModifiedBy>
  <dcterms:modified xsi:type="dcterms:W3CDTF">2025-09-25T17:16:14Z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2052-12.1.22522.22522</vt:lpwstr>
  </property>
  <property fmtid="{D5CDD505-2E9C-101B-9397-08002B2CF9AE}" pid="3" name="ICV">
    <vt:lpwstr>E2332251959C2EFFBC07D5682917B594_43</vt:lpwstr>
  </property>
</Properties>
</file>