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6718E" w14:textId="72E5E26C" w:rsidR="008A53B9" w:rsidRPr="008A53B9" w:rsidRDefault="008A53B9">
      <w:pPr>
        <w:rPr>
          <w:lang w:val="en-US"/>
        </w:rPr>
      </w:pPr>
      <w:bookmarkStart w:id="0" w:name="OLE_LINK1"/>
    </w:p>
    <w:bookmarkEnd w:id="0"/>
    <w:p w14:paraId="579BDC3C" w14:textId="565DE579" w:rsidR="008A53B9" w:rsidRDefault="002E0754">
      <w:r w:rsidRPr="002E0754">
        <w:object w:dxaOrig="7106" w:dyaOrig="5414" w14:anchorId="18A98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66.5pt;height:355.5pt" o:ole="">
            <v:imagedata r:id="rId4" o:title=""/>
          </v:shape>
          <o:OLEObject Type="Embed" ProgID="Prism8.Document" ShapeID="_x0000_i1040" DrawAspect="Content" ObjectID="_1818922089" r:id="rId5"/>
        </w:object>
      </w:r>
    </w:p>
    <w:p w14:paraId="7DA44AEB" w14:textId="25CAF473" w:rsidR="002E0754" w:rsidRPr="00D2760A" w:rsidRDefault="002E0754" w:rsidP="002E075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2760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Fig. S1.</w:t>
      </w:r>
      <w:r w:rsidRPr="00D2760A">
        <w:rPr>
          <w:rFonts w:ascii="Times New Roman" w:hAnsi="Times New Roman" w:cs="Times New Roman"/>
          <w:sz w:val="24"/>
          <w:szCs w:val="24"/>
          <w:lang w:val="en-US"/>
        </w:rPr>
        <w:t xml:space="preserve"> Kaplan–Meier analysis of </w:t>
      </w:r>
      <w:r w:rsidRPr="00D2760A">
        <w:rPr>
          <w:rStyle w:val="a3"/>
          <w:rFonts w:ascii="Times New Roman" w:hAnsi="Times New Roman" w:cs="Times New Roman"/>
          <w:sz w:val="24"/>
          <w:szCs w:val="24"/>
          <w:lang w:val="en-US"/>
        </w:rPr>
        <w:t>K. pneumoniae</w:t>
      </w:r>
      <w:r w:rsidRPr="00D2760A">
        <w:rPr>
          <w:rFonts w:ascii="Times New Roman" w:hAnsi="Times New Roman" w:cs="Times New Roman"/>
          <w:sz w:val="24"/>
          <w:szCs w:val="24"/>
          <w:lang w:val="en-US"/>
        </w:rPr>
        <w:t xml:space="preserve"> clearance. The curves illustrate the proportion of patients with documented bacterial elimination in the three study groups. Log-rank (Mantel–Cox) test demonstrated statistically significant differences between groups (p = 0.0094).</w:t>
      </w:r>
    </w:p>
    <w:sectPr w:rsidR="002E0754" w:rsidRPr="00D2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00"/>
    <w:rsid w:val="002E0754"/>
    <w:rsid w:val="007C5700"/>
    <w:rsid w:val="008A53B9"/>
    <w:rsid w:val="00BA6CDA"/>
    <w:rsid w:val="00C11897"/>
    <w:rsid w:val="00D2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C113"/>
  <w15:chartTrackingRefBased/>
  <w15:docId w15:val="{BF41DE76-AC37-455C-8AC9-099F7762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A53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5</cp:revision>
  <dcterms:created xsi:type="dcterms:W3CDTF">2025-09-09T07:50:00Z</dcterms:created>
  <dcterms:modified xsi:type="dcterms:W3CDTF">2025-09-09T08:21:00Z</dcterms:modified>
</cp:coreProperties>
</file>