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8C30D" w14:textId="5A008F5D" w:rsidR="00F47116" w:rsidRPr="00062A94" w:rsidRDefault="00000000" w:rsidP="004F5739">
      <w:pPr>
        <w:pStyle w:val="aa"/>
      </w:pPr>
      <w:r w:rsidRPr="00062A94">
        <w:t xml:space="preserve">Supplement </w:t>
      </w:r>
      <w:r w:rsidR="007027A7">
        <w:t>2</w:t>
      </w:r>
      <w:r w:rsidRPr="00062A94">
        <w:t xml:space="preserve"> </w:t>
      </w:r>
      <w:r w:rsidR="00A675FE">
        <w:t>:</w:t>
      </w:r>
      <w:r w:rsidRPr="00062A94">
        <w:t xml:space="preserve"> IRI Trajectory Analysis by Transition Timing</w:t>
      </w:r>
    </w:p>
    <w:p w14:paraId="5179513B" w14:textId="77777777" w:rsidR="00F47116" w:rsidRPr="00062A94" w:rsidRDefault="00000000">
      <w:pPr>
        <w:pStyle w:val="1"/>
        <w:rPr>
          <w:rFonts w:asciiTheme="majorBidi" w:hAnsiTheme="majorBidi"/>
        </w:rPr>
      </w:pPr>
      <w:r w:rsidRPr="00062A94">
        <w:rPr>
          <w:rFonts w:asciiTheme="majorBidi" w:hAnsiTheme="majorBidi"/>
        </w:rPr>
        <w:t>Methods</w:t>
      </w:r>
    </w:p>
    <w:p w14:paraId="2B13E630" w14:textId="77777777" w:rsidR="00F47116" w:rsidRPr="00062A94" w:rsidRDefault="00000000">
      <w:pPr>
        <w:pStyle w:val="21"/>
        <w:rPr>
          <w:rFonts w:asciiTheme="majorBidi" w:hAnsiTheme="majorBidi"/>
        </w:rPr>
      </w:pPr>
      <w:r w:rsidRPr="00062A94">
        <w:rPr>
          <w:rFonts w:asciiTheme="majorBidi" w:hAnsiTheme="majorBidi"/>
        </w:rPr>
        <w:t>Transition groups</w:t>
      </w:r>
    </w:p>
    <w:p w14:paraId="35728B1E" w14:textId="77777777" w:rsidR="00F47116" w:rsidRPr="00062A94" w:rsidRDefault="00000000">
      <w:pPr>
        <w:rPr>
          <w:rFonts w:asciiTheme="majorBidi" w:hAnsiTheme="majorBidi" w:cstheme="majorBidi"/>
        </w:rPr>
      </w:pPr>
      <w:r w:rsidRPr="00062A94">
        <w:rPr>
          <w:rFonts w:asciiTheme="majorBidi" w:hAnsiTheme="majorBidi" w:cstheme="majorBidi"/>
        </w:rPr>
        <w:t>Patients were stratified by transition timing using inclusive cut-points unless otherwise specified: ≤3 d (3), &gt;3–5 d (5), &gt;5–7 d (7), &gt;7–10 d (10), and never (&gt;10 d or missing).</w:t>
      </w:r>
    </w:p>
    <w:p w14:paraId="064FC2E9" w14:textId="77777777" w:rsidR="00F47116" w:rsidRPr="00062A94" w:rsidRDefault="00000000">
      <w:pPr>
        <w:pStyle w:val="21"/>
        <w:rPr>
          <w:rFonts w:asciiTheme="majorBidi" w:hAnsiTheme="majorBidi"/>
        </w:rPr>
      </w:pPr>
      <w:r w:rsidRPr="00062A94">
        <w:rPr>
          <w:rFonts w:asciiTheme="majorBidi" w:hAnsiTheme="majorBidi"/>
        </w:rPr>
        <w:t>Trajectory aggregation</w:t>
      </w:r>
    </w:p>
    <w:p w14:paraId="3CF52349" w14:textId="77777777" w:rsidR="00F47116" w:rsidRPr="00062A94" w:rsidRDefault="00000000">
      <w:pPr>
        <w:rPr>
          <w:rFonts w:asciiTheme="majorBidi" w:hAnsiTheme="majorBidi" w:cstheme="majorBidi"/>
        </w:rPr>
      </w:pPr>
      <w:r w:rsidRPr="00062A94">
        <w:rPr>
          <w:rFonts w:asciiTheme="majorBidi" w:hAnsiTheme="majorBidi" w:cstheme="majorBidi"/>
        </w:rPr>
        <w:t>IRI values were aggregated in regular time bins to form group trajectories. For each (time bin × group) we computed the median and interquartile range (IQR).</w:t>
      </w:r>
    </w:p>
    <w:p w14:paraId="23577BAB" w14:textId="77777777" w:rsidR="00F47116" w:rsidRPr="00062A94" w:rsidRDefault="00000000">
      <w:pPr>
        <w:pStyle w:val="21"/>
        <w:rPr>
          <w:rFonts w:asciiTheme="majorBidi" w:hAnsiTheme="majorBidi"/>
        </w:rPr>
      </w:pPr>
      <w:r w:rsidRPr="00062A94">
        <w:rPr>
          <w:rFonts w:asciiTheme="majorBidi" w:hAnsiTheme="majorBidi"/>
        </w:rPr>
        <w:t>Confirmatory analyses</w:t>
      </w:r>
    </w:p>
    <w:p w14:paraId="6E3001EC" w14:textId="77777777" w:rsidR="00F47116" w:rsidRPr="00062A94" w:rsidRDefault="00000000">
      <w:pPr>
        <w:rPr>
          <w:rFonts w:asciiTheme="majorBidi" w:hAnsiTheme="majorBidi" w:cstheme="majorBidi"/>
        </w:rPr>
      </w:pPr>
      <w:r w:rsidRPr="00062A94">
        <w:rPr>
          <w:rFonts w:asciiTheme="majorBidi" w:hAnsiTheme="majorBidi" w:cstheme="majorBidi"/>
        </w:rPr>
        <w:t>AUC(0–X d): Per patient, area under IRI vs time using the trapezoidal rule. Group differences assessed via Kruskal–Wallis; pairwise contrasts via Mann–Whitney with Holm correction. Effect sizes reported as Cliff’s δ.</w:t>
      </w:r>
    </w:p>
    <w:p w14:paraId="42C69A6B" w14:textId="77777777" w:rsidR="00F47116" w:rsidRPr="00062A94" w:rsidRDefault="00000000">
      <w:pPr>
        <w:rPr>
          <w:rFonts w:asciiTheme="majorBidi" w:hAnsiTheme="majorBidi" w:cstheme="majorBidi"/>
        </w:rPr>
      </w:pPr>
      <w:r w:rsidRPr="00062A94">
        <w:rPr>
          <w:rFonts w:asciiTheme="majorBidi" w:hAnsiTheme="majorBidi" w:cstheme="majorBidi"/>
        </w:rPr>
        <w:t>Slopes (0–X d): Per-patient slope of IRI vs time using ordinary least squares (or robust Theil–Sen when selected). Group differences via Kruskal–Wallis and Holm-adjusted pairwise Mann–Whitney. A within‑patient fixed‑effects common slope by group is also provided in-app.</w:t>
      </w:r>
    </w:p>
    <w:p w14:paraId="581ED310" w14:textId="77777777" w:rsidR="00F47116" w:rsidRPr="00062A94" w:rsidRDefault="00000000">
      <w:pPr>
        <w:pStyle w:val="1"/>
        <w:rPr>
          <w:rFonts w:asciiTheme="majorBidi" w:hAnsiTheme="majorBidi"/>
        </w:rPr>
      </w:pPr>
      <w:r w:rsidRPr="00062A94">
        <w:rPr>
          <w:rFonts w:asciiTheme="majorBidi" w:hAnsiTheme="majorBidi"/>
        </w:rPr>
        <w:t>Results</w:t>
      </w:r>
    </w:p>
    <w:p w14:paraId="3193DEA3" w14:textId="77777777" w:rsidR="00F47116" w:rsidRPr="00062A94" w:rsidRDefault="00000000">
      <w:pPr>
        <w:pStyle w:val="21"/>
        <w:rPr>
          <w:rFonts w:asciiTheme="majorBidi" w:hAnsiTheme="majorBidi"/>
        </w:rPr>
      </w:pPr>
      <w:r w:rsidRPr="00062A94">
        <w:rPr>
          <w:rFonts w:asciiTheme="majorBidi" w:hAnsiTheme="majorBidi"/>
        </w:rPr>
        <w:t>AUC(0–20 d) by group</w:t>
      </w:r>
    </w:p>
    <w:p w14:paraId="10D0D42E" w14:textId="77777777" w:rsidR="00F47116" w:rsidRPr="00062A94" w:rsidRDefault="00000000">
      <w:pPr>
        <w:rPr>
          <w:rFonts w:asciiTheme="majorBidi" w:hAnsiTheme="majorBidi" w:cstheme="majorBidi"/>
        </w:rPr>
      </w:pPr>
      <w:r w:rsidRPr="00062A94">
        <w:rPr>
          <w:rFonts w:asciiTheme="majorBidi" w:hAnsiTheme="majorBidi" w:cstheme="majorBidi"/>
        </w:rPr>
        <w:t>Global test: Kruskal–Wallis across groups (n_groups=5): H = 262.775, p = 1.15e-55.</w:t>
      </w:r>
    </w:p>
    <w:p w14:paraId="3668AEB2" w14:textId="77777777" w:rsidR="00F47116" w:rsidRPr="00062A94" w:rsidRDefault="00000000">
      <w:pPr>
        <w:pStyle w:val="21"/>
        <w:rPr>
          <w:rFonts w:asciiTheme="majorBidi" w:hAnsiTheme="majorBidi"/>
        </w:rPr>
      </w:pPr>
      <w:r w:rsidRPr="00062A94">
        <w:rPr>
          <w:rFonts w:asciiTheme="majorBidi" w:hAnsiTheme="majorBidi"/>
        </w:rPr>
        <w:t>Per‑patient slopes (0–20 d) by group</w:t>
      </w:r>
    </w:p>
    <w:p w14:paraId="6902AF2A" w14:textId="77777777" w:rsidR="00F47116" w:rsidRPr="00062A94" w:rsidRDefault="00000000">
      <w:pPr>
        <w:rPr>
          <w:rFonts w:asciiTheme="majorBidi" w:hAnsiTheme="majorBidi" w:cstheme="majorBidi"/>
        </w:rPr>
      </w:pPr>
      <w:r w:rsidRPr="00062A94">
        <w:rPr>
          <w:rFonts w:asciiTheme="majorBidi" w:hAnsiTheme="majorBidi" w:cstheme="majorBidi"/>
        </w:rPr>
        <w:t>Global test: Kruskal–Wallis across groups (n_groups=5): H = 917.731, p = 2.4e-197.</w:t>
      </w:r>
    </w:p>
    <w:p w14:paraId="2706C98F" w14:textId="77777777" w:rsidR="00F47116" w:rsidRPr="00062A94" w:rsidRDefault="00000000">
      <w:pPr>
        <w:pStyle w:val="21"/>
        <w:rPr>
          <w:rFonts w:asciiTheme="majorBidi" w:hAnsiTheme="majorBidi"/>
        </w:rPr>
      </w:pPr>
      <w:r w:rsidRPr="00062A94">
        <w:rPr>
          <w:rFonts w:asciiTheme="majorBidi" w:hAnsiTheme="majorBidi"/>
        </w:rPr>
        <w:t>Interpretation</w:t>
      </w:r>
    </w:p>
    <w:p w14:paraId="4A6F2A9F" w14:textId="77777777" w:rsidR="00F47116" w:rsidRPr="00062A94" w:rsidRDefault="00000000">
      <w:pPr>
        <w:rPr>
          <w:rFonts w:asciiTheme="majorBidi" w:hAnsiTheme="majorBidi" w:cstheme="majorBidi"/>
        </w:rPr>
      </w:pPr>
      <w:r w:rsidRPr="00062A94">
        <w:rPr>
          <w:rFonts w:asciiTheme="majorBidi" w:hAnsiTheme="majorBidi" w:cstheme="majorBidi"/>
        </w:rPr>
        <w:t>Directionality: Median AUC increases with later transition timing (3 &lt; 5 &lt; 7 &lt; 10 &lt; never), consistent with higher cumulative insulin resistance when transition is delayed/absent.</w:t>
      </w:r>
    </w:p>
    <w:p w14:paraId="25C2EE07" w14:textId="77777777" w:rsidR="00F47116" w:rsidRPr="00062A94" w:rsidRDefault="00000000">
      <w:pPr>
        <w:rPr>
          <w:rFonts w:asciiTheme="majorBidi" w:hAnsiTheme="majorBidi" w:cstheme="majorBidi"/>
        </w:rPr>
      </w:pPr>
      <w:r w:rsidRPr="00062A94">
        <w:rPr>
          <w:rFonts w:asciiTheme="majorBidi" w:hAnsiTheme="majorBidi" w:cstheme="majorBidi"/>
        </w:rPr>
        <w:t>Dynamics: Per‑patient slopes are most negative for early transition groups, indicating faster resolution of insulin resistance; late/never groups are flatter or positive.</w:t>
      </w:r>
    </w:p>
    <w:p w14:paraId="42325B55" w14:textId="77777777" w:rsidR="00F47116" w:rsidRPr="00062A94" w:rsidRDefault="00000000">
      <w:pPr>
        <w:rPr>
          <w:rFonts w:asciiTheme="majorBidi" w:hAnsiTheme="majorBidi" w:cstheme="majorBidi"/>
        </w:rPr>
      </w:pPr>
      <w:r w:rsidRPr="00062A94">
        <w:rPr>
          <w:rFonts w:asciiTheme="majorBidi" w:hAnsiTheme="majorBidi" w:cstheme="majorBidi"/>
        </w:rPr>
        <w:t xml:space="preserve">Statistical evidence: Both AUC and slope distributions differ strongly across groups (Kruskal–Wallis p-values </w:t>
      </w:r>
      <w:r w:rsidRPr="00062A94">
        <w:rPr>
          <w:rFonts w:ascii="Cambria Math" w:hAnsi="Cambria Math" w:cs="Cambria Math"/>
        </w:rPr>
        <w:t>≪</w:t>
      </w:r>
      <w:r w:rsidRPr="00062A94">
        <w:rPr>
          <w:rFonts w:asciiTheme="majorBidi" w:hAnsiTheme="majorBidi" w:cstheme="majorBidi"/>
        </w:rPr>
        <w:t xml:space="preserve"> 0.001). Pairwise contrasts identify the largest gaps between early (e.g., 3 d) and late/never groups.</w:t>
      </w:r>
    </w:p>
    <w:p w14:paraId="20E6AF16" w14:textId="77777777" w:rsidR="00F47116" w:rsidRPr="00062A94" w:rsidRDefault="00000000">
      <w:pPr>
        <w:pStyle w:val="21"/>
        <w:rPr>
          <w:rFonts w:asciiTheme="majorBidi" w:hAnsiTheme="majorBidi"/>
        </w:rPr>
      </w:pPr>
      <w:r w:rsidRPr="00062A94">
        <w:rPr>
          <w:rFonts w:asciiTheme="majorBidi" w:hAnsiTheme="majorBidi"/>
        </w:rPr>
        <w:lastRenderedPageBreak/>
        <w:t>Robustness &amp; Sensitivity</w:t>
      </w:r>
    </w:p>
    <w:p w14:paraId="69E8409C" w14:textId="77777777" w:rsidR="00F36B98" w:rsidRPr="00062A94" w:rsidRDefault="00000000">
      <w:pPr>
        <w:rPr>
          <w:rFonts w:asciiTheme="majorBidi" w:hAnsiTheme="majorBidi" w:cstheme="majorBidi"/>
        </w:rPr>
      </w:pPr>
      <w:r w:rsidRPr="00062A94">
        <w:rPr>
          <w:rFonts w:asciiTheme="majorBidi" w:hAnsiTheme="majorBidi" w:cstheme="majorBidi"/>
        </w:rPr>
        <w:t xml:space="preserve">Findings remain qualitatively unchanged under </w:t>
      </w:r>
    </w:p>
    <w:p w14:paraId="38880DDB" w14:textId="568852F0" w:rsidR="00F36B98" w:rsidRPr="00062A94" w:rsidRDefault="00000000" w:rsidP="00F36B98">
      <w:pPr>
        <w:pStyle w:val="ae"/>
        <w:numPr>
          <w:ilvl w:val="0"/>
          <w:numId w:val="10"/>
        </w:numPr>
        <w:rPr>
          <w:rFonts w:asciiTheme="majorBidi" w:hAnsiTheme="majorBidi" w:cstheme="majorBidi"/>
        </w:rPr>
      </w:pPr>
      <w:r w:rsidRPr="00062A94">
        <w:rPr>
          <w:rFonts w:asciiTheme="majorBidi" w:hAnsiTheme="majorBidi" w:cstheme="majorBidi"/>
        </w:rPr>
        <w:t xml:space="preserve">inclusive vs strict cut-points, </w:t>
      </w:r>
    </w:p>
    <w:p w14:paraId="0363D4F5" w14:textId="16098999" w:rsidR="00F36B98" w:rsidRPr="00062A94" w:rsidRDefault="00000000" w:rsidP="00F36B98">
      <w:pPr>
        <w:pStyle w:val="ae"/>
        <w:numPr>
          <w:ilvl w:val="0"/>
          <w:numId w:val="10"/>
        </w:numPr>
        <w:rPr>
          <w:rFonts w:asciiTheme="majorBidi" w:hAnsiTheme="majorBidi" w:cstheme="majorBidi"/>
        </w:rPr>
      </w:pPr>
      <w:r w:rsidRPr="00062A94">
        <w:rPr>
          <w:rFonts w:asciiTheme="majorBidi" w:hAnsiTheme="majorBidi" w:cstheme="majorBidi"/>
        </w:rPr>
        <w:t xml:space="preserve">time-binning choices (0.25–2 d), </w:t>
      </w:r>
    </w:p>
    <w:p w14:paraId="58F98A45" w14:textId="3448A864" w:rsidR="00F36B98" w:rsidRPr="00062A94" w:rsidRDefault="00000000" w:rsidP="00F36B98">
      <w:pPr>
        <w:pStyle w:val="ae"/>
        <w:numPr>
          <w:ilvl w:val="0"/>
          <w:numId w:val="10"/>
        </w:numPr>
        <w:rPr>
          <w:rFonts w:asciiTheme="majorBidi" w:hAnsiTheme="majorBidi" w:cstheme="majorBidi"/>
        </w:rPr>
      </w:pPr>
      <w:r w:rsidRPr="00062A94">
        <w:rPr>
          <w:rFonts w:asciiTheme="majorBidi" w:hAnsiTheme="majorBidi" w:cstheme="majorBidi"/>
        </w:rPr>
        <w:t xml:space="preserve">trimming of extreme IRI values, </w:t>
      </w:r>
    </w:p>
    <w:p w14:paraId="73993CC6" w14:textId="2368BBFE" w:rsidR="00F36B98" w:rsidRPr="00062A94" w:rsidRDefault="00000000" w:rsidP="00F36B98">
      <w:pPr>
        <w:pStyle w:val="ae"/>
        <w:numPr>
          <w:ilvl w:val="0"/>
          <w:numId w:val="10"/>
        </w:numPr>
        <w:rPr>
          <w:rFonts w:asciiTheme="majorBidi" w:hAnsiTheme="majorBidi" w:cstheme="majorBidi"/>
        </w:rPr>
      </w:pPr>
      <w:r w:rsidRPr="00062A94">
        <w:rPr>
          <w:rFonts w:asciiTheme="majorBidi" w:hAnsiTheme="majorBidi" w:cstheme="majorBidi"/>
        </w:rPr>
        <w:t xml:space="preserve">minimum measurement thresholds per patient, and </w:t>
      </w:r>
    </w:p>
    <w:p w14:paraId="4CD7A559" w14:textId="774C72F4" w:rsidR="00F47116" w:rsidRPr="00062A94" w:rsidRDefault="00000000" w:rsidP="00F36B98">
      <w:pPr>
        <w:pStyle w:val="ae"/>
        <w:numPr>
          <w:ilvl w:val="0"/>
          <w:numId w:val="10"/>
        </w:numPr>
        <w:rPr>
          <w:rFonts w:asciiTheme="majorBidi" w:hAnsiTheme="majorBidi" w:cstheme="majorBidi"/>
        </w:rPr>
      </w:pPr>
      <w:r w:rsidRPr="00062A94">
        <w:rPr>
          <w:rFonts w:asciiTheme="majorBidi" w:hAnsiTheme="majorBidi" w:cstheme="majorBidi"/>
        </w:rPr>
        <w:t>robust slope estimation via Theil–Sen in place of OLS.</w:t>
      </w:r>
    </w:p>
    <w:p w14:paraId="07EF36AE" w14:textId="77777777" w:rsidR="00F47116" w:rsidRPr="00062A94" w:rsidRDefault="00000000">
      <w:pPr>
        <w:pStyle w:val="1"/>
        <w:rPr>
          <w:rFonts w:asciiTheme="majorBidi" w:hAnsiTheme="majorBidi"/>
        </w:rPr>
      </w:pPr>
      <w:r w:rsidRPr="00062A94">
        <w:rPr>
          <w:rFonts w:asciiTheme="majorBidi" w:hAnsiTheme="majorBidi"/>
        </w:rPr>
        <w:t>Supplementary Figures</w:t>
      </w:r>
    </w:p>
    <w:p w14:paraId="58D7CB0A" w14:textId="77777777" w:rsidR="00F47116" w:rsidRPr="00062A94" w:rsidRDefault="00000000">
      <w:pPr>
        <w:rPr>
          <w:rFonts w:asciiTheme="majorBidi" w:hAnsiTheme="majorBidi" w:cstheme="majorBidi"/>
        </w:rPr>
      </w:pPr>
      <w:r w:rsidRPr="00062A94">
        <w:rPr>
          <w:rFonts w:asciiTheme="majorBidi" w:hAnsiTheme="majorBidi" w:cstheme="majorBidi"/>
          <w:noProof/>
        </w:rPr>
        <w:drawing>
          <wp:inline distT="0" distB="0" distL="0" distR="0" wp14:anchorId="7CD48A08" wp14:editId="00C046F4">
            <wp:extent cx="5943600" cy="3533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i_grouped_trajectories_A.png"/>
                    <pic:cNvPicPr/>
                  </pic:nvPicPr>
                  <pic:blipFill>
                    <a:blip r:embed="rId6"/>
                    <a:stretch>
                      <a:fillRect/>
                    </a:stretch>
                  </pic:blipFill>
                  <pic:spPr>
                    <a:xfrm>
                      <a:off x="0" y="0"/>
                      <a:ext cx="5943600" cy="3533140"/>
                    </a:xfrm>
                    <a:prstGeom prst="rect">
                      <a:avLst/>
                    </a:prstGeom>
                  </pic:spPr>
                </pic:pic>
              </a:graphicData>
            </a:graphic>
          </wp:inline>
        </w:drawing>
      </w:r>
    </w:p>
    <w:p w14:paraId="18CAC300" w14:textId="3707449C" w:rsidR="00B13124" w:rsidRPr="00B13124" w:rsidRDefault="00960385" w:rsidP="00430C2D">
      <w:pPr>
        <w:rPr>
          <w:rFonts w:asciiTheme="majorBidi" w:hAnsiTheme="majorBidi" w:cstheme="majorBidi"/>
        </w:rPr>
      </w:pPr>
      <w:r w:rsidRPr="00960385">
        <w:rPr>
          <w:rFonts w:asciiTheme="majorBidi" w:hAnsiTheme="majorBidi" w:cstheme="majorBidi"/>
          <w:b/>
          <w:bCs/>
        </w:rPr>
        <w:t xml:space="preserve">Figure </w:t>
      </w:r>
      <w:r>
        <w:rPr>
          <w:rFonts w:asciiTheme="majorBidi" w:hAnsiTheme="majorBidi" w:cstheme="majorBidi"/>
          <w:b/>
          <w:bCs/>
        </w:rPr>
        <w:t>S1</w:t>
      </w:r>
      <w:r w:rsidRPr="00960385">
        <w:rPr>
          <w:rFonts w:asciiTheme="majorBidi" w:hAnsiTheme="majorBidi" w:cstheme="majorBidi"/>
          <w:b/>
          <w:bCs/>
        </w:rPr>
        <w:t xml:space="preserve">. </w:t>
      </w:r>
      <w:r w:rsidRPr="00960385">
        <w:rPr>
          <w:rFonts w:asciiTheme="majorBidi" w:hAnsiTheme="majorBidi" w:cstheme="majorBidi"/>
        </w:rPr>
        <w:t>Insulin Resistance Index (IRI) trajectories by transition group.</w:t>
      </w:r>
      <w:r w:rsidRPr="00960385">
        <w:rPr>
          <w:rFonts w:asciiTheme="majorBidi" w:hAnsiTheme="majorBidi" w:cstheme="majorBidi"/>
        </w:rPr>
        <w:br/>
        <w:t>Median IRI values (lines) with interquartile ranges (shaded areas) are shown from ICU admission through day 14, stratified by transition timing: Day 3 (blue), Day 5 (orange), Day 7 (green), Day 10 (red), and never transitioned (purple). Patients who transitioned earlier demonstrated higher initial IRI peaks followed by a more rapid decline, whereas those with delayed or absent transition exhibited persistently elevated or rising IRI values. This pattern supports the concept that early transition from catabolic to anabolic state is associated with faster resolution of insulin resistance.</w:t>
      </w:r>
    </w:p>
    <w:p w14:paraId="69952BA7" w14:textId="77777777" w:rsidR="00F47116" w:rsidRPr="00062A94" w:rsidRDefault="00F47116">
      <w:pPr>
        <w:rPr>
          <w:rFonts w:asciiTheme="majorBidi" w:hAnsiTheme="majorBidi" w:cstheme="majorBidi"/>
        </w:rPr>
      </w:pPr>
    </w:p>
    <w:p w14:paraId="34A6FCE3" w14:textId="73963ED2" w:rsidR="00F47116" w:rsidRPr="00062A94" w:rsidRDefault="00F47116">
      <w:pPr>
        <w:rPr>
          <w:rFonts w:asciiTheme="majorBidi" w:hAnsiTheme="majorBidi" w:cstheme="majorBidi"/>
        </w:rPr>
      </w:pPr>
    </w:p>
    <w:p w14:paraId="054071E0" w14:textId="77777777" w:rsidR="00F47116" w:rsidRPr="00062A94" w:rsidRDefault="00F47116">
      <w:pPr>
        <w:rPr>
          <w:rFonts w:asciiTheme="majorBidi" w:hAnsiTheme="majorBidi" w:cstheme="majorBidi"/>
        </w:rPr>
      </w:pPr>
    </w:p>
    <w:sectPr w:rsidR="00F47116" w:rsidRPr="00062A9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3278538F"/>
    <w:multiLevelType w:val="multilevel"/>
    <w:tmpl w:val="CD32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941865"/>
    <w:multiLevelType w:val="hybridMultilevel"/>
    <w:tmpl w:val="FEC2037E"/>
    <w:lvl w:ilvl="0" w:tplc="18F85B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9127684">
    <w:abstractNumId w:val="8"/>
  </w:num>
  <w:num w:numId="2" w16cid:durableId="341250094">
    <w:abstractNumId w:val="6"/>
  </w:num>
  <w:num w:numId="3" w16cid:durableId="435953753">
    <w:abstractNumId w:val="5"/>
  </w:num>
  <w:num w:numId="4" w16cid:durableId="2102602958">
    <w:abstractNumId w:val="4"/>
  </w:num>
  <w:num w:numId="5" w16cid:durableId="1588222760">
    <w:abstractNumId w:val="7"/>
  </w:num>
  <w:num w:numId="6" w16cid:durableId="749548910">
    <w:abstractNumId w:val="3"/>
  </w:num>
  <w:num w:numId="7" w16cid:durableId="1618828967">
    <w:abstractNumId w:val="2"/>
  </w:num>
  <w:num w:numId="8" w16cid:durableId="1097599111">
    <w:abstractNumId w:val="1"/>
  </w:num>
  <w:num w:numId="9" w16cid:durableId="790319762">
    <w:abstractNumId w:val="0"/>
  </w:num>
  <w:num w:numId="10" w16cid:durableId="1686639713">
    <w:abstractNumId w:val="10"/>
  </w:num>
  <w:num w:numId="11" w16cid:durableId="12068695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2A94"/>
    <w:rsid w:val="0015074B"/>
    <w:rsid w:val="0029639D"/>
    <w:rsid w:val="00326F90"/>
    <w:rsid w:val="00430C2D"/>
    <w:rsid w:val="004F5739"/>
    <w:rsid w:val="005736EF"/>
    <w:rsid w:val="007027A7"/>
    <w:rsid w:val="00813210"/>
    <w:rsid w:val="00960385"/>
    <w:rsid w:val="00A675FE"/>
    <w:rsid w:val="00AA1D8D"/>
    <w:rsid w:val="00B13124"/>
    <w:rsid w:val="00B47730"/>
    <w:rsid w:val="00BD69AF"/>
    <w:rsid w:val="00C40883"/>
    <w:rsid w:val="00CB0664"/>
    <w:rsid w:val="00CC3431"/>
    <w:rsid w:val="00E50D8C"/>
    <w:rsid w:val="00F36B98"/>
    <w:rsid w:val="00F4711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7DF87D4-A925-4BC7-AA82-71D8AA9A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כותרת עליונה תו"/>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כותרת תחתונה תו"/>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כותרת 1 תו"/>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כותרת 2 תו"/>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כותרת 3 תו"/>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כותרת טקסט תו"/>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כותרת משנה תו"/>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גוף טקסט תו"/>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גוף טקסט 2 תו"/>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גוף טקסט 3 תו"/>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טקסט מאקרו תו"/>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ציטוט תו"/>
    <w:basedOn w:val="a2"/>
    <w:link w:val="af5"/>
    <w:uiPriority w:val="29"/>
    <w:rsid w:val="00FC693F"/>
    <w:rPr>
      <w:i/>
      <w:iCs/>
      <w:color w:val="000000" w:themeColor="text1"/>
    </w:rPr>
  </w:style>
  <w:style w:type="character" w:customStyle="1" w:styleId="40">
    <w:name w:val="כותרת 4 תו"/>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כותרת 5 תו"/>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כותרת 6 תו"/>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כותרת 7 תו"/>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כותרת 8 תו"/>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כותרת 9 תו"/>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ציטוט חזק תו"/>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2">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456</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Yoni Gargi</cp:lastModifiedBy>
  <cp:revision>12</cp:revision>
  <dcterms:created xsi:type="dcterms:W3CDTF">2013-12-23T23:15:00Z</dcterms:created>
  <dcterms:modified xsi:type="dcterms:W3CDTF">2025-09-15T08:03:00Z</dcterms:modified>
  <cp:category/>
</cp:coreProperties>
</file>