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7210D" w14:textId="7B3CEAC1" w:rsidR="00C35151" w:rsidRDefault="00305B10">
      <w:pPr>
        <w:pStyle w:val="aa"/>
      </w:pPr>
      <w:r>
        <w:t>Supplement</w:t>
      </w:r>
      <w:r w:rsidR="00925820">
        <w:t xml:space="preserve"> 3</w:t>
      </w:r>
      <w:r>
        <w:t>: Mortality by Metabolic Transition Status</w:t>
      </w:r>
    </w:p>
    <w:p w14:paraId="544BDD58" w14:textId="0656B100" w:rsidR="00C35151" w:rsidRDefault="00305B10">
      <w:r>
        <w:t>This supplement summarizes mortality differences between patients who achieved a metabolic transition (defined by a ≥</w:t>
      </w:r>
      <w:r w:rsidR="000779F0">
        <w:t>3</w:t>
      </w:r>
      <w:r>
        <w:t xml:space="preserve">0% post‑peak IRI drop with persistence and </w:t>
      </w:r>
      <w:r w:rsidR="00E049FA">
        <w:t xml:space="preserve">2 </w:t>
      </w:r>
      <w:r>
        <w:t>supportive criteria) and those who did not.</w:t>
      </w:r>
    </w:p>
    <w:p w14:paraId="7D7748D7" w14:textId="77777777" w:rsidR="00C35151" w:rsidRDefault="00305B10">
      <w:pPr>
        <w:pStyle w:val="1"/>
      </w:pPr>
      <w:r>
        <w:t>Mortality in relation to transition</w:t>
      </w:r>
    </w:p>
    <w:p w14:paraId="7703C37C" w14:textId="55D891EB" w:rsidR="00514851" w:rsidRPr="006A416A" w:rsidRDefault="00514851" w:rsidP="00514851">
      <w:r w:rsidRPr="006A416A">
        <w:t xml:space="preserve">Among 2,350 ICU patients, 2,209 (94.0%) achieved a metabolic transition and 141 (6.0%) did not. Landmark Kaplan–Meier analyses at 3, 7, and 10 days demonstrated consistent separation in survival curves, with higher survival in the transitioned group (Figures S1–S3). </w:t>
      </w:r>
      <w:r w:rsidR="000B3FBE" w:rsidRPr="000B3FBE">
        <w:t xml:space="preserve">In logistic regression, transition status was associated with </w:t>
      </w:r>
      <w:r w:rsidR="005F0E20" w:rsidRPr="005F0E20">
        <w:t>significantly lower 90-day mortality (OR 0.57, 95% CI 0.40–0.80; p=0.001)</w:t>
      </w:r>
      <w:r w:rsidR="000B3FBE">
        <w:t>.</w:t>
      </w:r>
    </w:p>
    <w:p w14:paraId="79836104" w14:textId="77777777" w:rsidR="00C35151" w:rsidRDefault="00305B10">
      <w:pPr>
        <w:jc w:val="center"/>
      </w:pPr>
      <w:r>
        <w:rPr>
          <w:noProof/>
        </w:rPr>
        <w:drawing>
          <wp:inline distT="0" distB="0" distL="0" distR="0" wp14:anchorId="62A507EE" wp14:editId="702E12F8">
            <wp:extent cx="5943600" cy="33760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4de6278ccec27681f9c08ec2f3fa59fea96719.png"/>
                    <pic:cNvPicPr/>
                  </pic:nvPicPr>
                  <pic:blipFill>
                    <a:blip r:embed="rId6"/>
                    <a:stretch>
                      <a:fillRect/>
                    </a:stretch>
                  </pic:blipFill>
                  <pic:spPr>
                    <a:xfrm>
                      <a:off x="0" y="0"/>
                      <a:ext cx="5943600" cy="3376068"/>
                    </a:xfrm>
                    <a:prstGeom prst="rect">
                      <a:avLst/>
                    </a:prstGeom>
                  </pic:spPr>
                </pic:pic>
              </a:graphicData>
            </a:graphic>
          </wp:inline>
        </w:drawing>
      </w:r>
    </w:p>
    <w:p w14:paraId="3FAF3032" w14:textId="77777777" w:rsidR="008601C8" w:rsidRPr="008601C8" w:rsidRDefault="008601C8" w:rsidP="008601C8">
      <w:r w:rsidRPr="008601C8">
        <w:rPr>
          <w:b/>
          <w:bCs/>
        </w:rPr>
        <w:t>Figure S1.</w:t>
      </w:r>
      <w:r w:rsidRPr="008601C8">
        <w:t xml:space="preserve"> Kaplan–Meier survival curves at a 3-day landmark. Patients who had achieved a metabolic transition by day 3 are compared with those who had not. Transitioned patients demonstrate higher survival through 90 days.</w:t>
      </w:r>
    </w:p>
    <w:p w14:paraId="397FE0F3" w14:textId="77777777" w:rsidR="008601C8" w:rsidRDefault="008601C8" w:rsidP="008601C8"/>
    <w:p w14:paraId="402DC68C" w14:textId="77777777" w:rsidR="00C35151" w:rsidRDefault="00305B10">
      <w:pPr>
        <w:jc w:val="center"/>
      </w:pPr>
      <w:r>
        <w:rPr>
          <w:noProof/>
        </w:rPr>
        <w:lastRenderedPageBreak/>
        <w:drawing>
          <wp:inline distT="0" distB="0" distL="0" distR="0" wp14:anchorId="329AA84F" wp14:editId="7237AE0C">
            <wp:extent cx="5943600" cy="33760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0e5fbcb4c2a9e1922f4f772120f97bce8a07ff.png"/>
                    <pic:cNvPicPr/>
                  </pic:nvPicPr>
                  <pic:blipFill>
                    <a:blip r:embed="rId7"/>
                    <a:stretch>
                      <a:fillRect/>
                    </a:stretch>
                  </pic:blipFill>
                  <pic:spPr>
                    <a:xfrm>
                      <a:off x="0" y="0"/>
                      <a:ext cx="5943600" cy="3376068"/>
                    </a:xfrm>
                    <a:prstGeom prst="rect">
                      <a:avLst/>
                    </a:prstGeom>
                  </pic:spPr>
                </pic:pic>
              </a:graphicData>
            </a:graphic>
          </wp:inline>
        </w:drawing>
      </w:r>
    </w:p>
    <w:p w14:paraId="38A31C24" w14:textId="77777777" w:rsidR="008601C8" w:rsidRPr="008601C8" w:rsidRDefault="008601C8" w:rsidP="008601C8">
      <w:r w:rsidRPr="008601C8">
        <w:rPr>
          <w:b/>
          <w:bCs/>
        </w:rPr>
        <w:t>Figure S2.</w:t>
      </w:r>
      <w:r w:rsidRPr="008601C8">
        <w:t xml:space="preserve"> Kaplan–Meier survival curves at a 7-day landmark. Survival separation persists between transitioned and non-transitioned patients, with consistently lower mortality in the transitioned group.</w:t>
      </w:r>
    </w:p>
    <w:p w14:paraId="67B22786" w14:textId="77777777" w:rsidR="008601C8" w:rsidRDefault="008601C8">
      <w:pPr>
        <w:jc w:val="center"/>
      </w:pPr>
    </w:p>
    <w:p w14:paraId="3726B882" w14:textId="77777777" w:rsidR="00C35151" w:rsidRDefault="00305B10">
      <w:pPr>
        <w:jc w:val="center"/>
      </w:pPr>
      <w:r>
        <w:rPr>
          <w:noProof/>
        </w:rPr>
        <w:drawing>
          <wp:inline distT="0" distB="0" distL="0" distR="0" wp14:anchorId="5D1CE9E9" wp14:editId="39466AAF">
            <wp:extent cx="5943600" cy="33760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e5c807f035e65b93c86f341ff9124545111a59.png"/>
                    <pic:cNvPicPr/>
                  </pic:nvPicPr>
                  <pic:blipFill>
                    <a:blip r:embed="rId8"/>
                    <a:stretch>
                      <a:fillRect/>
                    </a:stretch>
                  </pic:blipFill>
                  <pic:spPr>
                    <a:xfrm>
                      <a:off x="0" y="0"/>
                      <a:ext cx="5943600" cy="3376068"/>
                    </a:xfrm>
                    <a:prstGeom prst="rect">
                      <a:avLst/>
                    </a:prstGeom>
                  </pic:spPr>
                </pic:pic>
              </a:graphicData>
            </a:graphic>
          </wp:inline>
        </w:drawing>
      </w:r>
    </w:p>
    <w:p w14:paraId="44E7CD41" w14:textId="0DB2531D" w:rsidR="00C35151" w:rsidRDefault="008601C8" w:rsidP="00914766">
      <w:r w:rsidRPr="008601C8">
        <w:rPr>
          <w:b/>
          <w:bCs/>
        </w:rPr>
        <w:lastRenderedPageBreak/>
        <w:t>Figure S3.</w:t>
      </w:r>
      <w:r w:rsidRPr="008601C8">
        <w:t xml:space="preserve"> Kaplan–Meier survival curves at a 10-day landmark. By this later landmark, the divergence in 90-day survival remains evident, supporting the robustness of the association between transition and improved outcomes.</w:t>
      </w:r>
    </w:p>
    <w:p w14:paraId="59D3830C" w14:textId="4641F3CD" w:rsidR="00ED1BC0" w:rsidRPr="00ED1BC0" w:rsidRDefault="00ED1BC0" w:rsidP="00ED1BC0">
      <w:r w:rsidRPr="00ED1BC0">
        <w:t>When comparing transitioned and non-transitioned patients, baseline comorbidities and admission diagnoses were largely similar</w:t>
      </w:r>
      <w:r w:rsidR="004001B6">
        <w:t xml:space="preserve"> (Table S1)</w:t>
      </w:r>
      <w:r w:rsidRPr="00ED1BC0">
        <w:t>. Admission SOFA scores showed only modest differences between groups, with median values of 12 in both the early (≤5d) and late (&gt;5d) transition groups, and 11 in the never-transitioned group. Despite this, mortality was highest among patients who never transitioned (54% at 90 days) compared with those who transitioned early (38%) or late (48%).</w:t>
      </w:r>
    </w:p>
    <w:p w14:paraId="0A04859A" w14:textId="432B004D" w:rsidR="00ED1BC0" w:rsidRDefault="00ED1BC0" w:rsidP="00ED1BC0">
      <w:r w:rsidRPr="00ED1BC0">
        <w:t>Mechanical ventilation was highly prevalent in all groups, but with important nuances: the late transition group had the highest prevalence (&gt;90%), the early transition group slightly lower (~81%), and the never-transitioned group the lowest (~78%). Thus, the group with the highest mortality paradoxically showed somewhat lower use of mechanical ventilation and slightly lower SOFA scores at baseline. Stratification of the never-transitioned group by admission SOFA demonstrated that mortality increased stepwise with higher SOFA</w:t>
      </w:r>
      <w:r w:rsidR="004001B6">
        <w:t xml:space="preserve"> (Table S3)</w:t>
      </w:r>
      <w:r w:rsidRPr="00ED1BC0">
        <w:t xml:space="preserve">: patients with SOFA ≥15 had early mortality exceeding 30% within 5 days and over </w:t>
      </w:r>
      <w:r w:rsidR="00DB4FB4">
        <w:t>5</w:t>
      </w:r>
      <w:r w:rsidRPr="00ED1BC0">
        <w:t>0% by 90 days, while those with SOFA ≤8 had far lower early mortality and ~40% mortality by 90 days. These findings indicate that the apparent paradox in the aggregate data reflects heterogeneity within the never-transitioned group: some patients died extremely early, before prolonged organ support could be instituted, while others survived longer but failed to demonstrate metabolic recovery.</w:t>
      </w:r>
    </w:p>
    <w:tbl>
      <w:tblPr>
        <w:tblStyle w:val="2a"/>
        <w:bidiVisual/>
        <w:tblW w:w="8915" w:type="dxa"/>
        <w:tblLook w:val="04A0" w:firstRow="1" w:lastRow="0" w:firstColumn="1" w:lastColumn="0" w:noHBand="0" w:noVBand="1"/>
      </w:tblPr>
      <w:tblGrid>
        <w:gridCol w:w="1626"/>
        <w:gridCol w:w="1867"/>
        <w:gridCol w:w="1867"/>
        <w:gridCol w:w="1871"/>
        <w:gridCol w:w="1684"/>
      </w:tblGrid>
      <w:tr w:rsidR="00442C05" w:rsidRPr="0007479A" w14:paraId="6C10D4F0" w14:textId="77777777" w:rsidTr="00FD311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915" w:type="dxa"/>
            <w:gridSpan w:val="5"/>
          </w:tcPr>
          <w:p w14:paraId="3D226887" w14:textId="78BE9BA8" w:rsidR="00442C05" w:rsidRPr="0007479A" w:rsidRDefault="00442C05" w:rsidP="000A0EBA">
            <w:pPr>
              <w:rPr>
                <w:rFonts w:ascii="Arial" w:eastAsia="Times New Roman" w:hAnsi="Arial" w:cs="Arial"/>
                <w:color w:val="000000"/>
                <w:lang w:bidi="he-IL"/>
              </w:rPr>
            </w:pPr>
            <w:r>
              <w:rPr>
                <w:rFonts w:ascii="Arial" w:eastAsia="Times New Roman" w:hAnsi="Arial" w:cs="Arial"/>
                <w:color w:val="000000"/>
                <w:lang w:bidi="he-IL"/>
              </w:rPr>
              <w:t>Table S1:</w:t>
            </w:r>
            <w:r w:rsidR="000A0EBA" w:rsidRPr="000A0EBA">
              <w:rPr>
                <w:b w:val="0"/>
                <w:bCs w:val="0"/>
              </w:rPr>
              <w:t xml:space="preserve"> </w:t>
            </w:r>
            <w:r w:rsidR="000A0EBA" w:rsidRPr="000A0EBA">
              <w:rPr>
                <w:rFonts w:ascii="Arial" w:eastAsia="Times New Roman" w:hAnsi="Arial" w:cs="Arial"/>
                <w:color w:val="000000"/>
                <w:lang w:bidi="he-IL"/>
              </w:rPr>
              <w:t>Comparison of Admission Diagnoses and Comorbidities Between Transitioned and Non-Transitioned Patients</w:t>
            </w:r>
          </w:p>
        </w:tc>
      </w:tr>
      <w:tr w:rsidR="0001492C" w:rsidRPr="0007479A" w14:paraId="4D1A827C"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0FC3D8A9" w14:textId="2CC6E557"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p-value</w:t>
            </w:r>
          </w:p>
        </w:tc>
        <w:tc>
          <w:tcPr>
            <w:tcW w:w="1867" w:type="dxa"/>
          </w:tcPr>
          <w:p w14:paraId="0F5698AF" w14:textId="27FC0B2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Never</w:t>
            </w:r>
          </w:p>
        </w:tc>
        <w:tc>
          <w:tcPr>
            <w:tcW w:w="1867" w:type="dxa"/>
          </w:tcPr>
          <w:p w14:paraId="5A237E7A" w14:textId="58188DE1"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Late (&gt;5d)</w:t>
            </w:r>
          </w:p>
        </w:tc>
        <w:tc>
          <w:tcPr>
            <w:tcW w:w="1871" w:type="dxa"/>
            <w:noWrap/>
            <w:hideMark/>
          </w:tcPr>
          <w:p w14:paraId="2B2A3E1A" w14:textId="7BEC53AA"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Early (</w:t>
            </w:r>
            <w:r>
              <w:rPr>
                <w:rFonts w:ascii="Arial" w:eastAsia="Times New Roman" w:hAnsi="Arial" w:cs="Arial"/>
                <w:color w:val="000000"/>
                <w:lang w:bidi="he-IL"/>
              </w:rPr>
              <w:t>&lt;5d</w:t>
            </w:r>
            <w:r w:rsidRPr="0007479A">
              <w:rPr>
                <w:rFonts w:ascii="Arial" w:eastAsia="Times New Roman" w:hAnsi="Arial" w:cs="Arial"/>
                <w:color w:val="000000"/>
                <w:lang w:bidi="he-IL"/>
              </w:rPr>
              <w:t>)</w:t>
            </w:r>
          </w:p>
        </w:tc>
        <w:tc>
          <w:tcPr>
            <w:tcW w:w="1684" w:type="dxa"/>
          </w:tcPr>
          <w:p w14:paraId="00987AD6" w14:textId="37B1DBBF"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Characteristic</w:t>
            </w:r>
          </w:p>
        </w:tc>
      </w:tr>
      <w:tr w:rsidR="0001492C" w:rsidRPr="0007479A" w14:paraId="78D313C7"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5E8E0640" w14:textId="655903BC"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0.071</w:t>
            </w:r>
          </w:p>
        </w:tc>
        <w:tc>
          <w:tcPr>
            <w:tcW w:w="1867" w:type="dxa"/>
          </w:tcPr>
          <w:p w14:paraId="68AB202C" w14:textId="0B43A0DF"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63.2 [51.4, 71.8]</w:t>
            </w:r>
          </w:p>
        </w:tc>
        <w:tc>
          <w:tcPr>
            <w:tcW w:w="1867" w:type="dxa"/>
          </w:tcPr>
          <w:p w14:paraId="4DBA42B4" w14:textId="4107C62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65.4 [51.2, 72.7]</w:t>
            </w:r>
          </w:p>
        </w:tc>
        <w:tc>
          <w:tcPr>
            <w:tcW w:w="1871" w:type="dxa"/>
            <w:noWrap/>
            <w:hideMark/>
          </w:tcPr>
          <w:p w14:paraId="3D3E7587" w14:textId="20789A0A"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63.2 [49.5, 71.3]</w:t>
            </w:r>
          </w:p>
        </w:tc>
        <w:tc>
          <w:tcPr>
            <w:tcW w:w="1684" w:type="dxa"/>
          </w:tcPr>
          <w:p w14:paraId="40B43537" w14:textId="3D47F5B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Age (years)</w:t>
            </w:r>
          </w:p>
        </w:tc>
      </w:tr>
      <w:tr w:rsidR="0001492C" w:rsidRPr="0007479A" w14:paraId="5684FA26"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12C4BBA0" w14:textId="22F127ED"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0.022</w:t>
            </w:r>
          </w:p>
        </w:tc>
        <w:tc>
          <w:tcPr>
            <w:tcW w:w="1867" w:type="dxa"/>
          </w:tcPr>
          <w:p w14:paraId="18D27CF2" w14:textId="3C7F411C"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11.0 [9.0, 14.0]</w:t>
            </w:r>
          </w:p>
        </w:tc>
        <w:tc>
          <w:tcPr>
            <w:tcW w:w="1867" w:type="dxa"/>
          </w:tcPr>
          <w:p w14:paraId="05E72D50" w14:textId="6249C911"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12.0 [10.0, 15.0]</w:t>
            </w:r>
          </w:p>
        </w:tc>
        <w:tc>
          <w:tcPr>
            <w:tcW w:w="1871" w:type="dxa"/>
            <w:noWrap/>
            <w:hideMark/>
          </w:tcPr>
          <w:p w14:paraId="31D22EF5" w14:textId="44A1953D"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12.0 [9.0, 14.0]</w:t>
            </w:r>
          </w:p>
        </w:tc>
        <w:tc>
          <w:tcPr>
            <w:tcW w:w="1684" w:type="dxa"/>
          </w:tcPr>
          <w:p w14:paraId="5BC558CF" w14:textId="0CAA6AB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SOFA score at admission</w:t>
            </w:r>
          </w:p>
        </w:tc>
      </w:tr>
      <w:tr w:rsidR="0001492C" w:rsidRPr="0007479A" w14:paraId="0130B209"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50F3D4EE" w14:textId="775EE4F8"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w:t>
            </w:r>
            <w:r w:rsidR="006C4A3B">
              <w:rPr>
                <w:rFonts w:ascii="Arial" w:eastAsia="Times New Roman" w:hAnsi="Arial" w:cs="Arial"/>
                <w:color w:val="000000"/>
                <w:lang w:bidi="he-IL"/>
              </w:rPr>
              <w:t>.000</w:t>
            </w:r>
          </w:p>
        </w:tc>
        <w:tc>
          <w:tcPr>
            <w:tcW w:w="1867" w:type="dxa"/>
          </w:tcPr>
          <w:p w14:paraId="12ADCA91" w14:textId="78F1AE8D"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6.9 [3.6, 17.6]</w:t>
            </w:r>
          </w:p>
        </w:tc>
        <w:tc>
          <w:tcPr>
            <w:tcW w:w="1867" w:type="dxa"/>
          </w:tcPr>
          <w:p w14:paraId="417E4D2E" w14:textId="43B37787"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15.1 [10.7, 22.7]</w:t>
            </w:r>
          </w:p>
        </w:tc>
        <w:tc>
          <w:tcPr>
            <w:tcW w:w="1871" w:type="dxa"/>
            <w:noWrap/>
            <w:hideMark/>
          </w:tcPr>
          <w:p w14:paraId="5594D10C" w14:textId="06D8AD55"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6.9 [4.0, 12.9]</w:t>
            </w:r>
          </w:p>
        </w:tc>
        <w:tc>
          <w:tcPr>
            <w:tcW w:w="1684" w:type="dxa"/>
          </w:tcPr>
          <w:p w14:paraId="762429BE" w14:textId="00CBA96C"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ICU length of stay (days)</w:t>
            </w:r>
          </w:p>
        </w:tc>
      </w:tr>
      <w:tr w:rsidR="0001492C" w:rsidRPr="0007479A" w14:paraId="3D0B5479"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754FA244" w14:textId="3B5FD49C"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0.178</w:t>
            </w:r>
          </w:p>
        </w:tc>
        <w:tc>
          <w:tcPr>
            <w:tcW w:w="1867" w:type="dxa"/>
          </w:tcPr>
          <w:p w14:paraId="1D5C493B" w14:textId="6AC2603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91/141 (64.5%)</w:t>
            </w:r>
          </w:p>
        </w:tc>
        <w:tc>
          <w:tcPr>
            <w:tcW w:w="1867" w:type="dxa"/>
          </w:tcPr>
          <w:p w14:paraId="159CF37A" w14:textId="56FD548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304/476 (63.9%)</w:t>
            </w:r>
          </w:p>
        </w:tc>
        <w:tc>
          <w:tcPr>
            <w:tcW w:w="1871" w:type="dxa"/>
            <w:noWrap/>
            <w:hideMark/>
          </w:tcPr>
          <w:p w14:paraId="337588CC" w14:textId="59CFD7F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1036/1733 (59.8%)</w:t>
            </w:r>
          </w:p>
        </w:tc>
        <w:tc>
          <w:tcPr>
            <w:tcW w:w="1684" w:type="dxa"/>
          </w:tcPr>
          <w:p w14:paraId="58E76B5E" w14:textId="202F52A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Male sex</w:t>
            </w:r>
          </w:p>
        </w:tc>
      </w:tr>
      <w:tr w:rsidR="0001492C" w:rsidRPr="0007479A" w14:paraId="4CC5D142"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66763618" w14:textId="0E217A99"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w:t>
            </w:r>
            <w:r w:rsidR="006C4A3B">
              <w:rPr>
                <w:rFonts w:ascii="Arial" w:eastAsia="Times New Roman" w:hAnsi="Arial" w:cs="Arial"/>
                <w:color w:val="000000"/>
                <w:lang w:bidi="he-IL"/>
              </w:rPr>
              <w:t>.000</w:t>
            </w:r>
          </w:p>
        </w:tc>
        <w:tc>
          <w:tcPr>
            <w:tcW w:w="1867" w:type="dxa"/>
          </w:tcPr>
          <w:p w14:paraId="2B7B3F81" w14:textId="3DF11324"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110/141 (78.0%)</w:t>
            </w:r>
          </w:p>
        </w:tc>
        <w:tc>
          <w:tcPr>
            <w:tcW w:w="1867" w:type="dxa"/>
          </w:tcPr>
          <w:p w14:paraId="3604C6CD" w14:textId="4FA09AC1"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433/476 (91.0%)</w:t>
            </w:r>
          </w:p>
        </w:tc>
        <w:tc>
          <w:tcPr>
            <w:tcW w:w="1871" w:type="dxa"/>
            <w:noWrap/>
            <w:hideMark/>
          </w:tcPr>
          <w:p w14:paraId="0244AD11" w14:textId="3C80D8AA"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1402/1733 (80.9%)</w:t>
            </w:r>
          </w:p>
        </w:tc>
        <w:tc>
          <w:tcPr>
            <w:tcW w:w="1684" w:type="dxa"/>
          </w:tcPr>
          <w:p w14:paraId="3D1FC714" w14:textId="52828FE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Mechanical ventilation</w:t>
            </w:r>
          </w:p>
        </w:tc>
      </w:tr>
      <w:tr w:rsidR="0001492C" w:rsidRPr="0007479A" w14:paraId="543CA244"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2CBD5C46" w14:textId="623F5268"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0.138</w:t>
            </w:r>
          </w:p>
        </w:tc>
        <w:tc>
          <w:tcPr>
            <w:tcW w:w="1867" w:type="dxa"/>
          </w:tcPr>
          <w:p w14:paraId="45F9836A" w14:textId="64780FA9"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65/141 (46.1%)</w:t>
            </w:r>
          </w:p>
        </w:tc>
        <w:tc>
          <w:tcPr>
            <w:tcW w:w="1867" w:type="dxa"/>
          </w:tcPr>
          <w:p w14:paraId="17961DDE" w14:textId="5F5DC48A"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237/476 (49.8%)</w:t>
            </w:r>
          </w:p>
        </w:tc>
        <w:tc>
          <w:tcPr>
            <w:tcW w:w="1871" w:type="dxa"/>
            <w:noWrap/>
            <w:hideMark/>
          </w:tcPr>
          <w:p w14:paraId="175F5FF7" w14:textId="4B5BB0B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774/1733 (44.7%)</w:t>
            </w:r>
          </w:p>
        </w:tc>
        <w:tc>
          <w:tcPr>
            <w:tcW w:w="1684" w:type="dxa"/>
          </w:tcPr>
          <w:p w14:paraId="67BA58B7" w14:textId="75D7A84F"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Sepsis</w:t>
            </w:r>
          </w:p>
        </w:tc>
      </w:tr>
      <w:tr w:rsidR="0001492C" w:rsidRPr="0007479A" w14:paraId="52BF25E2"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48D520DA" w14:textId="324944F0"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0.164</w:t>
            </w:r>
          </w:p>
        </w:tc>
        <w:tc>
          <w:tcPr>
            <w:tcW w:w="1867" w:type="dxa"/>
          </w:tcPr>
          <w:p w14:paraId="3A4955C7" w14:textId="6CFDC073"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55/141 (39.0%)</w:t>
            </w:r>
          </w:p>
        </w:tc>
        <w:tc>
          <w:tcPr>
            <w:tcW w:w="1867" w:type="dxa"/>
          </w:tcPr>
          <w:p w14:paraId="733B773B" w14:textId="2B49C796"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201/476 (42.2%)</w:t>
            </w:r>
          </w:p>
        </w:tc>
        <w:tc>
          <w:tcPr>
            <w:tcW w:w="1871" w:type="dxa"/>
            <w:noWrap/>
            <w:hideMark/>
          </w:tcPr>
          <w:p w14:paraId="2573402D" w14:textId="535EB465"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649/1733 (37.4%)</w:t>
            </w:r>
          </w:p>
        </w:tc>
        <w:tc>
          <w:tcPr>
            <w:tcW w:w="1684" w:type="dxa"/>
          </w:tcPr>
          <w:p w14:paraId="0E17BE27" w14:textId="6D60CBF1"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Septic shock</w:t>
            </w:r>
          </w:p>
        </w:tc>
      </w:tr>
      <w:tr w:rsidR="0001492C" w:rsidRPr="0007479A" w14:paraId="2939D81F"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4767C5B3" w14:textId="3FE666E8"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0.384</w:t>
            </w:r>
          </w:p>
        </w:tc>
        <w:tc>
          <w:tcPr>
            <w:tcW w:w="1867" w:type="dxa"/>
          </w:tcPr>
          <w:p w14:paraId="29A29218" w14:textId="5DCCF7DB"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43/141 (30.5%)</w:t>
            </w:r>
          </w:p>
        </w:tc>
        <w:tc>
          <w:tcPr>
            <w:tcW w:w="1867" w:type="dxa"/>
          </w:tcPr>
          <w:p w14:paraId="734A286C" w14:textId="487A9D15"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173/476 (36.3%)</w:t>
            </w:r>
          </w:p>
        </w:tc>
        <w:tc>
          <w:tcPr>
            <w:tcW w:w="1871" w:type="dxa"/>
            <w:noWrap/>
            <w:hideMark/>
          </w:tcPr>
          <w:p w14:paraId="1BB8773A" w14:textId="512E2B91"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587/1733 (33.9%)</w:t>
            </w:r>
          </w:p>
        </w:tc>
        <w:tc>
          <w:tcPr>
            <w:tcW w:w="1684" w:type="dxa"/>
          </w:tcPr>
          <w:p w14:paraId="0A105B7F" w14:textId="357CD676"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Acute kidney injury</w:t>
            </w:r>
          </w:p>
        </w:tc>
      </w:tr>
      <w:tr w:rsidR="0001492C" w:rsidRPr="0007479A" w14:paraId="4ABE912F"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3DFA7681" w14:textId="0506A335"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0.002</w:t>
            </w:r>
          </w:p>
        </w:tc>
        <w:tc>
          <w:tcPr>
            <w:tcW w:w="1867" w:type="dxa"/>
          </w:tcPr>
          <w:p w14:paraId="0D30BB81" w14:textId="1B4D84F9"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43/141 (30.5%)</w:t>
            </w:r>
          </w:p>
        </w:tc>
        <w:tc>
          <w:tcPr>
            <w:tcW w:w="1867" w:type="dxa"/>
          </w:tcPr>
          <w:p w14:paraId="34B5AA81" w14:textId="22E9156F"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174/476 (36.6%)</w:t>
            </w:r>
          </w:p>
        </w:tc>
        <w:tc>
          <w:tcPr>
            <w:tcW w:w="1871" w:type="dxa"/>
            <w:noWrap/>
            <w:hideMark/>
          </w:tcPr>
          <w:p w14:paraId="3F76E82D" w14:textId="4C92BEFC"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486/1733 (28.0%)</w:t>
            </w:r>
          </w:p>
        </w:tc>
        <w:tc>
          <w:tcPr>
            <w:tcW w:w="1684" w:type="dxa"/>
          </w:tcPr>
          <w:p w14:paraId="0F8624CC" w14:textId="113C34BA"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Pneumonia</w:t>
            </w:r>
          </w:p>
        </w:tc>
      </w:tr>
      <w:tr w:rsidR="0001492C" w:rsidRPr="0007479A" w14:paraId="234AFB62"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4EE546E0" w14:textId="6AAFE252"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0.415</w:t>
            </w:r>
          </w:p>
        </w:tc>
        <w:tc>
          <w:tcPr>
            <w:tcW w:w="1867" w:type="dxa"/>
          </w:tcPr>
          <w:p w14:paraId="17B50CF8" w14:textId="07F2F3F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11/141 (7.8%)</w:t>
            </w:r>
          </w:p>
        </w:tc>
        <w:tc>
          <w:tcPr>
            <w:tcW w:w="1867" w:type="dxa"/>
          </w:tcPr>
          <w:p w14:paraId="18EB7394" w14:textId="62E7FEE4"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37/476 (7.8%)</w:t>
            </w:r>
          </w:p>
        </w:tc>
        <w:tc>
          <w:tcPr>
            <w:tcW w:w="1871" w:type="dxa"/>
            <w:noWrap/>
            <w:hideMark/>
          </w:tcPr>
          <w:p w14:paraId="73A11EAE" w14:textId="4D4987CC"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108/1733 (6.2%)</w:t>
            </w:r>
          </w:p>
        </w:tc>
        <w:tc>
          <w:tcPr>
            <w:tcW w:w="1684" w:type="dxa"/>
          </w:tcPr>
          <w:p w14:paraId="5A010CE5" w14:textId="4DBF7E7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Trauma (MVA)</w:t>
            </w:r>
          </w:p>
        </w:tc>
      </w:tr>
      <w:tr w:rsidR="0001492C" w:rsidRPr="0007479A" w14:paraId="2FFAF813"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059EF1B7" w14:textId="788A5B39"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0.505</w:t>
            </w:r>
          </w:p>
        </w:tc>
        <w:tc>
          <w:tcPr>
            <w:tcW w:w="1867" w:type="dxa"/>
          </w:tcPr>
          <w:p w14:paraId="16A543D8" w14:textId="0E86045B"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7/141 (5.0%)</w:t>
            </w:r>
          </w:p>
        </w:tc>
        <w:tc>
          <w:tcPr>
            <w:tcW w:w="1867" w:type="dxa"/>
          </w:tcPr>
          <w:p w14:paraId="2B06547B" w14:textId="792A5A2D"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17/476 (3.6%)</w:t>
            </w:r>
          </w:p>
        </w:tc>
        <w:tc>
          <w:tcPr>
            <w:tcW w:w="1871" w:type="dxa"/>
            <w:noWrap/>
            <w:hideMark/>
          </w:tcPr>
          <w:p w14:paraId="5DF0B7C2" w14:textId="21934D39"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55/1733 (3.2%)</w:t>
            </w:r>
          </w:p>
        </w:tc>
        <w:tc>
          <w:tcPr>
            <w:tcW w:w="1684" w:type="dxa"/>
          </w:tcPr>
          <w:p w14:paraId="295D3944" w14:textId="46636C3A"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Pancreatitis</w:t>
            </w:r>
          </w:p>
        </w:tc>
      </w:tr>
      <w:tr w:rsidR="0001492C" w:rsidRPr="0007479A" w14:paraId="31A7185B"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13DB5240" w14:textId="6EDA8813"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0.345</w:t>
            </w:r>
          </w:p>
        </w:tc>
        <w:tc>
          <w:tcPr>
            <w:tcW w:w="1867" w:type="dxa"/>
          </w:tcPr>
          <w:p w14:paraId="27401A15" w14:textId="4661BE52"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4/141 (2.8%)</w:t>
            </w:r>
          </w:p>
        </w:tc>
        <w:tc>
          <w:tcPr>
            <w:tcW w:w="1867" w:type="dxa"/>
          </w:tcPr>
          <w:p w14:paraId="45A43659" w14:textId="68D25905"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19/476 (4.0%)</w:t>
            </w:r>
          </w:p>
        </w:tc>
        <w:tc>
          <w:tcPr>
            <w:tcW w:w="1871" w:type="dxa"/>
            <w:noWrap/>
            <w:hideMark/>
          </w:tcPr>
          <w:p w14:paraId="3E5FCFDF" w14:textId="41B486CD"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47/1733 (2.7%)</w:t>
            </w:r>
          </w:p>
        </w:tc>
        <w:tc>
          <w:tcPr>
            <w:tcW w:w="1684" w:type="dxa"/>
          </w:tcPr>
          <w:p w14:paraId="5CC068B9" w14:textId="6F3BD478"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 xml:space="preserve">Cardiogenic </w:t>
            </w:r>
            <w:r w:rsidRPr="0007479A">
              <w:rPr>
                <w:rFonts w:ascii="Arial" w:eastAsia="Times New Roman" w:hAnsi="Arial" w:cs="Arial"/>
                <w:color w:val="000000"/>
                <w:lang w:bidi="he-IL"/>
              </w:rPr>
              <w:lastRenderedPageBreak/>
              <w:t>shock</w:t>
            </w:r>
          </w:p>
        </w:tc>
      </w:tr>
      <w:tr w:rsidR="0001492C" w:rsidRPr="0007479A" w14:paraId="23F3228E"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11AFBECC" w14:textId="50A3302C"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lastRenderedPageBreak/>
              <w:t>0.336</w:t>
            </w:r>
          </w:p>
        </w:tc>
        <w:tc>
          <w:tcPr>
            <w:tcW w:w="1867" w:type="dxa"/>
          </w:tcPr>
          <w:p w14:paraId="6D8C3074" w14:textId="2ECF3086"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3/141 (2.1%)</w:t>
            </w:r>
          </w:p>
        </w:tc>
        <w:tc>
          <w:tcPr>
            <w:tcW w:w="1867" w:type="dxa"/>
          </w:tcPr>
          <w:p w14:paraId="51BD1BEF" w14:textId="68AE0B93"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15/476 (3.2%)</w:t>
            </w:r>
          </w:p>
        </w:tc>
        <w:tc>
          <w:tcPr>
            <w:tcW w:w="1871" w:type="dxa"/>
            <w:noWrap/>
            <w:hideMark/>
          </w:tcPr>
          <w:p w14:paraId="1EF89D14" w14:textId="0FEB5233"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35/1733 (2.0%)</w:t>
            </w:r>
          </w:p>
        </w:tc>
        <w:tc>
          <w:tcPr>
            <w:tcW w:w="1684" w:type="dxa"/>
          </w:tcPr>
          <w:p w14:paraId="3C61F66A" w14:textId="6552F2E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Burns</w:t>
            </w:r>
          </w:p>
        </w:tc>
      </w:tr>
      <w:tr w:rsidR="0001492C" w:rsidRPr="0007479A" w14:paraId="55672334"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20713013" w14:textId="1F7BD7C9"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0.063</w:t>
            </w:r>
          </w:p>
        </w:tc>
        <w:tc>
          <w:tcPr>
            <w:tcW w:w="1867" w:type="dxa"/>
          </w:tcPr>
          <w:p w14:paraId="1FA4262E" w14:textId="5D854B43"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60/141 (42.6%)</w:t>
            </w:r>
          </w:p>
        </w:tc>
        <w:tc>
          <w:tcPr>
            <w:tcW w:w="1867" w:type="dxa"/>
          </w:tcPr>
          <w:p w14:paraId="342753A0" w14:textId="77FF02C8"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193/476 (40.5%)</w:t>
            </w:r>
          </w:p>
        </w:tc>
        <w:tc>
          <w:tcPr>
            <w:tcW w:w="1871" w:type="dxa"/>
            <w:noWrap/>
            <w:hideMark/>
          </w:tcPr>
          <w:p w14:paraId="1A5590BA" w14:textId="391D4D32"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620/1733 (35.8%)</w:t>
            </w:r>
          </w:p>
        </w:tc>
        <w:tc>
          <w:tcPr>
            <w:tcW w:w="1684" w:type="dxa"/>
          </w:tcPr>
          <w:p w14:paraId="6094C33A" w14:textId="3A3D9D1A"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Hypertension</w:t>
            </w:r>
          </w:p>
        </w:tc>
      </w:tr>
      <w:tr w:rsidR="0001492C" w:rsidRPr="0007479A" w14:paraId="443F1D71"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74FBCAB6" w14:textId="6D11FEA7"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0.356</w:t>
            </w:r>
          </w:p>
        </w:tc>
        <w:tc>
          <w:tcPr>
            <w:tcW w:w="1867" w:type="dxa"/>
          </w:tcPr>
          <w:p w14:paraId="07EC1A36" w14:textId="5DA52739"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50/141 (35.5%)</w:t>
            </w:r>
          </w:p>
        </w:tc>
        <w:tc>
          <w:tcPr>
            <w:tcW w:w="1867" w:type="dxa"/>
          </w:tcPr>
          <w:p w14:paraId="26A2496E" w14:textId="0D1AA094"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180/476 (37.8%)</w:t>
            </w:r>
          </w:p>
        </w:tc>
        <w:tc>
          <w:tcPr>
            <w:tcW w:w="1871" w:type="dxa"/>
            <w:noWrap/>
            <w:hideMark/>
          </w:tcPr>
          <w:p w14:paraId="52789F1B" w14:textId="557C8FB7"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594/1733 (34.3%)</w:t>
            </w:r>
          </w:p>
        </w:tc>
        <w:tc>
          <w:tcPr>
            <w:tcW w:w="1684" w:type="dxa"/>
          </w:tcPr>
          <w:p w14:paraId="2B5A3478" w14:textId="68C0BAB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Diabetes mellitus</w:t>
            </w:r>
          </w:p>
        </w:tc>
      </w:tr>
      <w:tr w:rsidR="0001492C" w:rsidRPr="0007479A" w14:paraId="70698CA0"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20F2504B" w14:textId="66633531"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0.562</w:t>
            </w:r>
          </w:p>
        </w:tc>
        <w:tc>
          <w:tcPr>
            <w:tcW w:w="1867" w:type="dxa"/>
          </w:tcPr>
          <w:p w14:paraId="1AA119AE" w14:textId="23DEA66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41/141 (29.1%)</w:t>
            </w:r>
          </w:p>
        </w:tc>
        <w:tc>
          <w:tcPr>
            <w:tcW w:w="1867" w:type="dxa"/>
          </w:tcPr>
          <w:p w14:paraId="0429F90E" w14:textId="518F1339"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138/476 (29.0%)</w:t>
            </w:r>
          </w:p>
        </w:tc>
        <w:tc>
          <w:tcPr>
            <w:tcW w:w="1871" w:type="dxa"/>
            <w:noWrap/>
            <w:hideMark/>
          </w:tcPr>
          <w:p w14:paraId="308236B1" w14:textId="2FCDC5CC"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543/1733 (31.3%)</w:t>
            </w:r>
          </w:p>
        </w:tc>
        <w:tc>
          <w:tcPr>
            <w:tcW w:w="1684" w:type="dxa"/>
          </w:tcPr>
          <w:p w14:paraId="4333CAAD" w14:textId="44C82199"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Obesity (BMI &gt;30)</w:t>
            </w:r>
          </w:p>
        </w:tc>
      </w:tr>
      <w:tr w:rsidR="0001492C" w:rsidRPr="0007479A" w14:paraId="3B3A4650"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0B74371C" w14:textId="06FC81A1"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0.094</w:t>
            </w:r>
          </w:p>
        </w:tc>
        <w:tc>
          <w:tcPr>
            <w:tcW w:w="1867" w:type="dxa"/>
          </w:tcPr>
          <w:p w14:paraId="7D7D971F" w14:textId="2FA27817"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26/141 (18.4%)</w:t>
            </w:r>
          </w:p>
        </w:tc>
        <w:tc>
          <w:tcPr>
            <w:tcW w:w="1867" w:type="dxa"/>
          </w:tcPr>
          <w:p w14:paraId="7295D6E5" w14:textId="78E15A27"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104/476 (21.8%)</w:t>
            </w:r>
          </w:p>
        </w:tc>
        <w:tc>
          <w:tcPr>
            <w:tcW w:w="1871" w:type="dxa"/>
            <w:noWrap/>
            <w:hideMark/>
          </w:tcPr>
          <w:p w14:paraId="134A5B08" w14:textId="6D65B9CD"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303/1733 (17.5%)</w:t>
            </w:r>
          </w:p>
        </w:tc>
        <w:tc>
          <w:tcPr>
            <w:tcW w:w="1684" w:type="dxa"/>
          </w:tcPr>
          <w:p w14:paraId="78D2FC82" w14:textId="4CBDD4FB"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Hyperlipidemia</w:t>
            </w:r>
          </w:p>
        </w:tc>
      </w:tr>
      <w:tr w:rsidR="0001492C" w:rsidRPr="0007479A" w14:paraId="086F6900"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58482B27" w14:textId="2005B563"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0.289</w:t>
            </w:r>
          </w:p>
        </w:tc>
        <w:tc>
          <w:tcPr>
            <w:tcW w:w="1867" w:type="dxa"/>
          </w:tcPr>
          <w:p w14:paraId="0F7F5750" w14:textId="06E5C674"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19/141 (13.5%)</w:t>
            </w:r>
          </w:p>
        </w:tc>
        <w:tc>
          <w:tcPr>
            <w:tcW w:w="1867" w:type="dxa"/>
          </w:tcPr>
          <w:p w14:paraId="5611CDB9" w14:textId="784C924F"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87/476 (18.3%)</w:t>
            </w:r>
          </w:p>
        </w:tc>
        <w:tc>
          <w:tcPr>
            <w:tcW w:w="1871" w:type="dxa"/>
            <w:noWrap/>
            <w:hideMark/>
          </w:tcPr>
          <w:p w14:paraId="61D2D5D3" w14:textId="3A0B142D"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274/1733 (15.8%)</w:t>
            </w:r>
          </w:p>
        </w:tc>
        <w:tc>
          <w:tcPr>
            <w:tcW w:w="1684" w:type="dxa"/>
          </w:tcPr>
          <w:p w14:paraId="0AA4E4B4" w14:textId="29A07854"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Ischemic heart disease</w:t>
            </w:r>
          </w:p>
        </w:tc>
      </w:tr>
      <w:tr w:rsidR="0001492C" w:rsidRPr="0007479A" w14:paraId="1C54E115"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78E8F28E" w14:textId="160C5DC6"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0.912</w:t>
            </w:r>
          </w:p>
        </w:tc>
        <w:tc>
          <w:tcPr>
            <w:tcW w:w="1867" w:type="dxa"/>
          </w:tcPr>
          <w:p w14:paraId="2ACC895F" w14:textId="37FAF72E"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34/141 (24.1%)</w:t>
            </w:r>
          </w:p>
        </w:tc>
        <w:tc>
          <w:tcPr>
            <w:tcW w:w="1867" w:type="dxa"/>
          </w:tcPr>
          <w:p w14:paraId="333E03AC" w14:textId="2C95E28D"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114/476 (23.9%)</w:t>
            </w:r>
          </w:p>
        </w:tc>
        <w:tc>
          <w:tcPr>
            <w:tcW w:w="1871" w:type="dxa"/>
            <w:noWrap/>
            <w:hideMark/>
          </w:tcPr>
          <w:p w14:paraId="0A71994B" w14:textId="37939168"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401/1733 (23.1%)</w:t>
            </w:r>
          </w:p>
        </w:tc>
        <w:tc>
          <w:tcPr>
            <w:tcW w:w="1684" w:type="dxa"/>
          </w:tcPr>
          <w:p w14:paraId="39462746" w14:textId="0C34EB83"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Smoking history</w:t>
            </w:r>
          </w:p>
        </w:tc>
      </w:tr>
      <w:tr w:rsidR="0001492C" w:rsidRPr="0007479A" w14:paraId="6D7A46C8"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6A15BF65" w14:textId="7376415B"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0.08</w:t>
            </w:r>
          </w:p>
        </w:tc>
        <w:tc>
          <w:tcPr>
            <w:tcW w:w="1867" w:type="dxa"/>
          </w:tcPr>
          <w:p w14:paraId="06FED51E" w14:textId="31E96B8A"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26/141 (18.4%)</w:t>
            </w:r>
          </w:p>
        </w:tc>
        <w:tc>
          <w:tcPr>
            <w:tcW w:w="1867" w:type="dxa"/>
          </w:tcPr>
          <w:p w14:paraId="1FB57FB5" w14:textId="0D210CD3"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64/476 (13.4%)</w:t>
            </w:r>
          </w:p>
        </w:tc>
        <w:tc>
          <w:tcPr>
            <w:tcW w:w="1871" w:type="dxa"/>
            <w:noWrap/>
            <w:hideMark/>
          </w:tcPr>
          <w:p w14:paraId="14B899BB" w14:textId="1D88AF3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209/1733 (12.1%)</w:t>
            </w:r>
          </w:p>
        </w:tc>
        <w:tc>
          <w:tcPr>
            <w:tcW w:w="1684" w:type="dxa"/>
          </w:tcPr>
          <w:p w14:paraId="339AC8D4" w14:textId="653BAE85"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Atrial fibrillation</w:t>
            </w:r>
          </w:p>
        </w:tc>
      </w:tr>
      <w:tr w:rsidR="0001492C" w:rsidRPr="0007479A" w14:paraId="4151A1E8"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08FBD14C" w14:textId="1AB62464"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0.066</w:t>
            </w:r>
          </w:p>
        </w:tc>
        <w:tc>
          <w:tcPr>
            <w:tcW w:w="1867" w:type="dxa"/>
          </w:tcPr>
          <w:p w14:paraId="54076E93" w14:textId="62CF6014"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7/141 (5.0%)</w:t>
            </w:r>
          </w:p>
        </w:tc>
        <w:tc>
          <w:tcPr>
            <w:tcW w:w="1867" w:type="dxa"/>
          </w:tcPr>
          <w:p w14:paraId="1A51D91D" w14:textId="47F5A6B6"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35/476 (7.4%)</w:t>
            </w:r>
          </w:p>
        </w:tc>
        <w:tc>
          <w:tcPr>
            <w:tcW w:w="1871" w:type="dxa"/>
            <w:noWrap/>
            <w:hideMark/>
          </w:tcPr>
          <w:p w14:paraId="4E576288" w14:textId="5F45F842"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168/1733 (9.7%)</w:t>
            </w:r>
          </w:p>
        </w:tc>
        <w:tc>
          <w:tcPr>
            <w:tcW w:w="1684" w:type="dxa"/>
          </w:tcPr>
          <w:p w14:paraId="1BCC2A86" w14:textId="3DA30B6B"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COPD</w:t>
            </w:r>
          </w:p>
        </w:tc>
      </w:tr>
      <w:tr w:rsidR="0001492C" w:rsidRPr="0007479A" w14:paraId="4FA43FB5" w14:textId="77777777" w:rsidTr="00442C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26" w:type="dxa"/>
          </w:tcPr>
          <w:p w14:paraId="2D8641DC" w14:textId="589ECC32"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0.363</w:t>
            </w:r>
          </w:p>
        </w:tc>
        <w:tc>
          <w:tcPr>
            <w:tcW w:w="1867" w:type="dxa"/>
          </w:tcPr>
          <w:p w14:paraId="69F39557" w14:textId="48A5BC0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9/141 (6.4%)</w:t>
            </w:r>
          </w:p>
        </w:tc>
        <w:tc>
          <w:tcPr>
            <w:tcW w:w="1867" w:type="dxa"/>
          </w:tcPr>
          <w:p w14:paraId="686FF98F" w14:textId="36096677"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46/476 (9.7%)</w:t>
            </w:r>
          </w:p>
        </w:tc>
        <w:tc>
          <w:tcPr>
            <w:tcW w:w="1871" w:type="dxa"/>
            <w:noWrap/>
            <w:hideMark/>
          </w:tcPr>
          <w:p w14:paraId="36288411" w14:textId="6132799A"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139/1733 (8.0%)</w:t>
            </w:r>
          </w:p>
        </w:tc>
        <w:tc>
          <w:tcPr>
            <w:tcW w:w="1684" w:type="dxa"/>
          </w:tcPr>
          <w:p w14:paraId="03C8D5AF" w14:textId="32F9DF50" w:rsidR="0001492C" w:rsidRPr="0007479A" w:rsidRDefault="0001492C" w:rsidP="0001492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Chronic kidney disease</w:t>
            </w:r>
          </w:p>
        </w:tc>
      </w:tr>
      <w:tr w:rsidR="0001492C" w:rsidRPr="0007479A" w14:paraId="5C46CB9A" w14:textId="77777777" w:rsidTr="00442C05">
        <w:trPr>
          <w:trHeight w:val="280"/>
        </w:trPr>
        <w:tc>
          <w:tcPr>
            <w:cnfStyle w:val="001000000000" w:firstRow="0" w:lastRow="0" w:firstColumn="1" w:lastColumn="0" w:oddVBand="0" w:evenVBand="0" w:oddHBand="0" w:evenHBand="0" w:firstRowFirstColumn="0" w:firstRowLastColumn="0" w:lastRowFirstColumn="0" w:lastRowLastColumn="0"/>
            <w:tcW w:w="1626" w:type="dxa"/>
          </w:tcPr>
          <w:p w14:paraId="3E027A1C" w14:textId="5F0C7906" w:rsidR="0001492C" w:rsidRPr="0007479A" w:rsidRDefault="0001492C" w:rsidP="0001492C">
            <w:pPr>
              <w:rPr>
                <w:rFonts w:ascii="Arial" w:eastAsia="Times New Roman" w:hAnsi="Arial" w:cs="Arial"/>
                <w:color w:val="000000"/>
                <w:lang w:bidi="he-IL"/>
              </w:rPr>
            </w:pPr>
            <w:r w:rsidRPr="0007479A">
              <w:rPr>
                <w:rFonts w:ascii="Arial" w:eastAsia="Times New Roman" w:hAnsi="Arial" w:cs="Arial"/>
                <w:color w:val="000000"/>
                <w:lang w:bidi="he-IL"/>
              </w:rPr>
              <w:t>0.044</w:t>
            </w:r>
          </w:p>
        </w:tc>
        <w:tc>
          <w:tcPr>
            <w:tcW w:w="1867" w:type="dxa"/>
          </w:tcPr>
          <w:p w14:paraId="27F54B45" w14:textId="192B2D70"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0/141 (0.0%)</w:t>
            </w:r>
          </w:p>
        </w:tc>
        <w:tc>
          <w:tcPr>
            <w:tcW w:w="1867" w:type="dxa"/>
          </w:tcPr>
          <w:p w14:paraId="5C8B13F8" w14:textId="21ACAE9C"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16/476 (3.4%)</w:t>
            </w:r>
          </w:p>
        </w:tc>
        <w:tc>
          <w:tcPr>
            <w:tcW w:w="1871" w:type="dxa"/>
            <w:noWrap/>
            <w:hideMark/>
          </w:tcPr>
          <w:p w14:paraId="31799784" w14:textId="0BD3EF2C"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36/1733 (2.1%)</w:t>
            </w:r>
          </w:p>
        </w:tc>
        <w:tc>
          <w:tcPr>
            <w:tcW w:w="1684" w:type="dxa"/>
          </w:tcPr>
          <w:p w14:paraId="155D1E85" w14:textId="36F8D8EE" w:rsidR="0001492C" w:rsidRPr="0007479A" w:rsidRDefault="0001492C" w:rsidP="000149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bidi="he-IL"/>
              </w:rPr>
            </w:pPr>
            <w:r w:rsidRPr="0007479A">
              <w:rPr>
                <w:rFonts w:ascii="Arial" w:eastAsia="Times New Roman" w:hAnsi="Arial" w:cs="Arial"/>
                <w:color w:val="000000"/>
                <w:lang w:bidi="he-IL"/>
              </w:rPr>
              <w:t>Cirrhosis</w:t>
            </w:r>
          </w:p>
        </w:tc>
      </w:tr>
    </w:tbl>
    <w:p w14:paraId="1CC882FA" w14:textId="77777777" w:rsidR="001A030D" w:rsidRDefault="001A030D" w:rsidP="00914766"/>
    <w:p w14:paraId="10BE6936" w14:textId="77777777" w:rsidR="001A030D" w:rsidRDefault="001A030D" w:rsidP="00914766"/>
    <w:tbl>
      <w:tblPr>
        <w:tblStyle w:val="2a"/>
        <w:tblW w:w="0" w:type="auto"/>
        <w:tblLook w:val="04A0" w:firstRow="1" w:lastRow="0" w:firstColumn="1" w:lastColumn="0" w:noHBand="0" w:noVBand="1"/>
      </w:tblPr>
      <w:tblGrid>
        <w:gridCol w:w="962"/>
        <w:gridCol w:w="1089"/>
        <w:gridCol w:w="1235"/>
        <w:gridCol w:w="938"/>
        <w:gridCol w:w="1361"/>
        <w:gridCol w:w="1071"/>
        <w:gridCol w:w="1100"/>
        <w:gridCol w:w="1100"/>
      </w:tblGrid>
      <w:tr w:rsidR="00F02026" w:rsidRPr="00DF173C" w14:paraId="7D2024F9" w14:textId="77777777" w:rsidTr="00D27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8"/>
          </w:tcPr>
          <w:p w14:paraId="1C6C2DA7" w14:textId="46D3F5F9" w:rsidR="00F02026" w:rsidRPr="000F1F54" w:rsidRDefault="000F1F54" w:rsidP="000F1F54">
            <w:r w:rsidRPr="000F1F54">
              <w:t>Table S2: Comparison of Mortality Timing (5-Day, 30-Day, and 90-Day) Across Early, Late, and Never Transition Groups</w:t>
            </w:r>
          </w:p>
        </w:tc>
      </w:tr>
      <w:tr w:rsidR="00DF173C" w:rsidRPr="00DF173C" w14:paraId="2930449C" w14:textId="77777777" w:rsidTr="00DF1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62B14C" w14:textId="77777777" w:rsidR="00DF173C" w:rsidRPr="00DF173C" w:rsidRDefault="00DF173C" w:rsidP="00DF173C">
            <w:pPr>
              <w:spacing w:after="200" w:line="276" w:lineRule="auto"/>
            </w:pPr>
            <w:r w:rsidRPr="00DF173C">
              <w:t>Group</w:t>
            </w:r>
          </w:p>
        </w:tc>
        <w:tc>
          <w:tcPr>
            <w:tcW w:w="0" w:type="auto"/>
            <w:hideMark/>
          </w:tcPr>
          <w:p w14:paraId="1A3889B4"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N patients</w:t>
            </w:r>
          </w:p>
        </w:tc>
        <w:tc>
          <w:tcPr>
            <w:tcW w:w="0" w:type="auto"/>
            <w:hideMark/>
          </w:tcPr>
          <w:p w14:paraId="060770BF"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SOFA median [IQR]</w:t>
            </w:r>
          </w:p>
        </w:tc>
        <w:tc>
          <w:tcPr>
            <w:tcW w:w="0" w:type="auto"/>
            <w:hideMark/>
          </w:tcPr>
          <w:p w14:paraId="667D0542"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N deaths</w:t>
            </w:r>
          </w:p>
        </w:tc>
        <w:tc>
          <w:tcPr>
            <w:tcW w:w="0" w:type="auto"/>
            <w:hideMark/>
          </w:tcPr>
          <w:p w14:paraId="653FA5D1"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Death time median [IQR]</w:t>
            </w:r>
          </w:p>
        </w:tc>
        <w:tc>
          <w:tcPr>
            <w:tcW w:w="0" w:type="auto"/>
            <w:hideMark/>
          </w:tcPr>
          <w:p w14:paraId="55C931E5"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Deaths &lt;5d</w:t>
            </w:r>
          </w:p>
        </w:tc>
        <w:tc>
          <w:tcPr>
            <w:tcW w:w="0" w:type="auto"/>
            <w:hideMark/>
          </w:tcPr>
          <w:p w14:paraId="228BF868"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Deaths ≤30d</w:t>
            </w:r>
          </w:p>
        </w:tc>
        <w:tc>
          <w:tcPr>
            <w:tcW w:w="0" w:type="auto"/>
            <w:hideMark/>
          </w:tcPr>
          <w:p w14:paraId="6EC57BEE"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F173C">
              <w:rPr>
                <w:b/>
                <w:bCs/>
              </w:rPr>
              <w:t>Deaths ≤90d</w:t>
            </w:r>
          </w:p>
        </w:tc>
      </w:tr>
      <w:tr w:rsidR="00DF173C" w:rsidRPr="00DF173C" w14:paraId="4B8D76A2" w14:textId="77777777" w:rsidTr="00DF173C">
        <w:tc>
          <w:tcPr>
            <w:cnfStyle w:val="001000000000" w:firstRow="0" w:lastRow="0" w:firstColumn="1" w:lastColumn="0" w:oddVBand="0" w:evenVBand="0" w:oddHBand="0" w:evenHBand="0" w:firstRowFirstColumn="0" w:firstRowLastColumn="0" w:lastRowFirstColumn="0" w:lastRowLastColumn="0"/>
            <w:tcW w:w="0" w:type="auto"/>
            <w:hideMark/>
          </w:tcPr>
          <w:p w14:paraId="3BC4E4EC" w14:textId="77777777" w:rsidR="00DF173C" w:rsidRPr="00DF173C" w:rsidRDefault="00DF173C" w:rsidP="00DF173C">
            <w:pPr>
              <w:spacing w:after="200" w:line="276" w:lineRule="auto"/>
            </w:pPr>
            <w:r w:rsidRPr="00DF173C">
              <w:t>Early (≤5d)</w:t>
            </w:r>
          </w:p>
        </w:tc>
        <w:tc>
          <w:tcPr>
            <w:tcW w:w="0" w:type="auto"/>
            <w:hideMark/>
          </w:tcPr>
          <w:p w14:paraId="0B8EF9D2"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1,733</w:t>
            </w:r>
          </w:p>
        </w:tc>
        <w:tc>
          <w:tcPr>
            <w:tcW w:w="0" w:type="auto"/>
            <w:hideMark/>
          </w:tcPr>
          <w:p w14:paraId="071296BA"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12.0 [9–14]</w:t>
            </w:r>
          </w:p>
        </w:tc>
        <w:tc>
          <w:tcPr>
            <w:tcW w:w="0" w:type="auto"/>
            <w:hideMark/>
          </w:tcPr>
          <w:p w14:paraId="6F2D2234"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1,055</w:t>
            </w:r>
          </w:p>
        </w:tc>
        <w:tc>
          <w:tcPr>
            <w:tcW w:w="0" w:type="auto"/>
            <w:hideMark/>
          </w:tcPr>
          <w:p w14:paraId="31860D6B"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35.6 [9.0–361.0]</w:t>
            </w:r>
          </w:p>
        </w:tc>
        <w:tc>
          <w:tcPr>
            <w:tcW w:w="0" w:type="auto"/>
            <w:hideMark/>
          </w:tcPr>
          <w:p w14:paraId="7EBD8454"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158 (9.1%)</w:t>
            </w:r>
          </w:p>
        </w:tc>
        <w:tc>
          <w:tcPr>
            <w:tcW w:w="0" w:type="auto"/>
            <w:hideMark/>
          </w:tcPr>
          <w:p w14:paraId="478A8F23"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492 (28.4%)</w:t>
            </w:r>
          </w:p>
        </w:tc>
        <w:tc>
          <w:tcPr>
            <w:tcW w:w="0" w:type="auto"/>
            <w:hideMark/>
          </w:tcPr>
          <w:p w14:paraId="29A21F09"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653 (37.7%)</w:t>
            </w:r>
          </w:p>
        </w:tc>
      </w:tr>
      <w:tr w:rsidR="00DF173C" w:rsidRPr="00DF173C" w14:paraId="6F8837AC" w14:textId="77777777" w:rsidTr="00DF1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0D00F1" w14:textId="77777777" w:rsidR="00DF173C" w:rsidRPr="00DF173C" w:rsidRDefault="00DF173C" w:rsidP="00DF173C">
            <w:pPr>
              <w:spacing w:after="200" w:line="276" w:lineRule="auto"/>
            </w:pPr>
            <w:r w:rsidRPr="00DF173C">
              <w:t>Late (&gt;5d)</w:t>
            </w:r>
          </w:p>
        </w:tc>
        <w:tc>
          <w:tcPr>
            <w:tcW w:w="0" w:type="auto"/>
            <w:hideMark/>
          </w:tcPr>
          <w:p w14:paraId="46E9DA18"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476</w:t>
            </w:r>
          </w:p>
        </w:tc>
        <w:tc>
          <w:tcPr>
            <w:tcW w:w="0" w:type="auto"/>
            <w:hideMark/>
          </w:tcPr>
          <w:p w14:paraId="14609B92"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12.0 [10–15]</w:t>
            </w:r>
          </w:p>
        </w:tc>
        <w:tc>
          <w:tcPr>
            <w:tcW w:w="0" w:type="auto"/>
            <w:hideMark/>
          </w:tcPr>
          <w:p w14:paraId="593CE324"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318</w:t>
            </w:r>
          </w:p>
        </w:tc>
        <w:tc>
          <w:tcPr>
            <w:tcW w:w="0" w:type="auto"/>
            <w:hideMark/>
          </w:tcPr>
          <w:p w14:paraId="0FE2B146"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36.6 [16.4–159.2]</w:t>
            </w:r>
          </w:p>
        </w:tc>
        <w:tc>
          <w:tcPr>
            <w:tcW w:w="0" w:type="auto"/>
            <w:hideMark/>
          </w:tcPr>
          <w:p w14:paraId="06B79211"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0 (0.0%)</w:t>
            </w:r>
          </w:p>
        </w:tc>
        <w:tc>
          <w:tcPr>
            <w:tcW w:w="0" w:type="auto"/>
            <w:hideMark/>
          </w:tcPr>
          <w:p w14:paraId="4B6B3C2A"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136 (28.6%)</w:t>
            </w:r>
          </w:p>
        </w:tc>
        <w:tc>
          <w:tcPr>
            <w:tcW w:w="0" w:type="auto"/>
            <w:hideMark/>
          </w:tcPr>
          <w:p w14:paraId="6BEFF49E" w14:textId="77777777" w:rsidR="00DF173C" w:rsidRPr="00DF173C" w:rsidRDefault="00DF173C" w:rsidP="00DF173C">
            <w:pPr>
              <w:spacing w:after="200" w:line="276" w:lineRule="auto"/>
              <w:cnfStyle w:val="000000100000" w:firstRow="0" w:lastRow="0" w:firstColumn="0" w:lastColumn="0" w:oddVBand="0" w:evenVBand="0" w:oddHBand="1" w:evenHBand="0" w:firstRowFirstColumn="0" w:firstRowLastColumn="0" w:lastRowFirstColumn="0" w:lastRowLastColumn="0"/>
            </w:pPr>
            <w:r w:rsidRPr="00DF173C">
              <w:t>227 (47.7%)</w:t>
            </w:r>
          </w:p>
        </w:tc>
      </w:tr>
      <w:tr w:rsidR="00DF173C" w:rsidRPr="00DF173C" w14:paraId="77CD648F" w14:textId="77777777" w:rsidTr="00DF173C">
        <w:tc>
          <w:tcPr>
            <w:cnfStyle w:val="001000000000" w:firstRow="0" w:lastRow="0" w:firstColumn="1" w:lastColumn="0" w:oddVBand="0" w:evenVBand="0" w:oddHBand="0" w:evenHBand="0" w:firstRowFirstColumn="0" w:firstRowLastColumn="0" w:lastRowFirstColumn="0" w:lastRowLastColumn="0"/>
            <w:tcW w:w="0" w:type="auto"/>
            <w:hideMark/>
          </w:tcPr>
          <w:p w14:paraId="57CCBF70" w14:textId="77777777" w:rsidR="00DF173C" w:rsidRPr="00DF173C" w:rsidRDefault="00DF173C" w:rsidP="00DF173C">
            <w:pPr>
              <w:spacing w:after="200" w:line="276" w:lineRule="auto"/>
            </w:pPr>
            <w:r w:rsidRPr="00DF173C">
              <w:t>Never</w:t>
            </w:r>
          </w:p>
        </w:tc>
        <w:tc>
          <w:tcPr>
            <w:tcW w:w="0" w:type="auto"/>
            <w:hideMark/>
          </w:tcPr>
          <w:p w14:paraId="64D91290"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141</w:t>
            </w:r>
          </w:p>
        </w:tc>
        <w:tc>
          <w:tcPr>
            <w:tcW w:w="0" w:type="auto"/>
            <w:hideMark/>
          </w:tcPr>
          <w:p w14:paraId="76AA0736"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11.0 [9–14]</w:t>
            </w:r>
          </w:p>
        </w:tc>
        <w:tc>
          <w:tcPr>
            <w:tcW w:w="0" w:type="auto"/>
            <w:hideMark/>
          </w:tcPr>
          <w:p w14:paraId="73E387D8"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105</w:t>
            </w:r>
          </w:p>
        </w:tc>
        <w:tc>
          <w:tcPr>
            <w:tcW w:w="0" w:type="auto"/>
            <w:hideMark/>
          </w:tcPr>
          <w:p w14:paraId="7ADF5297"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19.2 [4.9–202.1]</w:t>
            </w:r>
          </w:p>
        </w:tc>
        <w:tc>
          <w:tcPr>
            <w:tcW w:w="0" w:type="auto"/>
            <w:hideMark/>
          </w:tcPr>
          <w:p w14:paraId="64706510"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27 (19.1%)</w:t>
            </w:r>
          </w:p>
        </w:tc>
        <w:tc>
          <w:tcPr>
            <w:tcW w:w="0" w:type="auto"/>
            <w:hideMark/>
          </w:tcPr>
          <w:p w14:paraId="46E1FA8B"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61 (43.3%)</w:t>
            </w:r>
          </w:p>
        </w:tc>
        <w:tc>
          <w:tcPr>
            <w:tcW w:w="0" w:type="auto"/>
            <w:hideMark/>
          </w:tcPr>
          <w:p w14:paraId="66557744" w14:textId="77777777" w:rsidR="00DF173C" w:rsidRPr="00DF173C" w:rsidRDefault="00DF173C" w:rsidP="00DF173C">
            <w:pPr>
              <w:spacing w:after="200" w:line="276" w:lineRule="auto"/>
              <w:cnfStyle w:val="000000000000" w:firstRow="0" w:lastRow="0" w:firstColumn="0" w:lastColumn="0" w:oddVBand="0" w:evenVBand="0" w:oddHBand="0" w:evenHBand="0" w:firstRowFirstColumn="0" w:firstRowLastColumn="0" w:lastRowFirstColumn="0" w:lastRowLastColumn="0"/>
            </w:pPr>
            <w:r w:rsidRPr="00DF173C">
              <w:t>76 (53.9%)</w:t>
            </w:r>
          </w:p>
        </w:tc>
      </w:tr>
    </w:tbl>
    <w:p w14:paraId="25195D7F" w14:textId="77777777" w:rsidR="0054481E" w:rsidRDefault="0054481E" w:rsidP="00914766"/>
    <w:tbl>
      <w:tblPr>
        <w:tblStyle w:val="2a"/>
        <w:tblW w:w="0" w:type="auto"/>
        <w:tblLook w:val="04A0" w:firstRow="1" w:lastRow="0" w:firstColumn="1" w:lastColumn="0" w:noHBand="0" w:noVBand="1"/>
      </w:tblPr>
      <w:tblGrid>
        <w:gridCol w:w="1328"/>
        <w:gridCol w:w="1127"/>
        <w:gridCol w:w="975"/>
        <w:gridCol w:w="1900"/>
        <w:gridCol w:w="1140"/>
        <w:gridCol w:w="1193"/>
        <w:gridCol w:w="1193"/>
      </w:tblGrid>
      <w:tr w:rsidR="00BD29EF" w:rsidRPr="00BD29EF" w14:paraId="75D59497" w14:textId="77777777" w:rsidTr="00C24C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Pr>
          <w:p w14:paraId="0268496D" w14:textId="2F4DD63D" w:rsidR="00BD29EF" w:rsidRPr="000F1F54" w:rsidRDefault="00FC19AD" w:rsidP="00FC19AD">
            <w:r w:rsidRPr="000F1F54">
              <w:t xml:space="preserve">Table </w:t>
            </w:r>
            <w:r w:rsidR="00442C05" w:rsidRPr="000F1F54">
              <w:t>S3:</w:t>
            </w:r>
            <w:r w:rsidR="000F1F54" w:rsidRPr="000F1F54">
              <w:t xml:space="preserve"> </w:t>
            </w:r>
            <w:r w:rsidRPr="000F1F54">
              <w:t>Mortality Timing Stratified by Admission SOFA Categories in Non-Transitioned Patients</w:t>
            </w:r>
          </w:p>
        </w:tc>
      </w:tr>
      <w:tr w:rsidR="00BD29EF" w:rsidRPr="00BD29EF" w14:paraId="0978DB42" w14:textId="77777777" w:rsidTr="00BD2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61B9CB" w14:textId="77777777" w:rsidR="00BD29EF" w:rsidRPr="00BD29EF" w:rsidRDefault="00BD29EF" w:rsidP="00BD29EF">
            <w:pPr>
              <w:spacing w:after="200" w:line="276" w:lineRule="auto"/>
            </w:pPr>
            <w:r w:rsidRPr="00BD29EF">
              <w:t>SOFA category</w:t>
            </w:r>
          </w:p>
        </w:tc>
        <w:tc>
          <w:tcPr>
            <w:tcW w:w="0" w:type="auto"/>
            <w:hideMark/>
          </w:tcPr>
          <w:p w14:paraId="7F218D2A"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N patients</w:t>
            </w:r>
          </w:p>
        </w:tc>
        <w:tc>
          <w:tcPr>
            <w:tcW w:w="0" w:type="auto"/>
            <w:hideMark/>
          </w:tcPr>
          <w:p w14:paraId="4531898E"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N deaths</w:t>
            </w:r>
          </w:p>
        </w:tc>
        <w:tc>
          <w:tcPr>
            <w:tcW w:w="0" w:type="auto"/>
            <w:hideMark/>
          </w:tcPr>
          <w:p w14:paraId="1876EBD3"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Median death time [IQR], days</w:t>
            </w:r>
          </w:p>
        </w:tc>
        <w:tc>
          <w:tcPr>
            <w:tcW w:w="0" w:type="auto"/>
            <w:hideMark/>
          </w:tcPr>
          <w:p w14:paraId="2541ABF6"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Deaths &lt;5d</w:t>
            </w:r>
          </w:p>
        </w:tc>
        <w:tc>
          <w:tcPr>
            <w:tcW w:w="0" w:type="auto"/>
            <w:hideMark/>
          </w:tcPr>
          <w:p w14:paraId="636EB995"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Deaths ≤30d</w:t>
            </w:r>
          </w:p>
        </w:tc>
        <w:tc>
          <w:tcPr>
            <w:tcW w:w="0" w:type="auto"/>
            <w:hideMark/>
          </w:tcPr>
          <w:p w14:paraId="29D27254"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BD29EF">
              <w:rPr>
                <w:b/>
                <w:bCs/>
              </w:rPr>
              <w:t>Deaths ≤90d</w:t>
            </w:r>
          </w:p>
        </w:tc>
      </w:tr>
      <w:tr w:rsidR="00BD29EF" w:rsidRPr="00BD29EF" w14:paraId="36ACE823" w14:textId="77777777" w:rsidTr="00BD29EF">
        <w:tc>
          <w:tcPr>
            <w:cnfStyle w:val="001000000000" w:firstRow="0" w:lastRow="0" w:firstColumn="1" w:lastColumn="0" w:oddVBand="0" w:evenVBand="0" w:oddHBand="0" w:evenHBand="0" w:firstRowFirstColumn="0" w:firstRowLastColumn="0" w:lastRowFirstColumn="0" w:lastRowLastColumn="0"/>
            <w:tcW w:w="0" w:type="auto"/>
            <w:hideMark/>
          </w:tcPr>
          <w:p w14:paraId="7C80252D" w14:textId="77777777" w:rsidR="00BD29EF" w:rsidRPr="00BD29EF" w:rsidRDefault="00BD29EF" w:rsidP="00BD29EF">
            <w:pPr>
              <w:spacing w:after="200" w:line="276" w:lineRule="auto"/>
            </w:pPr>
            <w:r w:rsidRPr="00BD29EF">
              <w:t>≤8</w:t>
            </w:r>
          </w:p>
        </w:tc>
        <w:tc>
          <w:tcPr>
            <w:tcW w:w="0" w:type="auto"/>
            <w:hideMark/>
          </w:tcPr>
          <w:p w14:paraId="5B1F2402"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33</w:t>
            </w:r>
          </w:p>
        </w:tc>
        <w:tc>
          <w:tcPr>
            <w:tcW w:w="0" w:type="auto"/>
            <w:hideMark/>
          </w:tcPr>
          <w:p w14:paraId="54B559E2"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21</w:t>
            </w:r>
          </w:p>
        </w:tc>
        <w:tc>
          <w:tcPr>
            <w:tcW w:w="0" w:type="auto"/>
            <w:hideMark/>
          </w:tcPr>
          <w:p w14:paraId="4C46284A"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44.4 [19.5–357.4]</w:t>
            </w:r>
          </w:p>
        </w:tc>
        <w:tc>
          <w:tcPr>
            <w:tcW w:w="0" w:type="auto"/>
            <w:hideMark/>
          </w:tcPr>
          <w:p w14:paraId="3A847C05"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2 (6.1%)</w:t>
            </w:r>
          </w:p>
        </w:tc>
        <w:tc>
          <w:tcPr>
            <w:tcW w:w="0" w:type="auto"/>
            <w:hideMark/>
          </w:tcPr>
          <w:p w14:paraId="07969D31"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7 (21.2%)</w:t>
            </w:r>
          </w:p>
        </w:tc>
        <w:tc>
          <w:tcPr>
            <w:tcW w:w="0" w:type="auto"/>
            <w:hideMark/>
          </w:tcPr>
          <w:p w14:paraId="38191E51"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 xml:space="preserve">13 </w:t>
            </w:r>
            <w:r w:rsidRPr="00BD29EF">
              <w:lastRenderedPageBreak/>
              <w:t>(39.4%)</w:t>
            </w:r>
          </w:p>
        </w:tc>
      </w:tr>
      <w:tr w:rsidR="00BD29EF" w:rsidRPr="00BD29EF" w14:paraId="0D07D518" w14:textId="77777777" w:rsidTr="00BD2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5250F9" w14:textId="77777777" w:rsidR="00BD29EF" w:rsidRPr="00BD29EF" w:rsidRDefault="00BD29EF" w:rsidP="00BD29EF">
            <w:pPr>
              <w:spacing w:after="200" w:line="276" w:lineRule="auto"/>
            </w:pPr>
            <w:r w:rsidRPr="00BD29EF">
              <w:lastRenderedPageBreak/>
              <w:t>9–11</w:t>
            </w:r>
          </w:p>
        </w:tc>
        <w:tc>
          <w:tcPr>
            <w:tcW w:w="0" w:type="auto"/>
            <w:hideMark/>
          </w:tcPr>
          <w:p w14:paraId="4AF91428"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44</w:t>
            </w:r>
          </w:p>
        </w:tc>
        <w:tc>
          <w:tcPr>
            <w:tcW w:w="0" w:type="auto"/>
            <w:hideMark/>
          </w:tcPr>
          <w:p w14:paraId="5087291B"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32</w:t>
            </w:r>
          </w:p>
        </w:tc>
        <w:tc>
          <w:tcPr>
            <w:tcW w:w="0" w:type="auto"/>
            <w:hideMark/>
          </w:tcPr>
          <w:p w14:paraId="6C40E432"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19.6 [6.3–465.4]</w:t>
            </w:r>
          </w:p>
        </w:tc>
        <w:tc>
          <w:tcPr>
            <w:tcW w:w="0" w:type="auto"/>
            <w:hideMark/>
          </w:tcPr>
          <w:p w14:paraId="107F47E1"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8 (18.2%)</w:t>
            </w:r>
          </w:p>
        </w:tc>
        <w:tc>
          <w:tcPr>
            <w:tcW w:w="0" w:type="auto"/>
            <w:hideMark/>
          </w:tcPr>
          <w:p w14:paraId="7DF543FF"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19 (43.2%)</w:t>
            </w:r>
          </w:p>
        </w:tc>
        <w:tc>
          <w:tcPr>
            <w:tcW w:w="0" w:type="auto"/>
            <w:hideMark/>
          </w:tcPr>
          <w:p w14:paraId="453E95DB"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22 (50.0%)</w:t>
            </w:r>
          </w:p>
        </w:tc>
      </w:tr>
      <w:tr w:rsidR="00BD29EF" w:rsidRPr="00BD29EF" w14:paraId="1E1738A8" w14:textId="77777777" w:rsidTr="00BD29EF">
        <w:tc>
          <w:tcPr>
            <w:cnfStyle w:val="001000000000" w:firstRow="0" w:lastRow="0" w:firstColumn="1" w:lastColumn="0" w:oddVBand="0" w:evenVBand="0" w:oddHBand="0" w:evenHBand="0" w:firstRowFirstColumn="0" w:firstRowLastColumn="0" w:lastRowFirstColumn="0" w:lastRowLastColumn="0"/>
            <w:tcW w:w="0" w:type="auto"/>
            <w:hideMark/>
          </w:tcPr>
          <w:p w14:paraId="0086A7BB" w14:textId="77777777" w:rsidR="00BD29EF" w:rsidRPr="00BD29EF" w:rsidRDefault="00BD29EF" w:rsidP="00BD29EF">
            <w:pPr>
              <w:spacing w:after="200" w:line="276" w:lineRule="auto"/>
            </w:pPr>
            <w:r w:rsidRPr="00BD29EF">
              <w:t>12–14</w:t>
            </w:r>
          </w:p>
        </w:tc>
        <w:tc>
          <w:tcPr>
            <w:tcW w:w="0" w:type="auto"/>
            <w:hideMark/>
          </w:tcPr>
          <w:p w14:paraId="48DD5247"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30</w:t>
            </w:r>
          </w:p>
        </w:tc>
        <w:tc>
          <w:tcPr>
            <w:tcW w:w="0" w:type="auto"/>
            <w:hideMark/>
          </w:tcPr>
          <w:p w14:paraId="6DAA411D"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25</w:t>
            </w:r>
          </w:p>
        </w:tc>
        <w:tc>
          <w:tcPr>
            <w:tcW w:w="0" w:type="auto"/>
            <w:hideMark/>
          </w:tcPr>
          <w:p w14:paraId="3790DA3D"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16.1 [5.3–48.0]</w:t>
            </w:r>
          </w:p>
        </w:tc>
        <w:tc>
          <w:tcPr>
            <w:tcW w:w="0" w:type="auto"/>
            <w:hideMark/>
          </w:tcPr>
          <w:p w14:paraId="4B1134CB"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6 (20.0%)</w:t>
            </w:r>
          </w:p>
        </w:tc>
        <w:tc>
          <w:tcPr>
            <w:tcW w:w="0" w:type="auto"/>
            <w:hideMark/>
          </w:tcPr>
          <w:p w14:paraId="6E233964"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16 (53.3%)</w:t>
            </w:r>
          </w:p>
        </w:tc>
        <w:tc>
          <w:tcPr>
            <w:tcW w:w="0" w:type="auto"/>
            <w:hideMark/>
          </w:tcPr>
          <w:p w14:paraId="585DB5E0" w14:textId="77777777" w:rsidR="00BD29EF" w:rsidRPr="00BD29EF" w:rsidRDefault="00BD29EF" w:rsidP="00BD29EF">
            <w:pPr>
              <w:spacing w:after="200" w:line="276" w:lineRule="auto"/>
              <w:cnfStyle w:val="000000000000" w:firstRow="0" w:lastRow="0" w:firstColumn="0" w:lastColumn="0" w:oddVBand="0" w:evenVBand="0" w:oddHBand="0" w:evenHBand="0" w:firstRowFirstColumn="0" w:firstRowLastColumn="0" w:lastRowFirstColumn="0" w:lastRowLastColumn="0"/>
            </w:pPr>
            <w:r w:rsidRPr="00BD29EF">
              <w:t>20 (66.7%)</w:t>
            </w:r>
          </w:p>
        </w:tc>
      </w:tr>
      <w:tr w:rsidR="00BD29EF" w:rsidRPr="00BD29EF" w14:paraId="04AE405D" w14:textId="77777777" w:rsidTr="00BD2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E5362E" w14:textId="77777777" w:rsidR="00BD29EF" w:rsidRPr="00BD29EF" w:rsidRDefault="00BD29EF" w:rsidP="00BD29EF">
            <w:pPr>
              <w:spacing w:after="200" w:line="276" w:lineRule="auto"/>
            </w:pPr>
            <w:r w:rsidRPr="00BD29EF">
              <w:t>≥15</w:t>
            </w:r>
          </w:p>
        </w:tc>
        <w:tc>
          <w:tcPr>
            <w:tcW w:w="0" w:type="auto"/>
            <w:hideMark/>
          </w:tcPr>
          <w:p w14:paraId="235C88E9"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34</w:t>
            </w:r>
          </w:p>
        </w:tc>
        <w:tc>
          <w:tcPr>
            <w:tcW w:w="0" w:type="auto"/>
            <w:hideMark/>
          </w:tcPr>
          <w:p w14:paraId="2FFD1269"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27</w:t>
            </w:r>
          </w:p>
        </w:tc>
        <w:tc>
          <w:tcPr>
            <w:tcW w:w="0" w:type="auto"/>
            <w:hideMark/>
          </w:tcPr>
          <w:p w14:paraId="1AB80FBA"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12.1 [2.5–46.8]</w:t>
            </w:r>
          </w:p>
        </w:tc>
        <w:tc>
          <w:tcPr>
            <w:tcW w:w="0" w:type="auto"/>
            <w:hideMark/>
          </w:tcPr>
          <w:p w14:paraId="22401449"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11 (32.4%)</w:t>
            </w:r>
          </w:p>
        </w:tc>
        <w:tc>
          <w:tcPr>
            <w:tcW w:w="0" w:type="auto"/>
            <w:hideMark/>
          </w:tcPr>
          <w:p w14:paraId="0F56F376"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19 (55.9%)</w:t>
            </w:r>
          </w:p>
        </w:tc>
        <w:tc>
          <w:tcPr>
            <w:tcW w:w="0" w:type="auto"/>
            <w:hideMark/>
          </w:tcPr>
          <w:p w14:paraId="15C6BF86" w14:textId="77777777" w:rsidR="00BD29EF" w:rsidRPr="00BD29EF" w:rsidRDefault="00BD29EF" w:rsidP="00BD29EF">
            <w:pPr>
              <w:spacing w:after="200" w:line="276" w:lineRule="auto"/>
              <w:cnfStyle w:val="000000100000" w:firstRow="0" w:lastRow="0" w:firstColumn="0" w:lastColumn="0" w:oddVBand="0" w:evenVBand="0" w:oddHBand="1" w:evenHBand="0" w:firstRowFirstColumn="0" w:firstRowLastColumn="0" w:lastRowFirstColumn="0" w:lastRowLastColumn="0"/>
            </w:pPr>
            <w:r w:rsidRPr="00BD29EF">
              <w:t>21 (61.8%)</w:t>
            </w:r>
          </w:p>
        </w:tc>
      </w:tr>
    </w:tbl>
    <w:p w14:paraId="5E01CB6A" w14:textId="77777777" w:rsidR="00BD29EF" w:rsidRDefault="00BD29EF" w:rsidP="00914766"/>
    <w:p w14:paraId="5CF33852" w14:textId="1064A88E" w:rsidR="006A416A" w:rsidRPr="006A416A" w:rsidRDefault="006A416A" w:rsidP="00AB3C40">
      <w:pPr>
        <w:pStyle w:val="1"/>
      </w:pPr>
      <w:r w:rsidRPr="006A416A">
        <w:t xml:space="preserve">Discussion </w:t>
      </w:r>
    </w:p>
    <w:p w14:paraId="6A3E5B13" w14:textId="77777777" w:rsidR="007F0196" w:rsidRDefault="007F0196" w:rsidP="007F0196">
      <w:r w:rsidRPr="007F0196">
        <w:t>The finding that metabolic transition is associated with improved 90-day survival supports the concept that resolution of the catabolic state marks a turning point in critical illness. Transition represents not only improved insulin sensitivity but also parallel recovery in hemodynamic stability, inflammation, and organ function. The consistency of survival benefit across different landmark times strengthens confidence that this is a robust phenomenon rather than a statistical artifact.</w:t>
      </w:r>
    </w:p>
    <w:p w14:paraId="6A59FF35" w14:textId="6B50B28D" w:rsidR="002F308A" w:rsidRPr="007F0196" w:rsidRDefault="00F27A38" w:rsidP="00F27A38">
      <w:r w:rsidRPr="00F27A38">
        <w:t xml:space="preserve">Transition from catabolic to anabolic state was associated with improved survival regardless of admission SOFA or baseline characteristics. The never-transitioned group carried the highest mortality risk, a pattern not fully explained by baseline SOFA or the frequency of mechanical ventilation. Instead, their poor prognosis was driven by a dual phenomenon: very early deaths that precluded transition, and persistent failure to recover despite surviving beyond the early phase. These findings highlight that admission severity scores alone cannot capture metabolic recovery </w:t>
      </w:r>
      <w:proofErr w:type="gramStart"/>
      <w:r w:rsidRPr="00F27A38">
        <w:t>potential, and</w:t>
      </w:r>
      <w:proofErr w:type="gramEnd"/>
      <w:r w:rsidRPr="00F27A38">
        <w:t xml:space="preserve"> underscore the importance of transition detection as a prognostic marker.</w:t>
      </w:r>
    </w:p>
    <w:p w14:paraId="7538DB5D" w14:textId="34F6BB44" w:rsidR="007F0196" w:rsidRDefault="007F0196" w:rsidP="007F0196">
      <w:r w:rsidRPr="007F0196">
        <w:rPr>
          <w:b/>
          <w:bCs/>
        </w:rPr>
        <w:t>Limitations</w:t>
      </w:r>
      <w:r w:rsidRPr="007F0196">
        <w:t xml:space="preserve"> should be acknowledged: this is a retrospective analysis, transition status was algorithmically defined and may be sensitive to glucose sampling frequency or data completeness, and residual confounding cannot be excluded.</w:t>
      </w:r>
    </w:p>
    <w:p w14:paraId="3509F59D" w14:textId="1DE363F3" w:rsidR="00A73D8C" w:rsidRPr="007F0196" w:rsidRDefault="00E507B7" w:rsidP="007F0196">
      <w:r w:rsidRPr="00E507B7">
        <w:t xml:space="preserve">Nevertheless, the observed </w:t>
      </w:r>
      <w:r w:rsidR="00767B32">
        <w:t xml:space="preserve">above </w:t>
      </w:r>
      <w:r w:rsidR="005753E1">
        <w:t>40% reduction</w:t>
      </w:r>
      <w:r w:rsidRPr="00E507B7">
        <w:t xml:space="preserve"> of </w:t>
      </w:r>
      <w:r w:rsidR="005753E1">
        <w:t xml:space="preserve">the </w:t>
      </w:r>
      <w:r w:rsidRPr="00E507B7">
        <w:t>mortality risk suggests that metabolic transition could be a clinically meaningful surrogate of recovery and a potential target for prospective interventional studies. Failure to achieve transition was associated with substantially worse 90-day survival, underscoring its prognostic importance.</w:t>
      </w:r>
    </w:p>
    <w:p w14:paraId="36FED1E2" w14:textId="77777777" w:rsidR="006A416A" w:rsidRDefault="006A416A">
      <w:pPr>
        <w:jc w:val="center"/>
      </w:pPr>
    </w:p>
    <w:sectPr w:rsidR="006A41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72964408">
    <w:abstractNumId w:val="8"/>
  </w:num>
  <w:num w:numId="2" w16cid:durableId="273945720">
    <w:abstractNumId w:val="6"/>
  </w:num>
  <w:num w:numId="3" w16cid:durableId="1382361299">
    <w:abstractNumId w:val="5"/>
  </w:num>
  <w:num w:numId="4" w16cid:durableId="1461921742">
    <w:abstractNumId w:val="4"/>
  </w:num>
  <w:num w:numId="5" w16cid:durableId="1425229260">
    <w:abstractNumId w:val="7"/>
  </w:num>
  <w:num w:numId="6" w16cid:durableId="1555890198">
    <w:abstractNumId w:val="3"/>
  </w:num>
  <w:num w:numId="7" w16cid:durableId="106242839">
    <w:abstractNumId w:val="2"/>
  </w:num>
  <w:num w:numId="8" w16cid:durableId="437061698">
    <w:abstractNumId w:val="1"/>
  </w:num>
  <w:num w:numId="9" w16cid:durableId="175015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749"/>
    <w:rsid w:val="0001492C"/>
    <w:rsid w:val="00034616"/>
    <w:rsid w:val="0006063C"/>
    <w:rsid w:val="0007479A"/>
    <w:rsid w:val="000779F0"/>
    <w:rsid w:val="000A0EBA"/>
    <w:rsid w:val="000B3FBE"/>
    <w:rsid w:val="000F1F54"/>
    <w:rsid w:val="0015074B"/>
    <w:rsid w:val="001A030D"/>
    <w:rsid w:val="00224715"/>
    <w:rsid w:val="0029639D"/>
    <w:rsid w:val="002F308A"/>
    <w:rsid w:val="00305B10"/>
    <w:rsid w:val="00326F90"/>
    <w:rsid w:val="00346C64"/>
    <w:rsid w:val="004001B6"/>
    <w:rsid w:val="00442C05"/>
    <w:rsid w:val="00514851"/>
    <w:rsid w:val="0054481E"/>
    <w:rsid w:val="005736EF"/>
    <w:rsid w:val="005753E1"/>
    <w:rsid w:val="005F0E20"/>
    <w:rsid w:val="006A416A"/>
    <w:rsid w:val="006C4A3B"/>
    <w:rsid w:val="006F41D9"/>
    <w:rsid w:val="00767B32"/>
    <w:rsid w:val="00783374"/>
    <w:rsid w:val="007F0196"/>
    <w:rsid w:val="00856A8F"/>
    <w:rsid w:val="00857CDA"/>
    <w:rsid w:val="008601C8"/>
    <w:rsid w:val="00914766"/>
    <w:rsid w:val="00925820"/>
    <w:rsid w:val="00A14FA9"/>
    <w:rsid w:val="00A73D8C"/>
    <w:rsid w:val="00AA1D8D"/>
    <w:rsid w:val="00AB3C40"/>
    <w:rsid w:val="00B47730"/>
    <w:rsid w:val="00BD29EF"/>
    <w:rsid w:val="00C35151"/>
    <w:rsid w:val="00C40883"/>
    <w:rsid w:val="00C82E38"/>
    <w:rsid w:val="00C83708"/>
    <w:rsid w:val="00CB0664"/>
    <w:rsid w:val="00CB309A"/>
    <w:rsid w:val="00DB4FB4"/>
    <w:rsid w:val="00DF173C"/>
    <w:rsid w:val="00E049FA"/>
    <w:rsid w:val="00E2771D"/>
    <w:rsid w:val="00E507B7"/>
    <w:rsid w:val="00ED1BC0"/>
    <w:rsid w:val="00F02026"/>
    <w:rsid w:val="00F27A38"/>
    <w:rsid w:val="00FC19AD"/>
    <w:rsid w:val="00FC693F"/>
    <w:rsid w:val="00FC76D3"/>
    <w:rsid w:val="00FE3010"/>
    <w:rsid w:val="00FF68C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48DA867-5F2C-4702-8C5C-067170F0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14851"/>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כותרת עליונה תו"/>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כותרת תחתונה תו"/>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כותרת 1 תו"/>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כותרת 3 תו"/>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כותרת משנה תו"/>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גוף טקסט תו"/>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גוף טקסט 2 תו"/>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גוף טקסט 3 תו"/>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ציטוט תו"/>
    <w:basedOn w:val="a2"/>
    <w:link w:val="af5"/>
    <w:uiPriority w:val="29"/>
    <w:rsid w:val="00FC693F"/>
    <w:rPr>
      <w:i/>
      <w:iCs/>
      <w:color w:val="000000" w:themeColor="text1"/>
    </w:rPr>
  </w:style>
  <w:style w:type="character" w:customStyle="1" w:styleId="40">
    <w:name w:val="כותרת 4 תו"/>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8">
    <w:name w:val="Plain Table 3"/>
    <w:basedOn w:val="a3"/>
    <w:uiPriority w:val="99"/>
    <w:rsid w:val="000127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a">
    <w:name w:val="Plain Table 2"/>
    <w:basedOn w:val="a3"/>
    <w:uiPriority w:val="99"/>
    <w:rsid w:val="00FC76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1215</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Yoni Gargi</cp:lastModifiedBy>
  <cp:revision>49</cp:revision>
  <dcterms:created xsi:type="dcterms:W3CDTF">2013-12-23T23:15:00Z</dcterms:created>
  <dcterms:modified xsi:type="dcterms:W3CDTF">2025-09-15T08:11:00Z</dcterms:modified>
  <cp:category/>
</cp:coreProperties>
</file>