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86E0" w14:textId="264492ED" w:rsidR="00FF6149" w:rsidRPr="00D92464" w:rsidRDefault="00631BEB" w:rsidP="00D92464">
      <w:pPr>
        <w:pStyle w:val="a3"/>
        <w:pBdr>
          <w:bottom w:val="single" w:sz="8" w:space="4" w:color="156082" w:themeColor="accent1"/>
        </w:pBdr>
        <w:bidi w:val="0"/>
        <w:spacing w:after="300"/>
        <w:rPr>
          <w:color w:val="0A1D30" w:themeColor="text2" w:themeShade="BF"/>
          <w:spacing w:val="5"/>
          <w:sz w:val="52"/>
          <w:szCs w:val="52"/>
          <w:lang w:bidi="ar-SA"/>
          <w14:ligatures w14:val="none"/>
        </w:rPr>
      </w:pPr>
      <w:r w:rsidRPr="00D92464">
        <w:rPr>
          <w:color w:val="0A1D30" w:themeColor="text2" w:themeShade="BF"/>
          <w:spacing w:val="5"/>
          <w:sz w:val="52"/>
          <w:szCs w:val="52"/>
          <w:lang w:bidi="ar-SA"/>
          <w14:ligatures w14:val="none"/>
        </w:rPr>
        <w:t>Supplement 4- Mortality effect of overfeeding before transition</w:t>
      </w:r>
    </w:p>
    <w:p w14:paraId="68C9C229" w14:textId="77777777" w:rsidR="00631BEB" w:rsidRPr="00817752" w:rsidRDefault="00631BEB" w:rsidP="00817752">
      <w:pPr>
        <w:pStyle w:val="1"/>
        <w:bidi w:val="0"/>
        <w:spacing w:before="480" w:after="0" w:line="276" w:lineRule="auto"/>
        <w:rPr>
          <w:b/>
          <w:bCs/>
          <w:kern w:val="0"/>
          <w:sz w:val="28"/>
          <w:szCs w:val="28"/>
          <w:lang w:bidi="ar-SA"/>
          <w14:ligatures w14:val="none"/>
        </w:rPr>
      </w:pPr>
      <w:r w:rsidRPr="00817752">
        <w:rPr>
          <w:b/>
          <w:bCs/>
          <w:kern w:val="0"/>
          <w:sz w:val="28"/>
          <w:szCs w:val="28"/>
          <w:lang w:bidi="ar-SA"/>
          <w14:ligatures w14:val="none"/>
        </w:rPr>
        <w:t>Methods</w:t>
      </w:r>
    </w:p>
    <w:p w14:paraId="1F2A8181" w14:textId="77777777" w:rsidR="00631BEB" w:rsidRPr="000261F5" w:rsidRDefault="00631BEB" w:rsidP="000261F5">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0261F5">
        <w:rPr>
          <w:rFonts w:asciiTheme="majorBidi" w:hAnsiTheme="majorBidi"/>
          <w:b/>
          <w:bCs/>
          <w:color w:val="156082" w:themeColor="accent1"/>
          <w:kern w:val="0"/>
          <w:sz w:val="26"/>
          <w:szCs w:val="26"/>
          <w:lang w:bidi="ar-SA"/>
          <w14:ligatures w14:val="none"/>
        </w:rPr>
        <w:t>Nutrition exposure definition</w:t>
      </w:r>
    </w:p>
    <w:p w14:paraId="3CB6E6D7" w14:textId="313936DB" w:rsidR="00631BEB" w:rsidRPr="00631BEB" w:rsidRDefault="00631BEB" w:rsidP="00631BEB">
      <w:pPr>
        <w:numPr>
          <w:ilvl w:val="0"/>
          <w:numId w:val="1"/>
        </w:numPr>
        <w:bidi w:val="0"/>
      </w:pPr>
      <w:r w:rsidRPr="00631BEB">
        <w:rPr>
          <w:b/>
          <w:bCs/>
        </w:rPr>
        <w:t xml:space="preserve">High </w:t>
      </w:r>
      <w:r>
        <w:rPr>
          <w:b/>
          <w:bCs/>
        </w:rPr>
        <w:t xml:space="preserve">nutrition </w:t>
      </w:r>
      <w:r w:rsidRPr="00631BEB">
        <w:rPr>
          <w:b/>
          <w:bCs/>
        </w:rPr>
        <w:t>exposure:</w:t>
      </w:r>
      <w:r w:rsidRPr="00631BEB">
        <w:t xml:space="preserve"> patients with nutrition ≥1 kcal/kg/h for at least 24 hours prior to metabolic transition.</w:t>
      </w:r>
    </w:p>
    <w:p w14:paraId="4FC289B1" w14:textId="1CF20651" w:rsidR="00631BEB" w:rsidRPr="00631BEB" w:rsidRDefault="00631BEB" w:rsidP="00631BEB">
      <w:pPr>
        <w:numPr>
          <w:ilvl w:val="0"/>
          <w:numId w:val="1"/>
        </w:numPr>
        <w:bidi w:val="0"/>
      </w:pPr>
      <w:r w:rsidRPr="00631BEB">
        <w:rPr>
          <w:b/>
          <w:bCs/>
        </w:rPr>
        <w:t xml:space="preserve">Low </w:t>
      </w:r>
      <w:r>
        <w:rPr>
          <w:b/>
          <w:bCs/>
        </w:rPr>
        <w:t xml:space="preserve">nutrition </w:t>
      </w:r>
      <w:r w:rsidRPr="00631BEB">
        <w:rPr>
          <w:b/>
          <w:bCs/>
        </w:rPr>
        <w:t>exposure:</w:t>
      </w:r>
      <w:r w:rsidRPr="00631BEB">
        <w:t xml:space="preserve"> patients who remained &lt;1 kcal/kg/h during the entire pre-transition period.</w:t>
      </w:r>
    </w:p>
    <w:p w14:paraId="75291EFE" w14:textId="77777777" w:rsidR="00631BEB" w:rsidRPr="00631BEB" w:rsidRDefault="00631BEB" w:rsidP="00631BEB">
      <w:pPr>
        <w:numPr>
          <w:ilvl w:val="0"/>
          <w:numId w:val="1"/>
        </w:numPr>
        <w:bidi w:val="0"/>
      </w:pPr>
      <w:r w:rsidRPr="00631BEB">
        <w:rPr>
          <w:b/>
          <w:bCs/>
        </w:rPr>
        <w:t>Intermediate exposure:</w:t>
      </w:r>
      <w:r w:rsidRPr="00631BEB">
        <w:t xml:space="preserve"> patients with some hours ≥1 kcal/kg/h but &lt;24 hours; these were excluded from primary analyses unless specified.</w:t>
      </w:r>
    </w:p>
    <w:p w14:paraId="4ADC5F1B" w14:textId="77777777" w:rsidR="00631BEB" w:rsidRPr="000261F5" w:rsidRDefault="00631BEB" w:rsidP="000261F5">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0261F5">
        <w:rPr>
          <w:rFonts w:asciiTheme="majorBidi" w:hAnsiTheme="majorBidi"/>
          <w:b/>
          <w:bCs/>
          <w:color w:val="156082" w:themeColor="accent1"/>
          <w:kern w:val="0"/>
          <w:sz w:val="26"/>
          <w:szCs w:val="26"/>
          <w:lang w:bidi="ar-SA"/>
          <w14:ligatures w14:val="none"/>
        </w:rPr>
        <w:t>Transition definition</w:t>
      </w:r>
    </w:p>
    <w:p w14:paraId="033964AE" w14:textId="77777777" w:rsidR="00631BEB" w:rsidRPr="00631BEB" w:rsidRDefault="00631BEB" w:rsidP="00631BEB">
      <w:pPr>
        <w:numPr>
          <w:ilvl w:val="0"/>
          <w:numId w:val="2"/>
        </w:numPr>
        <w:bidi w:val="0"/>
      </w:pPr>
      <w:r w:rsidRPr="00631BEB">
        <w:t>Transition was defined as the timepoint determined by the insulin resistance index (IRI) drop model.</w:t>
      </w:r>
    </w:p>
    <w:p w14:paraId="4BD820D5" w14:textId="77777777" w:rsidR="00631BEB" w:rsidRPr="00631BEB" w:rsidRDefault="00631BEB" w:rsidP="00631BEB">
      <w:pPr>
        <w:numPr>
          <w:ilvl w:val="0"/>
          <w:numId w:val="2"/>
        </w:numPr>
        <w:bidi w:val="0"/>
      </w:pPr>
      <w:r w:rsidRPr="00631BEB">
        <w:t>Analyses were anchored on transition day.</w:t>
      </w:r>
    </w:p>
    <w:p w14:paraId="3D705902" w14:textId="77777777" w:rsidR="00631BEB" w:rsidRPr="000261F5" w:rsidRDefault="00631BEB" w:rsidP="000261F5">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0261F5">
        <w:rPr>
          <w:rFonts w:asciiTheme="majorBidi" w:hAnsiTheme="majorBidi"/>
          <w:b/>
          <w:bCs/>
          <w:color w:val="156082" w:themeColor="accent1"/>
          <w:kern w:val="0"/>
          <w:sz w:val="26"/>
          <w:szCs w:val="26"/>
          <w:lang w:bidi="ar-SA"/>
          <w14:ligatures w14:val="none"/>
        </w:rPr>
        <w:t>Covariates</w:t>
      </w:r>
    </w:p>
    <w:p w14:paraId="1A13731A" w14:textId="77777777" w:rsidR="00631BEB" w:rsidRPr="00631BEB" w:rsidRDefault="00631BEB" w:rsidP="00631BEB">
      <w:pPr>
        <w:numPr>
          <w:ilvl w:val="0"/>
          <w:numId w:val="3"/>
        </w:numPr>
        <w:bidi w:val="0"/>
      </w:pPr>
      <w:r w:rsidRPr="00631BEB">
        <w:rPr>
          <w:b/>
          <w:bCs/>
        </w:rPr>
        <w:t>Age:</w:t>
      </w:r>
      <w:r w:rsidRPr="00631BEB">
        <w:t xml:space="preserve"> continuous, years.</w:t>
      </w:r>
    </w:p>
    <w:p w14:paraId="773369F5" w14:textId="08E33BC3" w:rsidR="00631BEB" w:rsidRPr="00631BEB" w:rsidRDefault="00631BEB" w:rsidP="00631BEB">
      <w:pPr>
        <w:numPr>
          <w:ilvl w:val="0"/>
          <w:numId w:val="3"/>
        </w:numPr>
        <w:bidi w:val="0"/>
      </w:pPr>
      <w:r w:rsidRPr="00631BEB">
        <w:rPr>
          <w:b/>
          <w:bCs/>
        </w:rPr>
        <w:t>Gender:</w:t>
      </w:r>
      <w:r w:rsidRPr="00631BEB">
        <w:t xml:space="preserve"> mapped as male vs female.</w:t>
      </w:r>
    </w:p>
    <w:p w14:paraId="0A74E115" w14:textId="77777777" w:rsidR="00631BEB" w:rsidRPr="00631BEB" w:rsidRDefault="00631BEB" w:rsidP="00631BEB">
      <w:pPr>
        <w:numPr>
          <w:ilvl w:val="0"/>
          <w:numId w:val="3"/>
        </w:numPr>
        <w:bidi w:val="0"/>
      </w:pPr>
      <w:r w:rsidRPr="00631BEB">
        <w:rPr>
          <w:b/>
          <w:bCs/>
        </w:rPr>
        <w:t>SOFA score:</w:t>
      </w:r>
      <w:r w:rsidRPr="00631BEB">
        <w:t xml:space="preserve"> total score at admission.</w:t>
      </w:r>
    </w:p>
    <w:p w14:paraId="40EB8685" w14:textId="1AB9A21F" w:rsidR="00631BEB" w:rsidRPr="00631BEB" w:rsidRDefault="00631BEB" w:rsidP="00631BEB">
      <w:pPr>
        <w:numPr>
          <w:ilvl w:val="0"/>
          <w:numId w:val="3"/>
        </w:numPr>
        <w:bidi w:val="0"/>
      </w:pPr>
      <w:r w:rsidRPr="00631BEB">
        <w:rPr>
          <w:b/>
          <w:bCs/>
        </w:rPr>
        <w:t>Admission diagnoses:</w:t>
      </w:r>
      <w:r w:rsidRPr="00631BEB">
        <w:t xml:space="preserve"> individual diagnosis columns (sepsis, septic shock, pneumonia, cardiogenic shock, multi-trauma, etc.)</w:t>
      </w:r>
      <w:r>
        <w:t>.</w:t>
      </w:r>
    </w:p>
    <w:p w14:paraId="26947662" w14:textId="77777777" w:rsidR="00631BEB" w:rsidRPr="000261F5" w:rsidRDefault="00631BEB" w:rsidP="000261F5">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0261F5">
        <w:rPr>
          <w:rFonts w:asciiTheme="majorBidi" w:hAnsiTheme="majorBidi"/>
          <w:b/>
          <w:bCs/>
          <w:color w:val="156082" w:themeColor="accent1"/>
          <w:kern w:val="0"/>
          <w:sz w:val="26"/>
          <w:szCs w:val="26"/>
          <w:lang w:bidi="ar-SA"/>
          <w14:ligatures w14:val="none"/>
        </w:rPr>
        <w:t>Mortality outcome</w:t>
      </w:r>
    </w:p>
    <w:p w14:paraId="288E4DD1" w14:textId="77777777" w:rsidR="00631BEB" w:rsidRPr="00631BEB" w:rsidRDefault="00631BEB" w:rsidP="00631BEB">
      <w:pPr>
        <w:numPr>
          <w:ilvl w:val="0"/>
          <w:numId w:val="4"/>
        </w:numPr>
        <w:bidi w:val="0"/>
      </w:pPr>
      <w:r w:rsidRPr="00631BEB">
        <w:rPr>
          <w:b/>
          <w:bCs/>
        </w:rPr>
        <w:t>Primary endpoint:</w:t>
      </w:r>
      <w:r w:rsidRPr="00631BEB">
        <w:t xml:space="preserve"> all-cause mortality at 90 days after ICU admission.</w:t>
      </w:r>
    </w:p>
    <w:p w14:paraId="764C17F3" w14:textId="714D54B6" w:rsidR="00631BEB" w:rsidRPr="00631BEB" w:rsidRDefault="00631BEB" w:rsidP="00631BEB">
      <w:pPr>
        <w:numPr>
          <w:ilvl w:val="0"/>
          <w:numId w:val="4"/>
        </w:numPr>
        <w:bidi w:val="0"/>
      </w:pPr>
      <w:r w:rsidRPr="00631BEB">
        <w:t>Death time was recorded in days from admission, censored at 90 days.</w:t>
      </w:r>
    </w:p>
    <w:p w14:paraId="603FBAFD" w14:textId="77777777" w:rsidR="00631BEB" w:rsidRPr="000261F5" w:rsidRDefault="00631BEB" w:rsidP="000261F5">
      <w:pPr>
        <w:pStyle w:val="2"/>
        <w:bidi w:val="0"/>
        <w:spacing w:before="200" w:after="0" w:line="276" w:lineRule="auto"/>
        <w:rPr>
          <w:rFonts w:asciiTheme="majorBidi" w:hAnsiTheme="majorBidi"/>
          <w:b/>
          <w:bCs/>
          <w:color w:val="156082" w:themeColor="accent1"/>
          <w:kern w:val="0"/>
          <w:sz w:val="26"/>
          <w:szCs w:val="26"/>
          <w:lang w:bidi="ar-SA"/>
          <w14:ligatures w14:val="none"/>
        </w:rPr>
      </w:pPr>
      <w:r w:rsidRPr="000261F5">
        <w:rPr>
          <w:rFonts w:asciiTheme="majorBidi" w:hAnsiTheme="majorBidi"/>
          <w:b/>
          <w:bCs/>
          <w:color w:val="156082" w:themeColor="accent1"/>
          <w:kern w:val="0"/>
          <w:sz w:val="26"/>
          <w:szCs w:val="26"/>
          <w:lang w:bidi="ar-SA"/>
          <w14:ligatures w14:val="none"/>
        </w:rPr>
        <w:t>Statistical analysis</w:t>
      </w:r>
    </w:p>
    <w:p w14:paraId="07F5638A" w14:textId="77777777" w:rsidR="00631BEB" w:rsidRPr="00631BEB" w:rsidRDefault="00631BEB" w:rsidP="00631BEB">
      <w:pPr>
        <w:numPr>
          <w:ilvl w:val="0"/>
          <w:numId w:val="5"/>
        </w:numPr>
        <w:bidi w:val="0"/>
      </w:pPr>
      <w:r w:rsidRPr="00631BEB">
        <w:t>Logistic regression for 90-day mortality with odds ratios (OR) and 95% confidence intervals (CI).</w:t>
      </w:r>
    </w:p>
    <w:p w14:paraId="6BF860A0" w14:textId="44C4C9D4" w:rsidR="00631BEB" w:rsidRPr="00631BEB" w:rsidRDefault="00631BEB" w:rsidP="00631BEB">
      <w:pPr>
        <w:numPr>
          <w:ilvl w:val="0"/>
          <w:numId w:val="5"/>
        </w:numPr>
        <w:bidi w:val="0"/>
      </w:pPr>
      <w:r w:rsidRPr="00631BEB">
        <w:t>Adjusted covariates: age, gender, SOFA score, admission diagnoses</w:t>
      </w:r>
      <w:r w:rsidR="005404E6">
        <w:t>- sepsis, septic shock, cardiogenic shock, pneumonia, Trauma-MVA</w:t>
      </w:r>
      <w:r w:rsidRPr="00631BEB">
        <w:t>.</w:t>
      </w:r>
    </w:p>
    <w:p w14:paraId="329FBC82" w14:textId="77777777" w:rsidR="00631BEB" w:rsidRPr="00631BEB" w:rsidRDefault="00631BEB" w:rsidP="00631BEB">
      <w:pPr>
        <w:numPr>
          <w:ilvl w:val="0"/>
          <w:numId w:val="5"/>
        </w:numPr>
        <w:bidi w:val="0"/>
      </w:pPr>
      <w:r w:rsidRPr="00631BEB">
        <w:t>Model diagnostics: complete case analysis.</w:t>
      </w:r>
    </w:p>
    <w:p w14:paraId="350F8DBC" w14:textId="79FE7200" w:rsidR="00631BEB" w:rsidRPr="00631BEB" w:rsidRDefault="00631BEB" w:rsidP="00631BEB">
      <w:pPr>
        <w:numPr>
          <w:ilvl w:val="0"/>
          <w:numId w:val="5"/>
        </w:numPr>
        <w:bidi w:val="0"/>
      </w:pPr>
      <w:r w:rsidRPr="00631BEB">
        <w:t>Sensitivity analyses varied the kcal/kg/h cutoff (</w:t>
      </w:r>
      <w:r w:rsidR="003F4AA5">
        <w:t xml:space="preserve">0.6, </w:t>
      </w:r>
      <w:r w:rsidRPr="00631BEB">
        <w:t>0.8,</w:t>
      </w:r>
      <w:r w:rsidR="003F4AA5">
        <w:t>1.0,</w:t>
      </w:r>
      <w:r w:rsidRPr="00631BEB">
        <w:t xml:space="preserve"> 1.2, 1.</w:t>
      </w:r>
      <w:r w:rsidR="003F4AA5">
        <w:t>4</w:t>
      </w:r>
      <w:r w:rsidRPr="00631BEB">
        <w:t>) thresholds.</w:t>
      </w:r>
    </w:p>
    <w:p w14:paraId="66BBD86E" w14:textId="77777777" w:rsidR="00631BEB" w:rsidRPr="00631BEB" w:rsidRDefault="0083514B" w:rsidP="00631BEB">
      <w:pPr>
        <w:bidi w:val="0"/>
      </w:pPr>
      <w:r>
        <w:pict w14:anchorId="6E87FD43">
          <v:rect id="_x0000_i1025" style="width:0;height:1.5pt" o:hralign="center" o:hrstd="t" o:hr="t" fillcolor="#a0a0a0" stroked="f"/>
        </w:pict>
      </w:r>
    </w:p>
    <w:p w14:paraId="4F6AD49E" w14:textId="77777777" w:rsidR="00631BEB" w:rsidRPr="00817752" w:rsidRDefault="00631BEB" w:rsidP="00817752">
      <w:pPr>
        <w:pStyle w:val="1"/>
        <w:bidi w:val="0"/>
        <w:spacing w:before="480" w:after="0" w:line="276" w:lineRule="auto"/>
        <w:rPr>
          <w:b/>
          <w:bCs/>
          <w:kern w:val="0"/>
          <w:sz w:val="28"/>
          <w:szCs w:val="28"/>
          <w:lang w:bidi="ar-SA"/>
          <w14:ligatures w14:val="none"/>
        </w:rPr>
      </w:pPr>
      <w:r w:rsidRPr="00817752">
        <w:rPr>
          <w:b/>
          <w:bCs/>
          <w:kern w:val="0"/>
          <w:sz w:val="28"/>
          <w:szCs w:val="28"/>
          <w:lang w:bidi="ar-SA"/>
          <w14:ligatures w14:val="none"/>
        </w:rPr>
        <w:lastRenderedPageBreak/>
        <w:t>Supplementary Tables</w:t>
      </w:r>
    </w:p>
    <w:tbl>
      <w:tblPr>
        <w:tblStyle w:val="21"/>
        <w:tblW w:w="0" w:type="auto"/>
        <w:tblLook w:val="04A0" w:firstRow="1" w:lastRow="0" w:firstColumn="1" w:lastColumn="0" w:noHBand="0" w:noVBand="1"/>
      </w:tblPr>
      <w:tblGrid>
        <w:gridCol w:w="1828"/>
        <w:gridCol w:w="765"/>
        <w:gridCol w:w="1494"/>
        <w:gridCol w:w="774"/>
        <w:gridCol w:w="1466"/>
        <w:gridCol w:w="1979"/>
      </w:tblGrid>
      <w:tr w:rsidR="00A520AD" w:rsidRPr="00A520AD" w14:paraId="2C4C1D33" w14:textId="77777777" w:rsidTr="00A520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C517A6" w14:textId="77777777" w:rsidR="00A520AD" w:rsidRPr="00A520AD" w:rsidRDefault="00A520AD" w:rsidP="00A520AD">
            <w:pPr>
              <w:bidi w:val="0"/>
              <w:spacing w:after="160" w:line="259" w:lineRule="auto"/>
            </w:pPr>
            <w:r w:rsidRPr="00A520AD">
              <w:t>Threshold (kcal/kg/h)</w:t>
            </w:r>
          </w:p>
        </w:tc>
        <w:tc>
          <w:tcPr>
            <w:tcW w:w="0" w:type="auto"/>
            <w:hideMark/>
          </w:tcPr>
          <w:p w14:paraId="6629113F" w14:textId="77777777" w:rsidR="00A520AD" w:rsidRPr="00A520AD" w:rsidRDefault="00A520AD" w:rsidP="00A520AD">
            <w:pPr>
              <w:bidi w:val="0"/>
              <w:spacing w:after="160" w:line="259" w:lineRule="auto"/>
              <w:cnfStyle w:val="100000000000" w:firstRow="1" w:lastRow="0" w:firstColumn="0" w:lastColumn="0" w:oddVBand="0" w:evenVBand="0" w:oddHBand="0" w:evenHBand="0" w:firstRowFirstColumn="0" w:firstRowLastColumn="0" w:lastRowFirstColumn="0" w:lastRowLastColumn="0"/>
            </w:pPr>
            <w:r w:rsidRPr="00A520AD">
              <w:t>n High</w:t>
            </w:r>
          </w:p>
        </w:tc>
        <w:tc>
          <w:tcPr>
            <w:tcW w:w="0" w:type="auto"/>
            <w:hideMark/>
          </w:tcPr>
          <w:p w14:paraId="508784D6" w14:textId="77777777" w:rsidR="00A520AD" w:rsidRPr="00A520AD" w:rsidRDefault="00A520AD" w:rsidP="00A520AD">
            <w:pPr>
              <w:bidi w:val="0"/>
              <w:spacing w:after="160" w:line="259" w:lineRule="auto"/>
              <w:cnfStyle w:val="100000000000" w:firstRow="1" w:lastRow="0" w:firstColumn="0" w:lastColumn="0" w:oddVBand="0" w:evenVBand="0" w:oddHBand="0" w:evenHBand="0" w:firstRowFirstColumn="0" w:firstRowLastColumn="0" w:lastRowFirstColumn="0" w:lastRowLastColumn="0"/>
            </w:pPr>
            <w:r w:rsidRPr="00A520AD">
              <w:t>Mortality High %</w:t>
            </w:r>
          </w:p>
        </w:tc>
        <w:tc>
          <w:tcPr>
            <w:tcW w:w="0" w:type="auto"/>
            <w:hideMark/>
          </w:tcPr>
          <w:p w14:paraId="79FFF59B" w14:textId="77777777" w:rsidR="00A520AD" w:rsidRPr="00A520AD" w:rsidRDefault="00A520AD" w:rsidP="00A520AD">
            <w:pPr>
              <w:bidi w:val="0"/>
              <w:spacing w:after="160" w:line="259" w:lineRule="auto"/>
              <w:cnfStyle w:val="100000000000" w:firstRow="1" w:lastRow="0" w:firstColumn="0" w:lastColumn="0" w:oddVBand="0" w:evenVBand="0" w:oddHBand="0" w:evenHBand="0" w:firstRowFirstColumn="0" w:firstRowLastColumn="0" w:lastRowFirstColumn="0" w:lastRowLastColumn="0"/>
            </w:pPr>
            <w:r w:rsidRPr="00A520AD">
              <w:t>n Low</w:t>
            </w:r>
          </w:p>
        </w:tc>
        <w:tc>
          <w:tcPr>
            <w:tcW w:w="0" w:type="auto"/>
            <w:hideMark/>
          </w:tcPr>
          <w:p w14:paraId="6B7E42C7" w14:textId="77777777" w:rsidR="00A520AD" w:rsidRPr="00A520AD" w:rsidRDefault="00A520AD" w:rsidP="00A520AD">
            <w:pPr>
              <w:bidi w:val="0"/>
              <w:spacing w:after="160" w:line="259" w:lineRule="auto"/>
              <w:cnfStyle w:val="100000000000" w:firstRow="1" w:lastRow="0" w:firstColumn="0" w:lastColumn="0" w:oddVBand="0" w:evenVBand="0" w:oddHBand="0" w:evenHBand="0" w:firstRowFirstColumn="0" w:firstRowLastColumn="0" w:lastRowFirstColumn="0" w:lastRowLastColumn="0"/>
            </w:pPr>
            <w:r w:rsidRPr="00A520AD">
              <w:t>Mortality Low %</w:t>
            </w:r>
          </w:p>
        </w:tc>
        <w:tc>
          <w:tcPr>
            <w:tcW w:w="0" w:type="auto"/>
            <w:hideMark/>
          </w:tcPr>
          <w:p w14:paraId="65D4B5B7" w14:textId="77777777" w:rsidR="00A520AD" w:rsidRPr="00A520AD" w:rsidRDefault="00A520AD" w:rsidP="00A520AD">
            <w:pPr>
              <w:bidi w:val="0"/>
              <w:spacing w:after="160" w:line="259" w:lineRule="auto"/>
              <w:cnfStyle w:val="100000000000" w:firstRow="1" w:lastRow="0" w:firstColumn="0" w:lastColumn="0" w:oddVBand="0" w:evenVBand="0" w:oddHBand="0" w:evenHBand="0" w:firstRowFirstColumn="0" w:firstRowLastColumn="0" w:lastRowFirstColumn="0" w:lastRowLastColumn="0"/>
            </w:pPr>
            <w:r w:rsidRPr="00A520AD">
              <w:t>Difference (High–Low) %</w:t>
            </w:r>
          </w:p>
        </w:tc>
      </w:tr>
      <w:tr w:rsidR="00A520AD" w:rsidRPr="00A520AD" w14:paraId="61F12A0C" w14:textId="77777777" w:rsidTr="00A52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0900B2" w14:textId="77777777" w:rsidR="00A520AD" w:rsidRPr="00A520AD" w:rsidRDefault="00A520AD" w:rsidP="00A520AD">
            <w:pPr>
              <w:bidi w:val="0"/>
              <w:spacing w:after="160" w:line="259" w:lineRule="auto"/>
            </w:pPr>
            <w:r w:rsidRPr="00A520AD">
              <w:t>0.6</w:t>
            </w:r>
          </w:p>
        </w:tc>
        <w:tc>
          <w:tcPr>
            <w:tcW w:w="0" w:type="auto"/>
            <w:hideMark/>
          </w:tcPr>
          <w:p w14:paraId="176C9E55" w14:textId="77777777" w:rsidR="00A520AD" w:rsidRPr="00A520AD" w:rsidRDefault="00A520AD" w:rsidP="00A520AD">
            <w:pPr>
              <w:bidi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A520AD">
              <w:rPr>
                <w:b/>
                <w:bCs/>
              </w:rPr>
              <w:t>936</w:t>
            </w:r>
          </w:p>
        </w:tc>
        <w:tc>
          <w:tcPr>
            <w:tcW w:w="0" w:type="auto"/>
            <w:hideMark/>
          </w:tcPr>
          <w:p w14:paraId="3D02EB7C" w14:textId="77777777" w:rsidR="00A520AD" w:rsidRPr="00A520AD" w:rsidRDefault="00A520AD" w:rsidP="00A520AD">
            <w:pPr>
              <w:bidi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A520AD">
              <w:rPr>
                <w:b/>
                <w:bCs/>
              </w:rPr>
              <w:t>42.9%</w:t>
            </w:r>
          </w:p>
        </w:tc>
        <w:tc>
          <w:tcPr>
            <w:tcW w:w="0" w:type="auto"/>
            <w:hideMark/>
          </w:tcPr>
          <w:p w14:paraId="3410CE43" w14:textId="77777777" w:rsidR="00A520AD" w:rsidRPr="00A520AD" w:rsidRDefault="00A520AD" w:rsidP="00A520AD">
            <w:pPr>
              <w:bidi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A520AD">
              <w:rPr>
                <w:b/>
                <w:bCs/>
              </w:rPr>
              <w:t>717</w:t>
            </w:r>
          </w:p>
        </w:tc>
        <w:tc>
          <w:tcPr>
            <w:tcW w:w="0" w:type="auto"/>
            <w:hideMark/>
          </w:tcPr>
          <w:p w14:paraId="03C5AE7E" w14:textId="77777777" w:rsidR="00A520AD" w:rsidRPr="00A520AD" w:rsidRDefault="00A520AD" w:rsidP="00A520AD">
            <w:pPr>
              <w:bidi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A520AD">
              <w:rPr>
                <w:b/>
                <w:bCs/>
              </w:rPr>
              <w:t>34.4%</w:t>
            </w:r>
          </w:p>
        </w:tc>
        <w:tc>
          <w:tcPr>
            <w:tcW w:w="0" w:type="auto"/>
            <w:hideMark/>
          </w:tcPr>
          <w:p w14:paraId="51C3DC8F" w14:textId="77777777" w:rsidR="00A520AD" w:rsidRPr="00A520AD" w:rsidRDefault="00A520AD" w:rsidP="00A520AD">
            <w:pPr>
              <w:bidi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A520AD">
              <w:rPr>
                <w:b/>
                <w:bCs/>
              </w:rPr>
              <w:t>+8.5</w:t>
            </w:r>
          </w:p>
        </w:tc>
      </w:tr>
      <w:tr w:rsidR="00A520AD" w:rsidRPr="00A520AD" w14:paraId="795FCA57" w14:textId="77777777" w:rsidTr="00A520AD">
        <w:tc>
          <w:tcPr>
            <w:cnfStyle w:val="001000000000" w:firstRow="0" w:lastRow="0" w:firstColumn="1" w:lastColumn="0" w:oddVBand="0" w:evenVBand="0" w:oddHBand="0" w:evenHBand="0" w:firstRowFirstColumn="0" w:firstRowLastColumn="0" w:lastRowFirstColumn="0" w:lastRowLastColumn="0"/>
            <w:tcW w:w="0" w:type="auto"/>
            <w:hideMark/>
          </w:tcPr>
          <w:p w14:paraId="7BE6EEDD" w14:textId="77777777" w:rsidR="00A520AD" w:rsidRPr="00A520AD" w:rsidRDefault="00A520AD" w:rsidP="00A520AD">
            <w:pPr>
              <w:bidi w:val="0"/>
              <w:spacing w:after="160" w:line="259" w:lineRule="auto"/>
            </w:pPr>
            <w:r w:rsidRPr="00A520AD">
              <w:t>0.8</w:t>
            </w:r>
          </w:p>
        </w:tc>
        <w:tc>
          <w:tcPr>
            <w:tcW w:w="0" w:type="auto"/>
            <w:hideMark/>
          </w:tcPr>
          <w:p w14:paraId="656692B0" w14:textId="77777777" w:rsidR="00A520AD" w:rsidRPr="00A520AD" w:rsidRDefault="00A520AD" w:rsidP="00A520AD">
            <w:pPr>
              <w:bidi w:val="0"/>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A520AD">
              <w:rPr>
                <w:b/>
                <w:bCs/>
              </w:rPr>
              <w:t>830</w:t>
            </w:r>
          </w:p>
        </w:tc>
        <w:tc>
          <w:tcPr>
            <w:tcW w:w="0" w:type="auto"/>
            <w:hideMark/>
          </w:tcPr>
          <w:p w14:paraId="2B165443" w14:textId="77777777" w:rsidR="00A520AD" w:rsidRPr="00A520AD" w:rsidRDefault="00A520AD" w:rsidP="00A520AD">
            <w:pPr>
              <w:bidi w:val="0"/>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A520AD">
              <w:rPr>
                <w:b/>
                <w:bCs/>
              </w:rPr>
              <w:t>43.0%</w:t>
            </w:r>
          </w:p>
        </w:tc>
        <w:tc>
          <w:tcPr>
            <w:tcW w:w="0" w:type="auto"/>
            <w:hideMark/>
          </w:tcPr>
          <w:p w14:paraId="12AB5E84" w14:textId="77777777" w:rsidR="00A520AD" w:rsidRPr="00A520AD" w:rsidRDefault="00A520AD" w:rsidP="00A520AD">
            <w:pPr>
              <w:bidi w:val="0"/>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A520AD">
              <w:rPr>
                <w:b/>
                <w:bCs/>
              </w:rPr>
              <w:t>871</w:t>
            </w:r>
          </w:p>
        </w:tc>
        <w:tc>
          <w:tcPr>
            <w:tcW w:w="0" w:type="auto"/>
            <w:hideMark/>
          </w:tcPr>
          <w:p w14:paraId="5355AF11" w14:textId="77777777" w:rsidR="00A520AD" w:rsidRPr="00A520AD" w:rsidRDefault="00A520AD" w:rsidP="00A520AD">
            <w:pPr>
              <w:bidi w:val="0"/>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A520AD">
              <w:rPr>
                <w:b/>
                <w:bCs/>
              </w:rPr>
              <w:t>35.6%</w:t>
            </w:r>
          </w:p>
        </w:tc>
        <w:tc>
          <w:tcPr>
            <w:tcW w:w="0" w:type="auto"/>
            <w:hideMark/>
          </w:tcPr>
          <w:p w14:paraId="1929F319" w14:textId="77777777" w:rsidR="00A520AD" w:rsidRPr="00A520AD" w:rsidRDefault="00A520AD" w:rsidP="00A520AD">
            <w:pPr>
              <w:bidi w:val="0"/>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A520AD">
              <w:rPr>
                <w:b/>
                <w:bCs/>
              </w:rPr>
              <w:t>+7.4</w:t>
            </w:r>
          </w:p>
        </w:tc>
      </w:tr>
      <w:tr w:rsidR="00A520AD" w:rsidRPr="00A520AD" w14:paraId="4CB23318" w14:textId="77777777" w:rsidTr="00A52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E257A6" w14:textId="77777777" w:rsidR="00A520AD" w:rsidRPr="00A520AD" w:rsidRDefault="00A520AD" w:rsidP="00A520AD">
            <w:pPr>
              <w:bidi w:val="0"/>
              <w:spacing w:after="160" w:line="259" w:lineRule="auto"/>
            </w:pPr>
            <w:r w:rsidRPr="00A520AD">
              <w:t>1.0</w:t>
            </w:r>
          </w:p>
        </w:tc>
        <w:tc>
          <w:tcPr>
            <w:tcW w:w="0" w:type="auto"/>
            <w:hideMark/>
          </w:tcPr>
          <w:p w14:paraId="084978D0" w14:textId="77777777" w:rsidR="00A520AD" w:rsidRPr="00A520AD" w:rsidRDefault="00A520AD" w:rsidP="00A520AD">
            <w:pPr>
              <w:bidi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A520AD">
              <w:rPr>
                <w:b/>
                <w:bCs/>
              </w:rPr>
              <w:t>644</w:t>
            </w:r>
          </w:p>
        </w:tc>
        <w:tc>
          <w:tcPr>
            <w:tcW w:w="0" w:type="auto"/>
            <w:hideMark/>
          </w:tcPr>
          <w:p w14:paraId="05AC80A2" w14:textId="77777777" w:rsidR="00A520AD" w:rsidRPr="00A520AD" w:rsidRDefault="00A520AD" w:rsidP="00A520AD">
            <w:pPr>
              <w:bidi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A520AD">
              <w:rPr>
                <w:b/>
                <w:bCs/>
              </w:rPr>
              <w:t>44.7%</w:t>
            </w:r>
          </w:p>
        </w:tc>
        <w:tc>
          <w:tcPr>
            <w:tcW w:w="0" w:type="auto"/>
            <w:hideMark/>
          </w:tcPr>
          <w:p w14:paraId="45CF7BC0" w14:textId="77777777" w:rsidR="00A520AD" w:rsidRPr="00A520AD" w:rsidRDefault="00A520AD" w:rsidP="00A520AD">
            <w:pPr>
              <w:bidi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A520AD">
              <w:rPr>
                <w:b/>
                <w:bCs/>
              </w:rPr>
              <w:t>1,096</w:t>
            </w:r>
          </w:p>
        </w:tc>
        <w:tc>
          <w:tcPr>
            <w:tcW w:w="0" w:type="auto"/>
            <w:hideMark/>
          </w:tcPr>
          <w:p w14:paraId="43CB57BB" w14:textId="77777777" w:rsidR="00A520AD" w:rsidRPr="00A520AD" w:rsidRDefault="00A520AD" w:rsidP="00A520AD">
            <w:pPr>
              <w:bidi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A520AD">
              <w:rPr>
                <w:b/>
                <w:bCs/>
              </w:rPr>
              <w:t>36.5%</w:t>
            </w:r>
          </w:p>
        </w:tc>
        <w:tc>
          <w:tcPr>
            <w:tcW w:w="0" w:type="auto"/>
            <w:hideMark/>
          </w:tcPr>
          <w:p w14:paraId="6AF178BF" w14:textId="77777777" w:rsidR="00A520AD" w:rsidRPr="00A520AD" w:rsidRDefault="00A520AD" w:rsidP="00A520AD">
            <w:pPr>
              <w:bidi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A520AD">
              <w:rPr>
                <w:b/>
                <w:bCs/>
              </w:rPr>
              <w:t>+8.2</w:t>
            </w:r>
          </w:p>
        </w:tc>
      </w:tr>
      <w:tr w:rsidR="00A520AD" w:rsidRPr="00A520AD" w14:paraId="0EE03D4D" w14:textId="77777777" w:rsidTr="00A520AD">
        <w:tc>
          <w:tcPr>
            <w:cnfStyle w:val="001000000000" w:firstRow="0" w:lastRow="0" w:firstColumn="1" w:lastColumn="0" w:oddVBand="0" w:evenVBand="0" w:oddHBand="0" w:evenHBand="0" w:firstRowFirstColumn="0" w:firstRowLastColumn="0" w:lastRowFirstColumn="0" w:lastRowLastColumn="0"/>
            <w:tcW w:w="0" w:type="auto"/>
            <w:hideMark/>
          </w:tcPr>
          <w:p w14:paraId="6B5EF55C" w14:textId="77777777" w:rsidR="00A520AD" w:rsidRPr="00A520AD" w:rsidRDefault="00A520AD" w:rsidP="00A520AD">
            <w:pPr>
              <w:bidi w:val="0"/>
              <w:spacing w:after="160" w:line="259" w:lineRule="auto"/>
            </w:pPr>
            <w:r w:rsidRPr="00A520AD">
              <w:t>1.2</w:t>
            </w:r>
          </w:p>
        </w:tc>
        <w:tc>
          <w:tcPr>
            <w:tcW w:w="0" w:type="auto"/>
            <w:hideMark/>
          </w:tcPr>
          <w:p w14:paraId="34F7BBDD" w14:textId="77777777" w:rsidR="00A520AD" w:rsidRPr="00A520AD" w:rsidRDefault="00A520AD" w:rsidP="00A520AD">
            <w:pPr>
              <w:bidi w:val="0"/>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A520AD">
              <w:rPr>
                <w:b/>
                <w:bCs/>
              </w:rPr>
              <w:t>412</w:t>
            </w:r>
          </w:p>
        </w:tc>
        <w:tc>
          <w:tcPr>
            <w:tcW w:w="0" w:type="auto"/>
            <w:hideMark/>
          </w:tcPr>
          <w:p w14:paraId="1EEEE76D" w14:textId="77777777" w:rsidR="00A520AD" w:rsidRPr="00A520AD" w:rsidRDefault="00A520AD" w:rsidP="00A520AD">
            <w:pPr>
              <w:bidi w:val="0"/>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A520AD">
              <w:rPr>
                <w:b/>
                <w:bCs/>
              </w:rPr>
              <w:t>47.6%</w:t>
            </w:r>
          </w:p>
        </w:tc>
        <w:tc>
          <w:tcPr>
            <w:tcW w:w="0" w:type="auto"/>
            <w:hideMark/>
          </w:tcPr>
          <w:p w14:paraId="4E3107C7" w14:textId="77777777" w:rsidR="00A520AD" w:rsidRPr="00A520AD" w:rsidRDefault="00A520AD" w:rsidP="00A520AD">
            <w:pPr>
              <w:bidi w:val="0"/>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A520AD">
              <w:rPr>
                <w:b/>
                <w:bCs/>
              </w:rPr>
              <w:t>1,329</w:t>
            </w:r>
          </w:p>
        </w:tc>
        <w:tc>
          <w:tcPr>
            <w:tcW w:w="0" w:type="auto"/>
            <w:hideMark/>
          </w:tcPr>
          <w:p w14:paraId="4A044C90" w14:textId="77777777" w:rsidR="00A520AD" w:rsidRPr="00A520AD" w:rsidRDefault="00A520AD" w:rsidP="00A520AD">
            <w:pPr>
              <w:bidi w:val="0"/>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A520AD">
              <w:rPr>
                <w:b/>
                <w:bCs/>
              </w:rPr>
              <w:t>36.9%</w:t>
            </w:r>
          </w:p>
        </w:tc>
        <w:tc>
          <w:tcPr>
            <w:tcW w:w="0" w:type="auto"/>
            <w:hideMark/>
          </w:tcPr>
          <w:p w14:paraId="21FA000A" w14:textId="77777777" w:rsidR="00A520AD" w:rsidRPr="00A520AD" w:rsidRDefault="00A520AD" w:rsidP="00A520AD">
            <w:pPr>
              <w:bidi w:val="0"/>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A520AD">
              <w:rPr>
                <w:b/>
                <w:bCs/>
              </w:rPr>
              <w:t>+10.6</w:t>
            </w:r>
          </w:p>
        </w:tc>
      </w:tr>
      <w:tr w:rsidR="00A520AD" w:rsidRPr="00A520AD" w14:paraId="1AB44A23" w14:textId="77777777" w:rsidTr="00A52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9C7941" w14:textId="77777777" w:rsidR="00A520AD" w:rsidRPr="00A520AD" w:rsidRDefault="00A520AD" w:rsidP="00A520AD">
            <w:pPr>
              <w:bidi w:val="0"/>
              <w:spacing w:after="160" w:line="259" w:lineRule="auto"/>
            </w:pPr>
            <w:r w:rsidRPr="00A520AD">
              <w:t>1.4</w:t>
            </w:r>
          </w:p>
        </w:tc>
        <w:tc>
          <w:tcPr>
            <w:tcW w:w="0" w:type="auto"/>
            <w:hideMark/>
          </w:tcPr>
          <w:p w14:paraId="4CE49AFD" w14:textId="77777777" w:rsidR="00A520AD" w:rsidRPr="00A520AD" w:rsidRDefault="00A520AD" w:rsidP="00A520AD">
            <w:pPr>
              <w:bidi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A520AD">
              <w:rPr>
                <w:b/>
                <w:bCs/>
              </w:rPr>
              <w:t>227</w:t>
            </w:r>
          </w:p>
        </w:tc>
        <w:tc>
          <w:tcPr>
            <w:tcW w:w="0" w:type="auto"/>
            <w:hideMark/>
          </w:tcPr>
          <w:p w14:paraId="791AB6B8" w14:textId="77777777" w:rsidR="00A520AD" w:rsidRPr="00A520AD" w:rsidRDefault="00A520AD" w:rsidP="00A520AD">
            <w:pPr>
              <w:bidi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A520AD">
              <w:rPr>
                <w:b/>
                <w:bCs/>
              </w:rPr>
              <w:t>51.5%</w:t>
            </w:r>
          </w:p>
        </w:tc>
        <w:tc>
          <w:tcPr>
            <w:tcW w:w="0" w:type="auto"/>
            <w:hideMark/>
          </w:tcPr>
          <w:p w14:paraId="10E0B6BE" w14:textId="77777777" w:rsidR="00A520AD" w:rsidRPr="00A520AD" w:rsidRDefault="00A520AD" w:rsidP="00A520AD">
            <w:pPr>
              <w:bidi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A520AD">
              <w:rPr>
                <w:b/>
                <w:bCs/>
              </w:rPr>
              <w:t>1,549</w:t>
            </w:r>
          </w:p>
        </w:tc>
        <w:tc>
          <w:tcPr>
            <w:tcW w:w="0" w:type="auto"/>
            <w:hideMark/>
          </w:tcPr>
          <w:p w14:paraId="17CF6148" w14:textId="77777777" w:rsidR="00A520AD" w:rsidRPr="00A520AD" w:rsidRDefault="00A520AD" w:rsidP="00A520AD">
            <w:pPr>
              <w:bidi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A520AD">
              <w:rPr>
                <w:b/>
                <w:bCs/>
              </w:rPr>
              <w:t>37.4%</w:t>
            </w:r>
          </w:p>
        </w:tc>
        <w:tc>
          <w:tcPr>
            <w:tcW w:w="0" w:type="auto"/>
            <w:hideMark/>
          </w:tcPr>
          <w:p w14:paraId="09D3BADC" w14:textId="77777777" w:rsidR="00A520AD" w:rsidRPr="00A520AD" w:rsidRDefault="00A520AD" w:rsidP="00A520AD">
            <w:pPr>
              <w:bidi w:val="0"/>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A520AD">
              <w:rPr>
                <w:b/>
                <w:bCs/>
              </w:rPr>
              <w:t>+14.2</w:t>
            </w:r>
          </w:p>
        </w:tc>
      </w:tr>
    </w:tbl>
    <w:p w14:paraId="75D01FBF" w14:textId="77777777" w:rsidR="00373D30" w:rsidRDefault="00373D30" w:rsidP="00631BEB">
      <w:pPr>
        <w:bidi w:val="0"/>
        <w:rPr>
          <w:b/>
          <w:bCs/>
        </w:rPr>
      </w:pPr>
    </w:p>
    <w:p w14:paraId="493D8913" w14:textId="49F2771B" w:rsidR="00631BEB" w:rsidRPr="00631BEB" w:rsidRDefault="0083514B" w:rsidP="00373D30">
      <w:pPr>
        <w:bidi w:val="0"/>
      </w:pPr>
      <w:r>
        <w:pict w14:anchorId="720BD831">
          <v:rect id="_x0000_i1026" style="width:0;height:1.5pt" o:hralign="center" o:hrstd="t" o:hr="t" fillcolor="#a0a0a0" stroked="f"/>
        </w:pict>
      </w:r>
    </w:p>
    <w:p w14:paraId="58C06B01" w14:textId="77777777" w:rsidR="00631BEB" w:rsidRPr="00817752" w:rsidRDefault="00631BEB" w:rsidP="00817752">
      <w:pPr>
        <w:pStyle w:val="1"/>
        <w:bidi w:val="0"/>
        <w:spacing w:before="480" w:after="0" w:line="276" w:lineRule="auto"/>
        <w:rPr>
          <w:b/>
          <w:bCs/>
          <w:kern w:val="0"/>
          <w:sz w:val="28"/>
          <w:szCs w:val="28"/>
          <w:lang w:bidi="ar-SA"/>
          <w14:ligatures w14:val="none"/>
        </w:rPr>
      </w:pPr>
      <w:r w:rsidRPr="00817752">
        <w:rPr>
          <w:b/>
          <w:bCs/>
          <w:kern w:val="0"/>
          <w:sz w:val="28"/>
          <w:szCs w:val="28"/>
          <w:lang w:bidi="ar-SA"/>
          <w14:ligatures w14:val="none"/>
        </w:rPr>
        <w:t>Supplementary Figures</w:t>
      </w:r>
    </w:p>
    <w:p w14:paraId="0221D2CD" w14:textId="393BB4F1" w:rsidR="00D616CD" w:rsidRDefault="0094111C" w:rsidP="00D616CD">
      <w:pPr>
        <w:bidi w:val="0"/>
        <w:ind w:left="360"/>
      </w:pPr>
      <w:r>
        <w:rPr>
          <w:noProof/>
        </w:rPr>
        <w:drawing>
          <wp:inline distT="0" distB="0" distL="0" distR="0" wp14:anchorId="4D700C40" wp14:editId="48A1483D">
            <wp:extent cx="5274310" cy="3525520"/>
            <wp:effectExtent l="0" t="0" r="2540" b="0"/>
            <wp:docPr id="1678862330" name="תמונה 2" descr="תמונה שמכילה טקסט, צילום מסך, גופן, מספר&#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62330" name="תמונה 2" descr="תמונה שמכילה טקסט, צילום מסך, גופן, מספר&#10;&#10;תוכן בינה מלאכותית גנרטיבית עשוי להיות שגוי."/>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3525520"/>
                    </a:xfrm>
                    <a:prstGeom prst="rect">
                      <a:avLst/>
                    </a:prstGeom>
                  </pic:spPr>
                </pic:pic>
              </a:graphicData>
            </a:graphic>
          </wp:inline>
        </w:drawing>
      </w:r>
    </w:p>
    <w:p w14:paraId="6A032F0A" w14:textId="64380802" w:rsidR="00897D90" w:rsidRDefault="00F57CCF" w:rsidP="0083514B">
      <w:pPr>
        <w:bidi w:val="0"/>
      </w:pPr>
      <w:r w:rsidRPr="00F57CCF">
        <w:rPr>
          <w:b/>
          <w:bCs/>
        </w:rPr>
        <w:t>Figure S1</w:t>
      </w:r>
      <w:r w:rsidR="006F3975">
        <w:rPr>
          <w:b/>
          <w:bCs/>
        </w:rPr>
        <w:t xml:space="preserve">- </w:t>
      </w:r>
      <w:r w:rsidRPr="00F57CCF">
        <w:rPr>
          <w:b/>
          <w:bCs/>
        </w:rPr>
        <w:t>Adjusted odds ratios for 90-day mortality at the 1.0 kcal/kg/h threshold.</w:t>
      </w:r>
      <w:r w:rsidRPr="00F57CCF">
        <w:br/>
        <w:t xml:space="preserve">Forest plot of the multivariable logistic regression model including age, gender, SOFA score, and admission diagnoses. The primary exposure, </w:t>
      </w:r>
      <w:r w:rsidRPr="00F57CCF">
        <w:rPr>
          <w:b/>
          <w:bCs/>
        </w:rPr>
        <w:t>high pre-transition nutrition (≥1.0 kcal/kg/h for ≥24 h before transition)</w:t>
      </w:r>
      <w:r w:rsidRPr="00F57CCF">
        <w:t>, was associated with increased 90-day mortality (OR 1.25, 95% CI 1.01–1.55, p=0.038). Odds ratios (dots) are shown with 95% confidence intervals (horizontal bars) on a logarithmic scale; the dashed vertical line denotes the null value (OR=1).</w:t>
      </w:r>
    </w:p>
    <w:p w14:paraId="3CA30E63" w14:textId="77777777" w:rsidR="00F57CCF" w:rsidRDefault="00F57CCF" w:rsidP="00F57CCF">
      <w:pPr>
        <w:bidi w:val="0"/>
        <w:ind w:left="360"/>
      </w:pPr>
    </w:p>
    <w:p w14:paraId="40C413E3" w14:textId="372A28BC" w:rsidR="00577818" w:rsidRDefault="00577818" w:rsidP="00577818">
      <w:pPr>
        <w:bidi w:val="0"/>
      </w:pPr>
      <w:r>
        <w:rPr>
          <w:noProof/>
        </w:rPr>
        <w:lastRenderedPageBreak/>
        <w:drawing>
          <wp:inline distT="0" distB="0" distL="0" distR="0" wp14:anchorId="67698F7C" wp14:editId="124D8372">
            <wp:extent cx="5274310" cy="2150110"/>
            <wp:effectExtent l="0" t="0" r="2540" b="2540"/>
            <wp:docPr id="1933940005" name="תמונה 3" descr="תמונה שמכילה טקסט, קו,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940005" name="תמונה 3" descr="תמונה שמכילה טקסט, קו, עלילה, תרשים&#10;&#10;תוכן בינה מלאכותית גנרטיבית עשוי להיות שגוי."/>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150110"/>
                    </a:xfrm>
                    <a:prstGeom prst="rect">
                      <a:avLst/>
                    </a:prstGeom>
                  </pic:spPr>
                </pic:pic>
              </a:graphicData>
            </a:graphic>
          </wp:inline>
        </w:drawing>
      </w:r>
    </w:p>
    <w:p w14:paraId="117B2393" w14:textId="294BCEB9" w:rsidR="00457257" w:rsidRPr="00457257" w:rsidRDefault="00457257" w:rsidP="0083514B">
      <w:pPr>
        <w:bidi w:val="0"/>
        <w:rPr>
          <w:b/>
          <w:bCs/>
        </w:rPr>
      </w:pPr>
      <w:r w:rsidRPr="00457257">
        <w:rPr>
          <w:b/>
          <w:bCs/>
        </w:rPr>
        <w:t xml:space="preserve">Figure </w:t>
      </w:r>
      <w:r>
        <w:rPr>
          <w:b/>
          <w:bCs/>
        </w:rPr>
        <w:t>S2</w:t>
      </w:r>
      <w:r w:rsidRPr="00457257">
        <w:rPr>
          <w:b/>
          <w:bCs/>
        </w:rPr>
        <w:t xml:space="preserve"> — Mortality by Thresholds</w:t>
      </w:r>
    </w:p>
    <w:p w14:paraId="3C1075C6" w14:textId="77777777" w:rsidR="00457257" w:rsidRPr="00457257" w:rsidRDefault="00457257" w:rsidP="0083514B">
      <w:pPr>
        <w:bidi w:val="0"/>
      </w:pPr>
      <w:r w:rsidRPr="00457257">
        <w:rPr>
          <w:b/>
          <w:bCs/>
        </w:rPr>
        <w:t>Figure S2A. Ninety-day mortality by exposure group across thresholds (0.6–1.4 kcal/kg/h).</w:t>
      </w:r>
      <w:r w:rsidRPr="00457257">
        <w:br/>
        <w:t xml:space="preserve">Mortality rates in the </w:t>
      </w:r>
      <w:r w:rsidRPr="00457257">
        <w:rPr>
          <w:b/>
          <w:bCs/>
        </w:rPr>
        <w:t>High nutrition group (≥ threshold for ≥24 h)</w:t>
      </w:r>
      <w:r w:rsidRPr="00457257">
        <w:t xml:space="preserve"> and </w:t>
      </w:r>
      <w:r w:rsidRPr="00457257">
        <w:rPr>
          <w:b/>
          <w:bCs/>
        </w:rPr>
        <w:t>Low group (&lt; threshold)</w:t>
      </w:r>
      <w:r w:rsidRPr="00457257">
        <w:t xml:space="preserve"> are plotted for each cutoff. Mortality in the High group consistently exceeded that of the Low group, with divergence increasing at higher thresholds.</w:t>
      </w:r>
    </w:p>
    <w:p w14:paraId="5E830FAF" w14:textId="77777777" w:rsidR="00457257" w:rsidRPr="00457257" w:rsidRDefault="00457257" w:rsidP="0083514B">
      <w:pPr>
        <w:bidi w:val="0"/>
      </w:pPr>
      <w:r w:rsidRPr="00457257">
        <w:rPr>
          <w:b/>
          <w:bCs/>
        </w:rPr>
        <w:t>Figure S2B. Excess mortality (High–Low) across thresholds.</w:t>
      </w:r>
      <w:r w:rsidRPr="00457257">
        <w:br/>
        <w:t>Absolute mortality difference between High and Low groups, expressed as percentage points, plotted against the kcal/kg/h threshold. The mortality gap widened progressively from ~7–9% at 0.6–1.0 kcal/kg/h to ~14% at ≥1.4 kcal/kg/h, suggesting a dose–response relationship.</w:t>
      </w:r>
    </w:p>
    <w:p w14:paraId="3FCD78D5" w14:textId="77777777" w:rsidR="0094111C" w:rsidRPr="00631BEB" w:rsidRDefault="0094111C" w:rsidP="0094111C">
      <w:pPr>
        <w:bidi w:val="0"/>
        <w:ind w:left="360"/>
      </w:pPr>
    </w:p>
    <w:p w14:paraId="5868BFD7" w14:textId="77777777" w:rsidR="00631BEB" w:rsidRPr="00631BEB" w:rsidRDefault="0083514B" w:rsidP="00631BEB">
      <w:pPr>
        <w:bidi w:val="0"/>
      </w:pPr>
      <w:r>
        <w:pict w14:anchorId="4B71D373">
          <v:rect id="_x0000_i1027" style="width:0;height:1.5pt" o:hralign="center" o:hrstd="t" o:hr="t" fillcolor="#a0a0a0" stroked="f"/>
        </w:pict>
      </w:r>
    </w:p>
    <w:p w14:paraId="45947E3C" w14:textId="77777777" w:rsidR="00631BEB" w:rsidRPr="00817752" w:rsidRDefault="00631BEB" w:rsidP="00817752">
      <w:pPr>
        <w:pStyle w:val="1"/>
        <w:bidi w:val="0"/>
        <w:spacing w:before="480" w:after="0" w:line="276" w:lineRule="auto"/>
        <w:rPr>
          <w:b/>
          <w:bCs/>
          <w:kern w:val="0"/>
          <w:sz w:val="28"/>
          <w:szCs w:val="28"/>
          <w:lang w:bidi="ar-SA"/>
          <w14:ligatures w14:val="none"/>
        </w:rPr>
      </w:pPr>
      <w:r w:rsidRPr="00817752">
        <w:rPr>
          <w:b/>
          <w:bCs/>
          <w:kern w:val="0"/>
          <w:sz w:val="28"/>
          <w:szCs w:val="28"/>
          <w:lang w:bidi="ar-SA"/>
          <w14:ligatures w14:val="none"/>
        </w:rPr>
        <w:t>Supplementary Discussion</w:t>
      </w:r>
    </w:p>
    <w:p w14:paraId="744D19C0" w14:textId="77777777" w:rsidR="00E71C9E" w:rsidRPr="00E71C9E" w:rsidRDefault="00E71C9E" w:rsidP="00E71C9E">
      <w:pPr>
        <w:bidi w:val="0"/>
      </w:pPr>
      <w:r w:rsidRPr="00E71C9E">
        <w:t xml:space="preserve">The adjusted analyses consistently demonstrated that </w:t>
      </w:r>
      <w:r w:rsidRPr="00E71C9E">
        <w:rPr>
          <w:b/>
          <w:bCs/>
        </w:rPr>
        <w:t>high pre-transition nutrition exposure was associated with increased 90-day mortality</w:t>
      </w:r>
      <w:r w:rsidRPr="00E71C9E">
        <w:t xml:space="preserve">, with the strength of association becoming more pronounced at higher caloric thresholds. At the conventional cutoff of </w:t>
      </w:r>
      <w:r w:rsidRPr="00E71C9E">
        <w:rPr>
          <w:b/>
          <w:bCs/>
        </w:rPr>
        <w:t>1.0 kcal/kg/h</w:t>
      </w:r>
      <w:r w:rsidRPr="00E71C9E">
        <w:t xml:space="preserve">, high exposure was linked to a </w:t>
      </w:r>
      <w:r w:rsidRPr="00E71C9E">
        <w:rPr>
          <w:b/>
          <w:bCs/>
        </w:rPr>
        <w:t>25% increase in the odds of death</w:t>
      </w:r>
      <w:r w:rsidRPr="00E71C9E">
        <w:t xml:space="preserve"> (OR 1.25, 95% CI 1.01–1.55, p=0.038). Sensitivity analyses across thresholds of </w:t>
      </w:r>
      <w:r w:rsidRPr="00E71C9E">
        <w:rPr>
          <w:b/>
          <w:bCs/>
        </w:rPr>
        <w:t>0.6, 0.8, 1.0, 1.2, and 1.4 kcal/kg/h</w:t>
      </w:r>
      <w:r w:rsidRPr="00E71C9E">
        <w:t xml:space="preserve"> showed a consistent excess risk in the high nutrition group, with absolute mortality differences ranging from </w:t>
      </w:r>
      <w:r w:rsidRPr="00E71C9E">
        <w:rPr>
          <w:b/>
          <w:bCs/>
        </w:rPr>
        <w:t>~7–9% at the lower cutoffs</w:t>
      </w:r>
      <w:r w:rsidRPr="00E71C9E">
        <w:t xml:space="preserve"> to </w:t>
      </w:r>
      <w:r w:rsidRPr="00E71C9E">
        <w:rPr>
          <w:b/>
          <w:bCs/>
        </w:rPr>
        <w:t>14% at ≥1.4 kcal/kg/h</w:t>
      </w:r>
      <w:r w:rsidRPr="00E71C9E">
        <w:t>, suggesting a dose–response relationship.</w:t>
      </w:r>
    </w:p>
    <w:p w14:paraId="4CE1D87B" w14:textId="77777777" w:rsidR="00E71C9E" w:rsidRPr="00E71C9E" w:rsidRDefault="00E71C9E" w:rsidP="00E71C9E">
      <w:pPr>
        <w:bidi w:val="0"/>
      </w:pPr>
      <w:r w:rsidRPr="00E71C9E">
        <w:t xml:space="preserve">Exploratory </w:t>
      </w:r>
      <w:r w:rsidRPr="00E71C9E">
        <w:rPr>
          <w:b/>
          <w:bCs/>
        </w:rPr>
        <w:t>piecewise Cox models</w:t>
      </w:r>
      <w:r w:rsidRPr="00E71C9E">
        <w:t xml:space="preserve"> indicated that this association was </w:t>
      </w:r>
      <w:r w:rsidRPr="00E71C9E">
        <w:rPr>
          <w:b/>
          <w:bCs/>
        </w:rPr>
        <w:t>time dependent</w:t>
      </w:r>
      <w:r w:rsidRPr="00E71C9E">
        <w:t xml:space="preserve">: during the first 30 days, high pre-transition nutrition was paradoxically associated with </w:t>
      </w:r>
      <w:r w:rsidRPr="00E71C9E">
        <w:rPr>
          <w:b/>
          <w:bCs/>
        </w:rPr>
        <w:t>lower hazard of death</w:t>
      </w:r>
      <w:r w:rsidRPr="00E71C9E">
        <w:t xml:space="preserve"> (HR 0.75, 95% CI 0.62–0.90), but between 30–90 days it was associated with a </w:t>
      </w:r>
      <w:r w:rsidRPr="00E71C9E">
        <w:rPr>
          <w:b/>
          <w:bCs/>
        </w:rPr>
        <w:t>marked increase in mortality risk</w:t>
      </w:r>
      <w:r w:rsidRPr="00E71C9E">
        <w:t xml:space="preserve"> (HR 1.78, 95% CI 1.34–2.37). This dynamic effect explains the crossing of Kaplan–Meier curves and highlights that the apparent early benefit is outweighed by subsequent late harm.</w:t>
      </w:r>
    </w:p>
    <w:p w14:paraId="0F3AB8BC" w14:textId="77777777" w:rsidR="00E71C9E" w:rsidRPr="00E71C9E" w:rsidRDefault="00E71C9E" w:rsidP="00E71C9E">
      <w:pPr>
        <w:bidi w:val="0"/>
      </w:pPr>
      <w:r w:rsidRPr="00E71C9E">
        <w:t xml:space="preserve">Together, these findings support the hypothesis that the pre-transition metabolic state is not suited for full caloric provision and that overfeeding before transition may be </w:t>
      </w:r>
      <w:r w:rsidRPr="00E71C9E">
        <w:lastRenderedPageBreak/>
        <w:t>harmful. Limitations include the retrospective design, potential residual confounding, and reliance on accurate coding of nutrition exposure and diagnoses. Nonetheless, the consistency of results across multiple thresholds, analytic approaches, and time intervals strengthens confidence in the validity of the findings.</w:t>
      </w:r>
    </w:p>
    <w:p w14:paraId="3E96A8E2" w14:textId="77777777" w:rsidR="00631BEB" w:rsidRDefault="00631BEB" w:rsidP="00631BEB">
      <w:pPr>
        <w:bidi w:val="0"/>
      </w:pPr>
    </w:p>
    <w:sectPr w:rsidR="00631BEB" w:rsidSect="004431B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4723B"/>
    <w:multiLevelType w:val="multilevel"/>
    <w:tmpl w:val="1582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F746F"/>
    <w:multiLevelType w:val="multilevel"/>
    <w:tmpl w:val="2E6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5308A"/>
    <w:multiLevelType w:val="multilevel"/>
    <w:tmpl w:val="BB30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BE40BA"/>
    <w:multiLevelType w:val="multilevel"/>
    <w:tmpl w:val="AB9A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D4B18"/>
    <w:multiLevelType w:val="multilevel"/>
    <w:tmpl w:val="486A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E123E3"/>
    <w:multiLevelType w:val="multilevel"/>
    <w:tmpl w:val="D23AA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627ACB"/>
    <w:multiLevelType w:val="multilevel"/>
    <w:tmpl w:val="10E6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FA34DC"/>
    <w:multiLevelType w:val="multilevel"/>
    <w:tmpl w:val="45DE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6A49B7"/>
    <w:multiLevelType w:val="multilevel"/>
    <w:tmpl w:val="792A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98192B"/>
    <w:multiLevelType w:val="multilevel"/>
    <w:tmpl w:val="9B00E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7A0544"/>
    <w:multiLevelType w:val="multilevel"/>
    <w:tmpl w:val="80CA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095553">
    <w:abstractNumId w:val="5"/>
  </w:num>
  <w:num w:numId="2" w16cid:durableId="986320059">
    <w:abstractNumId w:val="10"/>
  </w:num>
  <w:num w:numId="3" w16cid:durableId="1574001767">
    <w:abstractNumId w:val="0"/>
  </w:num>
  <w:num w:numId="4" w16cid:durableId="718672430">
    <w:abstractNumId w:val="4"/>
  </w:num>
  <w:num w:numId="5" w16cid:durableId="2102531308">
    <w:abstractNumId w:val="3"/>
  </w:num>
  <w:num w:numId="6" w16cid:durableId="1302729258">
    <w:abstractNumId w:val="9"/>
  </w:num>
  <w:num w:numId="7" w16cid:durableId="907810577">
    <w:abstractNumId w:val="2"/>
  </w:num>
  <w:num w:numId="8" w16cid:durableId="132524182">
    <w:abstractNumId w:val="1"/>
  </w:num>
  <w:num w:numId="9" w16cid:durableId="778642399">
    <w:abstractNumId w:val="6"/>
  </w:num>
  <w:num w:numId="10" w16cid:durableId="395125700">
    <w:abstractNumId w:val="8"/>
  </w:num>
  <w:num w:numId="11" w16cid:durableId="17703519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BEB"/>
    <w:rsid w:val="000261F5"/>
    <w:rsid w:val="00373D30"/>
    <w:rsid w:val="003F4AA5"/>
    <w:rsid w:val="004431B2"/>
    <w:rsid w:val="00457257"/>
    <w:rsid w:val="005404E6"/>
    <w:rsid w:val="005736EF"/>
    <w:rsid w:val="00577818"/>
    <w:rsid w:val="005C0D90"/>
    <w:rsid w:val="00631BEB"/>
    <w:rsid w:val="006F3975"/>
    <w:rsid w:val="00817752"/>
    <w:rsid w:val="0083514B"/>
    <w:rsid w:val="00897D90"/>
    <w:rsid w:val="0094111C"/>
    <w:rsid w:val="00961AC5"/>
    <w:rsid w:val="00A520AD"/>
    <w:rsid w:val="00AD43EB"/>
    <w:rsid w:val="00D616CD"/>
    <w:rsid w:val="00D92464"/>
    <w:rsid w:val="00E71C9E"/>
    <w:rsid w:val="00EA333A"/>
    <w:rsid w:val="00F06880"/>
    <w:rsid w:val="00F57CCF"/>
    <w:rsid w:val="00F75EE6"/>
    <w:rsid w:val="00FF61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0B7C72C"/>
  <w15:chartTrackingRefBased/>
  <w15:docId w15:val="{5A0A9D60-6637-4316-B71B-2AF77D7D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631B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631B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31BE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31BE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31BE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31BE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31BE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31BE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31BE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631BEB"/>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rsid w:val="00631BEB"/>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631BEB"/>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631BEB"/>
    <w:rPr>
      <w:rFonts w:eastAsiaTheme="majorEastAsia" w:cstheme="majorBidi"/>
      <w:i/>
      <w:iCs/>
      <w:color w:val="0F4761" w:themeColor="accent1" w:themeShade="BF"/>
    </w:rPr>
  </w:style>
  <w:style w:type="character" w:customStyle="1" w:styleId="50">
    <w:name w:val="כותרת 5 תו"/>
    <w:basedOn w:val="a0"/>
    <w:link w:val="5"/>
    <w:uiPriority w:val="9"/>
    <w:semiHidden/>
    <w:rsid w:val="00631BEB"/>
    <w:rPr>
      <w:rFonts w:eastAsiaTheme="majorEastAsia" w:cstheme="majorBidi"/>
      <w:color w:val="0F4761" w:themeColor="accent1" w:themeShade="BF"/>
    </w:rPr>
  </w:style>
  <w:style w:type="character" w:customStyle="1" w:styleId="60">
    <w:name w:val="כותרת 6 תו"/>
    <w:basedOn w:val="a0"/>
    <w:link w:val="6"/>
    <w:uiPriority w:val="9"/>
    <w:semiHidden/>
    <w:rsid w:val="00631BEB"/>
    <w:rPr>
      <w:rFonts w:eastAsiaTheme="majorEastAsia" w:cstheme="majorBidi"/>
      <w:i/>
      <w:iCs/>
      <w:color w:val="595959" w:themeColor="text1" w:themeTint="A6"/>
    </w:rPr>
  </w:style>
  <w:style w:type="character" w:customStyle="1" w:styleId="70">
    <w:name w:val="כותרת 7 תו"/>
    <w:basedOn w:val="a0"/>
    <w:link w:val="7"/>
    <w:uiPriority w:val="9"/>
    <w:semiHidden/>
    <w:rsid w:val="00631BEB"/>
    <w:rPr>
      <w:rFonts w:eastAsiaTheme="majorEastAsia" w:cstheme="majorBidi"/>
      <w:color w:val="595959" w:themeColor="text1" w:themeTint="A6"/>
    </w:rPr>
  </w:style>
  <w:style w:type="character" w:customStyle="1" w:styleId="80">
    <w:name w:val="כותרת 8 תו"/>
    <w:basedOn w:val="a0"/>
    <w:link w:val="8"/>
    <w:uiPriority w:val="9"/>
    <w:semiHidden/>
    <w:rsid w:val="00631BEB"/>
    <w:rPr>
      <w:rFonts w:eastAsiaTheme="majorEastAsia" w:cstheme="majorBidi"/>
      <w:i/>
      <w:iCs/>
      <w:color w:val="272727" w:themeColor="text1" w:themeTint="D8"/>
    </w:rPr>
  </w:style>
  <w:style w:type="character" w:customStyle="1" w:styleId="90">
    <w:name w:val="כותרת 9 תו"/>
    <w:basedOn w:val="a0"/>
    <w:link w:val="9"/>
    <w:uiPriority w:val="9"/>
    <w:semiHidden/>
    <w:rsid w:val="00631BEB"/>
    <w:rPr>
      <w:rFonts w:eastAsiaTheme="majorEastAsia" w:cstheme="majorBidi"/>
      <w:color w:val="272727" w:themeColor="text1" w:themeTint="D8"/>
    </w:rPr>
  </w:style>
  <w:style w:type="paragraph" w:styleId="a3">
    <w:name w:val="Title"/>
    <w:basedOn w:val="a"/>
    <w:next w:val="a"/>
    <w:link w:val="a4"/>
    <w:uiPriority w:val="10"/>
    <w:qFormat/>
    <w:rsid w:val="00631B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631B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1BEB"/>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631BE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31BEB"/>
    <w:pPr>
      <w:spacing w:before="160"/>
      <w:jc w:val="center"/>
    </w:pPr>
    <w:rPr>
      <w:i/>
      <w:iCs/>
      <w:color w:val="404040" w:themeColor="text1" w:themeTint="BF"/>
    </w:rPr>
  </w:style>
  <w:style w:type="character" w:customStyle="1" w:styleId="a8">
    <w:name w:val="ציטוט תו"/>
    <w:basedOn w:val="a0"/>
    <w:link w:val="a7"/>
    <w:uiPriority w:val="29"/>
    <w:rsid w:val="00631BEB"/>
    <w:rPr>
      <w:i/>
      <w:iCs/>
      <w:color w:val="404040" w:themeColor="text1" w:themeTint="BF"/>
    </w:rPr>
  </w:style>
  <w:style w:type="paragraph" w:styleId="a9">
    <w:name w:val="List Paragraph"/>
    <w:basedOn w:val="a"/>
    <w:uiPriority w:val="34"/>
    <w:qFormat/>
    <w:rsid w:val="00631BEB"/>
    <w:pPr>
      <w:ind w:left="720"/>
      <w:contextualSpacing/>
    </w:pPr>
  </w:style>
  <w:style w:type="character" w:styleId="aa">
    <w:name w:val="Intense Emphasis"/>
    <w:basedOn w:val="a0"/>
    <w:uiPriority w:val="21"/>
    <w:qFormat/>
    <w:rsid w:val="00631BEB"/>
    <w:rPr>
      <w:i/>
      <w:iCs/>
      <w:color w:val="0F4761" w:themeColor="accent1" w:themeShade="BF"/>
    </w:rPr>
  </w:style>
  <w:style w:type="paragraph" w:styleId="ab">
    <w:name w:val="Intense Quote"/>
    <w:basedOn w:val="a"/>
    <w:next w:val="a"/>
    <w:link w:val="ac"/>
    <w:uiPriority w:val="30"/>
    <w:qFormat/>
    <w:rsid w:val="00631B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631BEB"/>
    <w:rPr>
      <w:i/>
      <w:iCs/>
      <w:color w:val="0F4761" w:themeColor="accent1" w:themeShade="BF"/>
    </w:rPr>
  </w:style>
  <w:style w:type="character" w:styleId="ad">
    <w:name w:val="Intense Reference"/>
    <w:basedOn w:val="a0"/>
    <w:uiPriority w:val="32"/>
    <w:qFormat/>
    <w:rsid w:val="00631BEB"/>
    <w:rPr>
      <w:b/>
      <w:bCs/>
      <w:smallCaps/>
      <w:color w:val="0F4761" w:themeColor="accent1" w:themeShade="BF"/>
      <w:spacing w:val="5"/>
    </w:rPr>
  </w:style>
  <w:style w:type="table" w:styleId="21">
    <w:name w:val="Plain Table 2"/>
    <w:basedOn w:val="a1"/>
    <w:uiPriority w:val="42"/>
    <w:rsid w:val="00A520A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768</Words>
  <Characters>3840</Characters>
  <Application>Microsoft Office Word</Application>
  <DocSecurity>0</DocSecurity>
  <Lines>32</Lines>
  <Paragraphs>9</Paragraphs>
  <ScaleCrop>false</ScaleCrop>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Yoni Gargi</dc:creator>
  <cp:keywords/>
  <dc:description/>
  <cp:lastModifiedBy>Yoni Gargi</cp:lastModifiedBy>
  <cp:revision>22</cp:revision>
  <dcterms:created xsi:type="dcterms:W3CDTF">2025-09-03T18:43:00Z</dcterms:created>
  <dcterms:modified xsi:type="dcterms:W3CDTF">2025-09-07T10:57:00Z</dcterms:modified>
</cp:coreProperties>
</file>