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pacing w:lineRule="auto" w:line="276" w:beforeAutospacing="0" w:before="0" w:afterAutospacing="0" w:after="240"/>
        <w:jc w:val="center"/>
        <w:rPr>
          <w:rFonts w:ascii="Calibri" w:hAnsi="Calibri" w:eastAsia="" w:cs="Calibri" w:eastAsiaTheme="majorEastAsia"/>
          <w:b/>
          <w:bCs/>
          <w:color w:themeColor="accent1" w:themeShade="bf" w:val="2F5496"/>
          <w:sz w:val="32"/>
          <w:szCs w:val="32"/>
          <w:lang w:val="en-US"/>
        </w:rPr>
      </w:pPr>
      <w:r>
        <w:rPr>
          <w:rFonts w:eastAsia="" w:cs="Calibri" w:ascii="Calibri" w:hAnsi="Calibri" w:eastAsiaTheme="majorEastAsia"/>
          <w:color w:themeColor="accent1" w:themeShade="bf" w:val="2F5496"/>
          <w:sz w:val="32"/>
          <w:szCs w:val="32"/>
          <w:lang w:val="en-US"/>
        </w:rPr>
        <w:t>Pediatric Intensive Care Core Outcomes - Delphi Survey</w:t>
      </w:r>
    </w:p>
    <w:p>
      <w:pPr>
        <w:pStyle w:val="NormalWeb"/>
        <w:spacing w:lineRule="auto" w:line="276" w:before="280" w:afterAutospacing="0" w:after="12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Dear colleagues,</w:t>
      </w:r>
    </w:p>
    <w:p>
      <w:pPr>
        <w:pStyle w:val="NormalWeb"/>
        <w:spacing w:lineRule="auto" w:line="276" w:beforeAutospacing="0" w:before="0" w:afterAutospacing="0" w:after="120"/>
        <w:jc w:val="both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 xml:space="preserve">In the following survey, we would like to present you with proposals for </w:t>
      </w:r>
      <w:r>
        <w:rPr>
          <w:rStyle w:val="Strong"/>
          <w:rFonts w:cs="Calibri" w:ascii="Calibri" w:hAnsi="Calibri"/>
          <w:color w:val="000000"/>
          <w:sz w:val="22"/>
          <w:szCs w:val="22"/>
          <w:lang w:val="en-US"/>
        </w:rPr>
        <w:t>Pediatric Intensive Care Core Outcomes</w:t>
      </w:r>
      <w:r>
        <w:rPr>
          <w:rFonts w:cs="Calibri" w:ascii="Calibri" w:hAnsi="Calibri"/>
          <w:color w:val="000000"/>
          <w:sz w:val="22"/>
          <w:szCs w:val="22"/>
          <w:lang w:val="en-US"/>
        </w:rPr>
        <w:t xml:space="preserve">. This is a project of the Research Working Group of the DIVI Section </w:t>
      </w:r>
      <w:r>
        <w:rPr>
          <w:rStyle w:val="Strong"/>
          <w:rFonts w:cs="Calibri" w:ascii="Calibri" w:hAnsi="Calibri"/>
          <w:color w:val="000000"/>
          <w:sz w:val="22"/>
          <w:szCs w:val="22"/>
          <w:lang w:val="en-US"/>
        </w:rPr>
        <w:t>Pediatric Intensive and Emergency Medicine</w:t>
      </w:r>
      <w:r>
        <w:rPr>
          <w:rFonts w:cs="Calibri" w:ascii="Calibri" w:hAnsi="Calibri"/>
          <w:color w:val="000000"/>
          <w:sz w:val="22"/>
          <w:szCs w:val="22"/>
          <w:lang w:val="en-US"/>
        </w:rPr>
        <w:t>, with the goal of defining a toolkit of relevant clinical outcome parameters.</w:t>
      </w:r>
    </w:p>
    <w:p>
      <w:pPr>
        <w:pStyle w:val="NormalWeb"/>
        <w:spacing w:lineRule="auto" w:line="276" w:beforeAutospacing="0" w:before="0" w:afterAutospacing="0" w:after="120"/>
        <w:jc w:val="both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These core outcomes are intended to establish common standards to enable better comparison of future clinical studies. Some categories are also relevant for clinical follow-up. In each category, several items are provided for selection.</w:t>
      </w:r>
    </w:p>
    <w:p>
      <w:pPr>
        <w:pStyle w:val="NormalWeb"/>
        <w:spacing w:lineRule="auto" w:line="276" w:beforeAutospacing="0" w:before="0" w:afterAutospacing="0" w:after="120"/>
        <w:jc w:val="both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 xml:space="preserve">All proposed questionnaires or items are assessed using a </w:t>
      </w:r>
      <w:r>
        <w:rPr>
          <w:rStyle w:val="Strong"/>
          <w:rFonts w:cs="Calibri" w:ascii="Calibri" w:hAnsi="Calibri"/>
          <w:color w:val="000000"/>
          <w:sz w:val="22"/>
          <w:szCs w:val="22"/>
          <w:lang w:val="en-US"/>
        </w:rPr>
        <w:t>5-point Likert scale</w:t>
      </w:r>
      <w:r>
        <w:rPr>
          <w:rFonts w:cs="Calibri" w:ascii="Calibri" w:hAnsi="Calibri"/>
          <w:color w:val="000000"/>
          <w:sz w:val="22"/>
          <w:szCs w:val="22"/>
          <w:lang w:val="en-US"/>
        </w:rPr>
        <w:t xml:space="preserve">. You do </w:t>
      </w:r>
      <w:r>
        <w:rPr>
          <w:rStyle w:val="Strong"/>
          <w:rFonts w:cs="Calibri" w:ascii="Calibri" w:hAnsi="Calibri"/>
          <w:color w:val="000000"/>
          <w:sz w:val="22"/>
          <w:szCs w:val="22"/>
          <w:lang w:val="en-US"/>
        </w:rPr>
        <w:t>not</w:t>
      </w:r>
      <w:r>
        <w:rPr>
          <w:rFonts w:cs="Calibri" w:ascii="Calibri" w:hAnsi="Calibri"/>
          <w:color w:val="000000"/>
          <w:sz w:val="22"/>
          <w:szCs w:val="22"/>
          <w:lang w:val="en-US"/>
        </w:rPr>
        <w:t xml:space="preserve"> need to choose between the (usually 2) proposed items; instead, you can indicate your degree of agreement for each item individually. The questionnaire identified by our group as the most suitable after extensive research is marked accordingly.</w:t>
      </w:r>
    </w:p>
    <w:p>
      <w:pPr>
        <w:pStyle w:val="NormalWeb"/>
        <w:spacing w:lineRule="auto" w:line="276" w:beforeAutospacing="0" w:before="0" w:afterAutospacing="0" w:after="120"/>
        <w:jc w:val="both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 xml:space="preserve">If you cannot or do not wish to assess an item, please leave the selection at the default </w:t>
      </w:r>
      <w:r>
        <w:rPr>
          <w:rStyle w:val="Strong"/>
          <w:rFonts w:cs="Calibri" w:ascii="Calibri" w:hAnsi="Calibri"/>
          <w:color w:val="000000"/>
          <w:sz w:val="22"/>
          <w:szCs w:val="22"/>
          <w:lang w:val="en-US"/>
        </w:rPr>
        <w:t>"no answer"</w:t>
      </w:r>
      <w:r>
        <w:rPr>
          <w:rFonts w:cs="Calibri" w:ascii="Calibri" w:hAnsi="Calibri"/>
          <w:color w:val="000000"/>
          <w:sz w:val="22"/>
          <w:szCs w:val="22"/>
          <w:lang w:val="en-US"/>
        </w:rPr>
        <w:t>.</w:t>
      </w:r>
    </w:p>
    <w:p>
      <w:pPr>
        <w:pStyle w:val="NormalWeb"/>
        <w:spacing w:lineRule="auto" w:line="276" w:beforeAutospacing="0" w:before="0" w:afterAutospacing="0" w:after="12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The focus in selecting the proposed items was on:</w:t>
      </w:r>
    </w:p>
    <w:p>
      <w:pPr>
        <w:pStyle w:val="Normal"/>
        <w:numPr>
          <w:ilvl w:val="0"/>
          <w:numId w:val="13"/>
        </w:numPr>
        <w:spacing w:lineRule="auto" w:line="276"/>
        <w:ind w:hanging="357" w:start="714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Free availability without licensing</w:t>
      </w:r>
    </w:p>
    <w:p>
      <w:pPr>
        <w:pStyle w:val="Normal"/>
        <w:numPr>
          <w:ilvl w:val="0"/>
          <w:numId w:val="13"/>
        </w:numPr>
        <w:spacing w:lineRule="auto" w:line="276" w:before="0" w:after="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Duration of administration</w:t>
      </w:r>
    </w:p>
    <w:p>
      <w:pPr>
        <w:pStyle w:val="Normal"/>
        <w:numPr>
          <w:ilvl w:val="0"/>
          <w:numId w:val="13"/>
        </w:numPr>
        <w:spacing w:lineRule="auto" w:line="276" w:before="0" w:after="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Compatibility with clinical follow-up</w:t>
      </w:r>
    </w:p>
    <w:p>
      <w:pPr>
        <w:pStyle w:val="Normal"/>
        <w:numPr>
          <w:ilvl w:val="0"/>
          <w:numId w:val="13"/>
        </w:numPr>
        <w:spacing w:lineRule="auto" w:line="276" w:before="0" w:after="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Possibility of digital/online administration, possibly through custom programming (marked in the survey as</w:t>
      </w:r>
      <w:r>
        <w:rPr>
          <w:rStyle w:val="apple-converted-space"/>
          <w:rFonts w:eastAsia="" w:cs="Calibri" w:ascii="Calibri" w:hAnsi="Calibri" w:eastAsiaTheme="majorEastAsia"/>
          <w:color w:val="000000"/>
          <w:sz w:val="22"/>
          <w:szCs w:val="22"/>
          <w:lang w:val="en-US"/>
        </w:rPr>
        <w:t> </w:t>
      </w:r>
      <w:r>
        <w:rPr>
          <w:rStyle w:val="Strong"/>
          <w:rFonts w:cs="Calibri" w:ascii="Calibri" w:hAnsi="Calibri"/>
          <w:color w:val="000000"/>
          <w:sz w:val="22"/>
          <w:szCs w:val="22"/>
          <w:lang w:val="en-US"/>
        </w:rPr>
        <w:t>"online possible"</w:t>
      </w:r>
      <w:r>
        <w:rPr>
          <w:rFonts w:cs="Calibri" w:ascii="Calibri" w:hAnsi="Calibri"/>
          <w:color w:val="000000"/>
          <w:sz w:val="22"/>
          <w:szCs w:val="22"/>
          <w:lang w:val="en-US"/>
        </w:rPr>
        <w:t>)</w:t>
      </w:r>
    </w:p>
    <w:p>
      <w:pPr>
        <w:pStyle w:val="Normal"/>
        <w:numPr>
          <w:ilvl w:val="0"/>
          <w:numId w:val="13"/>
        </w:numPr>
        <w:spacing w:lineRule="auto" w:line="276" w:before="0" w:after="120"/>
        <w:ind w:hanging="357" w:start="714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Possibility of</w:t>
      </w:r>
      <w:r>
        <w:rPr>
          <w:rStyle w:val="apple-converted-space"/>
          <w:rFonts w:eastAsia="" w:cs="Calibri" w:ascii="Calibri" w:hAnsi="Calibri" w:eastAsiaTheme="majorEastAsia"/>
          <w:color w:val="000000"/>
          <w:sz w:val="22"/>
          <w:szCs w:val="22"/>
          <w:lang w:val="en-US"/>
        </w:rPr>
        <w:t> </w:t>
      </w:r>
      <w:r>
        <w:rPr>
          <w:rStyle w:val="Strong"/>
          <w:rFonts w:cs="Calibri" w:ascii="Calibri" w:hAnsi="Calibri"/>
          <w:color w:val="000000"/>
          <w:sz w:val="22"/>
          <w:szCs w:val="22"/>
          <w:lang w:val="en-US"/>
        </w:rPr>
        <w:t>remote</w:t>
      </w:r>
      <w:r>
        <w:rPr>
          <w:rStyle w:val="apple-converted-space"/>
          <w:rFonts w:eastAsia="" w:cs="Calibri" w:ascii="Calibri" w:hAnsi="Calibri" w:eastAsiaTheme="majorEastAsia"/>
          <w:color w:val="000000"/>
          <w:sz w:val="22"/>
          <w:szCs w:val="22"/>
          <w:lang w:val="en-US"/>
        </w:rPr>
        <w:t> </w:t>
      </w:r>
      <w:r>
        <w:rPr>
          <w:rFonts w:cs="Calibri" w:ascii="Calibri" w:hAnsi="Calibri"/>
          <w:color w:val="000000"/>
          <w:sz w:val="22"/>
          <w:szCs w:val="22"/>
          <w:lang w:val="en-US"/>
        </w:rPr>
        <w:t>administration (patient/parent-reported outcome measures)</w:t>
      </w:r>
    </w:p>
    <w:p>
      <w:pPr>
        <w:pStyle w:val="NormalWeb"/>
        <w:spacing w:lineRule="auto" w:line="276" w:beforeAutospacing="0" w:before="0" w:afterAutospacing="0" w:after="12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If you have additional suggestions or comments, there is a free-text field at the end of each category.</w:t>
      </w:r>
    </w:p>
    <w:p>
      <w:pPr>
        <w:pStyle w:val="NormalWeb"/>
        <w:spacing w:lineRule="auto" w:line="276" w:beforeAutospacing="0" w:before="0" w:afterAutospacing="0" w:after="12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Thank you very much for your support!</w:t>
      </w:r>
    </w:p>
    <w:p>
      <w:pPr>
        <w:pStyle w:val="NormalWeb"/>
        <w:spacing w:lineRule="auto" w:line="276" w:beforeAutospacing="0" w:before="0" w:afterAutospacing="0" w:after="12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 xml:space="preserve">This survey contains </w:t>
      </w:r>
      <w:r>
        <w:rPr>
          <w:rStyle w:val="Strong"/>
          <w:rFonts w:cs="Calibri" w:ascii="Calibri" w:hAnsi="Calibri"/>
          <w:color w:val="000000"/>
          <w:sz w:val="22"/>
          <w:szCs w:val="22"/>
          <w:lang w:val="en-US"/>
        </w:rPr>
        <w:t>15 questions</w:t>
      </w:r>
      <w:r>
        <w:rPr>
          <w:rFonts w:cs="Calibri" w:ascii="Calibri" w:hAnsi="Calibri"/>
          <w:color w:val="000000"/>
          <w:sz w:val="22"/>
          <w:szCs w:val="22"/>
          <w:lang w:val="en-US"/>
        </w:rPr>
        <w:t>.</w:t>
      </w:r>
    </w:p>
    <w:p>
      <w:pPr>
        <w:pStyle w:val="Normal"/>
        <w:spacing w:lineRule="auto" w:line="276" w:before="0" w:after="120"/>
        <w:rPr>
          <w:lang w:val="en-US"/>
        </w:rPr>
      </w:pPr>
      <w:r>
        <w:rPr>
          <w:lang w:val="en-US"/>
        </w:rPr>
      </w:r>
    </w:p>
    <w:p>
      <w:pPr>
        <w:pStyle w:val="Normal"/>
        <w:spacing w:lineRule="auto" w:line="276"/>
        <w:rPr>
          <w:lang w:val="en-US"/>
        </w:rPr>
      </w:pPr>
      <w:r>
        <w:rPr>
          <w:lang w:val="en-US"/>
        </w:rPr>
      </w:r>
    </w:p>
    <w:p>
      <w:pPr>
        <w:pStyle w:val="Normal"/>
        <w:spacing w:lineRule="auto" w:line="276"/>
        <w:rPr>
          <w:lang w:val="en-US"/>
        </w:rPr>
      </w:pPr>
      <w:r>
        <w:rPr>
          <w:lang w:val="en-US"/>
        </w:rPr>
      </w:r>
    </w:p>
    <w:p>
      <w:pPr>
        <w:pStyle w:val="Normal"/>
        <w:spacing w:lineRule="auto" w:line="276"/>
        <w:rPr>
          <w:lang w:val="en-US"/>
        </w:rPr>
      </w:pPr>
      <w:r>
        <w:rPr>
          <w:lang w:val="en-US"/>
        </w:rPr>
      </w:r>
    </w:p>
    <w:p>
      <w:pPr>
        <w:pStyle w:val="Normal"/>
        <w:spacing w:lineRule="auto" w:line="276"/>
        <w:rPr>
          <w:lang w:val="en-US"/>
        </w:rPr>
      </w:pPr>
      <w:r>
        <w:rPr>
          <w:lang w:val="en-US"/>
        </w:rPr>
      </w:r>
    </w:p>
    <w:p>
      <w:pPr>
        <w:pStyle w:val="Normal"/>
        <w:spacing w:lineRule="auto" w:line="276"/>
        <w:rPr>
          <w:lang w:val="en-US"/>
        </w:rPr>
      </w:pPr>
      <w:r>
        <w:rPr>
          <w:lang w:val="en-US"/>
        </w:rPr>
      </w:r>
    </w:p>
    <w:p>
      <w:pPr>
        <w:pStyle w:val="Normal"/>
        <w:spacing w:lineRule="auto" w:line="276"/>
        <w:rPr>
          <w:lang w:val="en-US"/>
        </w:rPr>
      </w:pPr>
      <w:r>
        <w:rPr>
          <w:lang w:val="en-US"/>
        </w:rPr>
      </w:r>
    </w:p>
    <w:p>
      <w:pPr>
        <w:pStyle w:val="Normal"/>
        <w:spacing w:lineRule="auto" w:line="276"/>
        <w:rPr>
          <w:lang w:val="en-US"/>
        </w:rPr>
      </w:pPr>
      <w:r>
        <w:rPr>
          <w:lang w:val="en-US"/>
        </w:rPr>
      </w:r>
    </w:p>
    <w:p>
      <w:pPr>
        <w:pStyle w:val="Normal"/>
        <w:spacing w:lineRule="auto" w:line="276"/>
        <w:rPr>
          <w:lang w:val="en-US"/>
        </w:rPr>
      </w:pPr>
      <w:r>
        <w:rPr>
          <w:lang w:val="en-US"/>
        </w:rPr>
      </w:r>
    </w:p>
    <w:p>
      <w:pPr>
        <w:pStyle w:val="Normal"/>
        <w:spacing w:lineRule="auto" w:line="276"/>
        <w:rPr>
          <w:lang w:val="en-US"/>
        </w:rPr>
      </w:pPr>
      <w:r>
        <w:rPr>
          <w:lang w:val="en-US"/>
        </w:rPr>
      </w:r>
    </w:p>
    <w:p>
      <w:pPr>
        <w:pStyle w:val="Normal"/>
        <w:spacing w:lineRule="auto" w:line="276"/>
        <w:rPr>
          <w:rFonts w:ascii="Calibri" w:hAnsi="Calibri" w:cs="Calibri"/>
          <w:b/>
          <w:bCs/>
          <w:color w:val="000000"/>
          <w:highlight w:val="lightGray"/>
          <w:lang w:val="en-US"/>
        </w:rPr>
      </w:pPr>
      <w:r>
        <w:rPr>
          <w:rFonts w:cs="Calibri" w:ascii="Calibri" w:hAnsi="Calibri"/>
          <w:b/>
          <w:bCs/>
          <w:color w:val="000000"/>
          <w:highlight w:val="lightGray"/>
          <w:lang w:val="en-US"/>
        </w:rPr>
      </w:r>
      <w:r>
        <w:br w:type="page"/>
      </w:r>
    </w:p>
    <w:p>
      <w:pPr>
        <w:pStyle w:val="Heading1"/>
        <w:spacing w:lineRule="auto" w:line="276" w:before="0" w:after="120"/>
        <w:rPr>
          <w:b/>
          <w:bCs/>
          <w:sz w:val="26"/>
          <w:szCs w:val="26"/>
          <w:lang w:val="en-US"/>
        </w:rPr>
      </w:pPr>
      <w:r>
        <w:rPr>
          <w:b/>
          <w:bCs/>
          <w:sz w:val="26"/>
          <w:szCs w:val="26"/>
          <w:lang w:val="en-US"/>
        </w:rPr>
        <w:t>1. Professional category</w:t>
      </w:r>
    </w:p>
    <w:p>
      <w:pPr>
        <w:pStyle w:val="NormalWeb"/>
        <w:spacing w:lineRule="auto" w:line="276" w:beforeAutospacing="0" w:before="0" w:afterAutospacing="0" w:after="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 xml:space="preserve">Which professional group do you belong to? Please select one of the following answers: </w:t>
      </w:r>
    </w:p>
    <w:p>
      <w:pPr>
        <w:pStyle w:val="NormalWeb"/>
        <w:numPr>
          <w:ilvl w:val="0"/>
          <w:numId w:val="14"/>
        </w:numPr>
        <w:spacing w:lineRule="auto" w:line="276" w:beforeAutospacing="0" w:before="0" w:afterAutospacing="0" w:after="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Physician / Medical Staff</w:t>
      </w:r>
    </w:p>
    <w:p>
      <w:pPr>
        <w:pStyle w:val="NormalWeb"/>
        <w:numPr>
          <w:ilvl w:val="0"/>
          <w:numId w:val="14"/>
        </w:numPr>
        <w:spacing w:lineRule="auto" w:line="276" w:beforeAutospacing="0" w:before="0" w:afterAutospacing="0" w:after="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Nurse / Nursing Staff</w:t>
      </w:r>
    </w:p>
    <w:p>
      <w:pPr>
        <w:pStyle w:val="NormalWeb"/>
        <w:numPr>
          <w:ilvl w:val="0"/>
          <w:numId w:val="14"/>
        </w:numPr>
        <w:spacing w:lineRule="auto" w:line="276" w:beforeAutospacing="0" w:before="0" w:afterAutospacing="0" w:after="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Psychologist</w:t>
      </w:r>
    </w:p>
    <w:p>
      <w:pPr>
        <w:pStyle w:val="NormalWeb"/>
        <w:numPr>
          <w:ilvl w:val="0"/>
          <w:numId w:val="14"/>
        </w:numPr>
        <w:spacing w:lineRule="auto" w:line="276" w:beforeAutospacing="0" w:before="0" w:afterAutospacing="0" w:after="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 xml:space="preserve">Other </w:t>
      </w:r>
    </w:p>
    <w:p>
      <w:pPr>
        <w:pStyle w:val="Heading1"/>
        <w:spacing w:lineRule="auto" w:line="276" w:before="600" w:after="120"/>
        <w:rPr>
          <w:b/>
          <w:bCs/>
          <w:sz w:val="26"/>
          <w:szCs w:val="26"/>
          <w:lang w:val="en-US"/>
        </w:rPr>
      </w:pPr>
      <w:bookmarkStart w:id="0" w:name="__DdeLink__1629_1975866140"/>
      <w:bookmarkEnd w:id="0"/>
      <w:r>
        <w:rPr>
          <w:b/>
          <w:bCs/>
          <w:sz w:val="26"/>
          <w:szCs w:val="26"/>
          <w:lang w:val="en-US"/>
        </w:rPr>
        <w:t>2. Physical function</w:t>
      </w:r>
    </w:p>
    <w:p>
      <w:pPr>
        <w:pStyle w:val="NormalWeb"/>
        <w:spacing w:lineRule="auto" w:line="276" w:beforeAutospacing="0" w:before="0" w:afterAutospacing="0" w:after="12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Please indicate the degree of your agreement for the proposed items. If you cannot assess an item, please select "no answer." Please select the appropriate answer for each item:</w:t>
      </w:r>
    </w:p>
    <w:tbl>
      <w:tblPr>
        <w:tblStyle w:val="Listentabelle7farbigAkzent3"/>
        <w:tblW w:w="906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2448"/>
        <w:gridCol w:w="1156"/>
        <w:gridCol w:w="1082"/>
        <w:gridCol w:w="1079"/>
        <w:gridCol w:w="1080"/>
        <w:gridCol w:w="1159"/>
        <w:gridCol w:w="1062"/>
      </w:tblGrid>
      <w:tr>
        <w:trPr>
          <w:trHeight w:val="170" w:hRule="atLeast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48" w:type="dxa"/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Borders>
              <w:top w:val="single" w:sz="4" w:space="0" w:color="000000"/>
              <w:bottom w:val="single" w:sz="4" w:space="0" w:color="A5A5A5"/>
            </w:tcBorders>
            <w:shd w:color="auto" w:fill="FFFFFF" w:themeFill="background1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end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i/>
                <w:sz w:val="20"/>
                <w:szCs w:val="20"/>
                <w:lang w:val="en-US"/>
              </w:rPr>
            </w:r>
          </w:p>
        </w:tc>
        <w:tc>
          <w:tcPr>
            <w:tcW w:w="1156" w:type="dxa"/>
            <w:tcBorders>
              <w:top w:val="single" w:sz="4" w:space="0" w:color="000000"/>
              <w:bottom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NormalWeb"/>
              <w:widowControl/>
              <w:suppressAutoHyphens w:val="true"/>
              <w:spacing w:lineRule="auto" w:line="276" w:before="0" w:after="0"/>
              <w:jc w:val="star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themeColor="text1" w:val="000000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b/>
                <w:bCs/>
                <w:i/>
                <w:iCs/>
                <w:color w:themeColor="text1" w:val="000000"/>
                <w:sz w:val="20"/>
                <w:szCs w:val="20"/>
                <w:lang w:val="en-US" w:bidi="ar-SA"/>
              </w:rPr>
              <w:t>1 – do not agree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b/>
                <w:bCs/>
                <w:i/>
                <w:iCs/>
                <w:sz w:val="20"/>
                <w:szCs w:val="20"/>
                <w:lang w:val="en-US" w:bidi="ar-SA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bottom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b/>
                <w:bCs/>
                <w:i/>
                <w:iCs/>
                <w:sz w:val="20"/>
                <w:szCs w:val="20"/>
                <w:lang w:val="en-US" w:bidi="ar-SA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bottom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b/>
                <w:bCs/>
                <w:i/>
                <w:iCs/>
                <w:sz w:val="20"/>
                <w:szCs w:val="20"/>
                <w:lang w:val="en-US" w:bidi="ar-SA"/>
              </w:rPr>
              <w:t>4</w:t>
            </w:r>
          </w:p>
        </w:tc>
        <w:tc>
          <w:tcPr>
            <w:tcW w:w="1159" w:type="dxa"/>
            <w:tcBorders>
              <w:top w:val="single" w:sz="4" w:space="0" w:color="000000"/>
              <w:bottom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p1"/>
              <w:widowControl/>
              <w:suppressAutoHyphens w:val="true"/>
              <w:spacing w:lineRule="auto" w:line="276" w:before="0" w:after="0"/>
              <w:jc w:val="star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b/>
                <w:bCs/>
                <w:i/>
                <w:iCs/>
                <w:sz w:val="20"/>
                <w:szCs w:val="20"/>
                <w:lang w:val="en-US" w:bidi="ar-SA"/>
              </w:rPr>
              <w:t>5 – fully agree</w:t>
            </w:r>
          </w:p>
        </w:tc>
        <w:tc>
          <w:tcPr>
            <w:tcW w:w="1062" w:type="dxa"/>
            <w:tcBorders>
              <w:top w:val="single" w:sz="4" w:space="0" w:color="000000"/>
              <w:bottom w:val="single" w:sz="4" w:space="0" w:color="A5A5A5"/>
            </w:tcBorders>
            <w:shd w:color="auto" w:fill="FFFFFF" w:themeFill="background1" w:val="clear"/>
          </w:tcPr>
          <w:p>
            <w:pPr>
              <w:pStyle w:val="p1"/>
              <w:widowControl/>
              <w:suppressAutoHyphens w:val="true"/>
              <w:spacing w:lineRule="auto" w:line="276" w:before="0" w:after="0"/>
              <w:jc w:val="star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b/>
                <w:bCs/>
                <w:i/>
                <w:iCs/>
                <w:sz w:val="20"/>
                <w:szCs w:val="20"/>
                <w:lang w:val="en-US" w:bidi="ar-SA"/>
              </w:rPr>
              <w:t>No answer</w:t>
            </w:r>
          </w:p>
        </w:tc>
      </w:tr>
      <w:tr>
        <w:trPr>
          <w:trHeight w:val="170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48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end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i/>
                <w:iCs/>
                <w:sz w:val="20"/>
                <w:szCs w:val="20"/>
                <w:lang w:val="en-US" w:bidi="ar-SA"/>
              </w:rPr>
              <w:t xml:space="preserve">PEDI-CAT (recommended) </w:t>
            </w:r>
          </w:p>
        </w:tc>
        <w:tc>
          <w:tcPr>
            <w:tcW w:w="1156" w:type="dxa"/>
            <w:tcBorders>
              <w:top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82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79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80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159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62" w:type="dxa"/>
            <w:tcBorders/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</w:tr>
    </w:tbl>
    <w:p>
      <w:pPr>
        <w:pStyle w:val="Normal"/>
        <w:spacing w:lineRule="auto" w:line="276" w:before="240" w:after="0"/>
        <w:jc w:val="both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 xml:space="preserve">Explanation of the proposed items: </w:t>
      </w:r>
    </w:p>
    <w:p>
      <w:pPr>
        <w:pStyle w:val="Normal"/>
        <w:spacing w:lineRule="auto" w:line="276" w:before="120" w:after="0"/>
        <w:jc w:val="both"/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</w:pPr>
      <w:r>
        <w:rPr>
          <w:rFonts w:cs="Calibri" w:ascii="Calibri" w:hAnsi="Calibri"/>
          <w:b/>
          <w:bCs/>
          <w:i/>
          <w:iCs/>
          <w:color w:val="000000"/>
          <w:sz w:val="22"/>
          <w:szCs w:val="22"/>
          <w:lang w:val="en-US"/>
        </w:rPr>
        <w:t>PEDI-CAT – Pediatric Evaluation of Disability Inventory – Computer Adaptive Test</w:t>
      </w:r>
      <w:r>
        <w:rPr>
          <w:rFonts w:cs="Calibri" w:ascii="Calibri" w:hAnsi="Calibri"/>
          <w:b/>
          <w:bCs/>
          <w:color w:val="000000"/>
          <w:sz w:val="22"/>
          <w:szCs w:val="22"/>
          <w:lang w:val="en-US"/>
        </w:rPr>
        <w:t>:</w:t>
      </w:r>
    </w:p>
    <w:p>
      <w:pPr>
        <w:pStyle w:val="Normal"/>
        <w:numPr>
          <w:ilvl w:val="0"/>
          <w:numId w:val="1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Covered age groups: 6 months to 20 years</w:t>
      </w:r>
    </w:p>
    <w:p>
      <w:pPr>
        <w:pStyle w:val="Normal"/>
        <w:numPr>
          <w:ilvl w:val="0"/>
          <w:numId w:val="1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Parent questionnaire (PROM)</w:t>
      </w:r>
    </w:p>
    <w:p>
      <w:pPr>
        <w:pStyle w:val="Normal"/>
        <w:numPr>
          <w:ilvl w:val="0"/>
          <w:numId w:val="1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Multilingual</w:t>
      </w:r>
    </w:p>
    <w:p>
      <w:pPr>
        <w:pStyle w:val="Normal"/>
        <w:numPr>
          <w:ilvl w:val="0"/>
          <w:numId w:val="1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2.05 EUR/test, research license possible</w:t>
      </w:r>
    </w:p>
    <w:p>
      <w:pPr>
        <w:pStyle w:val="Normal"/>
        <w:numPr>
          <w:ilvl w:val="0"/>
          <w:numId w:val="1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Online administration + evaluation, no training required</w:t>
      </w:r>
    </w:p>
    <w:p>
      <w:pPr>
        <w:pStyle w:val="Normal"/>
        <w:numPr>
          <w:ilvl w:val="0"/>
          <w:numId w:val="1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Duration: 10-15 min for all categories</w:t>
      </w:r>
    </w:p>
    <w:p>
      <w:pPr>
        <w:pStyle w:val="Normal"/>
        <w:numPr>
          <w:ilvl w:val="0"/>
          <w:numId w:val="1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Categories:</w:t>
      </w:r>
    </w:p>
    <w:p>
      <w:pPr>
        <w:pStyle w:val="Normal"/>
        <w:numPr>
          <w:ilvl w:val="1"/>
          <w:numId w:val="1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Activities of daily living</w:t>
      </w:r>
    </w:p>
    <w:p>
      <w:pPr>
        <w:pStyle w:val="Normal"/>
        <w:numPr>
          <w:ilvl w:val="1"/>
          <w:numId w:val="1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Mobility</w:t>
      </w:r>
    </w:p>
    <w:p>
      <w:pPr>
        <w:pStyle w:val="Normal"/>
        <w:numPr>
          <w:ilvl w:val="1"/>
          <w:numId w:val="1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Social and cognitive skills</w:t>
      </w:r>
    </w:p>
    <w:p>
      <w:pPr>
        <w:pStyle w:val="Normal"/>
        <w:numPr>
          <w:ilvl w:val="1"/>
          <w:numId w:val="1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Responsibility</w:t>
      </w:r>
    </w:p>
    <w:p>
      <w:pPr>
        <w:pStyle w:val="Normal"/>
        <w:numPr>
          <w:ilvl w:val="0"/>
          <w:numId w:val="1"/>
        </w:numPr>
        <w:spacing w:lineRule="auto" w:line="276" w:before="0" w:after="120"/>
        <w:ind w:hanging="357" w:start="714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u w:val="single"/>
          <w:lang w:val="en-US"/>
        </w:rPr>
        <w:t xml:space="preserve">Cross-reference: </w:t>
      </w:r>
      <w:r>
        <w:rPr>
          <w:rFonts w:cs="Calibri" w:ascii="Calibri" w:hAnsi="Calibri"/>
          <w:color w:val="000000"/>
          <w:sz w:val="22"/>
          <w:szCs w:val="22"/>
          <w:lang w:val="en-US"/>
        </w:rPr>
        <w:t>recommended for physical functioning and cognition</w:t>
      </w:r>
    </w:p>
    <w:p>
      <w:pPr>
        <w:pStyle w:val="NormalWeb"/>
        <w:spacing w:lineRule="auto" w:line="276" w:beforeAutospacing="0" w:before="0" w:afterAutospacing="0" w:after="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 xml:space="preserve">Comments: </w:t>
      </w:r>
    </w:p>
    <w:p>
      <w:pPr>
        <w:pStyle w:val="NormalWeb"/>
        <w:spacing w:lineRule="auto" w:line="276" w:beforeAutospacing="0" w:before="0" w:afterAutospacing="0" w:after="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Please enter your answer here:</w:t>
      </w:r>
    </w:p>
    <w:tbl>
      <w:tblPr>
        <w:tblStyle w:val="Tabellenraster"/>
        <w:tblW w:w="905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9056"/>
      </w:tblGrid>
      <w:tr>
        <w:trPr/>
        <w:tc>
          <w:tcPr>
            <w:tcW w:w="9056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start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/>
              </w:rPr>
            </w:r>
          </w:p>
        </w:tc>
      </w:tr>
    </w:tbl>
    <w:p>
      <w:pPr>
        <w:pStyle w:val="Heading1"/>
        <w:spacing w:lineRule="auto" w:line="276" w:before="600" w:after="120"/>
        <w:rPr>
          <w:b/>
          <w:bCs/>
          <w:sz w:val="26"/>
          <w:szCs w:val="26"/>
          <w:lang w:val="en-US"/>
        </w:rPr>
      </w:pPr>
      <w:r>
        <w:rPr>
          <w:b/>
          <w:bCs/>
          <w:sz w:val="26"/>
          <w:szCs w:val="26"/>
          <w:lang w:val="en-US"/>
        </w:rPr>
        <w:t>3. Cognitive function</w:t>
      </w:r>
    </w:p>
    <w:p>
      <w:pPr>
        <w:pStyle w:val="NormalWeb"/>
        <w:spacing w:lineRule="auto" w:line="276" w:beforeAutospacing="0" w:before="0" w:afterAutospacing="0" w:after="12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Please indicate the degree of your agreement for the proposed items. If you cannot assess an item, please select "no answer." Please select the appropriate answer for each item:</w:t>
      </w:r>
    </w:p>
    <w:tbl>
      <w:tblPr>
        <w:tblStyle w:val="Listentabelle7farbigAkzent3"/>
        <w:tblW w:w="906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2448"/>
        <w:gridCol w:w="1156"/>
        <w:gridCol w:w="1082"/>
        <w:gridCol w:w="1079"/>
        <w:gridCol w:w="1080"/>
        <w:gridCol w:w="1159"/>
        <w:gridCol w:w="1062"/>
      </w:tblGrid>
      <w:tr>
        <w:trPr>
          <w:trHeight w:val="170" w:hRule="atLeast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48" w:type="dxa"/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Borders>
              <w:top w:val="single" w:sz="4" w:space="0" w:color="000000"/>
              <w:bottom w:val="single" w:sz="4" w:space="0" w:color="A5A5A5"/>
            </w:tcBorders>
            <w:shd w:color="auto" w:fill="FFFFFF" w:themeFill="background1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end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i/>
                <w:sz w:val="20"/>
                <w:szCs w:val="20"/>
                <w:lang w:val="en-US"/>
              </w:rPr>
            </w:r>
          </w:p>
        </w:tc>
        <w:tc>
          <w:tcPr>
            <w:tcW w:w="1156" w:type="dxa"/>
            <w:tcBorders>
              <w:top w:val="single" w:sz="4" w:space="0" w:color="000000"/>
              <w:bottom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NormalWeb"/>
              <w:widowControl/>
              <w:suppressAutoHyphens w:val="true"/>
              <w:spacing w:lineRule="auto" w:line="276" w:before="0" w:after="0"/>
              <w:jc w:val="star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themeColor="text1" w:val="000000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b/>
                <w:bCs/>
                <w:i/>
                <w:iCs/>
                <w:color w:themeColor="text1" w:val="000000"/>
                <w:sz w:val="20"/>
                <w:szCs w:val="20"/>
                <w:lang w:val="en-US" w:bidi="ar-SA"/>
              </w:rPr>
              <w:t>1 – do not agree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b/>
                <w:bCs/>
                <w:i/>
                <w:iCs/>
                <w:sz w:val="20"/>
                <w:szCs w:val="20"/>
                <w:lang w:val="en-US" w:bidi="ar-SA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bottom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b/>
                <w:bCs/>
                <w:i/>
                <w:iCs/>
                <w:sz w:val="20"/>
                <w:szCs w:val="20"/>
                <w:lang w:val="en-US" w:bidi="ar-SA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bottom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b/>
                <w:bCs/>
                <w:i/>
                <w:iCs/>
                <w:sz w:val="20"/>
                <w:szCs w:val="20"/>
                <w:lang w:val="en-US" w:bidi="ar-SA"/>
              </w:rPr>
              <w:t>4</w:t>
            </w:r>
          </w:p>
        </w:tc>
        <w:tc>
          <w:tcPr>
            <w:tcW w:w="1159" w:type="dxa"/>
            <w:tcBorders>
              <w:top w:val="single" w:sz="4" w:space="0" w:color="000000"/>
              <w:bottom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p1"/>
              <w:widowControl/>
              <w:suppressAutoHyphens w:val="true"/>
              <w:spacing w:lineRule="auto" w:line="276" w:before="0" w:after="0"/>
              <w:jc w:val="star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b/>
                <w:bCs/>
                <w:i/>
                <w:iCs/>
                <w:sz w:val="20"/>
                <w:szCs w:val="20"/>
                <w:lang w:val="en-US" w:bidi="ar-SA"/>
              </w:rPr>
              <w:t>5 – fully agree</w:t>
            </w:r>
          </w:p>
        </w:tc>
        <w:tc>
          <w:tcPr>
            <w:tcW w:w="1062" w:type="dxa"/>
            <w:tcBorders>
              <w:top w:val="single" w:sz="4" w:space="0" w:color="000000"/>
              <w:bottom w:val="single" w:sz="4" w:space="0" w:color="A5A5A5"/>
            </w:tcBorders>
            <w:shd w:color="auto" w:fill="FFFFFF" w:themeFill="background1" w:val="clear"/>
          </w:tcPr>
          <w:p>
            <w:pPr>
              <w:pStyle w:val="p1"/>
              <w:widowControl/>
              <w:suppressAutoHyphens w:val="true"/>
              <w:spacing w:lineRule="auto" w:line="276" w:before="0" w:after="0"/>
              <w:jc w:val="star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b/>
                <w:bCs/>
                <w:i/>
                <w:iCs/>
                <w:sz w:val="20"/>
                <w:szCs w:val="20"/>
                <w:lang w:val="en-US" w:bidi="ar-SA"/>
              </w:rPr>
              <w:t>No answer</w:t>
            </w:r>
          </w:p>
        </w:tc>
      </w:tr>
      <w:tr>
        <w:trPr>
          <w:trHeight w:val="170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48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A5A5A5"/>
              <w:end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end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i/>
                <w:iCs/>
                <w:sz w:val="20"/>
                <w:szCs w:val="20"/>
                <w:lang w:val="en-US" w:bidi="ar-SA"/>
              </w:rPr>
              <w:t xml:space="preserve">PCPC (recommended) </w:t>
            </w:r>
          </w:p>
        </w:tc>
        <w:tc>
          <w:tcPr>
            <w:tcW w:w="1156" w:type="dxa"/>
            <w:tcBorders>
              <w:top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82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79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80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159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62" w:type="dxa"/>
            <w:tcBorders/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</w:tr>
      <w:tr>
        <w:trPr>
          <w:trHeight w:val="170" w:hRule="atLeast"/>
        </w:trPr>
        <w:tc>
          <w:tcPr>
            <w:tcW w:w="2448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bottom w:val="single" w:sz="4" w:space="0" w:color="A5A5A5"/>
              <w:end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end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i/>
                <w:iCs/>
                <w:sz w:val="20"/>
                <w:szCs w:val="20"/>
                <w:lang w:val="en-US" w:bidi="ar-SA"/>
              </w:rPr>
              <w:t>PEDI-CAT (recommended)</w:t>
            </w:r>
          </w:p>
        </w:tc>
        <w:tc>
          <w:tcPr>
            <w:tcW w:w="1156" w:type="dxa"/>
            <w:tcBorders>
              <w:top w:val="single" w:sz="4" w:space="0" w:color="A5A5A5"/>
              <w:bottom w:val="single" w:sz="4" w:space="0" w:color="A5A5A5"/>
              <w:end w:val="single" w:sz="4" w:space="0" w:color="A5A5A5"/>
            </w:tcBorders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82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79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80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159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62" w:type="dxa"/>
            <w:tcBorders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</w:tr>
    </w:tbl>
    <w:p>
      <w:pPr>
        <w:pStyle w:val="Normal"/>
        <w:spacing w:lineRule="auto" w:line="276" w:before="240" w:after="12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Explanation of the proposed items:</w:t>
      </w:r>
    </w:p>
    <w:p>
      <w:pPr>
        <w:pStyle w:val="Normal"/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b/>
          <w:bCs/>
          <w:color w:val="000000"/>
          <w:sz w:val="22"/>
          <w:szCs w:val="22"/>
          <w:lang w:val="en-US"/>
        </w:rPr>
        <w:t>PCPC – Pediatric Cerebral Performance Category</w:t>
      </w:r>
    </w:p>
    <w:p>
      <w:pPr>
        <w:pStyle w:val="Normal"/>
        <w:numPr>
          <w:ilvl w:val="0"/>
          <w:numId w:val="2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Covers all age groups</w:t>
      </w:r>
    </w:p>
    <w:p>
      <w:pPr>
        <w:pStyle w:val="Normal"/>
        <w:numPr>
          <w:ilvl w:val="0"/>
          <w:numId w:val="2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Free of charge</w:t>
      </w:r>
    </w:p>
    <w:p>
      <w:pPr>
        <w:pStyle w:val="Normal"/>
        <w:numPr>
          <w:ilvl w:val="0"/>
          <w:numId w:val="2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No specialized training required</w:t>
      </w:r>
    </w:p>
    <w:p>
      <w:pPr>
        <w:pStyle w:val="Normal"/>
        <w:numPr>
          <w:ilvl w:val="0"/>
          <w:numId w:val="2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Duration &lt; 5 min, only rough screening</w:t>
      </w:r>
    </w:p>
    <w:p>
      <w:pPr>
        <w:pStyle w:val="Normal"/>
        <w:numPr>
          <w:ilvl w:val="0"/>
          <w:numId w:val="2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Can be done online</w:t>
      </w:r>
    </w:p>
    <w:p>
      <w:pPr>
        <w:pStyle w:val="Normal"/>
        <w:numPr>
          <w:ilvl w:val="0"/>
          <w:numId w:val="2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5 categories + death</w:t>
      </w:r>
    </w:p>
    <w:p>
      <w:pPr>
        <w:pStyle w:val="Normal"/>
        <w:numPr>
          <w:ilvl w:val="0"/>
          <w:numId w:val="2"/>
        </w:numPr>
        <w:spacing w:lineRule="auto" w:line="276" w:before="0" w:after="12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u w:val="single"/>
          <w:lang w:val="en-US"/>
        </w:rPr>
        <w:t>Cross-reference:</w:t>
      </w:r>
      <w:r>
        <w:rPr>
          <w:rFonts w:cs="Calibri" w:ascii="Calibri" w:hAnsi="Calibri"/>
          <w:color w:val="000000"/>
          <w:sz w:val="22"/>
          <w:szCs w:val="22"/>
          <w:lang w:val="en-US"/>
        </w:rPr>
        <w:t xml:space="preserve"> also included in PICU Outcomes for statistics, internationally recognized and widely used, can also be collected retrospectively from records</w:t>
      </w:r>
    </w:p>
    <w:p>
      <w:pPr>
        <w:pStyle w:val="Normal"/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b/>
          <w:bCs/>
          <w:color w:val="000000"/>
          <w:sz w:val="22"/>
          <w:szCs w:val="22"/>
          <w:lang w:val="en-US"/>
        </w:rPr>
        <w:t>PEDI-CAT – Pediatric Evaluation of Disability Inventory – Computer Adaptive Test</w:t>
      </w:r>
    </w:p>
    <w:p>
      <w:pPr>
        <w:pStyle w:val="Normal"/>
        <w:numPr>
          <w:ilvl w:val="0"/>
          <w:numId w:val="3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Covered age groups: 6 months to 20 years</w:t>
      </w:r>
    </w:p>
    <w:p>
      <w:pPr>
        <w:pStyle w:val="Normal"/>
        <w:numPr>
          <w:ilvl w:val="0"/>
          <w:numId w:val="3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Parent questionnaire (PROM)</w:t>
      </w:r>
    </w:p>
    <w:p>
      <w:pPr>
        <w:pStyle w:val="Normal"/>
        <w:numPr>
          <w:ilvl w:val="0"/>
          <w:numId w:val="3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Multilingual</w:t>
      </w:r>
    </w:p>
    <w:p>
      <w:pPr>
        <w:pStyle w:val="Normal"/>
        <w:numPr>
          <w:ilvl w:val="0"/>
          <w:numId w:val="3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 xml:space="preserve">2.05 EUR/test, research license possible </w:t>
      </w:r>
    </w:p>
    <w:p>
      <w:pPr>
        <w:pStyle w:val="Normal"/>
        <w:numPr>
          <w:ilvl w:val="0"/>
          <w:numId w:val="3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Online administration + evaluation, no training required</w:t>
      </w:r>
    </w:p>
    <w:p>
      <w:pPr>
        <w:pStyle w:val="Normal"/>
        <w:numPr>
          <w:ilvl w:val="0"/>
          <w:numId w:val="3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Duration: 10–15 min for all categories</w:t>
      </w:r>
    </w:p>
    <w:p>
      <w:pPr>
        <w:pStyle w:val="Normal"/>
        <w:numPr>
          <w:ilvl w:val="0"/>
          <w:numId w:val="3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Categories:</w:t>
      </w:r>
    </w:p>
    <w:p>
      <w:pPr>
        <w:pStyle w:val="Normal"/>
        <w:numPr>
          <w:ilvl w:val="1"/>
          <w:numId w:val="3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Activities of daily living</w:t>
      </w:r>
    </w:p>
    <w:p>
      <w:pPr>
        <w:pStyle w:val="Normal"/>
        <w:numPr>
          <w:ilvl w:val="1"/>
          <w:numId w:val="3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Mobility</w:t>
      </w:r>
    </w:p>
    <w:p>
      <w:pPr>
        <w:pStyle w:val="Normal"/>
        <w:numPr>
          <w:ilvl w:val="1"/>
          <w:numId w:val="3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Social and cognitive skills</w:t>
      </w:r>
    </w:p>
    <w:p>
      <w:pPr>
        <w:pStyle w:val="Normal"/>
        <w:numPr>
          <w:ilvl w:val="1"/>
          <w:numId w:val="3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Responsibility</w:t>
      </w:r>
    </w:p>
    <w:p>
      <w:pPr>
        <w:pStyle w:val="Normal"/>
        <w:numPr>
          <w:ilvl w:val="0"/>
          <w:numId w:val="3"/>
        </w:numPr>
        <w:spacing w:lineRule="auto" w:line="276" w:before="0" w:after="120"/>
        <w:ind w:hanging="357" w:start="714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u w:val="single"/>
          <w:lang w:val="en-US"/>
        </w:rPr>
        <w:t xml:space="preserve">Cross-reference: </w:t>
      </w:r>
      <w:r>
        <w:rPr>
          <w:rFonts w:cs="Calibri" w:ascii="Calibri" w:hAnsi="Calibri"/>
          <w:color w:val="000000"/>
          <w:sz w:val="22"/>
          <w:szCs w:val="22"/>
          <w:lang w:val="en-US"/>
        </w:rPr>
        <w:t>recommended for physical functioning and cognition</w:t>
      </w:r>
    </w:p>
    <w:p>
      <w:pPr>
        <w:pStyle w:val="NormalWeb"/>
        <w:spacing w:lineRule="auto" w:line="276" w:beforeAutospacing="0" w:before="0" w:afterAutospacing="0" w:after="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 xml:space="preserve">Comments: </w:t>
      </w:r>
    </w:p>
    <w:p>
      <w:pPr>
        <w:pStyle w:val="NormalWeb"/>
        <w:spacing w:lineRule="auto" w:line="276" w:beforeAutospacing="0" w:before="0" w:afterAutospacing="0" w:after="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Please enter your answer here:</w:t>
      </w:r>
    </w:p>
    <w:tbl>
      <w:tblPr>
        <w:tblStyle w:val="Tabellenraster"/>
        <w:tblW w:w="905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9056"/>
      </w:tblGrid>
      <w:tr>
        <w:trPr/>
        <w:tc>
          <w:tcPr>
            <w:tcW w:w="9056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start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/>
              </w:rPr>
            </w:r>
          </w:p>
        </w:tc>
      </w:tr>
    </w:tbl>
    <w:p>
      <w:pPr>
        <w:pStyle w:val="Heading1"/>
        <w:spacing w:lineRule="auto" w:line="276" w:before="600" w:after="120"/>
        <w:rPr>
          <w:b/>
          <w:bCs/>
          <w:sz w:val="24"/>
          <w:szCs w:val="24"/>
          <w:lang w:val="en-US"/>
        </w:rPr>
      </w:pPr>
      <w:r>
        <w:rPr>
          <w:b/>
          <w:bCs/>
          <w:sz w:val="26"/>
          <w:szCs w:val="26"/>
          <w:lang w:val="en-US"/>
        </w:rPr>
        <w:t>4. Emotion - Post-traumatic stress disorder and behavior</w:t>
      </w:r>
    </w:p>
    <w:p>
      <w:pPr>
        <w:pStyle w:val="NormalWeb"/>
        <w:spacing w:lineRule="auto" w:line="276" w:beforeAutospacing="0" w:before="0" w:afterAutospacing="0" w:after="12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Please indicate the degree of your agreement for the proposed items. If you cannot assess an item, please select "no answer." Please select the appropriate answer for each item:</w:t>
      </w:r>
    </w:p>
    <w:tbl>
      <w:tblPr>
        <w:tblStyle w:val="Listentabelle7farbigAkzent3"/>
        <w:tblW w:w="906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2448"/>
        <w:gridCol w:w="1156"/>
        <w:gridCol w:w="1082"/>
        <w:gridCol w:w="1079"/>
        <w:gridCol w:w="1080"/>
        <w:gridCol w:w="1159"/>
        <w:gridCol w:w="1062"/>
      </w:tblGrid>
      <w:tr>
        <w:trPr>
          <w:trHeight w:val="170" w:hRule="atLeast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48" w:type="dxa"/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Borders>
              <w:top w:val="single" w:sz="4" w:space="0" w:color="000000"/>
              <w:bottom w:val="single" w:sz="4" w:space="0" w:color="A5A5A5"/>
            </w:tcBorders>
            <w:shd w:color="auto" w:fill="FFFFFF" w:themeFill="background1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end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i/>
                <w:sz w:val="20"/>
                <w:szCs w:val="20"/>
                <w:lang w:val="en-US"/>
              </w:rPr>
            </w:r>
          </w:p>
        </w:tc>
        <w:tc>
          <w:tcPr>
            <w:tcW w:w="1156" w:type="dxa"/>
            <w:tcBorders>
              <w:top w:val="single" w:sz="4" w:space="0" w:color="000000"/>
              <w:bottom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NormalWeb"/>
              <w:widowControl/>
              <w:suppressAutoHyphens w:val="true"/>
              <w:spacing w:lineRule="auto" w:line="276" w:before="0" w:after="0"/>
              <w:jc w:val="star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themeColor="text1" w:val="000000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b/>
                <w:bCs/>
                <w:i/>
                <w:iCs/>
                <w:color w:themeColor="text1" w:val="000000"/>
                <w:sz w:val="20"/>
                <w:szCs w:val="20"/>
                <w:lang w:val="en-US" w:bidi="ar-SA"/>
              </w:rPr>
              <w:t>1 – do not agree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b/>
                <w:bCs/>
                <w:i/>
                <w:iCs/>
                <w:sz w:val="20"/>
                <w:szCs w:val="20"/>
                <w:lang w:val="en-US" w:bidi="ar-SA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bottom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b/>
                <w:bCs/>
                <w:i/>
                <w:iCs/>
                <w:sz w:val="20"/>
                <w:szCs w:val="20"/>
                <w:lang w:val="en-US" w:bidi="ar-SA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bottom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b/>
                <w:bCs/>
                <w:i/>
                <w:iCs/>
                <w:sz w:val="20"/>
                <w:szCs w:val="20"/>
                <w:lang w:val="en-US" w:bidi="ar-SA"/>
              </w:rPr>
              <w:t>4</w:t>
            </w:r>
          </w:p>
        </w:tc>
        <w:tc>
          <w:tcPr>
            <w:tcW w:w="1159" w:type="dxa"/>
            <w:tcBorders>
              <w:top w:val="single" w:sz="4" w:space="0" w:color="000000"/>
              <w:bottom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p1"/>
              <w:widowControl/>
              <w:suppressAutoHyphens w:val="true"/>
              <w:spacing w:lineRule="auto" w:line="276" w:before="0" w:after="0"/>
              <w:jc w:val="star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b/>
                <w:bCs/>
                <w:i/>
                <w:iCs/>
                <w:sz w:val="20"/>
                <w:szCs w:val="20"/>
                <w:lang w:val="en-US" w:bidi="ar-SA"/>
              </w:rPr>
              <w:t>5 – fully agree</w:t>
            </w:r>
          </w:p>
        </w:tc>
        <w:tc>
          <w:tcPr>
            <w:tcW w:w="1062" w:type="dxa"/>
            <w:tcBorders>
              <w:top w:val="single" w:sz="4" w:space="0" w:color="000000"/>
              <w:bottom w:val="single" w:sz="4" w:space="0" w:color="A5A5A5"/>
            </w:tcBorders>
            <w:shd w:color="auto" w:fill="FFFFFF" w:themeFill="background1" w:val="clear"/>
          </w:tcPr>
          <w:p>
            <w:pPr>
              <w:pStyle w:val="p1"/>
              <w:widowControl/>
              <w:suppressAutoHyphens w:val="true"/>
              <w:spacing w:lineRule="auto" w:line="276" w:before="0" w:after="0"/>
              <w:jc w:val="star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b/>
                <w:bCs/>
                <w:i/>
                <w:iCs/>
                <w:sz w:val="20"/>
                <w:szCs w:val="20"/>
                <w:lang w:val="en-US" w:bidi="ar-SA"/>
              </w:rPr>
              <w:t>No answer</w:t>
            </w:r>
          </w:p>
        </w:tc>
      </w:tr>
      <w:tr>
        <w:trPr>
          <w:trHeight w:val="170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48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A5A5A5"/>
              <w:end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end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i/>
                <w:iCs/>
                <w:sz w:val="20"/>
                <w:szCs w:val="20"/>
                <w:lang w:val="en-US" w:bidi="ar-SA"/>
              </w:rPr>
              <w:t xml:space="preserve">CATS (recommended) </w:t>
            </w:r>
          </w:p>
        </w:tc>
        <w:tc>
          <w:tcPr>
            <w:tcW w:w="1156" w:type="dxa"/>
            <w:tcBorders>
              <w:top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82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79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80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159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62" w:type="dxa"/>
            <w:tcBorders/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</w:tr>
      <w:tr>
        <w:trPr>
          <w:trHeight w:val="170" w:hRule="atLeast"/>
        </w:trPr>
        <w:tc>
          <w:tcPr>
            <w:tcW w:w="2448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bottom w:val="single" w:sz="4" w:space="0" w:color="A5A5A5"/>
              <w:end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end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i/>
                <w:iCs/>
                <w:sz w:val="20"/>
                <w:szCs w:val="20"/>
                <w:lang w:val="en-US" w:bidi="ar-SA"/>
              </w:rPr>
              <w:t>CRIES-8</w:t>
            </w:r>
          </w:p>
        </w:tc>
        <w:tc>
          <w:tcPr>
            <w:tcW w:w="1156" w:type="dxa"/>
            <w:tcBorders>
              <w:top w:val="single" w:sz="4" w:space="0" w:color="A5A5A5"/>
              <w:bottom w:val="single" w:sz="4" w:space="0" w:color="A5A5A5"/>
              <w:end w:val="single" w:sz="4" w:space="0" w:color="A5A5A5"/>
            </w:tcBorders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82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79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80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159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62" w:type="dxa"/>
            <w:tcBorders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</w:tr>
    </w:tbl>
    <w:p>
      <w:pPr>
        <w:pStyle w:val="Normal"/>
        <w:spacing w:lineRule="auto" w:line="276" w:before="240" w:after="12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Explanation of the proposed items: This question group includes 2 screening questionnaires for post-traumatic stress disorder</w:t>
      </w:r>
    </w:p>
    <w:p>
      <w:pPr>
        <w:pStyle w:val="Normal"/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b/>
          <w:bCs/>
          <w:color w:val="000000"/>
          <w:sz w:val="22"/>
          <w:szCs w:val="22"/>
          <w:lang w:val="en-US"/>
        </w:rPr>
        <w:t>CATS - Child and Adolescent Trauma Screening</w:t>
      </w:r>
    </w:p>
    <w:p>
      <w:pPr>
        <w:pStyle w:val="Normal"/>
        <w:numPr>
          <w:ilvl w:val="0"/>
          <w:numId w:val="4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From 3 years</w:t>
      </w:r>
    </w:p>
    <w:p>
      <w:pPr>
        <w:pStyle w:val="Normal"/>
        <w:numPr>
          <w:ilvl w:val="0"/>
          <w:numId w:val="4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Parent questionnaire (PROM)</w:t>
      </w:r>
    </w:p>
    <w:p>
      <w:pPr>
        <w:pStyle w:val="Normal"/>
        <w:numPr>
          <w:ilvl w:val="0"/>
          <w:numId w:val="4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Free of charge</w:t>
      </w:r>
    </w:p>
    <w:p>
      <w:pPr>
        <w:pStyle w:val="Normal"/>
        <w:numPr>
          <w:ilvl w:val="0"/>
          <w:numId w:val="4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German version (+ other languages)</w:t>
      </w:r>
    </w:p>
    <w:p>
      <w:pPr>
        <w:pStyle w:val="Normal"/>
        <w:numPr>
          <w:ilvl w:val="0"/>
          <w:numId w:val="4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Can be done online</w:t>
      </w:r>
    </w:p>
    <w:p>
      <w:pPr>
        <w:pStyle w:val="Normal"/>
        <w:numPr>
          <w:ilvl w:val="0"/>
          <w:numId w:val="4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Duration: 10–15 min</w:t>
      </w:r>
    </w:p>
    <w:p>
      <w:pPr>
        <w:pStyle w:val="Normal"/>
        <w:numPr>
          <w:ilvl w:val="0"/>
          <w:numId w:val="4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From 3 years: third-party report; from 7 years: self-report possible</w:t>
      </w:r>
    </w:p>
    <w:p>
      <w:pPr>
        <w:pStyle w:val="Normal"/>
        <w:numPr>
          <w:ilvl w:val="0"/>
          <w:numId w:val="4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Categories:</w:t>
      </w:r>
    </w:p>
    <w:p>
      <w:pPr>
        <w:pStyle w:val="Normal"/>
        <w:numPr>
          <w:ilvl w:val="1"/>
          <w:numId w:val="4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Checklist of traumatic events</w:t>
      </w:r>
    </w:p>
    <w:p>
      <w:pPr>
        <w:pStyle w:val="Normal"/>
        <w:numPr>
          <w:ilvl w:val="1"/>
          <w:numId w:val="4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Symptom questions</w:t>
      </w:r>
    </w:p>
    <w:p>
      <w:pPr>
        <w:pStyle w:val="Normal"/>
        <w:numPr>
          <w:ilvl w:val="1"/>
          <w:numId w:val="4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Functional impairment</w:t>
      </w:r>
    </w:p>
    <w:p>
      <w:pPr>
        <w:pStyle w:val="Normal"/>
        <w:numPr>
          <w:ilvl w:val="1"/>
          <w:numId w:val="4"/>
        </w:numPr>
        <w:spacing w:lineRule="auto" w:line="276" w:before="0" w:after="120"/>
        <w:ind w:hanging="357" w:start="1434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Behavior</w:t>
      </w:r>
    </w:p>
    <w:p>
      <w:pPr>
        <w:pStyle w:val="Normal"/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b/>
          <w:bCs/>
          <w:color w:val="000000"/>
          <w:sz w:val="22"/>
          <w:szCs w:val="22"/>
          <w:lang w:val="en-US"/>
        </w:rPr>
        <w:t>CRIES-8 - Children's Impact of Event Scale</w:t>
      </w:r>
    </w:p>
    <w:p>
      <w:pPr>
        <w:pStyle w:val="Normal"/>
        <w:numPr>
          <w:ilvl w:val="0"/>
          <w:numId w:val="5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From 8 years</w:t>
      </w:r>
    </w:p>
    <w:p>
      <w:pPr>
        <w:pStyle w:val="Normal"/>
        <w:numPr>
          <w:ilvl w:val="0"/>
          <w:numId w:val="5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Parent questionnaire (PROM)</w:t>
      </w:r>
    </w:p>
    <w:p>
      <w:pPr>
        <w:pStyle w:val="Normal"/>
        <w:numPr>
          <w:ilvl w:val="0"/>
          <w:numId w:val="5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Free of charge</w:t>
      </w:r>
    </w:p>
    <w:p>
      <w:pPr>
        <w:pStyle w:val="Normal"/>
        <w:numPr>
          <w:ilvl w:val="0"/>
          <w:numId w:val="5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German version (+ 28 languages)</w:t>
      </w:r>
    </w:p>
    <w:p>
      <w:pPr>
        <w:pStyle w:val="Normal"/>
        <w:numPr>
          <w:ilvl w:val="0"/>
          <w:numId w:val="5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Can be done online</w:t>
      </w:r>
    </w:p>
    <w:p>
      <w:pPr>
        <w:pStyle w:val="Normal"/>
        <w:numPr>
          <w:ilvl w:val="0"/>
          <w:numId w:val="5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Duration: 5 min</w:t>
      </w:r>
    </w:p>
    <w:p>
      <w:pPr>
        <w:pStyle w:val="Normal"/>
        <w:numPr>
          <w:ilvl w:val="0"/>
          <w:numId w:val="5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Categories:</w:t>
      </w:r>
    </w:p>
    <w:p>
      <w:pPr>
        <w:pStyle w:val="Normal"/>
        <w:numPr>
          <w:ilvl w:val="1"/>
          <w:numId w:val="5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Intrusion</w:t>
      </w:r>
    </w:p>
    <w:p>
      <w:pPr>
        <w:pStyle w:val="Normal"/>
        <w:numPr>
          <w:ilvl w:val="1"/>
          <w:numId w:val="5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Avoidance</w:t>
      </w:r>
    </w:p>
    <w:p>
      <w:pPr>
        <w:pStyle w:val="Normal"/>
        <w:spacing w:lineRule="auto" w:line="276"/>
        <w:rPr>
          <w:rFonts w:ascii="Calibri" w:hAnsi="Calibri" w:cs="Calibri"/>
          <w:color w:val="000000"/>
          <w:sz w:val="12"/>
          <w:szCs w:val="12"/>
          <w:lang w:val="en-US"/>
        </w:rPr>
      </w:pPr>
      <w:r>
        <w:rPr>
          <w:rFonts w:cs="Calibri" w:ascii="Calibri" w:hAnsi="Calibri"/>
          <w:color w:val="000000"/>
          <w:sz w:val="12"/>
          <w:szCs w:val="12"/>
          <w:lang w:val="en-US"/>
        </w:rPr>
      </w:r>
    </w:p>
    <w:p>
      <w:pPr>
        <w:pStyle w:val="NormalWeb"/>
        <w:spacing w:lineRule="auto" w:line="276" w:beforeAutospacing="0" w:before="0" w:afterAutospacing="0" w:after="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 xml:space="preserve">Comments: </w:t>
      </w:r>
    </w:p>
    <w:p>
      <w:pPr>
        <w:pStyle w:val="NormalWeb"/>
        <w:spacing w:lineRule="auto" w:line="276" w:beforeAutospacing="0" w:before="0" w:afterAutospacing="0" w:after="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Please enter your answer here:</w:t>
      </w:r>
    </w:p>
    <w:tbl>
      <w:tblPr>
        <w:tblStyle w:val="Tabellenraster"/>
        <w:tblW w:w="905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9056"/>
      </w:tblGrid>
      <w:tr>
        <w:trPr/>
        <w:tc>
          <w:tcPr>
            <w:tcW w:w="9056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start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/>
              </w:rPr>
            </w:r>
          </w:p>
        </w:tc>
      </w:tr>
    </w:tbl>
    <w:p>
      <w:pPr>
        <w:pStyle w:val="Heading1"/>
        <w:spacing w:lineRule="auto" w:line="276" w:before="600" w:after="120"/>
        <w:rPr>
          <w:b/>
          <w:bCs/>
          <w:sz w:val="26"/>
          <w:szCs w:val="26"/>
          <w:lang w:val="en-US"/>
        </w:rPr>
      </w:pPr>
      <w:r>
        <w:rPr>
          <w:b/>
          <w:bCs/>
          <w:sz w:val="26"/>
          <w:szCs w:val="26"/>
          <w:lang w:val="en-US"/>
        </w:rPr>
        <w:t>5. Emotion - Anxiety and Depression</w:t>
      </w:r>
    </w:p>
    <w:p>
      <w:pPr>
        <w:pStyle w:val="NormalWeb"/>
        <w:spacing w:lineRule="auto" w:line="276" w:beforeAutospacing="0" w:before="0" w:afterAutospacing="0" w:after="12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Please indicate the degree of your agreement for the proposed items. If you cannot assess an item, please select "no answer." Please select the appropriate answer for each item:</w:t>
      </w:r>
    </w:p>
    <w:tbl>
      <w:tblPr>
        <w:tblStyle w:val="Listentabelle7farbigAkzent3"/>
        <w:tblW w:w="906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2448"/>
        <w:gridCol w:w="1156"/>
        <w:gridCol w:w="1082"/>
        <w:gridCol w:w="1079"/>
        <w:gridCol w:w="1080"/>
        <w:gridCol w:w="1159"/>
        <w:gridCol w:w="1062"/>
      </w:tblGrid>
      <w:tr>
        <w:trPr>
          <w:trHeight w:val="170" w:hRule="atLeast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48" w:type="dxa"/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Borders>
              <w:top w:val="single" w:sz="4" w:space="0" w:color="000000"/>
              <w:bottom w:val="single" w:sz="4" w:space="0" w:color="A5A5A5"/>
            </w:tcBorders>
            <w:shd w:color="auto" w:fill="FFFFFF" w:themeFill="background1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end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i/>
                <w:sz w:val="20"/>
                <w:szCs w:val="20"/>
                <w:lang w:val="en-US"/>
              </w:rPr>
            </w:r>
          </w:p>
        </w:tc>
        <w:tc>
          <w:tcPr>
            <w:tcW w:w="1156" w:type="dxa"/>
            <w:tcBorders>
              <w:top w:val="single" w:sz="4" w:space="0" w:color="000000"/>
              <w:bottom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NormalWeb"/>
              <w:widowControl/>
              <w:suppressAutoHyphens w:val="true"/>
              <w:spacing w:lineRule="auto" w:line="276" w:before="0" w:after="0"/>
              <w:jc w:val="star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themeColor="text1" w:val="000000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b/>
                <w:bCs/>
                <w:i/>
                <w:iCs/>
                <w:color w:themeColor="text1" w:val="000000"/>
                <w:sz w:val="20"/>
                <w:szCs w:val="20"/>
                <w:lang w:val="en-US" w:bidi="ar-SA"/>
              </w:rPr>
              <w:t>1 – do not agree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b/>
                <w:bCs/>
                <w:i/>
                <w:iCs/>
                <w:sz w:val="20"/>
                <w:szCs w:val="20"/>
                <w:lang w:val="en-US" w:bidi="ar-SA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bottom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b/>
                <w:bCs/>
                <w:i/>
                <w:iCs/>
                <w:sz w:val="20"/>
                <w:szCs w:val="20"/>
                <w:lang w:val="en-US" w:bidi="ar-SA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bottom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b/>
                <w:bCs/>
                <w:i/>
                <w:iCs/>
                <w:sz w:val="20"/>
                <w:szCs w:val="20"/>
                <w:lang w:val="en-US" w:bidi="ar-SA"/>
              </w:rPr>
              <w:t>4</w:t>
            </w:r>
          </w:p>
        </w:tc>
        <w:tc>
          <w:tcPr>
            <w:tcW w:w="1159" w:type="dxa"/>
            <w:tcBorders>
              <w:top w:val="single" w:sz="4" w:space="0" w:color="000000"/>
              <w:bottom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p1"/>
              <w:widowControl/>
              <w:suppressAutoHyphens w:val="true"/>
              <w:spacing w:lineRule="auto" w:line="276" w:before="0" w:after="0"/>
              <w:jc w:val="star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b/>
                <w:bCs/>
                <w:i/>
                <w:iCs/>
                <w:sz w:val="20"/>
                <w:szCs w:val="20"/>
                <w:lang w:val="en-US" w:bidi="ar-SA"/>
              </w:rPr>
              <w:t>5 – fully agree</w:t>
            </w:r>
          </w:p>
        </w:tc>
        <w:tc>
          <w:tcPr>
            <w:tcW w:w="1062" w:type="dxa"/>
            <w:tcBorders>
              <w:top w:val="single" w:sz="4" w:space="0" w:color="000000"/>
              <w:bottom w:val="single" w:sz="4" w:space="0" w:color="A5A5A5"/>
            </w:tcBorders>
            <w:shd w:color="auto" w:fill="FFFFFF" w:themeFill="background1" w:val="clear"/>
          </w:tcPr>
          <w:p>
            <w:pPr>
              <w:pStyle w:val="p1"/>
              <w:widowControl/>
              <w:suppressAutoHyphens w:val="true"/>
              <w:spacing w:lineRule="auto" w:line="276" w:before="0" w:after="0"/>
              <w:jc w:val="star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b/>
                <w:bCs/>
                <w:i/>
                <w:iCs/>
                <w:sz w:val="20"/>
                <w:szCs w:val="20"/>
                <w:lang w:val="en-US" w:bidi="ar-SA"/>
              </w:rPr>
              <w:t>No answer</w:t>
            </w:r>
          </w:p>
        </w:tc>
      </w:tr>
      <w:tr>
        <w:trPr>
          <w:trHeight w:val="170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48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end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i/>
                <w:iCs/>
                <w:sz w:val="20"/>
                <w:szCs w:val="20"/>
                <w:lang w:val="en-US" w:bidi="ar-SA"/>
              </w:rPr>
              <w:t xml:space="preserve">RCADS-25 (recommended) </w:t>
            </w:r>
          </w:p>
        </w:tc>
        <w:tc>
          <w:tcPr>
            <w:tcW w:w="1156" w:type="dxa"/>
            <w:tcBorders>
              <w:top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82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79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80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159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62" w:type="dxa"/>
            <w:tcBorders/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</w:tr>
      <w:tr>
        <w:trPr>
          <w:trHeight w:val="170" w:hRule="atLeast"/>
        </w:trPr>
        <w:tc>
          <w:tcPr>
            <w:tcW w:w="2448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end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i/>
                <w:iCs/>
                <w:sz w:val="20"/>
                <w:szCs w:val="20"/>
                <w:lang w:val="en-US" w:bidi="ar-SA"/>
              </w:rPr>
              <w:t>RCADS-47</w:t>
            </w:r>
          </w:p>
        </w:tc>
        <w:tc>
          <w:tcPr>
            <w:tcW w:w="1156" w:type="dxa"/>
            <w:tcBorders>
              <w:top w:val="single" w:sz="4" w:space="0" w:color="A5A5A5"/>
              <w:bottom w:val="single" w:sz="4" w:space="0" w:color="A5A5A5"/>
              <w:end w:val="single" w:sz="4" w:space="0" w:color="A5A5A5"/>
            </w:tcBorders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82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79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80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159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62" w:type="dxa"/>
            <w:tcBorders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</w:tr>
      <w:tr>
        <w:trPr>
          <w:trHeight w:val="170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48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bottom w:val="single" w:sz="4" w:space="0" w:color="A5A5A5"/>
              <w:end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end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i/>
                <w:iCs/>
                <w:sz w:val="20"/>
                <w:szCs w:val="20"/>
                <w:lang w:val="en-US" w:bidi="ar-SA"/>
              </w:rPr>
              <w:t>CBCL</w:t>
            </w:r>
          </w:p>
        </w:tc>
        <w:tc>
          <w:tcPr>
            <w:tcW w:w="1156" w:type="dxa"/>
            <w:tcBorders>
              <w:top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82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79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80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159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62" w:type="dxa"/>
            <w:tcBorders/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</w:tr>
    </w:tbl>
    <w:p>
      <w:pPr>
        <w:pStyle w:val="NormalWeb"/>
        <w:spacing w:lineRule="auto" w:line="276" w:beforeAutospacing="0" w:before="120" w:afterAutospacing="0" w:after="12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Explanation of the proposed items:</w:t>
      </w:r>
    </w:p>
    <w:p>
      <w:pPr>
        <w:pStyle w:val="NormalWeb"/>
        <w:spacing w:lineRule="auto" w:line="276" w:beforeAutospacing="0" w:before="0" w:afterAutospacing="0" w:after="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Style w:val="Strong"/>
          <w:rFonts w:cs="Calibri" w:ascii="Calibri" w:hAnsi="Calibri"/>
          <w:color w:val="000000"/>
          <w:sz w:val="22"/>
          <w:szCs w:val="22"/>
          <w:lang w:val="en-US"/>
        </w:rPr>
        <w:t>RCADS 25/47 - Revised Child Anxiety and Depression Scale</w:t>
      </w:r>
    </w:p>
    <w:p>
      <w:pPr>
        <w:pStyle w:val="Normal"/>
        <w:numPr>
          <w:ilvl w:val="0"/>
          <w:numId w:val="6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From 6 years</w:t>
      </w:r>
    </w:p>
    <w:p>
      <w:pPr>
        <w:pStyle w:val="Normal"/>
        <w:numPr>
          <w:ilvl w:val="0"/>
          <w:numId w:val="6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Parent questionnaire (PROM)</w:t>
      </w:r>
    </w:p>
    <w:p>
      <w:pPr>
        <w:pStyle w:val="Normal"/>
        <w:numPr>
          <w:ilvl w:val="0"/>
          <w:numId w:val="6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Validated German translation</w:t>
      </w:r>
    </w:p>
    <w:p>
      <w:pPr>
        <w:pStyle w:val="Normal"/>
        <w:numPr>
          <w:ilvl w:val="0"/>
          <w:numId w:val="6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Can be done online</w:t>
      </w:r>
    </w:p>
    <w:p>
      <w:pPr>
        <w:pStyle w:val="Normal"/>
        <w:numPr>
          <w:ilvl w:val="0"/>
          <w:numId w:val="6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Free of charge</w:t>
      </w:r>
    </w:p>
    <w:p>
      <w:pPr>
        <w:pStyle w:val="Normal"/>
        <w:numPr>
          <w:ilvl w:val="0"/>
          <w:numId w:val="6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Duration: 5–10 min for short version (RCADS-25) and 15–20 min for long version (RCADS-47)</w:t>
      </w:r>
    </w:p>
    <w:p>
      <w:pPr>
        <w:pStyle w:val="Normal"/>
        <w:numPr>
          <w:ilvl w:val="0"/>
          <w:numId w:val="6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Categories:</w:t>
      </w:r>
    </w:p>
    <w:p>
      <w:pPr>
        <w:pStyle w:val="Normal"/>
        <w:numPr>
          <w:ilvl w:val="1"/>
          <w:numId w:val="6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Depression</w:t>
      </w:r>
    </w:p>
    <w:p>
      <w:pPr>
        <w:pStyle w:val="Normal"/>
        <w:numPr>
          <w:ilvl w:val="1"/>
          <w:numId w:val="6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Anxiety</w:t>
      </w:r>
    </w:p>
    <w:p>
      <w:pPr>
        <w:pStyle w:val="Normal"/>
        <w:numPr>
          <w:ilvl w:val="1"/>
          <w:numId w:val="6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Behavior</w:t>
      </w:r>
    </w:p>
    <w:p>
      <w:pPr>
        <w:pStyle w:val="Normal"/>
        <w:numPr>
          <w:ilvl w:val="1"/>
          <w:numId w:val="6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Somatic complaints</w:t>
      </w:r>
    </w:p>
    <w:p>
      <w:pPr>
        <w:pStyle w:val="NormalWeb"/>
        <w:spacing w:lineRule="auto" w:line="276" w:beforeAutospacing="0" w:before="120" w:afterAutospacing="0" w:after="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Style w:val="Strong"/>
          <w:rFonts w:cs="Calibri" w:ascii="Calibri" w:hAnsi="Calibri"/>
          <w:color w:val="000000"/>
          <w:sz w:val="22"/>
          <w:szCs w:val="22"/>
          <w:lang w:val="en-US"/>
        </w:rPr>
        <w:t>CBCL - Child Behaviour Checklist</w:t>
      </w:r>
    </w:p>
    <w:p>
      <w:pPr>
        <w:pStyle w:val="Normal"/>
        <w:numPr>
          <w:ilvl w:val="0"/>
          <w:numId w:val="7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From 1.5 years</w:t>
      </w:r>
    </w:p>
    <w:p>
      <w:pPr>
        <w:pStyle w:val="Normal"/>
        <w:numPr>
          <w:ilvl w:val="0"/>
          <w:numId w:val="7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Parent questionnaire (PROM)</w:t>
      </w:r>
    </w:p>
    <w:p>
      <w:pPr>
        <w:pStyle w:val="Normal"/>
        <w:numPr>
          <w:ilvl w:val="0"/>
          <w:numId w:val="7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Partially validated German translation</w:t>
      </w:r>
    </w:p>
    <w:p>
      <w:pPr>
        <w:pStyle w:val="Normal"/>
        <w:numPr>
          <w:ilvl w:val="0"/>
          <w:numId w:val="7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Online availability unclear</w:t>
      </w:r>
    </w:p>
    <w:p>
      <w:pPr>
        <w:pStyle w:val="Normal"/>
        <w:numPr>
          <w:ilvl w:val="0"/>
          <w:numId w:val="7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Paid: €300 base package, then €20/25 questionnaires; research license possible</w:t>
      </w:r>
    </w:p>
    <w:p>
      <w:pPr>
        <w:pStyle w:val="Normal"/>
        <w:numPr>
          <w:ilvl w:val="0"/>
          <w:numId w:val="7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Duration: 15–20 min</w:t>
      </w:r>
    </w:p>
    <w:p>
      <w:pPr>
        <w:pStyle w:val="Normal"/>
        <w:numPr>
          <w:ilvl w:val="0"/>
          <w:numId w:val="7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Categories:</w:t>
      </w:r>
    </w:p>
    <w:p>
      <w:pPr>
        <w:pStyle w:val="Normal"/>
        <w:numPr>
          <w:ilvl w:val="1"/>
          <w:numId w:val="7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Behavior</w:t>
      </w:r>
    </w:p>
    <w:p>
      <w:pPr>
        <w:pStyle w:val="Normal"/>
        <w:numPr>
          <w:ilvl w:val="1"/>
          <w:numId w:val="7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Somatic complaints</w:t>
      </w:r>
    </w:p>
    <w:p>
      <w:pPr>
        <w:pStyle w:val="Normal"/>
        <w:numPr>
          <w:ilvl w:val="1"/>
          <w:numId w:val="7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Social competencies</w:t>
      </w:r>
    </w:p>
    <w:p>
      <w:pPr>
        <w:pStyle w:val="Normal"/>
        <w:numPr>
          <w:ilvl w:val="1"/>
          <w:numId w:val="7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Emotions</w:t>
      </w:r>
    </w:p>
    <w:p>
      <w:pPr>
        <w:pStyle w:val="NormalWeb"/>
        <w:spacing w:lineRule="auto" w:line="276" w:beforeAutospacing="0" w:before="0" w:afterAutospacing="0" w:after="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 xml:space="preserve">Comments: </w:t>
      </w:r>
    </w:p>
    <w:p>
      <w:pPr>
        <w:pStyle w:val="NormalWeb"/>
        <w:spacing w:lineRule="auto" w:line="276" w:beforeAutospacing="0" w:before="0" w:afterAutospacing="0" w:after="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Please enter your answer here:</w:t>
      </w:r>
    </w:p>
    <w:tbl>
      <w:tblPr>
        <w:tblStyle w:val="Tabellenraster"/>
        <w:tblW w:w="905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9056"/>
      </w:tblGrid>
      <w:tr>
        <w:trPr/>
        <w:tc>
          <w:tcPr>
            <w:tcW w:w="9056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start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/>
              </w:rPr>
            </w:r>
          </w:p>
        </w:tc>
      </w:tr>
    </w:tbl>
    <w:p>
      <w:pPr>
        <w:pStyle w:val="Heading1"/>
        <w:spacing w:lineRule="auto" w:line="276" w:before="600" w:after="120"/>
        <w:rPr>
          <w:b/>
          <w:bCs/>
          <w:sz w:val="26"/>
          <w:szCs w:val="26"/>
          <w:lang w:val="en-US"/>
        </w:rPr>
      </w:pPr>
      <w:r>
        <w:rPr>
          <w:b/>
          <w:bCs/>
          <w:sz w:val="26"/>
          <w:szCs w:val="26"/>
          <w:lang w:val="en-US"/>
        </w:rPr>
        <w:t>6. Quality of life, Participation, Social Relationships, Mental Health</w:t>
      </w:r>
    </w:p>
    <w:p>
      <w:pPr>
        <w:pStyle w:val="NormalWeb"/>
        <w:spacing w:lineRule="auto" w:line="276" w:beforeAutospacing="0" w:before="0" w:afterAutospacing="0" w:after="12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Please indicate the degree of your agreement for the proposed items. If you cannot assess an item, please select "no answer." Please select the appropriate answer for each item:</w:t>
      </w:r>
    </w:p>
    <w:p>
      <w:pPr>
        <w:pStyle w:val="NormalWeb"/>
        <w:spacing w:lineRule="auto" w:line="276" w:beforeAutospacing="0" w:before="0" w:afterAutospacing="0" w:after="12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</w:r>
    </w:p>
    <w:tbl>
      <w:tblPr>
        <w:tblStyle w:val="Listentabelle7farbigAkzent3"/>
        <w:tblW w:w="906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2448"/>
        <w:gridCol w:w="1156"/>
        <w:gridCol w:w="1082"/>
        <w:gridCol w:w="1079"/>
        <w:gridCol w:w="1080"/>
        <w:gridCol w:w="1159"/>
        <w:gridCol w:w="1062"/>
      </w:tblGrid>
      <w:tr>
        <w:trPr>
          <w:trHeight w:val="170" w:hRule="atLeast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48" w:type="dxa"/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Borders>
              <w:top w:val="single" w:sz="4" w:space="0" w:color="000000"/>
              <w:bottom w:val="single" w:sz="4" w:space="0" w:color="A5A5A5"/>
            </w:tcBorders>
            <w:shd w:color="auto" w:fill="FFFFFF" w:themeFill="background1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end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i/>
                <w:sz w:val="20"/>
                <w:szCs w:val="20"/>
                <w:lang w:val="en-US"/>
              </w:rPr>
            </w:r>
          </w:p>
        </w:tc>
        <w:tc>
          <w:tcPr>
            <w:tcW w:w="1156" w:type="dxa"/>
            <w:tcBorders>
              <w:top w:val="single" w:sz="4" w:space="0" w:color="000000"/>
              <w:bottom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NormalWeb"/>
              <w:widowControl/>
              <w:suppressAutoHyphens w:val="true"/>
              <w:spacing w:lineRule="auto" w:line="276" w:before="0" w:after="0"/>
              <w:jc w:val="star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themeColor="text1" w:val="000000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b/>
                <w:bCs/>
                <w:i/>
                <w:iCs/>
                <w:color w:themeColor="text1" w:val="000000"/>
                <w:sz w:val="20"/>
                <w:szCs w:val="20"/>
                <w:lang w:val="en-US" w:bidi="ar-SA"/>
              </w:rPr>
              <w:t>1 – do not agree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b/>
                <w:bCs/>
                <w:i/>
                <w:iCs/>
                <w:sz w:val="20"/>
                <w:szCs w:val="20"/>
                <w:lang w:val="en-US" w:bidi="ar-SA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bottom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b/>
                <w:bCs/>
                <w:i/>
                <w:iCs/>
                <w:sz w:val="20"/>
                <w:szCs w:val="20"/>
                <w:lang w:val="en-US" w:bidi="ar-SA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bottom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b/>
                <w:bCs/>
                <w:i/>
                <w:iCs/>
                <w:sz w:val="20"/>
                <w:szCs w:val="20"/>
                <w:lang w:val="en-US" w:bidi="ar-SA"/>
              </w:rPr>
              <w:t>4</w:t>
            </w:r>
          </w:p>
        </w:tc>
        <w:tc>
          <w:tcPr>
            <w:tcW w:w="1159" w:type="dxa"/>
            <w:tcBorders>
              <w:top w:val="single" w:sz="4" w:space="0" w:color="000000"/>
              <w:bottom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p1"/>
              <w:widowControl/>
              <w:suppressAutoHyphens w:val="true"/>
              <w:spacing w:lineRule="auto" w:line="276" w:before="0" w:after="0"/>
              <w:jc w:val="star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b/>
                <w:bCs/>
                <w:i/>
                <w:iCs/>
                <w:sz w:val="20"/>
                <w:szCs w:val="20"/>
                <w:lang w:val="en-US" w:bidi="ar-SA"/>
              </w:rPr>
              <w:t>5 – fully agree</w:t>
            </w:r>
          </w:p>
        </w:tc>
        <w:tc>
          <w:tcPr>
            <w:tcW w:w="1062" w:type="dxa"/>
            <w:tcBorders>
              <w:top w:val="single" w:sz="4" w:space="0" w:color="000000"/>
              <w:bottom w:val="single" w:sz="4" w:space="0" w:color="A5A5A5"/>
            </w:tcBorders>
            <w:shd w:color="auto" w:fill="FFFFFF" w:themeFill="background1" w:val="clear"/>
          </w:tcPr>
          <w:p>
            <w:pPr>
              <w:pStyle w:val="p1"/>
              <w:widowControl/>
              <w:suppressAutoHyphens w:val="true"/>
              <w:spacing w:lineRule="auto" w:line="276" w:before="0" w:after="0"/>
              <w:jc w:val="star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b/>
                <w:bCs/>
                <w:i/>
                <w:iCs/>
                <w:sz w:val="20"/>
                <w:szCs w:val="20"/>
                <w:lang w:val="en-US" w:bidi="ar-SA"/>
              </w:rPr>
              <w:t>No answer</w:t>
            </w:r>
          </w:p>
        </w:tc>
      </w:tr>
      <w:tr>
        <w:trPr>
          <w:trHeight w:val="170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48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A5A5A5"/>
              <w:end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end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i/>
                <w:iCs/>
                <w:sz w:val="20"/>
                <w:szCs w:val="20"/>
                <w:lang w:val="en-US" w:bidi="ar-SA"/>
              </w:rPr>
              <w:t xml:space="preserve">SDQ (recommended) </w:t>
            </w:r>
          </w:p>
        </w:tc>
        <w:tc>
          <w:tcPr>
            <w:tcW w:w="1156" w:type="dxa"/>
            <w:tcBorders>
              <w:top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82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79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80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159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62" w:type="dxa"/>
            <w:tcBorders/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</w:tr>
      <w:tr>
        <w:trPr>
          <w:trHeight w:val="170" w:hRule="atLeast"/>
        </w:trPr>
        <w:tc>
          <w:tcPr>
            <w:tcW w:w="2448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bottom w:val="single" w:sz="4" w:space="0" w:color="A5A5A5"/>
              <w:end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end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i/>
                <w:iCs/>
                <w:sz w:val="20"/>
                <w:szCs w:val="20"/>
                <w:lang w:val="en-US" w:bidi="ar-SA"/>
              </w:rPr>
              <w:t>PedsQL</w:t>
            </w:r>
          </w:p>
        </w:tc>
        <w:tc>
          <w:tcPr>
            <w:tcW w:w="1156" w:type="dxa"/>
            <w:tcBorders>
              <w:top w:val="single" w:sz="4" w:space="0" w:color="A5A5A5"/>
              <w:bottom w:val="single" w:sz="4" w:space="0" w:color="A5A5A5"/>
              <w:end w:val="single" w:sz="4" w:space="0" w:color="A5A5A5"/>
            </w:tcBorders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82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79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80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159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62" w:type="dxa"/>
            <w:tcBorders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</w:tr>
    </w:tbl>
    <w:p>
      <w:pPr>
        <w:pStyle w:val="NormalWeb"/>
        <w:spacing w:lineRule="auto" w:line="276" w:beforeAutospacing="0" w:before="120" w:afterAutospacing="0" w:after="12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Explanation of the proposed items:</w:t>
      </w:r>
    </w:p>
    <w:p>
      <w:pPr>
        <w:pStyle w:val="NormalWeb"/>
        <w:spacing w:lineRule="auto" w:line="276" w:beforeAutospacing="0" w:before="0" w:afterAutospacing="0" w:after="12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Style w:val="Strong"/>
          <w:rFonts w:cs="Calibri" w:ascii="Calibri" w:hAnsi="Calibri"/>
          <w:color w:val="000000"/>
          <w:sz w:val="22"/>
          <w:szCs w:val="22"/>
          <w:lang w:val="en-US"/>
        </w:rPr>
        <w:t>SDQ - Strengths and Difficulties Questionnaire</w:t>
      </w:r>
    </w:p>
    <w:p>
      <w:pPr>
        <w:pStyle w:val="Normal"/>
        <w:numPr>
          <w:ilvl w:val="0"/>
          <w:numId w:val="7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From 2 years</w:t>
      </w:r>
    </w:p>
    <w:p>
      <w:pPr>
        <w:pStyle w:val="Normal"/>
        <w:numPr>
          <w:ilvl w:val="0"/>
          <w:numId w:val="7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Parent questionnaire (PROM)</w:t>
      </w:r>
    </w:p>
    <w:p>
      <w:pPr>
        <w:pStyle w:val="Normal"/>
        <w:numPr>
          <w:ilvl w:val="0"/>
          <w:numId w:val="7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Validated German translation</w:t>
      </w:r>
    </w:p>
    <w:p>
      <w:pPr>
        <w:pStyle w:val="Normal"/>
        <w:numPr>
          <w:ilvl w:val="0"/>
          <w:numId w:val="7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Free of charge</w:t>
      </w:r>
    </w:p>
    <w:p>
      <w:pPr>
        <w:pStyle w:val="Normal"/>
        <w:numPr>
          <w:ilvl w:val="0"/>
          <w:numId w:val="7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Can be done online</w:t>
      </w:r>
    </w:p>
    <w:p>
      <w:pPr>
        <w:pStyle w:val="Normal"/>
        <w:numPr>
          <w:ilvl w:val="0"/>
          <w:numId w:val="7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Duration: 5–10 min</w:t>
      </w:r>
    </w:p>
    <w:p>
      <w:pPr>
        <w:pStyle w:val="Normal"/>
        <w:numPr>
          <w:ilvl w:val="0"/>
          <w:numId w:val="7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Categories:</w:t>
      </w:r>
    </w:p>
    <w:p>
      <w:pPr>
        <w:pStyle w:val="Normal"/>
        <w:numPr>
          <w:ilvl w:val="1"/>
          <w:numId w:val="8"/>
        </w:numPr>
        <w:spacing w:lineRule="auto" w:line="276"/>
        <w:ind w:hanging="357" w:start="1434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Emotional problems</w:t>
      </w:r>
    </w:p>
    <w:p>
      <w:pPr>
        <w:pStyle w:val="Normal"/>
        <w:numPr>
          <w:ilvl w:val="1"/>
          <w:numId w:val="8"/>
        </w:numPr>
        <w:spacing w:lineRule="auto" w:line="276"/>
        <w:ind w:hanging="357" w:start="1434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Behavioral problems</w:t>
      </w:r>
    </w:p>
    <w:p>
      <w:pPr>
        <w:pStyle w:val="Normal"/>
        <w:numPr>
          <w:ilvl w:val="1"/>
          <w:numId w:val="8"/>
        </w:numPr>
        <w:spacing w:lineRule="auto" w:line="276"/>
        <w:ind w:hanging="357" w:start="1434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Hyperactivity/inattention</w:t>
      </w:r>
    </w:p>
    <w:p>
      <w:pPr>
        <w:pStyle w:val="Normal"/>
        <w:numPr>
          <w:ilvl w:val="1"/>
          <w:numId w:val="8"/>
        </w:numPr>
        <w:spacing w:lineRule="auto" w:line="276"/>
        <w:ind w:hanging="357" w:start="1434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Peer relationship problems</w:t>
      </w:r>
    </w:p>
    <w:p>
      <w:pPr>
        <w:pStyle w:val="Normal"/>
        <w:numPr>
          <w:ilvl w:val="1"/>
          <w:numId w:val="8"/>
        </w:numPr>
        <w:spacing w:lineRule="auto" w:line="276" w:before="0" w:after="120"/>
        <w:ind w:hanging="357" w:start="1434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Prosocial behavior</w:t>
      </w:r>
    </w:p>
    <w:p>
      <w:pPr>
        <w:pStyle w:val="NormalWeb"/>
        <w:spacing w:lineRule="auto" w:line="276" w:beforeAutospacing="0" w:before="0" w:afterAutospacing="0" w:after="12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Style w:val="Strong"/>
          <w:rFonts w:cs="Calibri" w:ascii="Calibri" w:hAnsi="Calibri"/>
          <w:color w:val="000000"/>
          <w:sz w:val="22"/>
          <w:szCs w:val="22"/>
          <w:lang w:val="en-US"/>
        </w:rPr>
        <w:t>PedsQL - Pediatric Quality of Life Inventory / PedsQL Infant Scales</w:t>
      </w:r>
    </w:p>
    <w:p>
      <w:pPr>
        <w:pStyle w:val="Normal"/>
        <w:numPr>
          <w:ilvl w:val="0"/>
          <w:numId w:val="7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From 2 years or from 1 month (infant scales)</w:t>
      </w:r>
    </w:p>
    <w:p>
      <w:pPr>
        <w:pStyle w:val="Normal"/>
        <w:numPr>
          <w:ilvl w:val="0"/>
          <w:numId w:val="7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Parent questionnaire (PROM)</w:t>
      </w:r>
    </w:p>
    <w:p>
      <w:pPr>
        <w:pStyle w:val="Normal"/>
        <w:numPr>
          <w:ilvl w:val="0"/>
          <w:numId w:val="7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Multilingual</w:t>
      </w:r>
    </w:p>
    <w:p>
      <w:pPr>
        <w:pStyle w:val="Normal"/>
        <w:numPr>
          <w:ilvl w:val="0"/>
          <w:numId w:val="7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Validated</w:t>
      </w:r>
    </w:p>
    <w:p>
      <w:pPr>
        <w:pStyle w:val="Normal"/>
        <w:numPr>
          <w:ilvl w:val="0"/>
          <w:numId w:val="7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Free for research without funding</w:t>
      </w:r>
    </w:p>
    <w:p>
      <w:pPr>
        <w:pStyle w:val="Normal"/>
        <w:numPr>
          <w:ilvl w:val="0"/>
          <w:numId w:val="7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Can be done online</w:t>
      </w:r>
    </w:p>
    <w:p>
      <w:pPr>
        <w:pStyle w:val="Normal"/>
        <w:numPr>
          <w:ilvl w:val="0"/>
          <w:numId w:val="7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Categories:</w:t>
      </w:r>
    </w:p>
    <w:p>
      <w:pPr>
        <w:pStyle w:val="Normal"/>
        <w:numPr>
          <w:ilvl w:val="1"/>
          <w:numId w:val="9"/>
        </w:numPr>
        <w:spacing w:lineRule="auto" w:line="276"/>
        <w:ind w:hanging="357" w:start="1434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Physical functioning</w:t>
      </w:r>
    </w:p>
    <w:p>
      <w:pPr>
        <w:pStyle w:val="Normal"/>
        <w:numPr>
          <w:ilvl w:val="1"/>
          <w:numId w:val="9"/>
        </w:numPr>
        <w:spacing w:lineRule="auto" w:line="276"/>
        <w:ind w:hanging="357" w:start="1434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Emotional functioning</w:t>
      </w:r>
    </w:p>
    <w:p>
      <w:pPr>
        <w:pStyle w:val="Normal"/>
        <w:numPr>
          <w:ilvl w:val="1"/>
          <w:numId w:val="9"/>
        </w:numPr>
        <w:spacing w:lineRule="auto" w:line="276"/>
        <w:ind w:hanging="357" w:start="1434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Social functioning</w:t>
      </w:r>
    </w:p>
    <w:p>
      <w:pPr>
        <w:pStyle w:val="Normal"/>
        <w:numPr>
          <w:ilvl w:val="1"/>
          <w:numId w:val="9"/>
        </w:numPr>
        <w:spacing w:lineRule="auto" w:line="276"/>
        <w:ind w:hanging="357" w:start="1434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School functioning (Infant: cognitive functions)</w:t>
      </w:r>
    </w:p>
    <w:p>
      <w:pPr>
        <w:pStyle w:val="Normal"/>
        <w:numPr>
          <w:ilvl w:val="1"/>
          <w:numId w:val="9"/>
        </w:numPr>
        <w:spacing w:lineRule="auto" w:line="276" w:before="0" w:after="12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Additional disease-specific modules</w:t>
      </w:r>
    </w:p>
    <w:p>
      <w:pPr>
        <w:pStyle w:val="NormalWeb"/>
        <w:spacing w:lineRule="auto" w:line="276" w:beforeAutospacing="0" w:before="0" w:afterAutospacing="0" w:after="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 xml:space="preserve">Comments: </w:t>
      </w:r>
    </w:p>
    <w:p>
      <w:pPr>
        <w:pStyle w:val="NormalWeb"/>
        <w:spacing w:lineRule="auto" w:line="276" w:beforeAutospacing="0" w:before="0" w:afterAutospacing="0" w:after="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Please enter your answer here:</w:t>
      </w:r>
    </w:p>
    <w:tbl>
      <w:tblPr>
        <w:tblStyle w:val="Tabellenraster"/>
        <w:tblW w:w="905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9056"/>
      </w:tblGrid>
      <w:tr>
        <w:trPr/>
        <w:tc>
          <w:tcPr>
            <w:tcW w:w="9056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start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/>
              </w:rPr>
            </w:r>
          </w:p>
        </w:tc>
      </w:tr>
    </w:tbl>
    <w:p>
      <w:pPr>
        <w:pStyle w:val="Heading1"/>
        <w:spacing w:lineRule="auto" w:line="276" w:before="600" w:after="120"/>
        <w:rPr>
          <w:b/>
          <w:bCs/>
          <w:sz w:val="26"/>
          <w:szCs w:val="26"/>
          <w:lang w:val="en-US"/>
        </w:rPr>
      </w:pPr>
      <w:r>
        <w:rPr>
          <w:b/>
          <w:bCs/>
          <w:sz w:val="26"/>
          <w:szCs w:val="26"/>
          <w:lang w:val="en-US"/>
        </w:rPr>
        <w:t>7. Family function</w:t>
      </w:r>
    </w:p>
    <w:p>
      <w:pPr>
        <w:pStyle w:val="NormalWeb"/>
        <w:spacing w:lineRule="auto" w:line="276" w:beforeAutospacing="0" w:before="0" w:afterAutospacing="0" w:after="12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Please indicate the degree of your agreement for the proposed items. If you cannot assess an item, please select "no answer." Please select the appropriate answer for each item:</w:t>
      </w:r>
    </w:p>
    <w:tbl>
      <w:tblPr>
        <w:tblStyle w:val="Listentabelle7farbigAkzent3"/>
        <w:tblW w:w="906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2448"/>
        <w:gridCol w:w="1156"/>
        <w:gridCol w:w="1082"/>
        <w:gridCol w:w="1079"/>
        <w:gridCol w:w="1080"/>
        <w:gridCol w:w="1159"/>
        <w:gridCol w:w="1062"/>
      </w:tblGrid>
      <w:tr>
        <w:trPr>
          <w:trHeight w:val="170" w:hRule="atLeast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48" w:type="dxa"/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Borders>
              <w:top w:val="single" w:sz="4" w:space="0" w:color="000000"/>
              <w:bottom w:val="single" w:sz="4" w:space="0" w:color="A5A5A5"/>
            </w:tcBorders>
            <w:shd w:color="auto" w:fill="FFFFFF" w:themeFill="background1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end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i/>
                <w:sz w:val="20"/>
                <w:szCs w:val="20"/>
                <w:lang w:val="en-US"/>
              </w:rPr>
            </w:r>
          </w:p>
        </w:tc>
        <w:tc>
          <w:tcPr>
            <w:tcW w:w="1156" w:type="dxa"/>
            <w:tcBorders>
              <w:top w:val="single" w:sz="4" w:space="0" w:color="000000"/>
              <w:bottom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NormalWeb"/>
              <w:widowControl/>
              <w:suppressAutoHyphens w:val="true"/>
              <w:spacing w:lineRule="auto" w:line="276" w:before="0" w:after="0"/>
              <w:jc w:val="star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themeColor="text1" w:val="000000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b/>
                <w:bCs/>
                <w:i/>
                <w:iCs/>
                <w:color w:themeColor="text1" w:val="000000"/>
                <w:sz w:val="20"/>
                <w:szCs w:val="20"/>
                <w:lang w:val="en-US" w:bidi="ar-SA"/>
              </w:rPr>
              <w:t>1 – do not agree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b/>
                <w:bCs/>
                <w:i/>
                <w:iCs/>
                <w:sz w:val="20"/>
                <w:szCs w:val="20"/>
                <w:lang w:val="en-US" w:bidi="ar-SA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bottom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b/>
                <w:bCs/>
                <w:i/>
                <w:iCs/>
                <w:sz w:val="20"/>
                <w:szCs w:val="20"/>
                <w:lang w:val="en-US" w:bidi="ar-SA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bottom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b/>
                <w:bCs/>
                <w:i/>
                <w:iCs/>
                <w:sz w:val="20"/>
                <w:szCs w:val="20"/>
                <w:lang w:val="en-US" w:bidi="ar-SA"/>
              </w:rPr>
              <w:t>4</w:t>
            </w:r>
          </w:p>
        </w:tc>
        <w:tc>
          <w:tcPr>
            <w:tcW w:w="1159" w:type="dxa"/>
            <w:tcBorders>
              <w:top w:val="single" w:sz="4" w:space="0" w:color="000000"/>
              <w:bottom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p1"/>
              <w:widowControl/>
              <w:suppressAutoHyphens w:val="true"/>
              <w:spacing w:lineRule="auto" w:line="276" w:before="0" w:after="0"/>
              <w:jc w:val="star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b/>
                <w:bCs/>
                <w:i/>
                <w:iCs/>
                <w:sz w:val="20"/>
                <w:szCs w:val="20"/>
                <w:lang w:val="en-US" w:bidi="ar-SA"/>
              </w:rPr>
              <w:t>5 – fully agree</w:t>
            </w:r>
          </w:p>
        </w:tc>
        <w:tc>
          <w:tcPr>
            <w:tcW w:w="1062" w:type="dxa"/>
            <w:tcBorders>
              <w:top w:val="single" w:sz="4" w:space="0" w:color="000000"/>
              <w:bottom w:val="single" w:sz="4" w:space="0" w:color="A5A5A5"/>
            </w:tcBorders>
            <w:shd w:color="auto" w:fill="FFFFFF" w:themeFill="background1" w:val="clear"/>
          </w:tcPr>
          <w:p>
            <w:pPr>
              <w:pStyle w:val="p1"/>
              <w:widowControl/>
              <w:suppressAutoHyphens w:val="true"/>
              <w:spacing w:lineRule="auto" w:line="276" w:before="0" w:after="0"/>
              <w:jc w:val="star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b/>
                <w:bCs/>
                <w:i/>
                <w:iCs/>
                <w:sz w:val="20"/>
                <w:szCs w:val="20"/>
                <w:lang w:val="en-US" w:bidi="ar-SA"/>
              </w:rPr>
              <w:t>No answer</w:t>
            </w:r>
          </w:p>
        </w:tc>
      </w:tr>
      <w:tr>
        <w:trPr>
          <w:trHeight w:val="170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48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end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i/>
                <w:iCs/>
                <w:sz w:val="20"/>
                <w:szCs w:val="20"/>
                <w:lang w:val="en-US" w:bidi="ar-SA"/>
              </w:rPr>
              <w:t xml:space="preserve">FaBel (recommended) </w:t>
            </w:r>
          </w:p>
        </w:tc>
        <w:tc>
          <w:tcPr>
            <w:tcW w:w="1156" w:type="dxa"/>
            <w:tcBorders>
              <w:top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82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79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80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159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62" w:type="dxa"/>
            <w:tcBorders/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</w:tr>
    </w:tbl>
    <w:p>
      <w:pPr>
        <w:pStyle w:val="NormalWeb"/>
        <w:spacing w:lineRule="auto" w:line="276" w:beforeAutospacing="0" w:before="120" w:afterAutospacing="0" w:after="12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Explanation of the proposed items:</w:t>
      </w:r>
    </w:p>
    <w:p>
      <w:pPr>
        <w:pStyle w:val="NormalWeb"/>
        <w:spacing w:lineRule="auto" w:line="276" w:beforeAutospacing="0" w:before="0" w:afterAutospacing="0" w:after="12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Style w:val="Strong"/>
          <w:rFonts w:cs="Calibri" w:ascii="Calibri" w:hAnsi="Calibri"/>
          <w:color w:val="000000"/>
          <w:sz w:val="22"/>
          <w:szCs w:val="22"/>
          <w:lang w:val="en-US"/>
        </w:rPr>
        <w:t>FaBel - Impact on Family Scale / Family Burden Questionnaire</w:t>
      </w:r>
    </w:p>
    <w:p>
      <w:pPr>
        <w:pStyle w:val="Normal"/>
        <w:numPr>
          <w:ilvl w:val="0"/>
          <w:numId w:val="10"/>
        </w:numPr>
        <w:spacing w:lineRule="auto" w:line="276"/>
        <w:ind w:hanging="357" w:start="72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Covers all age groups</w:t>
      </w:r>
    </w:p>
    <w:p>
      <w:pPr>
        <w:pStyle w:val="Normal"/>
        <w:numPr>
          <w:ilvl w:val="0"/>
          <w:numId w:val="10"/>
        </w:numPr>
        <w:spacing w:lineRule="auto" w:line="276"/>
        <w:ind w:hanging="357" w:start="72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Parent questionnaire (PROM)</w:t>
      </w:r>
    </w:p>
    <w:p>
      <w:pPr>
        <w:pStyle w:val="Normal"/>
        <w:numPr>
          <w:ilvl w:val="0"/>
          <w:numId w:val="10"/>
        </w:numPr>
        <w:spacing w:lineRule="auto" w:line="276"/>
        <w:ind w:hanging="357" w:start="72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Free of charge</w:t>
      </w:r>
    </w:p>
    <w:p>
      <w:pPr>
        <w:pStyle w:val="Normal"/>
        <w:numPr>
          <w:ilvl w:val="0"/>
          <w:numId w:val="10"/>
        </w:numPr>
        <w:spacing w:lineRule="auto" w:line="276"/>
        <w:ind w:hanging="357" w:start="72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Validated German version</w:t>
      </w:r>
    </w:p>
    <w:p>
      <w:pPr>
        <w:pStyle w:val="Normal"/>
        <w:numPr>
          <w:ilvl w:val="0"/>
          <w:numId w:val="10"/>
        </w:numPr>
        <w:spacing w:lineRule="auto" w:line="276"/>
        <w:ind w:hanging="357" w:start="72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Duration: 10–15 min</w:t>
      </w:r>
    </w:p>
    <w:p>
      <w:pPr>
        <w:pStyle w:val="Normal"/>
        <w:numPr>
          <w:ilvl w:val="0"/>
          <w:numId w:val="10"/>
        </w:numPr>
        <w:spacing w:lineRule="auto" w:line="276"/>
        <w:ind w:hanging="357" w:start="72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Categories:</w:t>
      </w:r>
    </w:p>
    <w:p>
      <w:pPr>
        <w:pStyle w:val="Normal"/>
        <w:numPr>
          <w:ilvl w:val="1"/>
          <w:numId w:val="10"/>
        </w:numPr>
        <w:spacing w:lineRule="auto" w:line="276"/>
        <w:ind w:hanging="357" w:start="144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Daily social burden</w:t>
      </w:r>
    </w:p>
    <w:p>
      <w:pPr>
        <w:pStyle w:val="Normal"/>
        <w:numPr>
          <w:ilvl w:val="1"/>
          <w:numId w:val="10"/>
        </w:numPr>
        <w:spacing w:lineRule="auto" w:line="276"/>
        <w:ind w:hanging="357" w:start="144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Personal burden/concerns about the future</w:t>
      </w:r>
    </w:p>
    <w:p>
      <w:pPr>
        <w:pStyle w:val="Normal"/>
        <w:numPr>
          <w:ilvl w:val="1"/>
          <w:numId w:val="10"/>
        </w:numPr>
        <w:spacing w:lineRule="auto" w:line="276"/>
        <w:ind w:hanging="357" w:start="144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Financial burden</w:t>
      </w:r>
    </w:p>
    <w:p>
      <w:pPr>
        <w:pStyle w:val="Normal"/>
        <w:numPr>
          <w:ilvl w:val="1"/>
          <w:numId w:val="10"/>
        </w:numPr>
        <w:spacing w:lineRule="auto" w:line="276"/>
        <w:ind w:hanging="357" w:start="144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Burden on siblings</w:t>
      </w:r>
    </w:p>
    <w:p>
      <w:pPr>
        <w:pStyle w:val="Normal"/>
        <w:numPr>
          <w:ilvl w:val="1"/>
          <w:numId w:val="10"/>
        </w:numPr>
        <w:spacing w:lineRule="auto" w:line="276"/>
        <w:ind w:hanging="357" w:start="144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Coping difficulties</w:t>
      </w:r>
    </w:p>
    <w:p>
      <w:pPr>
        <w:pStyle w:val="NormalWeb"/>
        <w:spacing w:lineRule="auto" w:line="276" w:beforeAutospacing="0" w:before="0" w:afterAutospacing="0" w:after="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 xml:space="preserve">Comments: </w:t>
      </w:r>
    </w:p>
    <w:p>
      <w:pPr>
        <w:pStyle w:val="NormalWeb"/>
        <w:spacing w:lineRule="auto" w:line="276" w:beforeAutospacing="0" w:before="0" w:afterAutospacing="0" w:after="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Please enter your answer here:</w:t>
      </w:r>
    </w:p>
    <w:tbl>
      <w:tblPr>
        <w:tblStyle w:val="Tabellenraster"/>
        <w:tblW w:w="905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9056"/>
      </w:tblGrid>
      <w:tr>
        <w:trPr/>
        <w:tc>
          <w:tcPr>
            <w:tcW w:w="9056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start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/>
              </w:rPr>
            </w:r>
          </w:p>
        </w:tc>
      </w:tr>
    </w:tbl>
    <w:p>
      <w:pPr>
        <w:pStyle w:val="Heading1"/>
        <w:spacing w:lineRule="auto" w:line="276" w:before="600" w:after="120"/>
        <w:rPr>
          <w:b/>
          <w:bCs/>
          <w:sz w:val="26"/>
          <w:szCs w:val="26"/>
          <w:lang w:val="en-US"/>
        </w:rPr>
      </w:pPr>
      <w:r>
        <w:rPr>
          <w:b/>
          <w:bCs/>
          <w:sz w:val="26"/>
          <w:szCs w:val="26"/>
          <w:lang w:val="en-US"/>
        </w:rPr>
        <w:t>8. Short-term PICU outcomes</w:t>
      </w:r>
    </w:p>
    <w:p>
      <w:pPr>
        <w:pStyle w:val="NormalWeb"/>
        <w:spacing w:lineRule="auto" w:line="276" w:beforeAutospacing="0" w:before="0" w:afterAutospacing="0" w:after="12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Please indicate the degree of your agreement for the proposed items. If you cannot assess an item, please select "no answer." Please select the appropriate answer for each item:</w:t>
      </w:r>
    </w:p>
    <w:tbl>
      <w:tblPr>
        <w:tblStyle w:val="Listentabelle7farbigAkzent3"/>
        <w:tblW w:w="906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2786"/>
        <w:gridCol w:w="1105"/>
        <w:gridCol w:w="1021"/>
        <w:gridCol w:w="1025"/>
        <w:gridCol w:w="1022"/>
        <w:gridCol w:w="1105"/>
        <w:gridCol w:w="1002"/>
      </w:tblGrid>
      <w:tr>
        <w:trPr>
          <w:trHeight w:val="170" w:hRule="atLeast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786" w:type="dxa"/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Borders>
              <w:top w:val="single" w:sz="4" w:space="0" w:color="000000"/>
              <w:bottom w:val="single" w:sz="4" w:space="0" w:color="A5A5A5"/>
            </w:tcBorders>
            <w:shd w:color="auto" w:fill="FFFFFF" w:themeFill="background1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end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i/>
                <w:sz w:val="20"/>
                <w:szCs w:val="20"/>
                <w:lang w:val="en-US"/>
              </w:rPr>
            </w:r>
          </w:p>
        </w:tc>
        <w:tc>
          <w:tcPr>
            <w:tcW w:w="1105" w:type="dxa"/>
            <w:tcBorders>
              <w:top w:val="single" w:sz="4" w:space="0" w:color="000000"/>
              <w:bottom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NormalWeb"/>
              <w:widowControl/>
              <w:suppressAutoHyphens w:val="true"/>
              <w:spacing w:lineRule="auto" w:line="276" w:before="0" w:after="0"/>
              <w:jc w:val="star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themeColor="text1" w:val="000000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b/>
                <w:bCs/>
                <w:i/>
                <w:iCs/>
                <w:color w:themeColor="text1" w:val="000000"/>
                <w:sz w:val="20"/>
                <w:szCs w:val="20"/>
                <w:lang w:val="en-US" w:bidi="ar-SA"/>
              </w:rPr>
              <w:t>1 – do not agree</w:t>
            </w:r>
          </w:p>
        </w:tc>
        <w:tc>
          <w:tcPr>
            <w:tcW w:w="1021" w:type="dxa"/>
            <w:tcBorders>
              <w:top w:val="single" w:sz="4" w:space="0" w:color="000000"/>
              <w:bottom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b/>
                <w:bCs/>
                <w:i/>
                <w:iCs/>
                <w:sz w:val="20"/>
                <w:szCs w:val="20"/>
                <w:lang w:val="en-US" w:bidi="ar-SA"/>
              </w:rPr>
              <w:t>2</w:t>
            </w:r>
          </w:p>
        </w:tc>
        <w:tc>
          <w:tcPr>
            <w:tcW w:w="1025" w:type="dxa"/>
            <w:tcBorders>
              <w:top w:val="single" w:sz="4" w:space="0" w:color="000000"/>
              <w:bottom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b/>
                <w:bCs/>
                <w:i/>
                <w:iCs/>
                <w:sz w:val="20"/>
                <w:szCs w:val="20"/>
                <w:lang w:val="en-US" w:bidi="ar-SA"/>
              </w:rPr>
              <w:t>3</w:t>
            </w:r>
          </w:p>
        </w:tc>
        <w:tc>
          <w:tcPr>
            <w:tcW w:w="1022" w:type="dxa"/>
            <w:tcBorders>
              <w:top w:val="single" w:sz="4" w:space="0" w:color="000000"/>
              <w:bottom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b/>
                <w:bCs/>
                <w:i/>
                <w:iCs/>
                <w:sz w:val="20"/>
                <w:szCs w:val="20"/>
                <w:lang w:val="en-US" w:bidi="ar-SA"/>
              </w:rPr>
              <w:t>4</w:t>
            </w:r>
          </w:p>
        </w:tc>
        <w:tc>
          <w:tcPr>
            <w:tcW w:w="1105" w:type="dxa"/>
            <w:tcBorders>
              <w:top w:val="single" w:sz="4" w:space="0" w:color="000000"/>
              <w:bottom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p1"/>
              <w:widowControl/>
              <w:suppressAutoHyphens w:val="true"/>
              <w:spacing w:lineRule="auto" w:line="276" w:before="0" w:after="0"/>
              <w:jc w:val="star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b/>
                <w:bCs/>
                <w:i/>
                <w:iCs/>
                <w:sz w:val="20"/>
                <w:szCs w:val="20"/>
                <w:lang w:val="en-US" w:bidi="ar-SA"/>
              </w:rPr>
              <w:t>5 – fully agree</w:t>
            </w:r>
          </w:p>
        </w:tc>
        <w:tc>
          <w:tcPr>
            <w:tcW w:w="1002" w:type="dxa"/>
            <w:tcBorders>
              <w:top w:val="single" w:sz="4" w:space="0" w:color="000000"/>
              <w:bottom w:val="single" w:sz="4" w:space="0" w:color="A5A5A5"/>
            </w:tcBorders>
            <w:shd w:color="auto" w:fill="FFFFFF" w:themeFill="background1" w:val="clear"/>
          </w:tcPr>
          <w:p>
            <w:pPr>
              <w:pStyle w:val="p1"/>
              <w:widowControl/>
              <w:suppressAutoHyphens w:val="true"/>
              <w:spacing w:lineRule="auto" w:line="276" w:before="0" w:after="0"/>
              <w:jc w:val="star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b/>
                <w:bCs/>
                <w:i/>
                <w:iCs/>
                <w:sz w:val="20"/>
                <w:szCs w:val="20"/>
                <w:lang w:val="en-US" w:bidi="ar-SA"/>
              </w:rPr>
              <w:t>No answer</w:t>
            </w:r>
          </w:p>
        </w:tc>
      </w:tr>
      <w:tr>
        <w:trPr>
          <w:trHeight w:val="170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786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p1"/>
              <w:widowControl/>
              <w:suppressAutoHyphens w:val="true"/>
              <w:spacing w:lineRule="auto" w:line="276" w:before="0" w:after="0"/>
              <w:jc w:val="end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i/>
                <w:iCs/>
                <w:sz w:val="20"/>
                <w:szCs w:val="20"/>
                <w:lang w:val="en-US" w:bidi="ar-SA"/>
              </w:rPr>
              <w:t>All-cause in-hospital mortality</w:t>
            </w:r>
          </w:p>
        </w:tc>
        <w:tc>
          <w:tcPr>
            <w:tcW w:w="1105" w:type="dxa"/>
            <w:tcBorders>
              <w:top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21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25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22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105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02" w:type="dxa"/>
            <w:tcBorders/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</w:tr>
      <w:tr>
        <w:trPr>
          <w:trHeight w:val="170" w:hRule="atLeast"/>
        </w:trPr>
        <w:tc>
          <w:tcPr>
            <w:tcW w:w="2786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p1"/>
              <w:widowControl/>
              <w:suppressAutoHyphens w:val="true"/>
              <w:spacing w:lineRule="auto" w:line="276" w:before="0" w:after="0"/>
              <w:jc w:val="end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i/>
                <w:iCs/>
                <w:sz w:val="20"/>
                <w:szCs w:val="20"/>
                <w:lang w:val="en-US" w:bidi="ar-SA"/>
              </w:rPr>
              <w:t>All-cause 30-day-mortality</w:t>
            </w:r>
          </w:p>
        </w:tc>
        <w:tc>
          <w:tcPr>
            <w:tcW w:w="1105" w:type="dxa"/>
            <w:tcBorders>
              <w:top w:val="single" w:sz="4" w:space="0" w:color="A5A5A5"/>
              <w:bottom w:val="single" w:sz="4" w:space="0" w:color="A5A5A5"/>
              <w:end w:val="single" w:sz="4" w:space="0" w:color="A5A5A5"/>
            </w:tcBorders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21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25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22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105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02" w:type="dxa"/>
            <w:tcBorders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</w:tr>
      <w:tr>
        <w:trPr>
          <w:trHeight w:val="170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786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p1"/>
              <w:widowControl/>
              <w:suppressAutoHyphens w:val="true"/>
              <w:spacing w:lineRule="auto" w:line="276" w:before="0" w:after="0"/>
              <w:jc w:val="end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i/>
                <w:iCs/>
                <w:sz w:val="20"/>
                <w:szCs w:val="20"/>
                <w:lang w:val="en-US" w:bidi="ar-SA"/>
              </w:rPr>
              <w:t>All-cause 90-day-mortality</w:t>
            </w:r>
          </w:p>
        </w:tc>
        <w:tc>
          <w:tcPr>
            <w:tcW w:w="1105" w:type="dxa"/>
            <w:tcBorders>
              <w:top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21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25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22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105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02" w:type="dxa"/>
            <w:tcBorders/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</w:tr>
      <w:tr>
        <w:trPr>
          <w:trHeight w:val="170" w:hRule="atLeast"/>
        </w:trPr>
        <w:tc>
          <w:tcPr>
            <w:tcW w:w="2786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p1"/>
              <w:widowControl/>
              <w:suppressAutoHyphens w:val="true"/>
              <w:spacing w:lineRule="auto" w:line="276" w:before="0" w:after="0"/>
              <w:jc w:val="end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i/>
                <w:iCs/>
                <w:sz w:val="20"/>
                <w:szCs w:val="20"/>
                <w:lang w:val="en-US" w:bidi="ar-SA"/>
              </w:rPr>
              <w:t>Duration of invasive mechanical ventilation [days]</w:t>
            </w:r>
          </w:p>
        </w:tc>
        <w:tc>
          <w:tcPr>
            <w:tcW w:w="1105" w:type="dxa"/>
            <w:tcBorders>
              <w:top w:val="single" w:sz="4" w:space="0" w:color="A5A5A5"/>
              <w:bottom w:val="single" w:sz="4" w:space="0" w:color="A5A5A5"/>
              <w:end w:val="single" w:sz="4" w:space="0" w:color="A5A5A5"/>
            </w:tcBorders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21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25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22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105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02" w:type="dxa"/>
            <w:tcBorders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</w:tr>
      <w:tr>
        <w:trPr>
          <w:trHeight w:val="170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786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p1"/>
              <w:widowControl/>
              <w:suppressAutoHyphens w:val="true"/>
              <w:spacing w:lineRule="auto" w:line="276" w:before="0" w:after="0"/>
              <w:jc w:val="end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i/>
                <w:iCs/>
                <w:sz w:val="20"/>
                <w:szCs w:val="20"/>
                <w:lang w:val="en-US" w:bidi="ar-SA"/>
              </w:rPr>
              <w:t>Duration of continuos sedation via syringe pump (including sevoflurane/isoflurane) [days]</w:t>
            </w:r>
          </w:p>
        </w:tc>
        <w:tc>
          <w:tcPr>
            <w:tcW w:w="1105" w:type="dxa"/>
            <w:tcBorders>
              <w:top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21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25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22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105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02" w:type="dxa"/>
            <w:tcBorders/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</w:tr>
      <w:tr>
        <w:trPr>
          <w:trHeight w:val="170" w:hRule="atLeast"/>
        </w:trPr>
        <w:tc>
          <w:tcPr>
            <w:tcW w:w="2786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p1"/>
              <w:widowControl/>
              <w:suppressAutoHyphens w:val="true"/>
              <w:spacing w:lineRule="auto" w:line="276" w:before="0" w:after="0"/>
              <w:jc w:val="end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i/>
                <w:iCs/>
                <w:sz w:val="20"/>
                <w:szCs w:val="20"/>
                <w:lang w:val="en-US" w:bidi="ar-SA"/>
              </w:rPr>
              <w:t>Duration of vasopressor/inotrope administration</w:t>
            </w:r>
          </w:p>
        </w:tc>
        <w:tc>
          <w:tcPr>
            <w:tcW w:w="1105" w:type="dxa"/>
            <w:tcBorders>
              <w:top w:val="single" w:sz="4" w:space="0" w:color="A5A5A5"/>
              <w:bottom w:val="single" w:sz="4" w:space="0" w:color="A5A5A5"/>
              <w:end w:val="single" w:sz="4" w:space="0" w:color="A5A5A5"/>
            </w:tcBorders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21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25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22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105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02" w:type="dxa"/>
            <w:tcBorders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</w:tr>
      <w:tr>
        <w:trPr>
          <w:trHeight w:val="170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786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p1"/>
              <w:widowControl/>
              <w:suppressAutoHyphens w:val="true"/>
              <w:spacing w:lineRule="auto" w:line="276" w:before="0" w:after="0"/>
              <w:jc w:val="end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i/>
                <w:iCs/>
                <w:sz w:val="20"/>
                <w:szCs w:val="20"/>
                <w:lang w:val="en-US" w:bidi="ar-SA"/>
              </w:rPr>
              <w:t>Length of stay ICU [days]</w:t>
            </w:r>
          </w:p>
        </w:tc>
        <w:tc>
          <w:tcPr>
            <w:tcW w:w="1105" w:type="dxa"/>
            <w:tcBorders>
              <w:top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21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25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22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105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02" w:type="dxa"/>
            <w:tcBorders/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</w:tr>
      <w:tr>
        <w:trPr>
          <w:trHeight w:val="170" w:hRule="atLeast"/>
        </w:trPr>
        <w:tc>
          <w:tcPr>
            <w:tcW w:w="2786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p1"/>
              <w:widowControl/>
              <w:suppressAutoHyphens w:val="true"/>
              <w:spacing w:lineRule="auto" w:line="276" w:before="0" w:after="0"/>
              <w:jc w:val="end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i/>
                <w:iCs/>
                <w:sz w:val="20"/>
                <w:szCs w:val="20"/>
                <w:lang w:val="en-US" w:bidi="ar-SA"/>
              </w:rPr>
              <w:t>Length of stay hospital [days]</w:t>
            </w:r>
          </w:p>
        </w:tc>
        <w:tc>
          <w:tcPr>
            <w:tcW w:w="1105" w:type="dxa"/>
            <w:tcBorders>
              <w:top w:val="single" w:sz="4" w:space="0" w:color="A5A5A5"/>
              <w:bottom w:val="single" w:sz="4" w:space="0" w:color="A5A5A5"/>
              <w:end w:val="single" w:sz="4" w:space="0" w:color="A5A5A5"/>
            </w:tcBorders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21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25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22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105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02" w:type="dxa"/>
            <w:tcBorders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</w:tr>
      <w:tr>
        <w:trPr>
          <w:trHeight w:val="170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786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p1"/>
              <w:widowControl/>
              <w:suppressAutoHyphens w:val="true"/>
              <w:spacing w:lineRule="auto" w:line="276" w:before="0" w:after="0"/>
              <w:jc w:val="end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i/>
                <w:iCs/>
                <w:sz w:val="20"/>
                <w:szCs w:val="20"/>
                <w:lang w:val="en-US" w:bidi="ar-SA"/>
              </w:rPr>
              <w:t>Discharge destination</w:t>
            </w:r>
          </w:p>
        </w:tc>
        <w:tc>
          <w:tcPr>
            <w:tcW w:w="1105" w:type="dxa"/>
            <w:tcBorders>
              <w:top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21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25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22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105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02" w:type="dxa"/>
            <w:tcBorders/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</w:tr>
      <w:tr>
        <w:trPr>
          <w:trHeight w:val="170" w:hRule="atLeast"/>
        </w:trPr>
        <w:tc>
          <w:tcPr>
            <w:tcW w:w="2786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p1"/>
              <w:widowControl/>
              <w:suppressAutoHyphens w:val="true"/>
              <w:spacing w:lineRule="auto" w:line="276" w:before="0" w:after="0"/>
              <w:jc w:val="end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i/>
                <w:iCs/>
                <w:sz w:val="20"/>
                <w:szCs w:val="20"/>
                <w:lang w:val="en-US" w:bidi="ar-SA"/>
              </w:rPr>
              <w:t>PCPC at hospital discharge and PCPC decline</w:t>
            </w:r>
          </w:p>
        </w:tc>
        <w:tc>
          <w:tcPr>
            <w:tcW w:w="1105" w:type="dxa"/>
            <w:tcBorders>
              <w:top w:val="single" w:sz="4" w:space="0" w:color="A5A5A5"/>
              <w:bottom w:val="single" w:sz="4" w:space="0" w:color="A5A5A5"/>
              <w:end w:val="single" w:sz="4" w:space="0" w:color="A5A5A5"/>
            </w:tcBorders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21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25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22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105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02" w:type="dxa"/>
            <w:tcBorders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</w:tr>
      <w:tr>
        <w:trPr>
          <w:trHeight w:val="170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786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bottom w:val="single" w:sz="4" w:space="0" w:color="A5A5A5"/>
              <w:end w:val="single" w:sz="4" w:space="0" w:color="A5A5A5"/>
            </w:tcBorders>
            <w:shd w:color="auto" w:fill="FFFFFF" w:themeFill="background1" w:val="clear"/>
            <w:vAlign w:val="bottom"/>
          </w:tcPr>
          <w:p>
            <w:pPr>
              <w:pStyle w:val="p1"/>
              <w:widowControl/>
              <w:suppressAutoHyphens w:val="true"/>
              <w:spacing w:lineRule="auto" w:line="276" w:before="0" w:after="0"/>
              <w:jc w:val="end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i/>
                <w:iCs/>
                <w:sz w:val="20"/>
                <w:szCs w:val="20"/>
                <w:lang w:val="en-US" w:bidi="ar-SA"/>
              </w:rPr>
              <w:t>Newly established devices at hospital discharge</w:t>
            </w:r>
          </w:p>
        </w:tc>
        <w:tc>
          <w:tcPr>
            <w:tcW w:w="1105" w:type="dxa"/>
            <w:tcBorders>
              <w:top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21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25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22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105" w:type="dxa"/>
            <w:tcBorders>
              <w:top w:val="single" w:sz="4" w:space="0" w:color="A5A5A5"/>
              <w:start w:val="single" w:sz="4" w:space="0" w:color="A5A5A5"/>
              <w:bottom w:val="single" w:sz="4" w:space="0" w:color="A5A5A5"/>
              <w:end w:val="single" w:sz="4" w:space="0" w:color="A5A5A5"/>
            </w:tcBorders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  <w:tc>
          <w:tcPr>
            <w:tcW w:w="1002" w:type="dxa"/>
            <w:tcBorders/>
            <w:shd w:color="auto" w:fill="EDEDED" w:themeFill="accent3" w:themeFillTint="33" w:val="clear"/>
          </w:tcPr>
          <w:p>
            <w:pPr>
              <w:pStyle w:val="p1"/>
              <w:widowControl/>
              <w:suppressAutoHyphens w:val="true"/>
              <w:spacing w:lineRule="auto" w:line="276" w:before="0" w:after="12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cs="Calibri" w:ascii="Calibri" w:hAnsi="Calibri"/>
                <w:sz w:val="20"/>
                <w:szCs w:val="20"/>
                <w:lang w:val="en-US"/>
              </w:rPr>
            </w:r>
          </w:p>
        </w:tc>
      </w:tr>
    </w:tbl>
    <w:p>
      <w:pPr>
        <w:pStyle w:val="NormalWeb"/>
        <w:spacing w:lineRule="auto" w:line="276" w:beforeAutospacing="0" w:before="120" w:afterAutospacing="0" w:after="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Style w:val="Strong"/>
          <w:rFonts w:cs="Calibri" w:ascii="Calibri" w:hAnsi="Calibri"/>
          <w:color w:val="000000"/>
          <w:sz w:val="22"/>
          <w:szCs w:val="22"/>
          <w:lang w:val="en-US"/>
        </w:rPr>
        <w:t>Important:</w:t>
      </w:r>
      <w:r>
        <w:rPr>
          <w:rFonts w:cs="Calibri" w:ascii="Calibri" w:hAnsi="Calibri"/>
          <w:color w:val="000000"/>
          <w:sz w:val="22"/>
          <w:szCs w:val="22"/>
          <w:lang w:val="en-US"/>
        </w:rPr>
        <w:t xml:space="preserve"> The items included in this list are </w:t>
      </w:r>
      <w:r>
        <w:rPr>
          <w:rStyle w:val="Strong"/>
          <w:rFonts w:cs="Calibri" w:ascii="Calibri" w:hAnsi="Calibri"/>
          <w:color w:val="000000"/>
          <w:sz w:val="22"/>
          <w:szCs w:val="22"/>
          <w:lang w:val="en-US"/>
        </w:rPr>
        <w:t>NOT</w:t>
      </w:r>
      <w:r>
        <w:rPr>
          <w:rFonts w:cs="Calibri" w:ascii="Calibri" w:hAnsi="Calibri"/>
          <w:color w:val="000000"/>
          <w:sz w:val="22"/>
          <w:szCs w:val="22"/>
          <w:lang w:val="en-US"/>
        </w:rPr>
        <w:t xml:space="preserve"> in competition with each other. Every item with sufficiently high agreement values will be included.</w:t>
      </w:r>
    </w:p>
    <w:p>
      <w:pPr>
        <w:pStyle w:val="NormalWeb"/>
        <w:spacing w:lineRule="auto" w:line="276" w:beforeAutospacing="0" w:before="120" w:afterAutospacing="0" w:after="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Style w:val="Strong"/>
          <w:rFonts w:cs="Calibri" w:ascii="Calibri" w:hAnsi="Calibri"/>
          <w:color w:val="000000"/>
          <w:sz w:val="22"/>
          <w:szCs w:val="22"/>
          <w:lang w:val="en-US"/>
        </w:rPr>
        <w:t>Explanation of the proposed items:</w:t>
      </w:r>
      <w:r>
        <w:rPr>
          <w:rFonts w:cs="Calibri" w:ascii="Calibri" w:hAnsi="Calibri"/>
          <w:color w:val="000000"/>
          <w:sz w:val="22"/>
          <w:szCs w:val="22"/>
          <w:lang w:val="en-US"/>
        </w:rPr>
        <w:t xml:space="preserve"> </w:t>
      </w:r>
    </w:p>
    <w:p>
      <w:pPr>
        <w:pStyle w:val="NormalWeb"/>
        <w:spacing w:lineRule="auto" w:line="276" w:beforeAutospacing="0" w:before="120" w:afterAutospacing="0" w:after="12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This question group includes relevant outcomes after PICU, which can primarily be used for publications. All items except two are measured on a continuous scale; the proposed unit is indicated in square brackets, e.g., [days].</w:t>
      </w:r>
    </w:p>
    <w:p>
      <w:pPr>
        <w:pStyle w:val="Normal"/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Style w:val="Strong"/>
          <w:rFonts w:cs="Calibri" w:ascii="Calibri" w:hAnsi="Calibri"/>
          <w:color w:val="000000"/>
          <w:sz w:val="22"/>
          <w:szCs w:val="22"/>
          <w:lang w:val="en-US"/>
        </w:rPr>
        <w:t>Duration of mechanical ventilation</w:t>
      </w:r>
      <w:r>
        <w:rPr>
          <w:rStyle w:val="apple-converted-space"/>
          <w:rFonts w:eastAsia="" w:cs="Calibri" w:ascii="Calibri" w:hAnsi="Calibri" w:eastAsiaTheme="majorEastAsia"/>
          <w:color w:val="000000"/>
          <w:sz w:val="22"/>
          <w:szCs w:val="22"/>
          <w:lang w:val="en-US"/>
        </w:rPr>
        <w:t> </w:t>
      </w:r>
      <w:r>
        <w:rPr>
          <w:rFonts w:cs="Calibri" w:ascii="Calibri" w:hAnsi="Calibri"/>
          <w:color w:val="000000"/>
          <w:sz w:val="22"/>
          <w:szCs w:val="22"/>
          <w:lang w:val="en-US"/>
        </w:rPr>
        <w:t>is defined as “Time from intubation to successful extubation —&gt; absence of invasive mechanical ventilation for 48 consecutive hours”</w:t>
      </w:r>
    </w:p>
    <w:p>
      <w:pPr>
        <w:pStyle w:val="Normal"/>
        <w:spacing w:lineRule="auto" w:line="276" w:before="120" w:after="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Style w:val="Strong"/>
          <w:rFonts w:cs="Calibri" w:ascii="Calibri" w:hAnsi="Calibri"/>
          <w:color w:val="000000"/>
          <w:sz w:val="22"/>
          <w:szCs w:val="22"/>
          <w:lang w:val="en-US"/>
        </w:rPr>
        <w:t>PCPC decline</w:t>
      </w:r>
      <w:r>
        <w:rPr>
          <w:rStyle w:val="apple-converted-space"/>
          <w:rFonts w:eastAsia="" w:cs="Calibri" w:ascii="Calibri" w:hAnsi="Calibri" w:eastAsiaTheme="majorEastAsia"/>
          <w:color w:val="000000"/>
          <w:sz w:val="22"/>
          <w:szCs w:val="22"/>
          <w:lang w:val="en-US"/>
        </w:rPr>
        <w:t> </w:t>
      </w:r>
      <w:r>
        <w:rPr>
          <w:rFonts w:cs="Calibri" w:ascii="Calibri" w:hAnsi="Calibri"/>
          <w:color w:val="000000"/>
          <w:sz w:val="22"/>
          <w:szCs w:val="22"/>
          <w:lang w:val="en-US"/>
        </w:rPr>
        <w:t>is defined as the difference between PCPC before admission and PCPC at discharge</w:t>
      </w:r>
    </w:p>
    <w:p>
      <w:pPr>
        <w:pStyle w:val="NormalWeb"/>
        <w:spacing w:lineRule="auto" w:line="276" w:beforeAutospacing="0" w:before="120" w:afterAutospacing="0" w:after="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Style w:val="Strong"/>
          <w:rFonts w:cs="Calibri" w:ascii="Calibri" w:hAnsi="Calibri"/>
          <w:color w:val="000000"/>
          <w:sz w:val="22"/>
          <w:szCs w:val="22"/>
          <w:lang w:val="en-US"/>
        </w:rPr>
        <w:t>Discharge destination</w:t>
      </w:r>
      <w:r>
        <w:rPr>
          <w:rFonts w:cs="Calibri" w:ascii="Calibri" w:hAnsi="Calibri"/>
          <w:color w:val="000000"/>
          <w:sz w:val="22"/>
          <w:szCs w:val="22"/>
          <w:lang w:val="en-US"/>
        </w:rPr>
        <w:t xml:space="preserve"> – the question includes the following categories for single selection:</w:t>
      </w:r>
    </w:p>
    <w:p>
      <w:pPr>
        <w:pStyle w:val="Normal"/>
        <w:numPr>
          <w:ilvl w:val="0"/>
          <w:numId w:val="11"/>
        </w:numPr>
        <w:spacing w:lineRule="auto" w:line="276"/>
        <w:ind w:hanging="357" w:start="714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Home</w:t>
      </w:r>
    </w:p>
    <w:p>
      <w:pPr>
        <w:pStyle w:val="Normal"/>
        <w:numPr>
          <w:ilvl w:val="0"/>
          <w:numId w:val="11"/>
        </w:numPr>
        <w:spacing w:lineRule="auto" w:line="276"/>
        <w:ind w:hanging="357" w:start="714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Rehabilitation</w:t>
      </w:r>
    </w:p>
    <w:p>
      <w:pPr>
        <w:pStyle w:val="Normal"/>
        <w:numPr>
          <w:ilvl w:val="0"/>
          <w:numId w:val="11"/>
        </w:numPr>
        <w:spacing w:lineRule="auto" w:line="276"/>
        <w:ind w:hanging="357" w:start="714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Other hospital</w:t>
      </w:r>
    </w:p>
    <w:p>
      <w:pPr>
        <w:pStyle w:val="Normal"/>
        <w:numPr>
          <w:ilvl w:val="0"/>
          <w:numId w:val="11"/>
        </w:numPr>
        <w:spacing w:lineRule="auto" w:line="276"/>
        <w:ind w:hanging="357" w:start="714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Nursing facility</w:t>
      </w:r>
    </w:p>
    <w:p>
      <w:pPr>
        <w:pStyle w:val="NormalWeb"/>
        <w:spacing w:lineRule="auto" w:line="276" w:beforeAutospacing="0" w:before="120" w:afterAutospacing="0" w:after="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Style w:val="Strong"/>
          <w:rFonts w:cs="Calibri" w:ascii="Calibri" w:hAnsi="Calibri"/>
          <w:color w:val="000000"/>
          <w:sz w:val="22"/>
          <w:szCs w:val="22"/>
          <w:lang w:val="en-US"/>
        </w:rPr>
        <w:t>Newly established devices at hospital discharge</w:t>
      </w:r>
      <w:r>
        <w:rPr>
          <w:rFonts w:cs="Calibri" w:ascii="Calibri" w:hAnsi="Calibri"/>
          <w:color w:val="000000"/>
          <w:sz w:val="22"/>
          <w:szCs w:val="22"/>
          <w:lang w:val="en-US"/>
        </w:rPr>
        <w:t xml:space="preserve"> – the question includes the following categories for multiple selection:</w:t>
      </w:r>
    </w:p>
    <w:p>
      <w:pPr>
        <w:pStyle w:val="Normal"/>
        <w:numPr>
          <w:ilvl w:val="0"/>
          <w:numId w:val="12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Tracheostomy</w:t>
      </w:r>
    </w:p>
    <w:p>
      <w:pPr>
        <w:pStyle w:val="Normal"/>
        <w:numPr>
          <w:ilvl w:val="0"/>
          <w:numId w:val="12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PEG/PEJ/jejunal tube or nasogastric tube as bridging until PEG/PEJ</w:t>
      </w:r>
    </w:p>
    <w:p>
      <w:pPr>
        <w:pStyle w:val="Normal"/>
        <w:numPr>
          <w:ilvl w:val="0"/>
          <w:numId w:val="12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Respiratory support (oxygen, high-flow nasal cannula, non-invasive ventilation, invasive ventilation, cough assist, Mini-Pegaso)</w:t>
      </w:r>
    </w:p>
    <w:p>
      <w:pPr>
        <w:pStyle w:val="Normal"/>
        <w:numPr>
          <w:ilvl w:val="0"/>
          <w:numId w:val="12"/>
        </w:numPr>
        <w:spacing w:lineRule="auto" w:line="276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Dialysis</w:t>
      </w:r>
    </w:p>
    <w:p>
      <w:pPr>
        <w:pStyle w:val="NormalWeb"/>
        <w:spacing w:lineRule="auto" w:line="276" w:beforeAutospacing="0" w:before="120" w:afterAutospacing="0" w:after="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 xml:space="preserve">Comments: </w:t>
      </w:r>
    </w:p>
    <w:p>
      <w:pPr>
        <w:pStyle w:val="NormalWeb"/>
        <w:spacing w:lineRule="auto" w:line="276" w:beforeAutospacing="0" w:before="0" w:afterAutospacing="0" w:after="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  <w:t>Please enter your answer here:</w:t>
      </w:r>
    </w:p>
    <w:tbl>
      <w:tblPr>
        <w:tblStyle w:val="Tabellenraster"/>
        <w:tblW w:w="905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9056"/>
      </w:tblGrid>
      <w:tr>
        <w:trPr/>
        <w:tc>
          <w:tcPr>
            <w:tcW w:w="9056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start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/>
              </w:rPr>
            </w:r>
          </w:p>
        </w:tc>
      </w:tr>
    </w:tbl>
    <w:p>
      <w:pPr>
        <w:pStyle w:val="NormalWeb"/>
        <w:spacing w:lineRule="auto" w:line="276" w:beforeAutospacing="0" w:before="0" w:afterAutospacing="0" w:after="12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cs="Calibri" w:ascii="Calibri" w:hAnsi="Calibri"/>
          <w:color w:val="000000"/>
          <w:sz w:val="22"/>
          <w:szCs w:val="22"/>
          <w:lang w:val="en-US"/>
        </w:rPr>
      </w:r>
      <w:bookmarkStart w:id="1" w:name="__DdeLink__1629_1975866140_Kopie_1"/>
      <w:bookmarkStart w:id="2" w:name="__DdeLink__1629_1975866140_Kopie_1"/>
      <w:bookmarkEnd w:id="2"/>
    </w:p>
    <w:sectPr>
      <w:type w:val="nextPage"/>
      <w:pgSz w:w="11906" w:h="16838"/>
      <w:pgMar w:left="1417" w:right="1417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Carlito">
    <w:altName w:val="Calibri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Calibri Light">
    <w:charset w:val="01" w:characterSet="utf-8"/>
    <w:family w:val="roman"/>
    <w:pitch w:val="variable"/>
  </w:font>
  <w:font w:name="Carlito">
    <w:altName w:val="Calibri"/>
    <w:charset w:val="01" w:characterSet="utf-8"/>
    <w:family w:val="swiss"/>
    <w:pitch w:val="variable"/>
  </w:font>
  <w:font w:name="Verdana">
    <w:charset w:val="01" w:characterSet="utf-8"/>
    <w:family w:val="swiss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6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7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8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9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10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1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1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13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14">
    <w:lvl w:ilvl="0">
      <w:start w:val="1"/>
      <w:numFmt w:val="bullet"/>
      <w:lvlText w:val="o"/>
      <w:lvlJc w:val="start"/>
      <w:pPr>
        <w:tabs>
          <w:tab w:val="num" w:pos="0"/>
        </w:tabs>
        <w:ind w:start="720" w:hanging="360"/>
      </w:pPr>
      <w:rPr>
        <w:rFonts w:ascii="Courier New" w:hAnsi="Courier New" w:cs="Courier New" w:hint="default"/>
        <w:sz w:val="28"/>
        <w:szCs w:val="28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1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de-D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a197b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de-DE" w:eastAsia="de-DE" w:bidi="ar-SA"/>
      <w14:ligatures w14:val="none"/>
    </w:rPr>
  </w:style>
  <w:style w:type="paragraph" w:styleId="Heading1">
    <w:name w:val="heading 1"/>
    <w:basedOn w:val="Normal"/>
    <w:next w:val="Normal"/>
    <w:link w:val="berschrift1Zchn"/>
    <w:uiPriority w:val="9"/>
    <w:qFormat/>
    <w:rsid w:val="00cb75de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berschrift2Zchn"/>
    <w:uiPriority w:val="9"/>
    <w:semiHidden/>
    <w:unhideWhenUsed/>
    <w:qFormat/>
    <w:rsid w:val="004908a1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26"/>
      <w:szCs w:val="26"/>
    </w:rPr>
  </w:style>
  <w:style w:type="paragraph" w:styleId="Heading3">
    <w:name w:val="heading 3"/>
    <w:basedOn w:val="Normal"/>
    <w:next w:val="Normal"/>
    <w:link w:val="berschrift3Zchn"/>
    <w:uiPriority w:val="9"/>
    <w:semiHidden/>
    <w:unhideWhenUsed/>
    <w:qFormat/>
    <w:rsid w:val="00cb75de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berschrift4Zchn"/>
    <w:uiPriority w:val="9"/>
    <w:semiHidden/>
    <w:unhideWhenUsed/>
    <w:qFormat/>
    <w:rsid w:val="00cb75de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berschrift5Zchn"/>
    <w:uiPriority w:val="9"/>
    <w:semiHidden/>
    <w:unhideWhenUsed/>
    <w:qFormat/>
    <w:rsid w:val="00cb75de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berschrift6Zchn"/>
    <w:uiPriority w:val="9"/>
    <w:semiHidden/>
    <w:unhideWhenUsed/>
    <w:qFormat/>
    <w:rsid w:val="00cb75de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berschrift7Zchn"/>
    <w:uiPriority w:val="9"/>
    <w:semiHidden/>
    <w:unhideWhenUsed/>
    <w:qFormat/>
    <w:rsid w:val="00cb75de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berschrift8Zchn"/>
    <w:uiPriority w:val="9"/>
    <w:semiHidden/>
    <w:unhideWhenUsed/>
    <w:qFormat/>
    <w:rsid w:val="00cb75de"/>
    <w:pPr>
      <w:keepNext w:val="true"/>
      <w:keepLines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berschrift9Zchn"/>
    <w:uiPriority w:val="9"/>
    <w:semiHidden/>
    <w:unhideWhenUsed/>
    <w:qFormat/>
    <w:rsid w:val="00cb75de"/>
    <w:pPr>
      <w:keepNext w:val="true"/>
      <w:keepLines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erschrift2Zchn" w:customStyle="1">
    <w:name w:val="Überschrift 2 Zchn"/>
    <w:basedOn w:val="DefaultParagraphFont"/>
    <w:uiPriority w:val="9"/>
    <w:semiHidden/>
    <w:qFormat/>
    <w:rsid w:val="004908a1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26"/>
      <w:szCs w:val="26"/>
    </w:rPr>
  </w:style>
  <w:style w:type="character" w:styleId="berschrift1Zchn" w:customStyle="1">
    <w:name w:val="Überschrift 1 Zchn"/>
    <w:basedOn w:val="DefaultParagraphFont"/>
    <w:uiPriority w:val="9"/>
    <w:qFormat/>
    <w:rsid w:val="00cb75de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berschrift3Zchn" w:customStyle="1">
    <w:name w:val="Überschrift 3 Zchn"/>
    <w:basedOn w:val="DefaultParagraphFont"/>
    <w:uiPriority w:val="9"/>
    <w:semiHidden/>
    <w:qFormat/>
    <w:rsid w:val="00cb75de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berschrift4Zchn" w:customStyle="1">
    <w:name w:val="Überschrift 4 Zchn"/>
    <w:basedOn w:val="DefaultParagraphFont"/>
    <w:uiPriority w:val="9"/>
    <w:semiHidden/>
    <w:qFormat/>
    <w:rsid w:val="00cb75de"/>
    <w:rPr>
      <w:rFonts w:eastAsia="" w:cs="" w:cstheme="majorBidi" w:eastAsiaTheme="majorEastAsia"/>
      <w:i/>
      <w:iCs/>
      <w:color w:themeColor="accent1" w:themeShade="bf" w:val="2F5496"/>
    </w:rPr>
  </w:style>
  <w:style w:type="character" w:styleId="berschrift5Zchn" w:customStyle="1">
    <w:name w:val="Überschrift 5 Zchn"/>
    <w:basedOn w:val="DefaultParagraphFont"/>
    <w:uiPriority w:val="9"/>
    <w:semiHidden/>
    <w:qFormat/>
    <w:rsid w:val="00cb75de"/>
    <w:rPr>
      <w:rFonts w:eastAsia="" w:cs="" w:cstheme="majorBidi" w:eastAsiaTheme="majorEastAsia"/>
      <w:color w:themeColor="accent1" w:themeShade="bf" w:val="2F5496"/>
    </w:rPr>
  </w:style>
  <w:style w:type="character" w:styleId="berschrift6Zchn" w:customStyle="1">
    <w:name w:val="Überschrift 6 Zchn"/>
    <w:basedOn w:val="DefaultParagraphFont"/>
    <w:uiPriority w:val="9"/>
    <w:semiHidden/>
    <w:qFormat/>
    <w:rsid w:val="00cb75de"/>
    <w:rPr>
      <w:rFonts w:eastAsia="" w:cs="" w:cstheme="majorBidi" w:eastAsiaTheme="majorEastAsia"/>
      <w:i/>
      <w:iCs/>
      <w:color w:themeColor="text1" w:themeTint="a6" w:val="595959"/>
    </w:rPr>
  </w:style>
  <w:style w:type="character" w:styleId="berschrift7Zchn" w:customStyle="1">
    <w:name w:val="Überschrift 7 Zchn"/>
    <w:basedOn w:val="DefaultParagraphFont"/>
    <w:uiPriority w:val="9"/>
    <w:semiHidden/>
    <w:qFormat/>
    <w:rsid w:val="00cb75de"/>
    <w:rPr>
      <w:rFonts w:eastAsia="" w:cs="" w:cstheme="majorBidi" w:eastAsiaTheme="majorEastAsia"/>
      <w:color w:themeColor="text1" w:themeTint="a6" w:val="595959"/>
    </w:rPr>
  </w:style>
  <w:style w:type="character" w:styleId="berschrift8Zchn" w:customStyle="1">
    <w:name w:val="Überschrift 8 Zchn"/>
    <w:basedOn w:val="DefaultParagraphFont"/>
    <w:uiPriority w:val="9"/>
    <w:semiHidden/>
    <w:qFormat/>
    <w:rsid w:val="00cb75de"/>
    <w:rPr>
      <w:rFonts w:eastAsia="" w:cs="" w:cstheme="majorBidi" w:eastAsiaTheme="majorEastAsia"/>
      <w:i/>
      <w:iCs/>
      <w:color w:themeColor="text1" w:themeTint="d8" w:val="272727"/>
    </w:rPr>
  </w:style>
  <w:style w:type="character" w:styleId="berschrift9Zchn" w:customStyle="1">
    <w:name w:val="Überschrift 9 Zchn"/>
    <w:basedOn w:val="DefaultParagraphFont"/>
    <w:uiPriority w:val="9"/>
    <w:semiHidden/>
    <w:qFormat/>
    <w:rsid w:val="00cb75de"/>
    <w:rPr>
      <w:rFonts w:eastAsia="" w:cs="" w:cstheme="majorBidi" w:eastAsiaTheme="majorEastAsia"/>
      <w:color w:themeColor="text1" w:themeTint="d8" w:val="272727"/>
    </w:rPr>
  </w:style>
  <w:style w:type="character" w:styleId="TitelZchn" w:customStyle="1">
    <w:name w:val="Titel Zchn"/>
    <w:basedOn w:val="DefaultParagraphFont"/>
    <w:uiPriority w:val="10"/>
    <w:qFormat/>
    <w:rsid w:val="00cb75de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UntertitelZchn" w:customStyle="1">
    <w:name w:val="Untertitel Zchn"/>
    <w:basedOn w:val="DefaultParagraphFont"/>
    <w:uiPriority w:val="11"/>
    <w:qFormat/>
    <w:rsid w:val="00cb75de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ZitatZchn" w:customStyle="1">
    <w:name w:val="Zitat Zchn"/>
    <w:basedOn w:val="DefaultParagraphFont"/>
    <w:link w:val="Quote"/>
    <w:uiPriority w:val="29"/>
    <w:qFormat/>
    <w:rsid w:val="00cb75de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cb75de"/>
    <w:rPr>
      <w:i/>
      <w:iCs/>
      <w:color w:themeColor="accent1" w:themeShade="bf" w:val="2F5496"/>
    </w:rPr>
  </w:style>
  <w:style w:type="character" w:styleId="IntensivesZitatZchn" w:customStyle="1">
    <w:name w:val="Intensives Zitat Zchn"/>
    <w:basedOn w:val="DefaultParagraphFont"/>
    <w:link w:val="IntenseQuote"/>
    <w:uiPriority w:val="30"/>
    <w:qFormat/>
    <w:rsid w:val="00cb75de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cb75de"/>
    <w:rPr>
      <w:b/>
      <w:bCs/>
      <w:smallCaps/>
      <w:color w:themeColor="accent1" w:themeShade="bf" w:val="2F5496"/>
      <w:spacing w:val="5"/>
    </w:rPr>
  </w:style>
  <w:style w:type="character" w:styleId="Strong">
    <w:name w:val="Strong"/>
    <w:basedOn w:val="DefaultParagraphFont"/>
    <w:uiPriority w:val="22"/>
    <w:qFormat/>
    <w:rsid w:val="002a31ca"/>
    <w:rPr>
      <w:b/>
      <w:bCs/>
    </w:rPr>
  </w:style>
  <w:style w:type="character" w:styleId="apple-converted-space" w:customStyle="1">
    <w:name w:val="apple-converted-space"/>
    <w:basedOn w:val="DefaultParagraphFont"/>
    <w:qFormat/>
    <w:rsid w:val="007a197b"/>
    <w:rPr/>
  </w:style>
  <w:style w:type="character" w:styleId="Emphasis">
    <w:name w:val="Emphasis"/>
    <w:basedOn w:val="DefaultParagraphFont"/>
    <w:uiPriority w:val="20"/>
    <w:qFormat/>
    <w:rsid w:val="0019538a"/>
    <w:rPr>
      <w:i/>
      <w:iCs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Carlito" w:hAnsi="Carlito" w:eastAsia="Noto Sans SC Regular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Noto Sans"/>
    </w:rPr>
  </w:style>
  <w:style w:type="paragraph" w:styleId="berschriftuser">
    <w:name w:val="Überschrift (user)"/>
    <w:basedOn w:val="Normal"/>
    <w:next w:val="BodyText"/>
    <w:qFormat/>
    <w:pPr>
      <w:keepNext w:val="true"/>
      <w:spacing w:before="240" w:after="120"/>
    </w:pPr>
    <w:rPr>
      <w:rFonts w:ascii="Carlito" w:hAnsi="Carlito" w:eastAsia="Noto Sans SC Regular" w:cs="Noto Sans"/>
      <w:sz w:val="28"/>
      <w:szCs w:val="28"/>
    </w:rPr>
  </w:style>
  <w:style w:type="paragraph" w:styleId="Verzeichnisuser">
    <w:name w:val="Verzeichnis (user)"/>
    <w:basedOn w:val="Normal"/>
    <w:qFormat/>
    <w:pPr>
      <w:suppressLineNumbers/>
    </w:pPr>
    <w:rPr>
      <w:rFonts w:cs="Noto Sans"/>
    </w:rPr>
  </w:style>
  <w:style w:type="paragraph" w:styleId="MHBAberschrift3" w:customStyle="1">
    <w:name w:val="MHBA Überschrift 3"/>
    <w:basedOn w:val="Heading2"/>
    <w:autoRedefine/>
    <w:qFormat/>
    <w:rsid w:val="004908a1"/>
    <w:pPr>
      <w:keepLines w:val="false"/>
      <w:spacing w:lineRule="auto" w:line="360" w:before="0" w:after="0"/>
    </w:pPr>
    <w:rPr>
      <w:rFonts w:ascii="Times New Roman" w:hAnsi="Times New Roman" w:eastAsia="Times New Roman" w:cs="Times New Roman"/>
      <w:b/>
      <w:bCs/>
      <w:color w:val="auto"/>
      <w:sz w:val="24"/>
      <w:szCs w:val="36"/>
    </w:rPr>
  </w:style>
  <w:style w:type="paragraph" w:styleId="MHBAberschrift2" w:customStyle="1">
    <w:name w:val="MHBA Überschrift 2"/>
    <w:basedOn w:val="Heading2"/>
    <w:autoRedefine/>
    <w:qFormat/>
    <w:rsid w:val="004908a1"/>
    <w:pPr>
      <w:keepNext w:val="false"/>
      <w:keepLines w:val="false"/>
      <w:spacing w:lineRule="auto" w:line="360" w:before="0" w:after="0"/>
      <w:contextualSpacing/>
    </w:pPr>
    <w:rPr>
      <w:rFonts w:ascii="Times New Roman" w:hAnsi="Times New Roman" w:eastAsia="Times New Roman" w:cs="Times New Roman"/>
      <w:b/>
      <w:bCs/>
      <w:color w:val="auto"/>
      <w:sz w:val="24"/>
      <w:szCs w:val="36"/>
    </w:rPr>
  </w:style>
  <w:style w:type="paragraph" w:styleId="Title">
    <w:name w:val="Title"/>
    <w:basedOn w:val="Normal"/>
    <w:next w:val="Normal"/>
    <w:link w:val="TitelZchn"/>
    <w:uiPriority w:val="10"/>
    <w:qFormat/>
    <w:rsid w:val="00cb75de"/>
    <w:pPr>
      <w:spacing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UntertitelZchn"/>
    <w:uiPriority w:val="11"/>
    <w:qFormat/>
    <w:rsid w:val="00cb75de"/>
    <w:pPr>
      <w:spacing w:before="0" w:after="160"/>
    </w:pPr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ZitatZchn"/>
    <w:uiPriority w:val="29"/>
    <w:qFormat/>
    <w:rsid w:val="00cb75de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cb75de"/>
    <w:pPr>
      <w:spacing w:before="0" w:after="0"/>
      <w:ind w:start="720"/>
      <w:contextualSpacing/>
    </w:pPr>
    <w:rPr/>
  </w:style>
  <w:style w:type="paragraph" w:styleId="IntenseQuote">
    <w:name w:val="Intense Quote"/>
    <w:basedOn w:val="Normal"/>
    <w:next w:val="Normal"/>
    <w:link w:val="IntensivesZitatZchn"/>
    <w:uiPriority w:val="30"/>
    <w:qFormat/>
    <w:rsid w:val="00cb75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2F5496"/>
    </w:rPr>
  </w:style>
  <w:style w:type="paragraph" w:styleId="NormalWeb">
    <w:name w:val="Normal (Web)"/>
    <w:basedOn w:val="Normal"/>
    <w:uiPriority w:val="99"/>
    <w:unhideWhenUsed/>
    <w:qFormat/>
    <w:rsid w:val="00cb75de"/>
    <w:pPr>
      <w:spacing w:beforeAutospacing="1" w:afterAutospacing="1"/>
    </w:pPr>
    <w:rPr/>
  </w:style>
  <w:style w:type="paragraph" w:styleId="p1" w:customStyle="1">
    <w:name w:val="p1"/>
    <w:basedOn w:val="Normal"/>
    <w:qFormat/>
    <w:rsid w:val="00cb75de"/>
    <w:pPr/>
    <w:rPr>
      <w:rFonts w:ascii="Verdana" w:hAnsi="Verdana"/>
      <w:color w:val="111B29"/>
      <w:sz w:val="27"/>
      <w:szCs w:val="27"/>
    </w:rPr>
  </w:style>
  <w:style w:type="numbering" w:styleId="KeineListeuser" w:default="1">
    <w:name w:val="Keine Liste (user)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39"/>
    <w:rsid w:val="00636c0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EinfacheTabelle4">
    <w:name w:val="Plain Table 4"/>
    <w:basedOn w:val="NormaleTabelle"/>
    <w:uiPriority w:val="44"/>
    <w:rsid w:val="00ad7c2b"/>
    <w:tblPr>
      <w:tblStyleRowBandSize w:val="1"/>
      <w:tblStyleColBandSize w:val="1"/>
    </w:tblPr>
    <w:tblStylePr w:type="firstRow">
      <w:rPr>
        <w:b/>
        <w:bCs/>
      </w:rPr>
      <w:tblPr/>
    </w:tblStylePr>
    <w:tblStylePr w:type="lastRow">
      <w:rPr>
        <w:b/>
        <w:bCs/>
      </w:rPr>
      <w:tblPr/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45"/>
    <w:rsid w:val="00ad7c2b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sz w:val="26"/>
      </w:rPr>
      <w:tblPr/>
      <w:tcPr>
        <w:tcBorders>
          <w:bottom w:val="single" w:color="7F7F7F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sz w:val="26"/>
      </w:rPr>
      <w:tblPr/>
      <w:tcPr>
        <w:tcBorders>
          <w:top w:val="single" w:color="7F7F7F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sz w:val="26"/>
      </w:rPr>
      <w:tblPr/>
      <w:tcPr>
        <w:tcBorders>
          <w:right w:val="single" w:color="7F7F7F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sz w:val="26"/>
      </w:rPr>
      <w:tblPr/>
      <w:tcPr>
        <w:tcBorders>
          <w:left w:val="single" w:color="7F7F7F" w:themeColor="tex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emithellemGitternetz">
    <w:name w:val="Grid Table Light"/>
    <w:basedOn w:val="NormaleTabelle"/>
    <w:uiPriority w:val="40"/>
    <w:rsid w:val="00ad7c2b"/>
    <w:tblPr>
      <w:tblBorders>
        <w:top w:val="single" w:color="BFBFBF" w:themeColor="background1" w:sz="4" w:space="0"/>
        <w:left w:val="single" w:color="BFBFBF" w:themeColor="background1" w:sz="4" w:space="0"/>
        <w:bottom w:val="single" w:color="BFBFBF" w:themeColor="background1" w:sz="4" w:space="0"/>
        <w:right w:val="single" w:color="BFBFBF" w:themeColor="background1" w:sz="4" w:space="0"/>
        <w:insideH w:val="single" w:color="BFBFBF" w:themeColor="background1" w:sz="4" w:space="0"/>
        <w:insideV w:val="single" w:color="BFBFBF" w:themeColor="background1" w:sz="4" w:space="0"/>
      </w:tblBorders>
    </w:tblPr>
  </w:style>
  <w:style w:type="table" w:styleId="Gitternetztabelle5dunkelAkzent3">
    <w:name w:val="Grid Table 5 Dark Accent 3"/>
    <w:basedOn w:val="NormaleTabelle"/>
    <w:uiPriority w:val="50"/>
    <w:rsid w:val="00ad7c2b"/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EDED" w:themeFill="accent3" w:themeFillTint="33"/>
    </w:tcPr>
    <w:tblStylePr w:type="firstRow">
      <w:rPr>
        <w:b/>
        <w:bCs/>
        <w:color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itternetztabelle6farbigAkzent3">
    <w:name w:val="Grid Table 6 Colorful Accent 3"/>
    <w:basedOn w:val="NormaleTabelle"/>
    <w:uiPriority w:val="51"/>
    <w:rsid w:val="00ad7c2b"/>
    <w:rPr>
      <w:color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ntabelle2">
    <w:name w:val="List Table 2"/>
    <w:basedOn w:val="NormaleTabelle"/>
    <w:uiPriority w:val="47"/>
    <w:rsid w:val="00ad7c2b"/>
    <w:tblPr>
      <w:tblStyleRowBandSize w:val="1"/>
      <w:tblStyleColBandSize w:val="1"/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  <w:tblPr/>
    </w:tblStylePr>
    <w:tblStylePr w:type="lastRow">
      <w:rPr>
        <w:b/>
        <w:bCs/>
      </w:rPr>
      <w:tblPr/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1hellAkzent3">
    <w:name w:val="List Table 1 Light Accent 3"/>
    <w:basedOn w:val="NormaleTabelle"/>
    <w:uiPriority w:val="46"/>
    <w:rsid w:val="00ad7c2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C9C9C9" w:themeColor="accent3" w:sz="4" w:space="0"/>
        </w:tcBorders>
      </w:tcPr>
    </w:tblStylePr>
    <w:tblStylePr w:type="lastRow">
      <w:rPr>
        <w:b/>
        <w:bCs/>
      </w:rPr>
      <w:tblPr/>
      <w:tcPr>
        <w:tcBorders>
          <w:top w:val="single" w:color="C9C9C9" w:themeColor="accent3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ntabelle1hellAkzent6">
    <w:name w:val="List Table 1 Light Accent 6"/>
    <w:basedOn w:val="NormaleTabelle"/>
    <w:uiPriority w:val="46"/>
    <w:rsid w:val="0008066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A8D08D" w:themeColor="accent6" w:sz="4" w:space="0"/>
        </w:tcBorders>
      </w:tcPr>
    </w:tblStylePr>
    <w:tblStylePr w:type="lastRow">
      <w:rPr>
        <w:b/>
        <w:bCs/>
      </w:rPr>
      <w:tblPr/>
      <w:tcPr>
        <w:tcBorders>
          <w:top w:val="single" w:color="A8D08D" w:themeColor="accent6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ntabelle5dunkelAkzent3">
    <w:name w:val="List Table 5 Dark Accent 3"/>
    <w:basedOn w:val="NormaleTabelle"/>
    <w:uiPriority w:val="50"/>
    <w:rsid w:val="00080666"/>
    <w:rPr>
      <w:color w:themeColor="background1"/>
    </w:rPr>
    <w:tblPr>
      <w:tblStyleRowBandSize w:val="1"/>
      <w:tblStyleColBandSize w:val="1"/>
      <w:tblBorders>
        <w:top w:val="single" w:color="A5A5A5" w:themeColor="accent3" w:sz="24" w:space="0"/>
        <w:left w:val="single" w:color="A5A5A5" w:themeColor="accent3" w:sz="24" w:space="0"/>
        <w:bottom w:val="single" w:color="A5A5A5" w:themeColor="accent3" w:sz="24" w:space="0"/>
        <w:right w:val="single" w:color="A5A5A5" w:themeColor="accent3" w:sz="24" w:space="0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7farbigAkzent3">
    <w:name w:val="List Table 7 Colorful Accent 3"/>
    <w:basedOn w:val="NormaleTabelle"/>
    <w:uiPriority w:val="52"/>
    <w:rsid w:val="00080666"/>
    <w:rPr>
      <w:color w:themeColor="accent3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sz w:val="26"/>
      </w:rPr>
      <w:tblPr/>
      <w:tcPr>
        <w:tcBorders>
          <w:bottom w:val="single" w:color="A5A5A5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sz w:val="26"/>
      </w:rPr>
      <w:tblPr/>
      <w:tcPr>
        <w:tcBorders>
          <w:top w:val="single" w:color="A5A5A5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sz w:val="26"/>
      </w:rPr>
      <w:tblPr/>
      <w:tcPr>
        <w:tcBorders>
          <w:right w:val="single" w:color="A5A5A5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sz w:val="26"/>
      </w:rPr>
      <w:tblPr/>
      <w:tcPr>
        <w:tcBorders>
          <w:left w:val="single" w:color="A5A5A5" w:themeColor="accent3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6farbigAkzent3">
    <w:name w:val="List Table 6 Colorful Accent 3"/>
    <w:basedOn w:val="NormaleTabelle"/>
    <w:uiPriority w:val="51"/>
    <w:rsid w:val="00080666"/>
    <w:rPr>
      <w:color w:themeColor="accent3" w:themeShade="bf"/>
    </w:rPr>
    <w:tblPr>
      <w:tblStyleRowBandSize w:val="1"/>
      <w:tblStyleColBandSize w:val="1"/>
      <w:tblBorders>
        <w:top w:val="single" w:color="A5A5A5" w:themeColor="accent3" w:sz="4" w:space="0"/>
        <w:bottom w:val="single" w:color="A5A5A5" w:themeColor="accent3" w:sz="4" w:space="0"/>
      </w:tblBorders>
    </w:tblPr>
    <w:tblStylePr w:type="firstRow">
      <w:rPr>
        <w:b/>
        <w:bCs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ntabelle6farbig">
    <w:name w:val="List Table 6 Colorful"/>
    <w:basedOn w:val="NormaleTabelle"/>
    <w:uiPriority w:val="51"/>
    <w:rsid w:val="00080666"/>
    <w:rPr>
      <w:color w:themeColor="text1"/>
    </w:rPr>
    <w:tblPr>
      <w:tblStyleRowBandSize w:val="1"/>
      <w:tblStyleColBandSize w:val="1"/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Application>Collabora_Office/25.04.6.1$Linux_X86_64 LibreOffice_project/1942b5e6e9a7fd36bf8aebea96351f8442131ce3</Application>
  <AppVersion>15.0000</AppVersion>
  <Pages>8</Pages>
  <Words>1484</Words>
  <Characters>8126</Characters>
  <CharactersWithSpaces>9263</CharactersWithSpaces>
  <Paragraphs>253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2025-11-08T16:37:00Z</dcterms:created>
  <dc:creator>Jens Westhoff</dc:creator>
  <dc:description/>
  <dc:language>de-DE</dc:language>
  <cp:lastModifiedBy/>
  <dcterms:modified xsi:type="dcterms:W3CDTF">2025-11-25T12:59:44Z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