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78A73FA">
      <w:pPr>
        <w:pStyle w:val="16"/>
        <w:ind w:left="1" w:right="358"/>
        <w:jc w:val="center"/>
      </w:pPr>
      <w:r>
        <w:t>Supplemental</w:t>
      </w:r>
      <w:r>
        <w:rPr>
          <w:spacing w:val="25"/>
        </w:rPr>
        <w:t xml:space="preserve"> </w:t>
      </w:r>
      <w:r>
        <w:t>Online</w:t>
      </w:r>
      <w:r>
        <w:rPr>
          <w:spacing w:val="26"/>
        </w:rPr>
        <w:t xml:space="preserve"> </w:t>
      </w:r>
      <w:r>
        <w:rPr>
          <w:spacing w:val="-2"/>
        </w:rPr>
        <w:t>Content</w:t>
      </w:r>
    </w:p>
    <w:p w14:paraId="279BBF29">
      <w:pPr>
        <w:pStyle w:val="5"/>
        <w:spacing w:before="121"/>
        <w:rPr>
          <w:rFonts w:eastAsiaTheme="minorEastAsia"/>
          <w:b/>
          <w:sz w:val="28"/>
          <w:lang w:eastAsia="zh-CN"/>
        </w:rPr>
      </w:pPr>
    </w:p>
    <w:p w14:paraId="63EB1E47">
      <w:pPr>
        <w:pStyle w:val="5"/>
        <w:spacing w:before="121"/>
        <w:jc w:val="center"/>
        <w:rPr>
          <w:rFonts w:eastAsiaTheme="minorEastAsia"/>
          <w:b/>
          <w:sz w:val="24"/>
          <w:szCs w:val="24"/>
          <w:lang w:eastAsia="zh-CN"/>
        </w:rPr>
      </w:pPr>
      <w:r>
        <w:rPr>
          <w:b/>
          <w:sz w:val="24"/>
          <w:szCs w:val="24"/>
        </w:rPr>
        <w:t>Impact of the Updated SOFA-2 Score on Sepsis Diagnosis and Prognos</w:t>
      </w:r>
      <w:r>
        <w:rPr>
          <w:rFonts w:hint="eastAsia" w:eastAsia="宋体"/>
          <w:b/>
          <w:sz w:val="24"/>
          <w:szCs w:val="24"/>
          <w:lang w:eastAsia="zh-CN"/>
        </w:rPr>
        <w:t>is</w:t>
      </w:r>
      <w:r>
        <w:rPr>
          <w:b/>
          <w:sz w:val="24"/>
          <w:szCs w:val="24"/>
        </w:rPr>
        <w:t>: A Retrospective</w:t>
      </w:r>
      <w:r>
        <w:rPr>
          <w:rFonts w:hint="eastAsia" w:eastAsiaTheme="minorEastAsia"/>
          <w:b/>
          <w:sz w:val="24"/>
          <w:szCs w:val="24"/>
          <w:lang w:eastAsia="zh-CN"/>
        </w:rPr>
        <w:t xml:space="preserve"> </w:t>
      </w:r>
      <w:r>
        <w:rPr>
          <w:b/>
          <w:sz w:val="24"/>
          <w:szCs w:val="24"/>
        </w:rPr>
        <w:t>Multicenter Cohort Study</w:t>
      </w:r>
    </w:p>
    <w:p w14:paraId="61A97CF8">
      <w:pPr>
        <w:pStyle w:val="5"/>
        <w:spacing w:before="121"/>
        <w:rPr>
          <w:b/>
          <w:sz w:val="24"/>
        </w:rPr>
      </w:pPr>
    </w:p>
    <w:p w14:paraId="6CF8136A">
      <w:pPr>
        <w:spacing w:line="312" w:lineRule="auto"/>
        <w:ind w:right="358"/>
        <w:jc w:val="center"/>
        <w:rPr>
          <w:spacing w:val="-9"/>
        </w:rPr>
      </w:pPr>
      <w:r>
        <w:t>Haibo</w:t>
      </w:r>
      <w:r>
        <w:rPr>
          <w:spacing w:val="-9"/>
        </w:rPr>
        <w:t xml:space="preserve"> </w:t>
      </w:r>
      <w:r>
        <w:t>Zhu;</w:t>
      </w:r>
      <w:r>
        <w:rPr>
          <w:spacing w:val="-9"/>
        </w:rPr>
        <w:t xml:space="preserve"> </w:t>
      </w:r>
      <w:r>
        <w:t>Peirong</w:t>
      </w:r>
      <w:r>
        <w:rPr>
          <w:spacing w:val="-9"/>
        </w:rPr>
        <w:t xml:space="preserve"> </w:t>
      </w:r>
      <w:r>
        <w:t>Li;</w:t>
      </w:r>
      <w:r>
        <w:rPr>
          <w:spacing w:val="-9"/>
        </w:rPr>
        <w:t xml:space="preserve"> </w:t>
      </w:r>
      <w:r>
        <w:rPr>
          <w:rFonts w:hint="eastAsia" w:eastAsia="宋体"/>
          <w:spacing w:val="-9"/>
          <w:lang w:eastAsia="zh-CN"/>
        </w:rPr>
        <w:t>Bing</w:t>
      </w:r>
      <w:r>
        <w:rPr>
          <w:rFonts w:eastAsia="宋体"/>
          <w:spacing w:val="-9"/>
          <w:lang w:eastAsia="zh-CN"/>
        </w:rPr>
        <w:t xml:space="preserve"> Wang; </w:t>
      </w:r>
      <w:r>
        <w:t>Hao</w:t>
      </w:r>
      <w:r>
        <w:rPr>
          <w:spacing w:val="-9"/>
        </w:rPr>
        <w:t xml:space="preserve"> </w:t>
      </w:r>
      <w:r>
        <w:t>Fu;</w:t>
      </w:r>
      <w:r>
        <w:rPr>
          <w:spacing w:val="-9"/>
        </w:rPr>
        <w:t xml:space="preserve"> </w:t>
      </w:r>
      <w:r>
        <w:t>Yehan</w:t>
      </w:r>
      <w:r>
        <w:rPr>
          <w:spacing w:val="-9"/>
        </w:rPr>
        <w:t xml:space="preserve"> </w:t>
      </w:r>
      <w:r>
        <w:t>Guo;</w:t>
      </w:r>
      <w:r>
        <w:rPr>
          <w:spacing w:val="-9"/>
        </w:rPr>
        <w:t xml:space="preserve"> </w:t>
      </w:r>
      <w:r>
        <w:t>Ziyi</w:t>
      </w:r>
      <w:r>
        <w:rPr>
          <w:spacing w:val="-9"/>
        </w:rPr>
        <w:t xml:space="preserve"> </w:t>
      </w:r>
      <w:r>
        <w:t>Han;</w:t>
      </w:r>
      <w:r>
        <w:rPr>
          <w:spacing w:val="-9"/>
        </w:rPr>
        <w:t xml:space="preserve"> </w:t>
      </w:r>
      <w:r>
        <w:t>Shuojing</w:t>
      </w:r>
      <w:r>
        <w:rPr>
          <w:spacing w:val="-9"/>
        </w:rPr>
        <w:t xml:space="preserve"> </w:t>
      </w:r>
      <w:r>
        <w:t>Huang;</w:t>
      </w:r>
      <w:r>
        <w:rPr>
          <w:spacing w:val="-9"/>
        </w:rPr>
        <w:t xml:space="preserve"> Yujie Xie; </w:t>
      </w:r>
    </w:p>
    <w:p w14:paraId="37295ED2">
      <w:pPr>
        <w:spacing w:line="312" w:lineRule="auto"/>
        <w:ind w:right="358"/>
        <w:jc w:val="center"/>
      </w:pPr>
      <w:r>
        <w:t>Jun</w:t>
      </w:r>
      <w:r>
        <w:rPr>
          <w:spacing w:val="-9"/>
        </w:rPr>
        <w:t xml:space="preserve"> </w:t>
      </w:r>
      <w:r>
        <w:t>He;</w:t>
      </w:r>
      <w:r>
        <w:rPr>
          <w:spacing w:val="-9"/>
        </w:rPr>
        <w:t xml:space="preserve"> </w:t>
      </w:r>
      <w:r>
        <w:t>Shixiang</w:t>
      </w:r>
      <w:r>
        <w:rPr>
          <w:spacing w:val="-9"/>
        </w:rPr>
        <w:t xml:space="preserve"> </w:t>
      </w:r>
      <w:r>
        <w:t>Zheng;</w:t>
      </w:r>
      <w:r>
        <w:rPr>
          <w:spacing w:val="-9"/>
        </w:rPr>
        <w:t xml:space="preserve"> </w:t>
      </w:r>
      <w:r>
        <w:t xml:space="preserve">Xiaopei </w:t>
      </w:r>
      <w:r>
        <w:rPr>
          <w:spacing w:val="-4"/>
        </w:rPr>
        <w:t>Shen</w:t>
      </w:r>
    </w:p>
    <w:p w14:paraId="05CE1F14">
      <w:pPr>
        <w:pStyle w:val="5"/>
        <w:spacing w:before="41"/>
        <w:rPr>
          <w:rFonts w:eastAsiaTheme="minorEastAsia"/>
          <w:sz w:val="22"/>
          <w:lang w:eastAsia="zh-CN"/>
        </w:rPr>
      </w:pPr>
    </w:p>
    <w:p w14:paraId="6CD42E86">
      <w:pPr>
        <w:pStyle w:val="2"/>
        <w:spacing w:before="0" w:line="480" w:lineRule="auto"/>
        <w:rPr>
          <w:rFonts w:ascii="Arial" w:hAnsi="Arial" w:cs="Arial"/>
          <w:spacing w:val="-2"/>
          <w:sz w:val="24"/>
          <w:szCs w:val="24"/>
          <w:lang w:eastAsia="zh-CN"/>
        </w:rPr>
      </w:pPr>
      <w:bookmarkStart w:id="0" w:name="_Tocz8axl2"/>
      <w:bookmarkStart w:id="1" w:name="_Tocfe2inj"/>
      <w:r>
        <w:rPr>
          <w:rFonts w:ascii="Arial" w:hAnsi="Arial" w:cs="Arial"/>
          <w:spacing w:val="-2"/>
          <w:sz w:val="24"/>
          <w:szCs w:val="24"/>
          <w:lang w:eastAsia="zh-CN"/>
        </w:rPr>
        <w:t>Contents</w:t>
      </w:r>
      <w:bookmarkEnd w:id="0"/>
      <w:bookmarkEnd w:id="1"/>
    </w:p>
    <w:p w14:paraId="31538192">
      <w:pPr>
        <w:pStyle w:val="11"/>
        <w:tabs>
          <w:tab w:val="right" w:leader="dot" w:pos="9720"/>
        </w:tabs>
      </w:pPr>
      <w:r>
        <w:fldChar w:fldCharType="begin"/>
      </w:r>
      <w:r>
        <w:instrText xml:space="preserve">TOC \u \t "biaoti,1" \z \h \tdkey smkq5i</w:instrText>
      </w:r>
      <w:r>
        <w:fldChar w:fldCharType="separate"/>
      </w:r>
      <w:r>
        <w:fldChar w:fldCharType="begin"/>
      </w:r>
      <w:r>
        <w:instrText xml:space="preserve">HYPERLINK \l "_Tocz8axl2"</w:instrText>
      </w:r>
      <w:r>
        <w:fldChar w:fldCharType="separate"/>
      </w:r>
      <w:r>
        <w:rPr>
          <w:rFonts w:ascii="Arial" w:hAnsi="Arial" w:cs="Arial"/>
        </w:rPr>
        <w:t>Contents</w:t>
      </w:r>
      <w:r>
        <w:tab/>
      </w:r>
      <w:r>
        <w:fldChar w:fldCharType="begin"/>
      </w:r>
      <w:r>
        <w:instrText xml:space="preserve">PAGEREF _Tocz8axl2 \h \tdkey hqi1c9</w:instrText>
      </w:r>
      <w:r>
        <w:fldChar w:fldCharType="separate"/>
      </w:r>
      <w:r>
        <w:t>1</w:t>
      </w:r>
      <w:r>
        <w:fldChar w:fldCharType="end"/>
      </w:r>
      <w:r>
        <w:fldChar w:fldCharType="end"/>
      </w:r>
    </w:p>
    <w:p w14:paraId="1E3A495B">
      <w:pPr>
        <w:pStyle w:val="11"/>
        <w:tabs>
          <w:tab w:val="right" w:leader="dot" w:pos="9720"/>
        </w:tabs>
      </w:pPr>
      <w:r>
        <w:fldChar w:fldCharType="begin"/>
      </w:r>
      <w:r>
        <w:instrText xml:space="preserve">HYPERLINK \l "_Tocf30wz2"</w:instrText>
      </w:r>
      <w:r>
        <w:fldChar w:fldCharType="separate"/>
      </w:r>
      <w:r>
        <w:t>eMethods</w:t>
      </w:r>
      <w:r>
        <w:tab/>
      </w:r>
      <w:r>
        <w:fldChar w:fldCharType="begin"/>
      </w:r>
      <w:r>
        <w:instrText xml:space="preserve">PAGEREF _Tocf30wz2 \h \tdkey 254ksu</w:instrText>
      </w:r>
      <w:r>
        <w:fldChar w:fldCharType="separate"/>
      </w:r>
      <w:r>
        <w:t>1</w:t>
      </w:r>
      <w:r>
        <w:fldChar w:fldCharType="end"/>
      </w:r>
      <w:r>
        <w:fldChar w:fldCharType="end"/>
      </w:r>
    </w:p>
    <w:p w14:paraId="76677985">
      <w:pPr>
        <w:pStyle w:val="11"/>
        <w:tabs>
          <w:tab w:val="right" w:leader="dot" w:pos="9720"/>
        </w:tabs>
      </w:pPr>
      <w:r>
        <w:fldChar w:fldCharType="begin"/>
      </w:r>
      <w:r>
        <w:instrText xml:space="preserve">HYPERLINK \l "_Toczvvhzq"</w:instrText>
      </w:r>
      <w:r>
        <w:fldChar w:fldCharType="separate"/>
      </w:r>
      <w:r>
        <w:t>eTable 1. SOFA-1 Scoring Criteria</w:t>
      </w:r>
      <w:r>
        <w:tab/>
      </w:r>
      <w:r>
        <w:fldChar w:fldCharType="begin"/>
      </w:r>
      <w:r>
        <w:instrText xml:space="preserve">PAGEREF _Toczvvhzq \h \tdkey jfzs04</w:instrText>
      </w:r>
      <w:r>
        <w:fldChar w:fldCharType="separate"/>
      </w:r>
      <w:r>
        <w:t>4</w:t>
      </w:r>
      <w:r>
        <w:fldChar w:fldCharType="end"/>
      </w:r>
      <w:r>
        <w:fldChar w:fldCharType="end"/>
      </w:r>
    </w:p>
    <w:p w14:paraId="4CB9C10D">
      <w:pPr>
        <w:pStyle w:val="11"/>
        <w:tabs>
          <w:tab w:val="right" w:leader="dot" w:pos="9720"/>
        </w:tabs>
      </w:pPr>
      <w:r>
        <w:fldChar w:fldCharType="begin"/>
      </w:r>
      <w:r>
        <w:instrText xml:space="preserve">HYPERLINK \l "_Tocyddqfw"</w:instrText>
      </w:r>
      <w:r>
        <w:fldChar w:fldCharType="separate"/>
      </w:r>
      <w:r>
        <w:t>eTable 2. SOFA-2 Scoring Criteria</w:t>
      </w:r>
      <w:r>
        <w:tab/>
      </w:r>
      <w:r>
        <w:fldChar w:fldCharType="begin"/>
      </w:r>
      <w:r>
        <w:instrText xml:space="preserve">PAGEREF _Tocyddqfw \h \tdkey 3tacfr</w:instrText>
      </w:r>
      <w:r>
        <w:fldChar w:fldCharType="separate"/>
      </w:r>
      <w:r>
        <w:t>5</w:t>
      </w:r>
      <w:r>
        <w:fldChar w:fldCharType="end"/>
      </w:r>
      <w:r>
        <w:fldChar w:fldCharType="end"/>
      </w:r>
    </w:p>
    <w:p w14:paraId="4E920EFB">
      <w:pPr>
        <w:pStyle w:val="11"/>
        <w:tabs>
          <w:tab w:val="right" w:leader="dot" w:pos="9720"/>
        </w:tabs>
      </w:pPr>
      <w:r>
        <w:fldChar w:fldCharType="begin"/>
      </w:r>
      <w:r>
        <w:instrText xml:space="preserve">HYPERLINK \l "_Tocxpv9ju"</w:instrText>
      </w:r>
      <w:r>
        <w:fldChar w:fldCharType="separate"/>
      </w:r>
      <w:r>
        <w:t>eTable 3. Detailed Baseline Characteristics by Diagnostic Group (MIMIC-IV)</w:t>
      </w:r>
      <w:r>
        <w:tab/>
      </w:r>
      <w:r>
        <w:fldChar w:fldCharType="begin"/>
      </w:r>
      <w:r>
        <w:instrText xml:space="preserve">PAGEREF _Tocxpv9ju \h \tdkey d9uo73</w:instrText>
      </w:r>
      <w:r>
        <w:fldChar w:fldCharType="separate"/>
      </w:r>
      <w:r>
        <w:t>7</w:t>
      </w:r>
      <w:r>
        <w:fldChar w:fldCharType="end"/>
      </w:r>
      <w:r>
        <w:fldChar w:fldCharType="end"/>
      </w:r>
    </w:p>
    <w:p w14:paraId="2A4B2197">
      <w:pPr>
        <w:pStyle w:val="11"/>
        <w:tabs>
          <w:tab w:val="right" w:leader="dot" w:pos="9720"/>
        </w:tabs>
      </w:pPr>
      <w:r>
        <w:fldChar w:fldCharType="begin"/>
      </w:r>
      <w:r>
        <w:instrText xml:space="preserve">HYPERLINK \l "_Toc361ka2"</w:instrText>
      </w:r>
      <w:r>
        <w:fldChar w:fldCharType="separate"/>
      </w:r>
      <w:r>
        <w:t>eTable 4. Detailed Baseline Characteristics by Diagnostic Group (eICU-CRD)</w:t>
      </w:r>
      <w:r>
        <w:tab/>
      </w:r>
      <w:r>
        <w:fldChar w:fldCharType="begin"/>
      </w:r>
      <w:r>
        <w:instrText xml:space="preserve">PAGEREF _Toc361ka2 \h \tdkey e172ft</w:instrText>
      </w:r>
      <w:r>
        <w:fldChar w:fldCharType="separate"/>
      </w:r>
      <w:r>
        <w:t>9</w:t>
      </w:r>
      <w:r>
        <w:fldChar w:fldCharType="end"/>
      </w:r>
      <w:r>
        <w:fldChar w:fldCharType="end"/>
      </w:r>
    </w:p>
    <w:p w14:paraId="42EEF610">
      <w:pPr>
        <w:pStyle w:val="11"/>
        <w:tabs>
          <w:tab w:val="right" w:leader="dot" w:pos="9720"/>
        </w:tabs>
      </w:pPr>
      <w:r>
        <w:fldChar w:fldCharType="begin"/>
      </w:r>
      <w:r>
        <w:instrText xml:space="preserve">HYPERLINK \l "_Tochyd43o"</w:instrText>
      </w:r>
      <w:r>
        <w:fldChar w:fldCharType="separate"/>
      </w:r>
      <w:r>
        <w:t>eTable 5. Detailed Baseline Characteristics by Diagnostic Group (AmsterdamUMCdb)</w:t>
      </w:r>
      <w:r>
        <w:tab/>
      </w:r>
      <w:r>
        <w:fldChar w:fldCharType="begin"/>
      </w:r>
      <w:r>
        <w:instrText xml:space="preserve">PAGEREF _Tochyd43o \h \tdkey ag7zmd</w:instrText>
      </w:r>
      <w:r>
        <w:fldChar w:fldCharType="separate"/>
      </w:r>
      <w:r>
        <w:t>11</w:t>
      </w:r>
      <w:r>
        <w:fldChar w:fldCharType="end"/>
      </w:r>
      <w:r>
        <w:fldChar w:fldCharType="end"/>
      </w:r>
    </w:p>
    <w:p w14:paraId="502AB955">
      <w:pPr>
        <w:pStyle w:val="11"/>
        <w:tabs>
          <w:tab w:val="right" w:leader="dot" w:pos="9720"/>
        </w:tabs>
      </w:pPr>
      <w:r>
        <w:fldChar w:fldCharType="begin"/>
      </w:r>
      <w:r>
        <w:instrText xml:space="preserve">HYPERLINK \l "_Toctgth5b"</w:instrText>
      </w:r>
      <w:r>
        <w:fldChar w:fldCharType="separate"/>
      </w:r>
      <w:r>
        <w:t>eTable 6. Clinical Severity and Organ Support Utilization Among Sepsis-Positive Patients</w:t>
      </w:r>
      <w:r>
        <w:tab/>
      </w:r>
      <w:r>
        <w:fldChar w:fldCharType="begin"/>
      </w:r>
      <w:r>
        <w:instrText xml:space="preserve">PAGEREF _Toctgth5b \h \tdkey tcqmjo</w:instrText>
      </w:r>
      <w:r>
        <w:fldChar w:fldCharType="separate"/>
      </w:r>
      <w:r>
        <w:t>13</w:t>
      </w:r>
      <w:r>
        <w:fldChar w:fldCharType="end"/>
      </w:r>
      <w:r>
        <w:fldChar w:fldCharType="end"/>
      </w:r>
    </w:p>
    <w:p w14:paraId="65CCCCB6">
      <w:pPr>
        <w:pStyle w:val="11"/>
        <w:tabs>
          <w:tab w:val="right" w:leader="dot" w:pos="9720"/>
        </w:tabs>
      </w:pPr>
      <w:r>
        <w:fldChar w:fldCharType="begin"/>
      </w:r>
      <w:r>
        <w:instrText xml:space="preserve">HYPERLINK \l "_Tocu85jwp"</w:instrText>
      </w:r>
      <w:r>
        <w:fldChar w:fldCharType="separate"/>
      </w:r>
      <w:r>
        <w:t>eTable 7. SOFA-2 Only Group: Clinical Characteristics at Sepsis Diagnosis</w:t>
      </w:r>
      <w:r>
        <w:tab/>
      </w:r>
      <w:r>
        <w:fldChar w:fldCharType="begin"/>
      </w:r>
      <w:r>
        <w:instrText xml:space="preserve">PAGEREF _Tocu85jwp \h \tdkey fhk2vb</w:instrText>
      </w:r>
      <w:r>
        <w:fldChar w:fldCharType="separate"/>
      </w:r>
      <w:r>
        <w:t>14</w:t>
      </w:r>
      <w:r>
        <w:fldChar w:fldCharType="end"/>
      </w:r>
      <w:r>
        <w:fldChar w:fldCharType="end"/>
      </w:r>
    </w:p>
    <w:p w14:paraId="697B6724">
      <w:pPr>
        <w:pStyle w:val="11"/>
        <w:tabs>
          <w:tab w:val="right" w:leader="dot" w:pos="9720"/>
        </w:tabs>
      </w:pPr>
      <w:r>
        <w:fldChar w:fldCharType="begin"/>
      </w:r>
      <w:r>
        <w:instrText xml:space="preserve">HYPERLINK \l "_Tocalxp8x"</w:instrText>
      </w:r>
      <w:r>
        <w:fldChar w:fldCharType="separate"/>
      </w:r>
      <w:r>
        <w:t>eTable 8. SOFA-1 Only Group: Clinical Characteristics at Sepsis Diagnosis</w:t>
      </w:r>
      <w:r>
        <w:tab/>
      </w:r>
      <w:r>
        <w:fldChar w:fldCharType="begin"/>
      </w:r>
      <w:r>
        <w:instrText xml:space="preserve">PAGEREF _Tocalxp8x \h \tdkey vthc2q</w:instrText>
      </w:r>
      <w:r>
        <w:fldChar w:fldCharType="separate"/>
      </w:r>
      <w:r>
        <w:t>16</w:t>
      </w:r>
      <w:r>
        <w:fldChar w:fldCharType="end"/>
      </w:r>
      <w:r>
        <w:fldChar w:fldCharType="end"/>
      </w:r>
    </w:p>
    <w:p w14:paraId="0108AB33">
      <w:pPr>
        <w:pStyle w:val="11"/>
        <w:tabs>
          <w:tab w:val="right" w:leader="dot" w:pos="9720"/>
        </w:tabs>
      </w:pPr>
      <w:r>
        <w:fldChar w:fldCharType="begin"/>
      </w:r>
      <w:r>
        <w:instrText xml:space="preserve">HYPERLINK \l "_Tocgb26xa"</w:instrText>
      </w:r>
      <w:r>
        <w:fldChar w:fldCharType="separate"/>
      </w:r>
      <w:r>
        <w:rPr>
          <w:rFonts w:hint="eastAsia"/>
        </w:rPr>
        <w:t>eTable 9. Pooled Cox Model for 28-Day Mortality Adjusted for Age, Sex, and Database</w:t>
      </w:r>
      <w:r>
        <w:tab/>
      </w:r>
      <w:r>
        <w:fldChar w:fldCharType="begin"/>
      </w:r>
      <w:r>
        <w:instrText xml:space="preserve">PAGEREF _Tocgb26xa \h \tdkey 1jy8yr</w:instrText>
      </w:r>
      <w:r>
        <w:fldChar w:fldCharType="separate"/>
      </w:r>
      <w:r>
        <w:t>18</w:t>
      </w:r>
      <w:r>
        <w:fldChar w:fldCharType="end"/>
      </w:r>
      <w:r>
        <w:fldChar w:fldCharType="end"/>
      </w:r>
    </w:p>
    <w:p w14:paraId="4BCBC9F9">
      <w:pPr>
        <w:pStyle w:val="11"/>
        <w:tabs>
          <w:tab w:val="right" w:leader="dot" w:pos="9720"/>
        </w:tabs>
      </w:pPr>
      <w:r>
        <w:fldChar w:fldCharType="begin"/>
      </w:r>
      <w:r>
        <w:instrText xml:space="preserve">HYPERLINK \l "_Toc0y3xfn"</w:instrText>
      </w:r>
      <w:r>
        <w:fldChar w:fldCharType="separate"/>
      </w:r>
      <w:r>
        <w:t>eTable 10. Proportion of Missing Data for SOFA Component Variables</w:t>
      </w:r>
      <w:r>
        <w:tab/>
      </w:r>
      <w:r>
        <w:fldChar w:fldCharType="begin"/>
      </w:r>
      <w:r>
        <w:instrText xml:space="preserve">PAGEREF _Toc0y3xfn \h \tdkey 2wpguu</w:instrText>
      </w:r>
      <w:r>
        <w:fldChar w:fldCharType="separate"/>
      </w:r>
      <w:r>
        <w:t>19</w:t>
      </w:r>
      <w:r>
        <w:fldChar w:fldCharType="end"/>
      </w:r>
      <w:r>
        <w:fldChar w:fldCharType="end"/>
      </w:r>
    </w:p>
    <w:p w14:paraId="2B2473C8">
      <w:pPr>
        <w:pStyle w:val="11"/>
        <w:tabs>
          <w:tab w:val="right" w:leader="dot" w:pos="9720"/>
        </w:tabs>
      </w:pPr>
      <w:r>
        <w:fldChar w:fldCharType="begin"/>
      </w:r>
      <w:r>
        <w:instrText xml:space="preserve">HYPERLINK \l "_Toc1cjsoo"</w:instrText>
      </w:r>
      <w:r>
        <w:fldChar w:fldCharType="separate"/>
      </w:r>
      <w:r>
        <w:t>eFigure 1. Predictive Modeling Development and Validation Framework</w:t>
      </w:r>
      <w:r>
        <w:tab/>
      </w:r>
      <w:r>
        <w:fldChar w:fldCharType="begin"/>
      </w:r>
      <w:r>
        <w:instrText xml:space="preserve">PAGEREF _Toc1cjsoo \h \tdkey z8am3d</w:instrText>
      </w:r>
      <w:r>
        <w:fldChar w:fldCharType="separate"/>
      </w:r>
      <w:r>
        <w:t>20</w:t>
      </w:r>
      <w:r>
        <w:fldChar w:fldCharType="end"/>
      </w:r>
      <w:r>
        <w:fldChar w:fldCharType="end"/>
      </w:r>
    </w:p>
    <w:p w14:paraId="4BF5D206">
      <w:pPr>
        <w:pStyle w:val="11"/>
        <w:tabs>
          <w:tab w:val="right" w:leader="dot" w:pos="9720"/>
        </w:tabs>
      </w:pPr>
      <w:r>
        <w:fldChar w:fldCharType="begin"/>
      </w:r>
      <w:r>
        <w:instrText xml:space="preserve">HYPERLINK \l "_Toc7wec2t"</w:instrText>
      </w:r>
      <w:r>
        <w:fldChar w:fldCharType="separate"/>
      </w:r>
      <w:r>
        <w:t>eFigure 2. Diagnostic Concordance and Timeliness Between SOFA-2 and SOFA-1 (MIMIC-IV)</w:t>
      </w:r>
      <w:r>
        <w:tab/>
      </w:r>
      <w:r>
        <w:fldChar w:fldCharType="begin"/>
      </w:r>
      <w:r>
        <w:instrText xml:space="preserve">PAGEREF _Toc7wec2t \h \tdkey icz68b</w:instrText>
      </w:r>
      <w:r>
        <w:fldChar w:fldCharType="separate"/>
      </w:r>
      <w:r>
        <w:t>21</w:t>
      </w:r>
      <w:r>
        <w:fldChar w:fldCharType="end"/>
      </w:r>
      <w:r>
        <w:fldChar w:fldCharType="end"/>
      </w:r>
    </w:p>
    <w:p w14:paraId="64AC5E9B">
      <w:pPr>
        <w:pStyle w:val="11"/>
        <w:tabs>
          <w:tab w:val="right" w:leader="dot" w:pos="9720"/>
        </w:tabs>
      </w:pPr>
      <w:r>
        <w:fldChar w:fldCharType="begin"/>
      </w:r>
      <w:r>
        <w:instrText xml:space="preserve">HYPERLINK \l "_Toczqsy4c"</w:instrText>
      </w:r>
      <w:r>
        <w:fldChar w:fldCharType="separate"/>
      </w:r>
      <w:r>
        <w:t>eFigure 3. Diagnostic Concordance and Timeliness Between SOFA-2 and SOFA-1 (eICU-CRD)</w:t>
      </w:r>
      <w:r>
        <w:tab/>
      </w:r>
      <w:r>
        <w:fldChar w:fldCharType="begin"/>
      </w:r>
      <w:r>
        <w:instrText xml:space="preserve">PAGEREF _Toczqsy4c \h \tdkey g5ngne</w:instrText>
      </w:r>
      <w:r>
        <w:fldChar w:fldCharType="separate"/>
      </w:r>
      <w:r>
        <w:t>22</w:t>
      </w:r>
      <w:r>
        <w:fldChar w:fldCharType="end"/>
      </w:r>
      <w:r>
        <w:fldChar w:fldCharType="end"/>
      </w:r>
    </w:p>
    <w:p w14:paraId="6B3A67F5">
      <w:pPr>
        <w:pStyle w:val="11"/>
        <w:tabs>
          <w:tab w:val="right" w:leader="dot" w:pos="9720"/>
        </w:tabs>
      </w:pPr>
      <w:r>
        <w:fldChar w:fldCharType="begin"/>
      </w:r>
      <w:r>
        <w:instrText xml:space="preserve">HYPERLINK \l "_Tocwtncmm"</w:instrText>
      </w:r>
      <w:r>
        <w:fldChar w:fldCharType="separate"/>
      </w:r>
      <w:r>
        <w:t>eFigure 4. Diagnostic Concordance and Timeliness Between SOFA-2 and SOFA-1 (AmsterdamUMCdb)</w:t>
      </w:r>
      <w:r>
        <w:tab/>
      </w:r>
      <w:r>
        <w:fldChar w:fldCharType="begin"/>
      </w:r>
      <w:r>
        <w:instrText xml:space="preserve">PAGEREF _Tocwtncmm \h \tdkey 6dtmgb</w:instrText>
      </w:r>
      <w:r>
        <w:fldChar w:fldCharType="separate"/>
      </w:r>
      <w:r>
        <w:t>23</w:t>
      </w:r>
      <w:r>
        <w:fldChar w:fldCharType="end"/>
      </w:r>
      <w:r>
        <w:fldChar w:fldCharType="end"/>
      </w:r>
    </w:p>
    <w:p w14:paraId="70CB58D5">
      <w:pPr>
        <w:pStyle w:val="11"/>
        <w:tabs>
          <w:tab w:val="right" w:leader="dot" w:pos="9720"/>
        </w:tabs>
      </w:pPr>
      <w:r>
        <w:fldChar w:fldCharType="begin"/>
      </w:r>
      <w:r>
        <w:instrText xml:space="preserve">HYPERLINK \l "_Toc30wkyz"</w:instrText>
      </w:r>
      <w:r>
        <w:fldChar w:fldCharType="separate"/>
      </w:r>
      <w:r>
        <w:t>eFigure 5. Clinical Outcomes by Diagnostic Concordance Group (MIMIC-IV)</w:t>
      </w:r>
      <w:r>
        <w:tab/>
      </w:r>
      <w:r>
        <w:fldChar w:fldCharType="begin"/>
      </w:r>
      <w:r>
        <w:instrText xml:space="preserve">PAGEREF _Toc30wkyz \h \tdkey wmva4f</w:instrText>
      </w:r>
      <w:r>
        <w:fldChar w:fldCharType="separate"/>
      </w:r>
      <w:r>
        <w:t>24</w:t>
      </w:r>
      <w:r>
        <w:fldChar w:fldCharType="end"/>
      </w:r>
      <w:r>
        <w:fldChar w:fldCharType="end"/>
      </w:r>
    </w:p>
    <w:p w14:paraId="7006EE22">
      <w:pPr>
        <w:pStyle w:val="11"/>
        <w:tabs>
          <w:tab w:val="right" w:leader="dot" w:pos="9720"/>
        </w:tabs>
      </w:pPr>
      <w:r>
        <w:fldChar w:fldCharType="begin"/>
      </w:r>
      <w:r>
        <w:instrText xml:space="preserve">HYPERLINK \l "_Tocob33mz"</w:instrText>
      </w:r>
      <w:r>
        <w:fldChar w:fldCharType="separate"/>
      </w:r>
      <w:r>
        <w:t>eFigure 6. Clinical Outcomes by Diagnostic Concordance Group (eICU-CRD)</w:t>
      </w:r>
      <w:r>
        <w:tab/>
      </w:r>
      <w:r>
        <w:fldChar w:fldCharType="begin"/>
      </w:r>
      <w:r>
        <w:instrText xml:space="preserve">PAGEREF _Tocob33mz \h \tdkey y71q7a</w:instrText>
      </w:r>
      <w:r>
        <w:fldChar w:fldCharType="separate"/>
      </w:r>
      <w:r>
        <w:t>25</w:t>
      </w:r>
      <w:r>
        <w:fldChar w:fldCharType="end"/>
      </w:r>
      <w:r>
        <w:fldChar w:fldCharType="end"/>
      </w:r>
    </w:p>
    <w:p w14:paraId="757BB6F3">
      <w:pPr>
        <w:pStyle w:val="11"/>
        <w:tabs>
          <w:tab w:val="right" w:leader="dot" w:pos="9720"/>
        </w:tabs>
      </w:pPr>
      <w:r>
        <w:fldChar w:fldCharType="begin"/>
      </w:r>
      <w:r>
        <w:instrText xml:space="preserve">HYPERLINK \l "_Tocz6y3wq"</w:instrText>
      </w:r>
      <w:r>
        <w:fldChar w:fldCharType="separate"/>
      </w:r>
      <w:r>
        <w:t>eFigure 7. Clinical Outcomes by Diagnostic Concordance Group (AmsterdamUMCdb)</w:t>
      </w:r>
      <w:r>
        <w:tab/>
      </w:r>
      <w:r>
        <w:fldChar w:fldCharType="begin"/>
      </w:r>
      <w:r>
        <w:instrText xml:space="preserve">PAGEREF _Tocz6y3wq \h \tdkey wek13a</w:instrText>
      </w:r>
      <w:r>
        <w:fldChar w:fldCharType="separate"/>
      </w:r>
      <w:r>
        <w:t>26</w:t>
      </w:r>
      <w:r>
        <w:fldChar w:fldCharType="end"/>
      </w:r>
      <w:r>
        <w:fldChar w:fldCharType="end"/>
      </w:r>
    </w:p>
    <w:p w14:paraId="1DE0282C">
      <w:pPr>
        <w:pStyle w:val="11"/>
        <w:tabs>
          <w:tab w:val="right" w:leader="dot" w:pos="9720"/>
        </w:tabs>
      </w:pPr>
      <w:r>
        <w:fldChar w:fldCharType="begin"/>
      </w:r>
      <w:r>
        <w:instrText xml:space="preserve">HYPERLINK \l "_Toc7o4rm3"</w:instrText>
      </w:r>
      <w:r>
        <w:fldChar w:fldCharType="separate"/>
      </w:r>
      <w:r>
        <w:t>eFigure 8. Cox Regression Forest Plot (MIMIC-IV)</w:t>
      </w:r>
      <w:r>
        <w:tab/>
      </w:r>
      <w:r>
        <w:fldChar w:fldCharType="begin"/>
      </w:r>
      <w:r>
        <w:instrText xml:space="preserve">PAGEREF _Toc7o4rm3 \h \tdkey s23x53</w:instrText>
      </w:r>
      <w:r>
        <w:fldChar w:fldCharType="separate"/>
      </w:r>
      <w:r>
        <w:t>27</w:t>
      </w:r>
      <w:r>
        <w:fldChar w:fldCharType="end"/>
      </w:r>
      <w:r>
        <w:fldChar w:fldCharType="end"/>
      </w:r>
    </w:p>
    <w:p w14:paraId="5CB5EF9B">
      <w:pPr>
        <w:pStyle w:val="11"/>
        <w:tabs>
          <w:tab w:val="right" w:leader="dot" w:pos="9720"/>
        </w:tabs>
      </w:pPr>
      <w:r>
        <w:fldChar w:fldCharType="begin"/>
      </w:r>
      <w:r>
        <w:instrText xml:space="preserve">HYPERLINK \l "_Toc2gjhho"</w:instrText>
      </w:r>
      <w:r>
        <w:fldChar w:fldCharType="separate"/>
      </w:r>
      <w:r>
        <w:t>eFigure 9. Cox Regression Forest Plot (eICU-CRD)</w:t>
      </w:r>
      <w:r>
        <w:tab/>
      </w:r>
      <w:r>
        <w:fldChar w:fldCharType="begin"/>
      </w:r>
      <w:r>
        <w:instrText xml:space="preserve">PAGEREF _Toc2gjhho \h \tdkey ip599f</w:instrText>
      </w:r>
      <w:r>
        <w:fldChar w:fldCharType="separate"/>
      </w:r>
      <w:r>
        <w:t>28</w:t>
      </w:r>
      <w:r>
        <w:fldChar w:fldCharType="end"/>
      </w:r>
      <w:r>
        <w:fldChar w:fldCharType="end"/>
      </w:r>
    </w:p>
    <w:p w14:paraId="7B749EC5">
      <w:pPr>
        <w:pStyle w:val="11"/>
        <w:tabs>
          <w:tab w:val="right" w:leader="dot" w:pos="9720"/>
        </w:tabs>
      </w:pPr>
      <w:r>
        <w:fldChar w:fldCharType="begin"/>
      </w:r>
      <w:r>
        <w:instrText xml:space="preserve">HYPERLINK \l "_Tocs43q9e"</w:instrText>
      </w:r>
      <w:r>
        <w:fldChar w:fldCharType="separate"/>
      </w:r>
      <w:r>
        <w:t>eFigure 10. Cox Regression Forest Plot (AmsterdamUMCdb)</w:t>
      </w:r>
      <w:r>
        <w:tab/>
      </w:r>
      <w:r>
        <w:fldChar w:fldCharType="begin"/>
      </w:r>
      <w:r>
        <w:instrText xml:space="preserve">PAGEREF _Tocs43q9e \h \tdkey sczqxr</w:instrText>
      </w:r>
      <w:r>
        <w:fldChar w:fldCharType="separate"/>
      </w:r>
      <w:r>
        <w:t>29</w:t>
      </w:r>
      <w:r>
        <w:fldChar w:fldCharType="end"/>
      </w:r>
      <w:r>
        <w:fldChar w:fldCharType="end"/>
      </w:r>
    </w:p>
    <w:p w14:paraId="4FEF9DE0">
      <w:pPr>
        <w:pStyle w:val="11"/>
        <w:tabs>
          <w:tab w:val="right" w:leader="dot" w:pos="9720"/>
        </w:tabs>
      </w:pPr>
      <w:r>
        <w:fldChar w:fldCharType="begin"/>
      </w:r>
      <w:r>
        <w:instrText xml:space="preserve">HYPERLINK \l "_Tocgv1nvu"</w:instrText>
      </w:r>
      <w:r>
        <w:fldChar w:fldCharType="separate"/>
      </w:r>
      <w:r>
        <w:t>eFigure 11. Dumbbell Plot of SOFA-1 vs SOFA-2 Organ Score Differences</w:t>
      </w:r>
      <w:r>
        <w:tab/>
      </w:r>
      <w:r>
        <w:fldChar w:fldCharType="begin"/>
      </w:r>
      <w:r>
        <w:instrText xml:space="preserve">PAGEREF _Tocgv1nvu \h \tdkey l9kipq</w:instrText>
      </w:r>
      <w:r>
        <w:fldChar w:fldCharType="separate"/>
      </w:r>
      <w:r>
        <w:t>30</w:t>
      </w:r>
      <w:r>
        <w:fldChar w:fldCharType="end"/>
      </w:r>
      <w:r>
        <w:fldChar w:fldCharType="end"/>
      </w:r>
    </w:p>
    <w:p w14:paraId="4A85D165">
      <w:pPr>
        <w:pStyle w:val="11"/>
        <w:tabs>
          <w:tab w:val="right" w:leader="dot" w:pos="9720"/>
        </w:tabs>
      </w:pPr>
      <w:r>
        <w:fldChar w:fldCharType="begin"/>
      </w:r>
      <w:r>
        <w:instrText xml:space="preserve">HYPERLINK \l "_Tocl053oy"</w:instrText>
      </w:r>
      <w:r>
        <w:fldChar w:fldCharType="separate"/>
      </w:r>
      <w:r>
        <w:t>eFigure 12. Dynamic SOFA Trajectories (MIMIC-IV)</w:t>
      </w:r>
      <w:r>
        <w:tab/>
      </w:r>
      <w:r>
        <w:fldChar w:fldCharType="begin"/>
      </w:r>
      <w:r>
        <w:instrText xml:space="preserve">PAGEREF _Tocl053oy \h \tdkey 6h34l2</w:instrText>
      </w:r>
      <w:r>
        <w:fldChar w:fldCharType="separate"/>
      </w:r>
      <w:r>
        <w:t>31</w:t>
      </w:r>
      <w:r>
        <w:fldChar w:fldCharType="end"/>
      </w:r>
      <w:r>
        <w:fldChar w:fldCharType="end"/>
      </w:r>
    </w:p>
    <w:p w14:paraId="24D948DF">
      <w:pPr>
        <w:pStyle w:val="11"/>
        <w:tabs>
          <w:tab w:val="right" w:leader="dot" w:pos="9720"/>
        </w:tabs>
      </w:pPr>
      <w:r>
        <w:fldChar w:fldCharType="begin"/>
      </w:r>
      <w:r>
        <w:instrText xml:space="preserve">HYPERLINK \l "_Tocscq25l"</w:instrText>
      </w:r>
      <w:r>
        <w:fldChar w:fldCharType="separate"/>
      </w:r>
      <w:r>
        <w:t>eFigure 13. Dynamic SOFA Trajectories (eICU-CRD)</w:t>
      </w:r>
      <w:r>
        <w:tab/>
      </w:r>
      <w:r>
        <w:fldChar w:fldCharType="begin"/>
      </w:r>
      <w:r>
        <w:instrText xml:space="preserve">PAGEREF _Tocscq25l \h \tdkey kwobma</w:instrText>
      </w:r>
      <w:r>
        <w:fldChar w:fldCharType="separate"/>
      </w:r>
      <w:r>
        <w:t>32</w:t>
      </w:r>
      <w:r>
        <w:fldChar w:fldCharType="end"/>
      </w:r>
      <w:r>
        <w:fldChar w:fldCharType="end"/>
      </w:r>
    </w:p>
    <w:p w14:paraId="24621B44">
      <w:pPr>
        <w:pStyle w:val="11"/>
        <w:tabs>
          <w:tab w:val="right" w:leader="dot" w:pos="9720"/>
        </w:tabs>
      </w:pPr>
      <w:r>
        <w:fldChar w:fldCharType="begin"/>
      </w:r>
      <w:r>
        <w:instrText xml:space="preserve">HYPERLINK \l "_Tocdz1w6t"</w:instrText>
      </w:r>
      <w:r>
        <w:fldChar w:fldCharType="separate"/>
      </w:r>
      <w:r>
        <w:t>eFigure 14. Dynamic SOFA Trajectories (AmsterdamUMCdb)</w:t>
      </w:r>
      <w:r>
        <w:tab/>
      </w:r>
      <w:r>
        <w:fldChar w:fldCharType="begin"/>
      </w:r>
      <w:r>
        <w:instrText xml:space="preserve">PAGEREF _Tocdz1w6t \h \tdkey bqmmy8</w:instrText>
      </w:r>
      <w:r>
        <w:fldChar w:fldCharType="separate"/>
      </w:r>
      <w:r>
        <w:t>33</w:t>
      </w:r>
      <w:r>
        <w:fldChar w:fldCharType="end"/>
      </w:r>
      <w:r>
        <w:fldChar w:fldCharType="end"/>
      </w:r>
    </w:p>
    <w:p w14:paraId="2A1953D4">
      <w:pPr>
        <w:pStyle w:val="11"/>
        <w:tabs>
          <w:tab w:val="right" w:leader="dot" w:pos="9720"/>
        </w:tabs>
      </w:pPr>
      <w:r>
        <w:fldChar w:fldCharType="begin"/>
      </w:r>
      <w:r>
        <w:instrText xml:space="preserve">HYPERLINK \l "_Toca20kau"</w:instrText>
      </w:r>
      <w:r>
        <w:fldChar w:fldCharType="separate"/>
      </w:r>
      <w:r>
        <w:t>eFigure 15. Machine Learning Model Comparison (MIMIC-IV)</w:t>
      </w:r>
      <w:r>
        <w:tab/>
      </w:r>
      <w:r>
        <w:fldChar w:fldCharType="begin"/>
      </w:r>
      <w:r>
        <w:instrText xml:space="preserve">PAGEREF _Toca20kau \h \tdkey dsahb1</w:instrText>
      </w:r>
      <w:r>
        <w:fldChar w:fldCharType="separate"/>
      </w:r>
      <w:r>
        <w:t>34</w:t>
      </w:r>
      <w:r>
        <w:fldChar w:fldCharType="end"/>
      </w:r>
      <w:r>
        <w:fldChar w:fldCharType="end"/>
      </w:r>
    </w:p>
    <w:p w14:paraId="353335D2">
      <w:pPr>
        <w:pStyle w:val="11"/>
        <w:tabs>
          <w:tab w:val="right" w:leader="dot" w:pos="9720"/>
        </w:tabs>
      </w:pPr>
      <w:r>
        <w:fldChar w:fldCharType="begin"/>
      </w:r>
      <w:r>
        <w:instrText xml:space="preserve">HYPERLINK \l "_Tocj3z1pq"</w:instrText>
      </w:r>
      <w:r>
        <w:fldChar w:fldCharType="separate"/>
      </w:r>
      <w:r>
        <w:t>eFigure 16. Machine Learning Model Comparison (eICU-CRD)</w:t>
      </w:r>
      <w:r>
        <w:tab/>
      </w:r>
      <w:r>
        <w:fldChar w:fldCharType="begin"/>
      </w:r>
      <w:r>
        <w:instrText xml:space="preserve">PAGEREF _Tocj3z1pq \h \tdkey 60yumk</w:instrText>
      </w:r>
      <w:r>
        <w:fldChar w:fldCharType="separate"/>
      </w:r>
      <w:r>
        <w:t>35</w:t>
      </w:r>
      <w:r>
        <w:fldChar w:fldCharType="end"/>
      </w:r>
      <w:r>
        <w:fldChar w:fldCharType="end"/>
      </w:r>
    </w:p>
    <w:p w14:paraId="226F8D1A">
      <w:pPr>
        <w:pStyle w:val="11"/>
        <w:tabs>
          <w:tab w:val="right" w:leader="dot" w:pos="9720"/>
        </w:tabs>
      </w:pPr>
      <w:r>
        <w:fldChar w:fldCharType="begin"/>
      </w:r>
      <w:r>
        <w:instrText xml:space="preserve">HYPERLINK \l "_Toc4vn1kn"</w:instrText>
      </w:r>
      <w:r>
        <w:fldChar w:fldCharType="separate"/>
      </w:r>
      <w:r>
        <w:rPr>
          <w:rFonts w:hint="eastAsia"/>
        </w:rPr>
        <w:t>eFigure 17. Machine Learning Model Comparison (AmsterdamUMCdb)</w:t>
      </w:r>
      <w:r>
        <w:tab/>
      </w:r>
      <w:r>
        <w:fldChar w:fldCharType="begin"/>
      </w:r>
      <w:r>
        <w:instrText xml:space="preserve">PAGEREF _Toc4vn1kn \h \tdkey 10lcp9</w:instrText>
      </w:r>
      <w:r>
        <w:fldChar w:fldCharType="separate"/>
      </w:r>
      <w:r>
        <w:t>36</w:t>
      </w:r>
      <w:r>
        <w:fldChar w:fldCharType="end"/>
      </w:r>
      <w:r>
        <w:fldChar w:fldCharType="end"/>
      </w:r>
    </w:p>
    <w:p w14:paraId="4F7B252B">
      <w:pPr>
        <w:pStyle w:val="11"/>
        <w:tabs>
          <w:tab w:val="right" w:leader="dot" w:pos="9720"/>
        </w:tabs>
      </w:pPr>
      <w:r>
        <w:fldChar w:fldCharType="begin"/>
      </w:r>
      <w:r>
        <w:instrText xml:space="preserve">HYPERLINK \l "_Tocojx5n6"</w:instrText>
      </w:r>
      <w:r>
        <w:fldChar w:fldCharType="separate"/>
      </w:r>
      <w:r>
        <w:rPr>
          <w:rFonts w:eastAsiaTheme="minorEastAsia"/>
        </w:rPr>
        <w:t>eFigure 18. SHAP Summary Plot for SOFA-1 Features</w:t>
      </w:r>
      <w:r>
        <w:tab/>
      </w:r>
      <w:r>
        <w:fldChar w:fldCharType="begin"/>
      </w:r>
      <w:r>
        <w:instrText xml:space="preserve">PAGEREF _Tocojx5n6 \h \tdkey cvyv2h</w:instrText>
      </w:r>
      <w:r>
        <w:fldChar w:fldCharType="separate"/>
      </w:r>
      <w:r>
        <w:t>36</w:t>
      </w:r>
      <w:r>
        <w:fldChar w:fldCharType="end"/>
      </w:r>
      <w:r>
        <w:fldChar w:fldCharType="end"/>
      </w:r>
    </w:p>
    <w:p w14:paraId="664E1358">
      <w:pPr>
        <w:pStyle w:val="11"/>
        <w:tabs>
          <w:tab w:val="right" w:leader="dot" w:pos="9720"/>
        </w:tabs>
      </w:pPr>
      <w:r>
        <w:fldChar w:fldCharType="begin"/>
      </w:r>
      <w:r>
        <w:instrText xml:space="preserve">HYPERLINK \l "_Tocebk433"</w:instrText>
      </w:r>
      <w:r>
        <w:fldChar w:fldCharType="separate"/>
      </w:r>
      <w:r>
        <w:rPr>
          <w:rFonts w:hint="eastAsia"/>
        </w:rPr>
        <w:t>eFigure 19. Overlap Between Infection and Sepsis Definitions in MIMIC-IV</w:t>
      </w:r>
      <w:r>
        <w:tab/>
      </w:r>
      <w:r>
        <w:fldChar w:fldCharType="begin"/>
      </w:r>
      <w:r>
        <w:instrText xml:space="preserve">PAGEREF _Tocebk433 \h \tdkey gbvkyf</w:instrText>
      </w:r>
      <w:r>
        <w:fldChar w:fldCharType="separate"/>
      </w:r>
      <w:r>
        <w:t>38</w:t>
      </w:r>
      <w:r>
        <w:fldChar w:fldCharType="end"/>
      </w:r>
      <w:r>
        <w:fldChar w:fldCharType="end"/>
      </w:r>
    </w:p>
    <w:p w14:paraId="7963516C">
      <w:pPr>
        <w:pStyle w:val="11"/>
        <w:tabs>
          <w:tab w:val="right" w:leader="dot" w:pos="9720"/>
        </w:tabs>
      </w:pPr>
      <w:r>
        <w:fldChar w:fldCharType="begin"/>
      </w:r>
      <w:r>
        <w:instrText xml:space="preserve">HYPERLINK \l "_Tock93hwu"</w:instrText>
      </w:r>
      <w:r>
        <w:fldChar w:fldCharType="separate"/>
      </w:r>
      <w:r>
        <w:rPr>
          <w:rFonts w:hint="eastAsia"/>
        </w:rPr>
        <w:t>eFigure 20. Sensitivity Analysis Comparing Mixed-Definition and Culture-Based Suspected Infection Definitions</w:t>
      </w:r>
      <w:r>
        <w:tab/>
      </w:r>
      <w:r>
        <w:fldChar w:fldCharType="begin"/>
      </w:r>
      <w:r>
        <w:instrText xml:space="preserve">PAGEREF _Tock93hwu \h \tdkey to8vta</w:instrText>
      </w:r>
      <w:r>
        <w:fldChar w:fldCharType="separate"/>
      </w:r>
      <w:r>
        <w:t>39</w:t>
      </w:r>
      <w:r>
        <w:fldChar w:fldCharType="end"/>
      </w:r>
      <w:r>
        <w:fldChar w:fldCharType="end"/>
      </w:r>
    </w:p>
    <w:p w14:paraId="2C943CAA">
      <w:pPr>
        <w:pStyle w:val="11"/>
        <w:tabs>
          <w:tab w:val="right" w:leader="dot" w:pos="9720"/>
        </w:tabs>
      </w:pPr>
      <w:r>
        <w:fldChar w:fldCharType="begin"/>
      </w:r>
      <w:r>
        <w:instrText xml:space="preserve">HYPERLINK \l "_Toc0nwcrg"</w:instrText>
      </w:r>
      <w:r>
        <w:fldChar w:fldCharType="separate"/>
      </w:r>
      <w:r>
        <w:rPr>
          <w:rFonts w:hint="eastAsia"/>
        </w:rPr>
        <w:t>References</w:t>
      </w:r>
      <w:r>
        <w:tab/>
      </w:r>
      <w:r>
        <w:fldChar w:fldCharType="begin"/>
      </w:r>
      <w:r>
        <w:instrText xml:space="preserve">PAGEREF _Toc0nwcrg \h \tdkey 7l70ta</w:instrText>
      </w:r>
      <w:r>
        <w:fldChar w:fldCharType="separate"/>
      </w:r>
      <w:r>
        <w:t>40</w:t>
      </w:r>
      <w:r>
        <w:fldChar w:fldCharType="end"/>
      </w:r>
      <w:r>
        <w:fldChar w:fldCharType="end"/>
      </w:r>
    </w:p>
    <w:p w14:paraId="1DB159B8">
      <w:pPr>
        <w:rPr>
          <w:lang w:eastAsia="zh-CN"/>
        </w:rPr>
      </w:pPr>
      <w:r>
        <w:fldChar w:fldCharType="end"/>
      </w:r>
    </w:p>
    <w:p w14:paraId="43C4A25C">
      <w:pPr>
        <w:pStyle w:val="5"/>
        <w:spacing w:before="169"/>
        <w:rPr>
          <w:rFonts w:eastAsiaTheme="minorEastAsia"/>
          <w:sz w:val="20"/>
          <w:lang w:eastAsia="zh-CN"/>
        </w:rPr>
      </w:pPr>
      <w:r>
        <w:rPr>
          <w:sz w:val="20"/>
        </w:rPr>
        <mc:AlternateContent>
          <mc:Choice Requires="wps">
            <w:drawing>
              <wp:anchor distT="0" distB="0" distL="0" distR="0" simplePos="0" relativeHeight="251659264" behindDoc="1" locked="0" layoutInCell="1" allowOverlap="1">
                <wp:simplePos x="0" y="0"/>
                <wp:positionH relativeFrom="page">
                  <wp:posOffset>914400</wp:posOffset>
                </wp:positionH>
                <wp:positionV relativeFrom="paragraph">
                  <wp:posOffset>268605</wp:posOffset>
                </wp:positionV>
                <wp:extent cx="5943600" cy="1270"/>
                <wp:effectExtent l="0" t="0" r="0" b="0"/>
                <wp:wrapTopAndBottom/>
                <wp:docPr id="2" name="Graphic 2"/>
                <wp:cNvGraphicFramePr/>
                <a:graphic xmlns:a="http://schemas.openxmlformats.org/drawingml/2006/main">
                  <a:graphicData uri="http://schemas.microsoft.com/office/word/2010/wordprocessingShape">
                    <wps:wsp>
                      <wps:cNvSpPr/>
                      <wps:spPr>
                        <a:xfrm>
                          <a:off x="0" y="0"/>
                          <a:ext cx="5943600" cy="1270"/>
                        </a:xfrm>
                        <a:custGeom>
                          <a:avLst/>
                          <a:gdLst/>
                          <a:ahLst/>
                          <a:cxnLst/>
                          <a:rect l="l" t="t" r="r" b="b"/>
                          <a:pathLst>
                            <a:path w="5943600">
                              <a:moveTo>
                                <a:pt x="0" y="0"/>
                              </a:moveTo>
                              <a:lnTo>
                                <a:pt x="5943600" y="0"/>
                              </a:lnTo>
                            </a:path>
                          </a:pathLst>
                        </a:custGeom>
                        <a:ln w="6324">
                          <a:solidFill>
                            <a:srgbClr val="000000"/>
                          </a:solidFill>
                          <a:prstDash val="solid"/>
                        </a:ln>
                      </wps:spPr>
                      <wps:bodyPr wrap="square" lIns="0" tIns="0" rIns="0" bIns="0" rtlCol="0">
                        <a:noAutofit/>
                      </wps:bodyPr>
                    </wps:wsp>
                  </a:graphicData>
                </a:graphic>
              </wp:anchor>
            </w:drawing>
          </mc:Choice>
          <mc:Fallback>
            <w:pict>
              <v:shape id="Graphic 2" o:spid="_x0000_s1026" o:spt="100" style="position:absolute;left:0pt;margin-left:72pt;margin-top:21.15pt;height:0.1pt;width:468pt;mso-position-horizontal-relative:page;mso-wrap-distance-bottom:0pt;mso-wrap-distance-top:0pt;z-index:-251657216;mso-width-relative:page;mso-height-relative:page;" filled="f" stroked="t" coordsize="5943600,1" o:gfxdata="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B7HcnO1gAAAAoBAAAPAAAAAAAAAAEA&#10;IAAAACIAAABkcnMvZG93bnJldi54bWxQSwECFAAUAAAACACHTuJAUB3xURECAAB6BAAADgAAAAAA&#10;AAABACAAAAAlAQAAZHJzL2Uyb0RvYy54bWxQSwUGAAAAAAYABgBZAQAAqAUAAAAA&#10;" path="m0,0l5943600,0e">
                <v:fill on="f" focussize="0,0"/>
                <v:stroke weight="0.497952755905512pt" color="#000000" joinstyle="round"/>
                <v:imagedata o:title=""/>
                <o:lock v:ext="edit" aspectratio="f"/>
                <v:textbox inset="0mm,0mm,0mm,0mm"/>
                <w10:wrap type="topAndBottom"/>
              </v:shape>
            </w:pict>
          </mc:Fallback>
        </mc:AlternateContent>
      </w:r>
    </w:p>
    <w:p w14:paraId="232AC8CC">
      <w:pPr>
        <w:spacing w:line="312" w:lineRule="auto"/>
        <w:ind w:right="6"/>
        <w:rPr>
          <w:i/>
          <w:sz w:val="20"/>
          <w:szCs w:val="20"/>
        </w:rPr>
      </w:pPr>
      <w:r>
        <w:rPr>
          <w:i/>
          <w:sz w:val="20"/>
          <w:szCs w:val="20"/>
        </w:rPr>
        <w:t>This</w:t>
      </w:r>
      <w:r>
        <w:rPr>
          <w:i/>
          <w:spacing w:val="-4"/>
          <w:sz w:val="20"/>
          <w:szCs w:val="20"/>
        </w:rPr>
        <w:t xml:space="preserve"> </w:t>
      </w:r>
      <w:r>
        <w:rPr>
          <w:i/>
          <w:sz w:val="20"/>
          <w:szCs w:val="20"/>
        </w:rPr>
        <w:t>supplemental</w:t>
      </w:r>
      <w:r>
        <w:rPr>
          <w:i/>
          <w:spacing w:val="-4"/>
          <w:sz w:val="20"/>
          <w:szCs w:val="20"/>
        </w:rPr>
        <w:t xml:space="preserve"> </w:t>
      </w:r>
      <w:r>
        <w:rPr>
          <w:i/>
          <w:sz w:val="20"/>
          <w:szCs w:val="20"/>
        </w:rPr>
        <w:t>material</w:t>
      </w:r>
      <w:r>
        <w:rPr>
          <w:i/>
          <w:spacing w:val="-4"/>
          <w:sz w:val="20"/>
          <w:szCs w:val="20"/>
        </w:rPr>
        <w:t xml:space="preserve"> </w:t>
      </w:r>
      <w:r>
        <w:rPr>
          <w:i/>
          <w:sz w:val="20"/>
          <w:szCs w:val="20"/>
        </w:rPr>
        <w:t>has</w:t>
      </w:r>
      <w:r>
        <w:rPr>
          <w:i/>
          <w:spacing w:val="-4"/>
          <w:sz w:val="20"/>
          <w:szCs w:val="20"/>
        </w:rPr>
        <w:t xml:space="preserve"> </w:t>
      </w:r>
      <w:r>
        <w:rPr>
          <w:i/>
          <w:sz w:val="20"/>
          <w:szCs w:val="20"/>
        </w:rPr>
        <w:t>been</w:t>
      </w:r>
      <w:r>
        <w:rPr>
          <w:i/>
          <w:spacing w:val="-4"/>
          <w:sz w:val="20"/>
          <w:szCs w:val="20"/>
        </w:rPr>
        <w:t xml:space="preserve"> </w:t>
      </w:r>
      <w:r>
        <w:rPr>
          <w:i/>
          <w:sz w:val="20"/>
          <w:szCs w:val="20"/>
        </w:rPr>
        <w:t>provided</w:t>
      </w:r>
      <w:r>
        <w:rPr>
          <w:i/>
          <w:spacing w:val="-4"/>
          <w:sz w:val="20"/>
          <w:szCs w:val="20"/>
        </w:rPr>
        <w:t xml:space="preserve"> </w:t>
      </w:r>
      <w:r>
        <w:rPr>
          <w:i/>
          <w:sz w:val="20"/>
          <w:szCs w:val="20"/>
        </w:rPr>
        <w:t>by</w:t>
      </w:r>
      <w:r>
        <w:rPr>
          <w:i/>
          <w:spacing w:val="-4"/>
          <w:sz w:val="20"/>
          <w:szCs w:val="20"/>
        </w:rPr>
        <w:t xml:space="preserve"> </w:t>
      </w:r>
      <w:r>
        <w:rPr>
          <w:i/>
          <w:sz w:val="20"/>
          <w:szCs w:val="20"/>
        </w:rPr>
        <w:t>the</w:t>
      </w:r>
      <w:r>
        <w:rPr>
          <w:i/>
          <w:spacing w:val="-4"/>
          <w:sz w:val="20"/>
          <w:szCs w:val="20"/>
        </w:rPr>
        <w:t xml:space="preserve"> </w:t>
      </w:r>
      <w:r>
        <w:rPr>
          <w:i/>
          <w:sz w:val="20"/>
          <w:szCs w:val="20"/>
        </w:rPr>
        <w:t>authors</w:t>
      </w:r>
      <w:r>
        <w:rPr>
          <w:i/>
          <w:spacing w:val="-4"/>
          <w:sz w:val="20"/>
          <w:szCs w:val="20"/>
        </w:rPr>
        <w:t xml:space="preserve"> </w:t>
      </w:r>
      <w:r>
        <w:rPr>
          <w:i/>
          <w:sz w:val="20"/>
          <w:szCs w:val="20"/>
        </w:rPr>
        <w:t>to</w:t>
      </w:r>
      <w:r>
        <w:rPr>
          <w:i/>
          <w:spacing w:val="-4"/>
          <w:sz w:val="20"/>
          <w:szCs w:val="20"/>
        </w:rPr>
        <w:t xml:space="preserve"> </w:t>
      </w:r>
      <w:r>
        <w:rPr>
          <w:i/>
          <w:sz w:val="20"/>
          <w:szCs w:val="20"/>
        </w:rPr>
        <w:t>give</w:t>
      </w:r>
      <w:r>
        <w:rPr>
          <w:i/>
          <w:spacing w:val="-4"/>
          <w:sz w:val="20"/>
          <w:szCs w:val="20"/>
        </w:rPr>
        <w:t xml:space="preserve"> </w:t>
      </w:r>
      <w:r>
        <w:rPr>
          <w:i/>
          <w:sz w:val="20"/>
          <w:szCs w:val="20"/>
        </w:rPr>
        <w:t>readers</w:t>
      </w:r>
      <w:r>
        <w:rPr>
          <w:i/>
          <w:spacing w:val="-4"/>
          <w:sz w:val="20"/>
          <w:szCs w:val="20"/>
        </w:rPr>
        <w:t xml:space="preserve"> </w:t>
      </w:r>
      <w:r>
        <w:rPr>
          <w:i/>
          <w:sz w:val="20"/>
          <w:szCs w:val="20"/>
        </w:rPr>
        <w:t>additional</w:t>
      </w:r>
      <w:r>
        <w:rPr>
          <w:i/>
          <w:spacing w:val="-4"/>
          <w:sz w:val="20"/>
          <w:szCs w:val="20"/>
        </w:rPr>
        <w:t xml:space="preserve"> </w:t>
      </w:r>
      <w:r>
        <w:rPr>
          <w:i/>
          <w:sz w:val="20"/>
          <w:szCs w:val="20"/>
        </w:rPr>
        <w:t>information</w:t>
      </w:r>
      <w:r>
        <w:rPr>
          <w:i/>
          <w:spacing w:val="-4"/>
          <w:sz w:val="20"/>
          <w:szCs w:val="20"/>
        </w:rPr>
        <w:t xml:space="preserve"> </w:t>
      </w:r>
      <w:r>
        <w:rPr>
          <w:i/>
          <w:sz w:val="20"/>
          <w:szCs w:val="20"/>
        </w:rPr>
        <w:t>about their work.</w:t>
      </w:r>
    </w:p>
    <w:p w14:paraId="65DB81D5">
      <w:pPr>
        <w:spacing w:line="480" w:lineRule="auto"/>
        <w:rPr>
          <w:rFonts w:eastAsiaTheme="minorEastAsia"/>
          <w:sz w:val="20"/>
          <w:szCs w:val="20"/>
          <w:lang w:eastAsia="zh-CN"/>
        </w:rPr>
        <w:sectPr>
          <w:footerReference r:id="rId3" w:type="default"/>
          <w:pgSz w:w="12240" w:h="15840"/>
          <w:pgMar w:top="1300" w:right="1080" w:bottom="1040" w:left="1440" w:header="0" w:footer="844" w:gutter="0"/>
          <w:lnNumType w:countBy="1" w:restart="continuous"/>
          <w:pgNumType w:start="1"/>
          <w:cols w:space="720" w:num="1"/>
        </w:sectPr>
      </w:pPr>
    </w:p>
    <w:p w14:paraId="4B25E8C6">
      <w:pPr>
        <w:pStyle w:val="28"/>
        <w:spacing w:before="0" w:after="0" w:line="480" w:lineRule="auto"/>
        <w:rPr>
          <w:rFonts w:eastAsiaTheme="minorEastAsia"/>
          <w:lang w:eastAsia="zh-CN"/>
        </w:rPr>
      </w:pPr>
      <w:bookmarkStart w:id="2" w:name="_Tocf30wz2"/>
      <w:bookmarkStart w:id="3" w:name="_Toc218072617"/>
      <w:r>
        <w:t>eMethods</w:t>
      </w:r>
      <w:bookmarkEnd w:id="2"/>
      <w:bookmarkEnd w:id="3"/>
    </w:p>
    <w:p w14:paraId="3013991C">
      <w:pPr>
        <w:spacing w:line="480" w:lineRule="auto"/>
        <w:ind w:left="0"/>
        <w:rPr>
          <w:b/>
          <w:spacing w:val="-2"/>
          <w:sz w:val="20"/>
          <w:szCs w:val="20"/>
        </w:rPr>
      </w:pPr>
      <w:r>
        <w:rPr>
          <w:b/>
          <w:spacing w:val="-2"/>
          <w:sz w:val="20"/>
          <w:szCs w:val="20"/>
        </w:rPr>
        <w:t>1. Database-Specific Preprocessing</w:t>
      </w:r>
    </w:p>
    <w:p w14:paraId="669865AC">
      <w:pPr>
        <w:spacing w:line="480" w:lineRule="auto"/>
        <w:rPr>
          <w:sz w:val="20"/>
          <w:szCs w:val="20"/>
        </w:rPr>
      </w:pPr>
      <w:r>
        <w:rPr>
          <w:sz w:val="20"/>
          <w:szCs w:val="20"/>
        </w:rPr>
        <w:t>Given substantial differences in data architecture, variable organization, and recording granularity across the three databases, database-specific preprocessing was conducted prior to score derivation. Although all datasets contained the variables required to compute both SOFA-1 and SOFA-2 components, heterogeneity in data structure and completeness necessitated tailored harmonization before applying a unified scoring pipeline.</w:t>
      </w:r>
    </w:p>
    <w:p w14:paraId="03674574">
      <w:pPr>
        <w:spacing w:line="480" w:lineRule="auto"/>
        <w:rPr>
          <w:sz w:val="20"/>
          <w:szCs w:val="20"/>
        </w:rPr>
      </w:pPr>
      <w:r>
        <w:rPr>
          <w:sz w:val="20"/>
          <w:szCs w:val="20"/>
        </w:rPr>
        <w:t>For each database, raw data were first mapped into a common analytical structure by harmonizing source tables and variable definitions, standardizing measurement units, and aligning all time-stamped observations to a unified hourly time grid. Implausible values were excluded using predefined physiologic range checks. When multiple measurements were recorded within the same hour, values were aggregated according to prespecified rules.</w:t>
      </w:r>
    </w:p>
    <w:p w14:paraId="6B4D4AF3">
      <w:pPr>
        <w:spacing w:line="480" w:lineRule="auto"/>
        <w:rPr>
          <w:rFonts w:eastAsiaTheme="minorEastAsia"/>
          <w:sz w:val="20"/>
          <w:szCs w:val="20"/>
          <w:lang w:eastAsia="zh-CN"/>
        </w:rPr>
      </w:pPr>
      <w:r>
        <w:rPr>
          <w:sz w:val="20"/>
          <w:szCs w:val="20"/>
        </w:rPr>
        <w:t>Urine output was normalized to the time windows required for renal SOFA assessment, and respiratory support status was derived from treatment and charting data using a consistent classification framework across databases. Following these preprocessing steps, SOFA-1 and SOFA-2 scores were calculated using an identical downstream pipeline in all cohorts.</w:t>
      </w:r>
    </w:p>
    <w:p w14:paraId="4133A2D3">
      <w:pPr>
        <w:spacing w:line="480" w:lineRule="auto"/>
        <w:rPr>
          <w:rFonts w:hint="eastAsia" w:eastAsiaTheme="minorEastAsia"/>
          <w:sz w:val="20"/>
          <w:szCs w:val="20"/>
          <w:lang w:eastAsia="zh-CN"/>
        </w:rPr>
      </w:pPr>
    </w:p>
    <w:p w14:paraId="55F34188">
      <w:pPr>
        <w:spacing w:line="480" w:lineRule="auto"/>
        <w:ind w:left="0"/>
        <w:rPr>
          <w:b/>
          <w:spacing w:val="-2"/>
          <w:sz w:val="20"/>
          <w:szCs w:val="20"/>
        </w:rPr>
      </w:pPr>
      <w:r>
        <w:rPr>
          <w:b/>
          <w:spacing w:val="-2"/>
          <w:sz w:val="20"/>
          <w:szCs w:val="20"/>
        </w:rPr>
        <w:t>2. Handling of Missing Data</w:t>
      </w:r>
    </w:p>
    <w:p w14:paraId="5F9E8FD6">
      <w:pPr>
        <w:spacing w:line="480" w:lineRule="auto"/>
        <w:rPr>
          <w:rFonts w:hint="eastAsia"/>
          <w:sz w:val="20"/>
          <w:szCs w:val="20"/>
        </w:rPr>
      </w:pPr>
      <w:r>
        <w:rPr>
          <w:sz w:val="20"/>
          <w:szCs w:val="20"/>
        </w:rPr>
        <w:t>Missing physiological variables were imputed using the last observation carried forward (LOCF) method, consistent with the ricu framework. When no prior value was available, the corresponding SOFA subscore was assumed to be 0, in accordance with both the original SOFA and SOFA-2 consensus recommendations. The proportion of missing values for each SOFA component at sepsis diagnosis in each database is reported in eTable 1</w:t>
      </w:r>
      <w:r>
        <w:rPr>
          <w:rFonts w:hint="eastAsia" w:eastAsiaTheme="minorEastAsia"/>
          <w:sz w:val="20"/>
          <w:szCs w:val="20"/>
          <w:lang w:eastAsia="zh-CN"/>
        </w:rPr>
        <w:t>0</w:t>
      </w:r>
      <w:r>
        <w:rPr>
          <w:sz w:val="20"/>
          <w:szCs w:val="20"/>
        </w:rPr>
        <w:t>.</w:t>
      </w:r>
    </w:p>
    <w:p w14:paraId="09C0918A">
      <w:pPr>
        <w:spacing w:line="480" w:lineRule="auto"/>
        <w:ind w:firstLine="440" w:firstLineChars="200"/>
        <w:rPr>
          <w:rFonts w:hint="eastAsia" w:eastAsiaTheme="minorEastAsia"/>
          <w:lang w:eastAsia="zh-CN"/>
        </w:rPr>
      </w:pPr>
    </w:p>
    <w:p w14:paraId="211A5F38">
      <w:pPr>
        <w:spacing w:line="480" w:lineRule="auto"/>
        <w:ind w:left="0"/>
        <w:rPr>
          <w:rFonts w:eastAsiaTheme="minorEastAsia"/>
          <w:b/>
          <w:spacing w:val="-2"/>
          <w:sz w:val="20"/>
          <w:szCs w:val="20"/>
          <w:lang w:eastAsia="zh-CN"/>
        </w:rPr>
      </w:pPr>
      <w:r>
        <w:rPr>
          <w:b/>
          <w:spacing w:val="-2"/>
          <w:sz w:val="20"/>
          <w:szCs w:val="20"/>
        </w:rPr>
        <w:t>3. Observation Window Standardization</w:t>
      </w:r>
    </w:p>
    <w:p w14:paraId="5F1F4A3C">
      <w:pPr>
        <w:spacing w:line="480" w:lineRule="auto"/>
        <w:rPr>
          <w:spacing w:val="-2"/>
          <w:sz w:val="20"/>
          <w:szCs w:val="20"/>
        </w:rPr>
      </w:pPr>
      <w:r>
        <w:rPr>
          <w:rFonts w:eastAsiaTheme="minorEastAsia"/>
          <w:sz w:val="20"/>
          <w:szCs w:val="20"/>
          <w:lang w:eastAsia="zh-CN"/>
        </w:rPr>
        <w:t>To ensure comparability across databases with different data structures and recording characteristics, we restricted sepsis detection to the first 72 hours following ICU admission. This standardized observation window was necessary because the databases differ in their data recording scope:</w:t>
      </w:r>
      <w:r>
        <w:rPr>
          <w:sz w:val="20"/>
          <w:szCs w:val="20"/>
        </w:rPr>
        <w:t xml:space="preserve"> MIMIC-IV</w:t>
      </w:r>
      <w:r>
        <w:rPr>
          <w:rFonts w:hint="eastAsia" w:eastAsiaTheme="minorEastAsia"/>
          <w:sz w:val="20"/>
          <w:szCs w:val="20"/>
          <w:lang w:eastAsia="zh-CN"/>
        </w:rPr>
        <w:t xml:space="preserve"> </w:t>
      </w:r>
      <w:r>
        <w:rPr>
          <w:rFonts w:hint="eastAsia" w:eastAsiaTheme="minorEastAsia"/>
          <w:sz w:val="20"/>
          <w:szCs w:val="20"/>
          <w:lang w:eastAsia="zh-CN"/>
        </w:rPr>
        <w:fldChar w:fldCharType="begin"/>
      </w:r>
      <w:r>
        <w:rPr>
          <w:rFonts w:hint="eastAsia" w:eastAsiaTheme="minorEastAsia"/>
          <w:sz w:val="20"/>
          <w:szCs w:val="20"/>
          <w:lang w:eastAsia="zh-CN"/>
        </w:rPr>
        <w:instrText xml:space="preserve"> ADDIN ZOTERO_ITEM CSL_CITATION {"citationID":"oFeUqbgc","properties":{"formattedCitation":"[1]","plainCitation":"[1]","noteIndex":0},"citationItems":[{"id":7961,"uris":["http://zotero.org/users/7180858/items/V2JHEWXH"],"itemData":{"id":7961,"type":"article-journal","abstract":"Abstract\n            Digital data collection during routine clinical practice is now ubiquitous within hospitals. The data contains valuable information on the care of patients and their response to treatments, offering exciting opportunities for research. Typically, data are stored within archival systems that are not intended to support research. These systems are often inaccessible to researchers and structured for optimal storage, rather than interpretability and analysis. Here we present MIMIC-IV, a publicly available database sourced from the electronic health record of the Beth Israel Deaconess Medical Center. Information available includes patient measurements, orders, diagnoses, procedures, treatments, and deidentified free-text clinical notes. MIMIC-IV is intended to support a wide array of research studies and educational material, helping to reduce barriers to conducting clinical research.","container-title":"Scientific Data","DOI":"10.1038/s41597-022-01899-x","ISSN":"2052-4463","issue":"1","journalAbbreviation":"Sci Data","language":"en","page":"1","source":"DOI.org (Crossref)","title":"MIMIC-IV, a freely accessible electronic health record dataset","volume":"10","author":[{"family":"Johnson","given":"Alistair E. W."},{"family":"Bulgarelli","given":"Lucas"},{"family":"Shen","given":"Lu"},{"family":"Gayles","given":"Alvin"},{"family":"Shammout","given":"Ayad"},{"family":"Horng","given":"Steven"},{"family":"Pollard","given":"Tom J."},{"family":"Hao","given":"Sicheng"},{"family":"Moody","given":"Benjamin"},{"family":"Gow","given":"Brian"},{"family":"Lehman","given":"Li-wei H."},{"family":"Celi","given":"Leo A."},{"family":"Mark","given":"Roger G."}],"issued":{"date-parts":[["2023",1,3]]}}}],"schema":"https://github.com/citation-style-language/schema/raw/master/csl-citation.json"} </w:instrText>
      </w:r>
      <w:r>
        <w:rPr>
          <w:rFonts w:hint="eastAsia" w:eastAsiaTheme="minorEastAsia"/>
          <w:sz w:val="20"/>
          <w:szCs w:val="20"/>
          <w:lang w:eastAsia="zh-CN"/>
        </w:rPr>
        <w:fldChar w:fldCharType="separate"/>
      </w:r>
      <w:r>
        <w:rPr>
          <w:rFonts w:eastAsiaTheme="minorEastAsia"/>
          <w:sz w:val="20"/>
          <w:lang w:eastAsia="zh-CN"/>
        </w:rPr>
        <w:t>[1]</w:t>
      </w:r>
      <w:r>
        <w:rPr>
          <w:rFonts w:hint="eastAsia" w:eastAsiaTheme="minorEastAsia"/>
          <w:sz w:val="20"/>
          <w:szCs w:val="20"/>
          <w:lang w:eastAsia="zh-CN"/>
        </w:rPr>
        <w:fldChar w:fldCharType="end"/>
      </w:r>
      <w:r>
        <w:rPr>
          <w:spacing w:val="-2"/>
          <w:sz w:val="20"/>
          <w:szCs w:val="20"/>
        </w:rPr>
        <w:t xml:space="preserve"> </w:t>
      </w:r>
      <w:r>
        <w:rPr>
          <w:sz w:val="20"/>
          <w:szCs w:val="20"/>
        </w:rPr>
        <w:t>includes</w:t>
      </w:r>
      <w:r>
        <w:rPr>
          <w:spacing w:val="-2"/>
          <w:sz w:val="20"/>
          <w:szCs w:val="20"/>
        </w:rPr>
        <w:t xml:space="preserve"> </w:t>
      </w:r>
      <w:r>
        <w:rPr>
          <w:sz w:val="20"/>
          <w:szCs w:val="20"/>
        </w:rPr>
        <w:t xml:space="preserve">comprehensive data from emergency department and hospital ward encounters prior to ICU admission through the hospital-wide electronic health record; eICU-CRD </w:t>
      </w:r>
      <w:r>
        <w:rPr>
          <w:rFonts w:hint="eastAsia" w:eastAsiaTheme="minorEastAsia"/>
          <w:sz w:val="20"/>
          <w:szCs w:val="20"/>
          <w:lang w:eastAsia="zh-CN"/>
        </w:rPr>
        <w:fldChar w:fldCharType="begin"/>
      </w:r>
      <w:r>
        <w:rPr>
          <w:rFonts w:hint="eastAsia" w:eastAsiaTheme="minorEastAsia"/>
          <w:sz w:val="20"/>
          <w:szCs w:val="20"/>
          <w:lang w:eastAsia="zh-CN"/>
        </w:rPr>
        <w:instrText xml:space="preserve"> ADDIN ZOTERO_ITEM CSL_CITATION {"citationID":"rP8P9S2i","properties":{"formattedCitation":"[2]","plainCitation":"[2]","noteIndex":0},"citationItems":[{"id":46,"uris":["http://zotero.org/users/7180858/items/MHRLUKJ8"],"itemData":{"id":46,"type":"article-journal","abstract":"Critical care patients are monitored closely through the course of their illness. As a result of this monitoring, large amounts of data are routinely collected for these patients. Philips Healthcare has developed a telehealth system, the eICU Program, which leverages these data to support management of critically ill patients. Here we describe the eICU Collaborative Research Database, a multi-center intensive care unit (ICU)database with high granularity data for over 200,000 admissions to ICUs monitored by eICU Programs across the United States. The database is deidentified, and includes vital sign measurements, care plan documentation, severity of illness measures, diagnosis information, treatment information, and more. Data are publicly available after registration, including completion of a training course in research with human subjects and signing of a data use agreement mandating responsible handling of the data and adhering to the principle of collaborative research. The freely available nature of the data will support a number of applications including the development of machine learning algorithms, decision support tools, and clinical research.","archive":"Q1","archive_location":"综合性期刊2区","call-number":"5.800","collection-title":"无","container-title":"Scientific Data","DOI":"10.1038/sdata.2018.178","ISSN":"2052-4463","journalAbbreviation":"Sci Data","language":"eng","license":"8.900","page":"180178","PMID":"30204154","PMCID":"PMC6132188","source":"综合性期刊2区","title":"The eICU Collaborative Research Database, a freely available multi-center database for critical care research","volume":"5","author":[{"family":"Pollard","given":"Tom J."},{"family":"Johnson","given":"Alistair E. W."},{"family":"Raffa","given":"Jesse D."},{"family":"Celi","given":"Leo A."},{"family":"Mark","given":"Roger G."},{"family":"Badawi","given":"Omar"}],"issued":{"date-parts":[["2018",9,11]]}}}],"schema":"https://github.com/citation-style-language/schema/raw/master/csl-citation.json"} </w:instrText>
      </w:r>
      <w:r>
        <w:rPr>
          <w:rFonts w:hint="eastAsia" w:eastAsiaTheme="minorEastAsia"/>
          <w:sz w:val="20"/>
          <w:szCs w:val="20"/>
          <w:lang w:eastAsia="zh-CN"/>
        </w:rPr>
        <w:fldChar w:fldCharType="separate"/>
      </w:r>
      <w:r>
        <w:rPr>
          <w:rFonts w:eastAsiaTheme="minorEastAsia"/>
          <w:sz w:val="20"/>
          <w:lang w:eastAsia="zh-CN"/>
        </w:rPr>
        <w:t>[2]</w:t>
      </w:r>
      <w:r>
        <w:rPr>
          <w:rFonts w:hint="eastAsia" w:eastAsiaTheme="minorEastAsia"/>
          <w:sz w:val="20"/>
          <w:szCs w:val="20"/>
          <w:lang w:eastAsia="zh-CN"/>
        </w:rPr>
        <w:fldChar w:fldCharType="end"/>
      </w:r>
      <w:r>
        <w:rPr>
          <w:rFonts w:hint="eastAsia" w:eastAsiaTheme="minorEastAsia"/>
          <w:sz w:val="20"/>
          <w:szCs w:val="20"/>
          <w:lang w:eastAsia="zh-CN"/>
        </w:rPr>
        <w:t xml:space="preserve"> </w:t>
      </w:r>
      <w:r>
        <w:rPr>
          <w:sz w:val="20"/>
          <w:szCs w:val="20"/>
        </w:rPr>
        <w:t>captures clinical data starting around the time of ICU admission</w:t>
      </w:r>
      <w:r>
        <w:rPr>
          <w:spacing w:val="-13"/>
          <w:sz w:val="20"/>
          <w:szCs w:val="20"/>
        </w:rPr>
        <w:t xml:space="preserve"> </w:t>
      </w:r>
      <w:r>
        <w:rPr>
          <w:sz w:val="20"/>
          <w:szCs w:val="20"/>
        </w:rPr>
        <w:t>with</w:t>
      </w:r>
      <w:r>
        <w:rPr>
          <w:spacing w:val="-13"/>
          <w:sz w:val="20"/>
          <w:szCs w:val="20"/>
        </w:rPr>
        <w:t xml:space="preserve"> </w:t>
      </w:r>
      <w:r>
        <w:rPr>
          <w:sz w:val="20"/>
          <w:szCs w:val="20"/>
        </w:rPr>
        <w:t>variable</w:t>
      </w:r>
      <w:r>
        <w:rPr>
          <w:spacing w:val="-13"/>
          <w:sz w:val="20"/>
          <w:szCs w:val="20"/>
        </w:rPr>
        <w:t xml:space="preserve"> </w:t>
      </w:r>
      <w:r>
        <w:rPr>
          <w:sz w:val="20"/>
          <w:szCs w:val="20"/>
        </w:rPr>
        <w:t>pre-ICU</w:t>
      </w:r>
      <w:r>
        <w:rPr>
          <w:spacing w:val="-13"/>
          <w:sz w:val="20"/>
          <w:szCs w:val="20"/>
        </w:rPr>
        <w:t xml:space="preserve"> </w:t>
      </w:r>
      <w:r>
        <w:rPr>
          <w:sz w:val="20"/>
          <w:szCs w:val="20"/>
        </w:rPr>
        <w:t>laboratory</w:t>
      </w:r>
      <w:r>
        <w:rPr>
          <w:spacing w:val="-13"/>
          <w:sz w:val="20"/>
          <w:szCs w:val="20"/>
        </w:rPr>
        <w:t xml:space="preserve"> </w:t>
      </w:r>
      <w:r>
        <w:rPr>
          <w:sz w:val="20"/>
          <w:szCs w:val="20"/>
        </w:rPr>
        <w:t>data</w:t>
      </w:r>
      <w:r>
        <w:rPr>
          <w:spacing w:val="-13"/>
          <w:sz w:val="20"/>
          <w:szCs w:val="20"/>
        </w:rPr>
        <w:t xml:space="preserve"> </w:t>
      </w:r>
      <w:r>
        <w:rPr>
          <w:sz w:val="20"/>
          <w:szCs w:val="20"/>
        </w:rPr>
        <w:t>availability</w:t>
      </w:r>
      <w:r>
        <w:rPr>
          <w:spacing w:val="-13"/>
          <w:sz w:val="20"/>
          <w:szCs w:val="20"/>
        </w:rPr>
        <w:t xml:space="preserve"> </w:t>
      </w:r>
      <w:r>
        <w:rPr>
          <w:sz w:val="20"/>
          <w:szCs w:val="20"/>
        </w:rPr>
        <w:t>depending</w:t>
      </w:r>
      <w:r>
        <w:rPr>
          <w:spacing w:val="-13"/>
          <w:sz w:val="20"/>
          <w:szCs w:val="20"/>
        </w:rPr>
        <w:t xml:space="preserve"> </w:t>
      </w:r>
      <w:r>
        <w:rPr>
          <w:sz w:val="20"/>
          <w:szCs w:val="20"/>
        </w:rPr>
        <w:t>on</w:t>
      </w:r>
      <w:r>
        <w:rPr>
          <w:spacing w:val="-13"/>
          <w:sz w:val="20"/>
          <w:szCs w:val="20"/>
        </w:rPr>
        <w:t xml:space="preserve"> </w:t>
      </w:r>
      <w:r>
        <w:rPr>
          <w:sz w:val="20"/>
          <w:szCs w:val="20"/>
        </w:rPr>
        <w:t>hospital-specific</w:t>
      </w:r>
      <w:r>
        <w:rPr>
          <w:spacing w:val="-13"/>
          <w:sz w:val="20"/>
          <w:szCs w:val="20"/>
        </w:rPr>
        <w:t xml:space="preserve"> </w:t>
      </w:r>
      <w:r>
        <w:rPr>
          <w:sz w:val="20"/>
          <w:szCs w:val="20"/>
        </w:rPr>
        <w:t>data</w:t>
      </w:r>
      <w:r>
        <w:rPr>
          <w:spacing w:val="-13"/>
          <w:sz w:val="20"/>
          <w:szCs w:val="20"/>
        </w:rPr>
        <w:t xml:space="preserve"> </w:t>
      </w:r>
      <w:r>
        <w:rPr>
          <w:sz w:val="20"/>
          <w:szCs w:val="20"/>
        </w:rPr>
        <w:t xml:space="preserve">interfaces; and AmsterdamUMCdb </w:t>
      </w:r>
      <w:r>
        <w:rPr>
          <w:rFonts w:hint="eastAsia" w:eastAsiaTheme="minorEastAsia"/>
          <w:sz w:val="20"/>
          <w:szCs w:val="20"/>
          <w:lang w:eastAsia="zh-CN"/>
        </w:rPr>
        <w:fldChar w:fldCharType="begin"/>
      </w:r>
      <w:r>
        <w:rPr>
          <w:rFonts w:hint="eastAsia" w:eastAsiaTheme="minorEastAsia"/>
          <w:sz w:val="20"/>
          <w:szCs w:val="20"/>
          <w:lang w:eastAsia="zh-CN"/>
        </w:rPr>
        <w:instrText xml:space="preserve"> ADDIN ZOTERO_ITEM CSL_CITATION {"citationID":"hnczgFfR","properties":{"formattedCitation":"[3]","plainCitation":"[3]","noteIndex":0},"citationItems":[{"id":41,"uris":["http://zotero.org/users/7180858/items/QXY34E9J"],"itemData":{"id":41,"type":"article-journal","abstract":"OBJECTIVES: Critical care medicine is a natural environment for machine learning approaches to improve outcomes for critically ill patients as admissions to ICUs generate vast amounts of data. However, technical, legal, ethical, and privacy concerns have so far limited the critical care medicine community from making these data readily available. The Society of Critical Care Medicine and the European Society of Intensive Care Medicine have identified ICU patient data sharing as one of the priorities under their Joint Data Science Collaboration. To encourage ICUs worldwide to share their patient data responsibly, we now describe the development and release of Amsterdam University Medical Centers Database (AmsterdamUMCdb), the first freely available critical care database in full compliance with privacy laws from both the United States and Europe, as an example of the feasibility of sharing complex critical care data.\nSETTING: University hospital ICU.\nSUBJECTS: Data from ICU patients admitted between 2003 and 2016.\nINTERVENTIONS: We used a risk-based deidentification strategy to maintain data utility while preserving privacy. In addition, we implemented contractual and governance processes, and a communication strategy. Patient organizations, supporting hospitals, and experts on ethics and privacy audited these processes and the database.\nMEASUREMENTS AND MAIN RESULTS: AmsterdamUMCdb contains approximately 1 billion clinical data points from 23,106 admissions of 20,109 patients. The privacy audit concluded that reidentification is not reasonably likely, and AmsterdamUMCdb can therefore be considered as anonymous information, both in the context of the U.S. Health Insurance Portability and Accountability Act and the European General Data Protection Regulation. The ethics audit concluded that responsible data sharing imposes minimal burden, whereas the potential benefit is tremendous.\nCONCLUSIONS: Technical, legal, ethical, and privacy challenges related to responsible data sharing can be addressed using a multidisciplinary approach. A risk-based deidentification strategy, that complies with both U.S. and European privacy regulations, should be the preferred approach to releasing ICU patient data. This supports the shared Society of Critical Care Medicine and European Society of Intensive Care Medicine vision to improve critical care outcomes through scientific inquiry of vast and combined ICU datasets.","archive":"Q1","archive_location":"医学1区 Top","call-number":"7.700","collection-title":"无","container-title":"Critical Care Medicine","DOI":"10.1097/CCM.0000000000004916","ISSN":"1530-0293","issue":"6","journalAbbreviation":"Crit Care Med","language":"eng","license":"7.500","page":"e563-e577","PMID":"33625129","PMCID":"PMC8132908","source":"危重病医学2区","title":"Sharing ICU Patient Data Responsibly Under the Society of Critical Care Medicine/European Society of Intensive Care Medicine Joint Data Science Collaboration: The Amsterdam University Medical Centers Database (AmsterdamUMCdb) Example","title-short":"Sharing ICU Patient Data Responsibly Under the Society of Critical Care Medicine/European Society of Intensive Care Medicine Joint Data Science Collaboration","volume":"49","author":[{"family":"Thoral","given":"Patrick J."},{"family":"Peppink","given":"Jan M."},{"family":"Driessen","given":"Ronald H."},{"family":"Sijbrands","given":"Eric J. G."},{"family":"Kompanje","given":"Erwin J. O."},{"family":"Kaplan","given":"Lewis"},{"family":"Bailey","given":"Heatherlee"},{"family":"Kesecioglu","given":"Jozef"},{"family":"Cecconi","given":"Maurizio"},{"family":"Churpek","given":"Matthew"},{"family":"Clermont","given":"Gilles"},{"family":"Schaar","given":"Mihaela","non-dropping-particle":"van der"},{"family":"Ercole","given":"Ari"},{"family":"Girbes","given":"Armand R. J."},{"family":"Elbers","given":"Paul W. G."},{"literal":"Amsterdam University Medical Centers Database (AmsterdamUMCdb) Collaborators and the SCCM/ESICM Joint Data Science Task Force"}],"issued":{"date-parts":[["2021",6,1]]}}}],"schema":"https://github.com/citation-style-language/schema/raw/master/csl-citation.json"} </w:instrText>
      </w:r>
      <w:r>
        <w:rPr>
          <w:rFonts w:hint="eastAsia" w:eastAsiaTheme="minorEastAsia"/>
          <w:sz w:val="20"/>
          <w:szCs w:val="20"/>
          <w:lang w:eastAsia="zh-CN"/>
        </w:rPr>
        <w:fldChar w:fldCharType="separate"/>
      </w:r>
      <w:r>
        <w:rPr>
          <w:rFonts w:eastAsiaTheme="minorEastAsia"/>
          <w:sz w:val="20"/>
          <w:lang w:eastAsia="zh-CN"/>
        </w:rPr>
        <w:t>[3]</w:t>
      </w:r>
      <w:r>
        <w:rPr>
          <w:rFonts w:hint="eastAsia" w:eastAsiaTheme="minorEastAsia"/>
          <w:sz w:val="20"/>
          <w:szCs w:val="20"/>
          <w:lang w:eastAsia="zh-CN"/>
        </w:rPr>
        <w:fldChar w:fldCharType="end"/>
      </w:r>
      <w:r>
        <w:rPr>
          <w:rFonts w:hint="eastAsia" w:eastAsiaTheme="minorEastAsia"/>
          <w:sz w:val="20"/>
          <w:szCs w:val="20"/>
          <w:lang w:eastAsia="zh-CN"/>
        </w:rPr>
        <w:t xml:space="preserve"> </w:t>
      </w:r>
      <w:r>
        <w:rPr>
          <w:sz w:val="20"/>
          <w:szCs w:val="20"/>
        </w:rPr>
        <w:t>primarily records data from ICU admission with limited pre-ICU clinical measurements.</w:t>
      </w:r>
      <w:r>
        <w:rPr>
          <w:spacing w:val="22"/>
          <w:sz w:val="20"/>
          <w:szCs w:val="20"/>
        </w:rPr>
        <w:t xml:space="preserve"> </w:t>
      </w:r>
      <w:r>
        <w:rPr>
          <w:sz w:val="20"/>
          <w:szCs w:val="20"/>
        </w:rPr>
        <w:t>By</w:t>
      </w:r>
      <w:r>
        <w:rPr>
          <w:spacing w:val="-2"/>
          <w:sz w:val="20"/>
          <w:szCs w:val="20"/>
        </w:rPr>
        <w:t xml:space="preserve"> </w:t>
      </w:r>
      <w:r>
        <w:rPr>
          <w:sz w:val="20"/>
          <w:szCs w:val="20"/>
        </w:rPr>
        <w:t>applying</w:t>
      </w:r>
      <w:r>
        <w:rPr>
          <w:spacing w:val="-2"/>
          <w:sz w:val="20"/>
          <w:szCs w:val="20"/>
        </w:rPr>
        <w:t xml:space="preserve"> </w:t>
      </w:r>
      <w:r>
        <w:rPr>
          <w:sz w:val="20"/>
          <w:szCs w:val="20"/>
        </w:rPr>
        <w:t>a</w:t>
      </w:r>
      <w:r>
        <w:rPr>
          <w:spacing w:val="-2"/>
          <w:sz w:val="20"/>
          <w:szCs w:val="20"/>
        </w:rPr>
        <w:t xml:space="preserve"> </w:t>
      </w:r>
      <w:r>
        <w:rPr>
          <w:sz w:val="20"/>
          <w:szCs w:val="20"/>
        </w:rPr>
        <w:t>consistent</w:t>
      </w:r>
      <w:r>
        <w:rPr>
          <w:spacing w:val="-2"/>
          <w:sz w:val="20"/>
          <w:szCs w:val="20"/>
        </w:rPr>
        <w:t xml:space="preserve"> </w:t>
      </w:r>
      <w:r>
        <w:rPr>
          <w:sz w:val="20"/>
          <w:szCs w:val="20"/>
        </w:rPr>
        <w:t>72-hour</w:t>
      </w:r>
      <w:r>
        <w:rPr>
          <w:spacing w:val="-2"/>
          <w:sz w:val="20"/>
          <w:szCs w:val="20"/>
        </w:rPr>
        <w:t xml:space="preserve"> </w:t>
      </w:r>
      <w:r>
        <w:rPr>
          <w:sz w:val="20"/>
          <w:szCs w:val="20"/>
        </w:rPr>
        <w:t>post-admission</w:t>
      </w:r>
      <w:r>
        <w:rPr>
          <w:spacing w:val="-2"/>
          <w:sz w:val="20"/>
          <w:szCs w:val="20"/>
        </w:rPr>
        <w:t xml:space="preserve"> </w:t>
      </w:r>
      <w:r>
        <w:rPr>
          <w:sz w:val="20"/>
          <w:szCs w:val="20"/>
        </w:rPr>
        <w:t>window</w:t>
      </w:r>
      <w:r>
        <w:rPr>
          <w:spacing w:val="-2"/>
          <w:sz w:val="20"/>
          <w:szCs w:val="20"/>
        </w:rPr>
        <w:t xml:space="preserve"> </w:t>
      </w:r>
      <w:r>
        <w:rPr>
          <w:sz w:val="20"/>
          <w:szCs w:val="20"/>
        </w:rPr>
        <w:t>for</w:t>
      </w:r>
      <w:r>
        <w:rPr>
          <w:spacing w:val="-2"/>
          <w:sz w:val="20"/>
          <w:szCs w:val="20"/>
        </w:rPr>
        <w:t xml:space="preserve"> </w:t>
      </w:r>
      <w:r>
        <w:rPr>
          <w:sz w:val="20"/>
          <w:szCs w:val="20"/>
        </w:rPr>
        <w:t>sepsis</w:t>
      </w:r>
      <w:r>
        <w:rPr>
          <w:spacing w:val="-2"/>
          <w:sz w:val="20"/>
          <w:szCs w:val="20"/>
        </w:rPr>
        <w:t xml:space="preserve"> </w:t>
      </w:r>
      <w:r>
        <w:rPr>
          <w:sz w:val="20"/>
          <w:szCs w:val="20"/>
        </w:rPr>
        <w:t>detection,</w:t>
      </w:r>
      <w:r>
        <w:rPr>
          <w:spacing w:val="-1"/>
          <w:sz w:val="20"/>
          <w:szCs w:val="20"/>
        </w:rPr>
        <w:t xml:space="preserve"> </w:t>
      </w:r>
      <w:r>
        <w:rPr>
          <w:sz w:val="20"/>
          <w:szCs w:val="20"/>
        </w:rPr>
        <w:t>we</w:t>
      </w:r>
      <w:r>
        <w:rPr>
          <w:spacing w:val="-2"/>
          <w:sz w:val="20"/>
          <w:szCs w:val="20"/>
        </w:rPr>
        <w:t xml:space="preserve"> </w:t>
      </w:r>
      <w:r>
        <w:rPr>
          <w:sz w:val="20"/>
          <w:szCs w:val="20"/>
        </w:rPr>
        <w:t>ensured</w:t>
      </w:r>
      <w:r>
        <w:rPr>
          <w:spacing w:val="-2"/>
          <w:sz w:val="20"/>
          <w:szCs w:val="20"/>
        </w:rPr>
        <w:t xml:space="preserve"> </w:t>
      </w:r>
      <w:r>
        <w:rPr>
          <w:sz w:val="20"/>
          <w:szCs w:val="20"/>
        </w:rPr>
        <w:t>that comparisons</w:t>
      </w:r>
      <w:r>
        <w:rPr>
          <w:spacing w:val="-9"/>
          <w:sz w:val="20"/>
          <w:szCs w:val="20"/>
        </w:rPr>
        <w:t xml:space="preserve"> </w:t>
      </w:r>
      <w:r>
        <w:rPr>
          <w:sz w:val="20"/>
          <w:szCs w:val="20"/>
        </w:rPr>
        <w:t>between</w:t>
      </w:r>
      <w:r>
        <w:rPr>
          <w:spacing w:val="-9"/>
          <w:sz w:val="20"/>
          <w:szCs w:val="20"/>
        </w:rPr>
        <w:t xml:space="preserve"> </w:t>
      </w:r>
      <w:r>
        <w:rPr>
          <w:sz w:val="20"/>
          <w:szCs w:val="20"/>
        </w:rPr>
        <w:t>SOFA-1</w:t>
      </w:r>
      <w:r>
        <w:rPr>
          <w:spacing w:val="-9"/>
          <w:sz w:val="20"/>
          <w:szCs w:val="20"/>
        </w:rPr>
        <w:t xml:space="preserve"> </w:t>
      </w:r>
      <w:r>
        <w:rPr>
          <w:rFonts w:hint="eastAsia" w:eastAsiaTheme="minorEastAsia"/>
          <w:spacing w:val="-9"/>
          <w:sz w:val="20"/>
          <w:szCs w:val="20"/>
          <w:lang w:eastAsia="zh-CN"/>
        </w:rPr>
        <w:fldChar w:fldCharType="begin"/>
      </w:r>
      <w:r>
        <w:rPr>
          <w:rFonts w:hint="eastAsia" w:eastAsiaTheme="minorEastAsia"/>
          <w:spacing w:val="-9"/>
          <w:sz w:val="20"/>
          <w:szCs w:val="20"/>
          <w:lang w:eastAsia="zh-CN"/>
        </w:rPr>
        <w:instrText xml:space="preserve"> ADDIN ZOTERO_ITEM CSL_CITATION {"citationID":"ZeaNoFHh","properties":{"formattedCitation":"[4]","plainCitation":"[4]","noteIndex":0},"citationItems":[{"id":5804,"uris":["http://zotero.org/users/7180858/items/7F4VJ6S6"],"itemData":{"id":5804,"type":"article-journal","container-title":"Intensive Care Medicine","DOI":"10.1007/BF01709751","ISSN":"0342-4642","issue":"7","journalAbbreviation":"Intensive Care Med","language":"eng","page":"707-710","PMID":"8844239","source":"PubMed","title":"The SOFA (Sepsis-related Organ Failure Assessment) score to describe organ dysfunction/failure. On behalf of the Working Group on Sepsis-Related Problems of the European Society of Intensive Care Medicine","volume":"22","author":[{"family":"Vincent","given":"J. L."},{"family":"Moreno","given":"R."},{"family":"Takala","given":"J."},{"family":"Willatts","given":"S."},{"family":"De Mendonça","given":"A."},{"family":"Bruining","given":"H."},{"family":"Reinhart","given":"C. K."},{"family":"Suter","given":"P. M."},{"family":"Thijs","given":"L. G."}],"issued":{"date-parts":[["1996",7]]}}}],"schema":"https://github.com/citation-style-language/schema/raw/master/csl-citation.json"} </w:instrText>
      </w:r>
      <w:r>
        <w:rPr>
          <w:rFonts w:hint="eastAsia" w:eastAsiaTheme="minorEastAsia"/>
          <w:spacing w:val="-9"/>
          <w:sz w:val="20"/>
          <w:szCs w:val="20"/>
          <w:lang w:eastAsia="zh-CN"/>
        </w:rPr>
        <w:fldChar w:fldCharType="separate"/>
      </w:r>
      <w:r>
        <w:rPr>
          <w:rFonts w:eastAsiaTheme="minorEastAsia"/>
          <w:sz w:val="20"/>
          <w:lang w:eastAsia="zh-CN"/>
        </w:rPr>
        <w:t>[4]</w:t>
      </w:r>
      <w:r>
        <w:rPr>
          <w:rFonts w:hint="eastAsia" w:eastAsiaTheme="minorEastAsia"/>
          <w:spacing w:val="-9"/>
          <w:sz w:val="20"/>
          <w:szCs w:val="20"/>
          <w:lang w:eastAsia="zh-CN"/>
        </w:rPr>
        <w:fldChar w:fldCharType="end"/>
      </w:r>
      <w:r>
        <w:rPr>
          <w:rFonts w:hint="eastAsia" w:eastAsiaTheme="minorEastAsia"/>
          <w:spacing w:val="-9"/>
          <w:sz w:val="20"/>
          <w:szCs w:val="20"/>
          <w:lang w:eastAsia="zh-CN"/>
        </w:rPr>
        <w:t xml:space="preserve"> </w:t>
      </w:r>
      <w:r>
        <w:rPr>
          <w:sz w:val="20"/>
          <w:szCs w:val="20"/>
        </w:rPr>
        <w:t>and</w:t>
      </w:r>
      <w:r>
        <w:rPr>
          <w:spacing w:val="-9"/>
          <w:sz w:val="20"/>
          <w:szCs w:val="20"/>
        </w:rPr>
        <w:t xml:space="preserve"> </w:t>
      </w:r>
      <w:r>
        <w:rPr>
          <w:sz w:val="20"/>
          <w:szCs w:val="20"/>
        </w:rPr>
        <w:t>SOFA-2</w:t>
      </w:r>
      <w:r>
        <w:rPr>
          <w:spacing w:val="-9"/>
          <w:sz w:val="20"/>
          <w:szCs w:val="20"/>
        </w:rPr>
        <w:t xml:space="preserve"> </w:t>
      </w:r>
      <w:r>
        <w:rPr>
          <w:rFonts w:hint="eastAsia" w:eastAsiaTheme="minorEastAsia"/>
          <w:spacing w:val="-9"/>
          <w:sz w:val="20"/>
          <w:szCs w:val="20"/>
          <w:lang w:eastAsia="zh-CN"/>
        </w:rPr>
        <w:fldChar w:fldCharType="begin"/>
      </w:r>
      <w:r>
        <w:rPr>
          <w:rFonts w:hint="eastAsia" w:eastAsiaTheme="minorEastAsia"/>
          <w:spacing w:val="-9"/>
          <w:sz w:val="20"/>
          <w:szCs w:val="20"/>
          <w:lang w:eastAsia="zh-CN"/>
        </w:rPr>
        <w:instrText xml:space="preserve"> ADDIN ZOTERO_ITEM CSL_CITATION {"citationID":"SF9Yu1Dk","properties":{"formattedCitation":"[5]","plainCitation":"[5]","noteIndex":0},"citationItems":[{"id":8003,"uris":["http://zotero.org/users/7180858/items/3PXH8CTR"],"itemData":{"id":8003,"type":"article-journal","abstract":"The Sequential Organ Failure Assessment (SOFA) score was published in 1996 to describe organ dysfunction in critically ill adult patients in a readily quantifiable and sequential manner. Considerable changes have occurred over the last 3 decades in the use of organ support drugs and devices and in patient outcomes, necessitating revision of the score.To develop definitions of organ dysfunction that reflect current understanding and to identify representative variables to generate a revised SOFA score (SOFA-2) of individual organ dysfunction.A task force of experts in intensive care medicine and epidemiology generated definitions of organ dysfunction, identified relevant variables (physiological and laboratory data specific to the organ system, pharmacological and mechanical organ support), and proposed a 0 to 4–point grading of dysfunction severity through meetings, Delphi processes, and explicit rules, informed by data synthesis, including systematic reviews and meta-analysis. Variables were tested in 2 validation exercises using separate datasets totaling 3.34 million patients within 10 representative databases from diverse geographical and socioeconomic settings to assess distribution and predictive validity (mortality at intensive care unit discharge).A total of 60 experts participated, with 18 (30%) female participants. Overall, 65 countries were represented, with 33 (51%) from Europe and Central Asia, 13 (20%) from North America; and 8 (12%) from Latin America and the Caribbean. The physiological variables within the 6 organ systems used in the original SOFA score were retained, although some categories were renamed (ie, central nervous system was changed to brain, renal to kidney, coagulation to hemostasis, and hepatic to liver). Revisions of organ support drug and device variables were made to reflect current practice. Alternative variables were added for instances when laboratory data and/or organ support interventions would be inaccessible (eg, in some low-resource settings) or not indicated (eg, ceiling of treatment). Some point cutoff thresholds were modified based on evidence from systematic reviews and data analyses. Scores could not be developed for 2 additional organ systems (gastrointestinal and immune) due to insufficient data, complexity, or lack of content and predictive validity for the variables assessed. Explicit rules were developed to facilitate scoring consistency.Through a methodologically robust development process, the SOFA-2 score offers updated definitions to describe organ dysfunction in adult patients requiring critical care and readily quantifiable criteria to grade the degree of dysfunction in individual organ systems. This score considers contemporaneous changes in patient management and outcomes.","container-title":"JAMA Network Open","DOI":"10.1001/jamanetworkopen.2025.45040","ISSN":"2574-3805","issue":"10","journalAbbreviation":"JAMA Netw Open","page":"e2545040","source":"Silverchair","title":"Rationale and Methodological Approach Underlying the Development of the Sequential Organ Failure Assessment (SOFA)–2 Score: A Consensus Statement","title-short":"Rationale and Methodological Approach Underlying the Development of the Sequential Organ Failure Assessment (SOFA)–2 Score","volume":"8","author":[{"family":"Moreno","given":"Rui"},{"family":"Rhodes","given":"Andrew"},{"family":"Ranzani","given":"Otavio"},{"family":"Salluh","given":"Jorge I. F."},{"family":"Berger-Estilita","given":"Joana"},{"family":"Coopersmith","given":"Craig M."},{"family":"Juffermans","given":"Nicole P."},{"family":"Laffey","given":"John"},{"family":"Reinikainen","given":"Matti"},{"family":"Neto","given":"Ary Serpa"},{"family":"Tavares","given":"Miguel"},{"family":"Timsit","given":"Jean-François"},{"family":"Arias Lopez","given":"Maria Del Pilar"},{"family":"Arulkumaran","given":"Nish"},{"family":"Azoulay","given":"Elie"},{"family":"Chaudhuri","given":"Dipayan"},{"family":"De Lange","given":"Dylan"},{"family":"De Waele","given":"Jan"},{"family":"Dos Santos","given":"Claudia C."},{"family":"Du","given":"Bin"},{"family":"Einav","given":"Sharon"},{"family":"Ferrer","given":"Ricard"},{"family":"Fujii","given":"Tomoko"},{"family":"Gershengorn","given":"Hayley B."},{"family":"Haniffa","given":"Rashan"},{"family":"Hasan","given":"Mohd Shahnaz"},{"family":"Hollenberg","given":"Steve"},{"family":"Ippolito","given":"Mariachiara"},{"family":"Jung","given":"Christian"},{"family":"Kirov","given":"Mikhail"},{"family":"Lakbar","given":"Inès"},{"family":"Lipman","given":"Jeffrey"},{"family":"Liu","given":"Vincent"},{"family":"Lobo","given":"Suzana Margareth"},{"family":"Martin","given":"Greg S."},{"family":"Metnitz","given":"Philipp"},{"family":"Myatra","given":"Sheila N."},{"family":"Oczkowski","given":"Simon"},{"family":"Paiva","given":"José-Artur"},{"family":"Paruk","given":"Fathima"},{"family":"Pekkarinen","given":"Pirkka T."},{"family":"Pilcher","given":"David"},{"family":"Piquilloud","given":"Lise"},{"family":"Pölkki","given":"Anssi"},{"family":"Prescott","given":"Halle C."},{"family":"Blaser","given":"Annika Reintam"},{"family":"Rezende","given":"Ederlon"},{"family":"Robba","given":"Chiara"},{"family":"Rochwerg","given":"Bram"},{"family":"Schenck","given":"Edward J."},{"family":"Sendagire","given":"Cornelius"},{"family":"Siaw-Frimpong","given":"Moses"},{"family":"Simpkin","given":"Andrew J."},{"family":"Soares","given":"Márcio"},{"family":"Summers","given":"Charlotte"},{"family":"Szczeklik","given":"Wojciech"},{"family":"Takala","given":"Jukka"},{"family":"Vincent","given":"Jean-Louis"},{"family":"Wendon","given":"Julia"},{"family":"Zampieri","given":"Fernando G."},{"family":"Shankar-Hari","given":"Manu"},{"family":"Singer","given":"Mervyn"}],"issued":{"date-parts":[["2025",10,29]]}}}],"schema":"https://github.com/citation-style-language/schema/raw/master/csl-citation.json"} </w:instrText>
      </w:r>
      <w:r>
        <w:rPr>
          <w:rFonts w:hint="eastAsia" w:eastAsiaTheme="minorEastAsia"/>
          <w:spacing w:val="-9"/>
          <w:sz w:val="20"/>
          <w:szCs w:val="20"/>
          <w:lang w:eastAsia="zh-CN"/>
        </w:rPr>
        <w:fldChar w:fldCharType="separate"/>
      </w:r>
      <w:r>
        <w:rPr>
          <w:rFonts w:eastAsiaTheme="minorEastAsia"/>
          <w:sz w:val="20"/>
          <w:lang w:eastAsia="zh-CN"/>
        </w:rPr>
        <w:t>[5]</w:t>
      </w:r>
      <w:r>
        <w:rPr>
          <w:rFonts w:hint="eastAsia" w:eastAsiaTheme="minorEastAsia"/>
          <w:spacing w:val="-9"/>
          <w:sz w:val="20"/>
          <w:szCs w:val="20"/>
          <w:lang w:eastAsia="zh-CN"/>
        </w:rPr>
        <w:fldChar w:fldCharType="end"/>
      </w:r>
      <w:r>
        <w:rPr>
          <w:rFonts w:hint="eastAsia" w:eastAsiaTheme="minorEastAsia"/>
          <w:spacing w:val="-9"/>
          <w:sz w:val="20"/>
          <w:szCs w:val="20"/>
          <w:lang w:eastAsia="zh-CN"/>
        </w:rPr>
        <w:t xml:space="preserve"> </w:t>
      </w:r>
      <w:r>
        <w:rPr>
          <w:sz w:val="20"/>
          <w:szCs w:val="20"/>
        </w:rPr>
        <w:t>were</w:t>
      </w:r>
      <w:r>
        <w:rPr>
          <w:spacing w:val="-9"/>
          <w:sz w:val="20"/>
          <w:szCs w:val="20"/>
        </w:rPr>
        <w:t xml:space="preserve"> </w:t>
      </w:r>
      <w:r>
        <w:rPr>
          <w:sz w:val="20"/>
          <w:szCs w:val="20"/>
        </w:rPr>
        <w:t>based</w:t>
      </w:r>
      <w:r>
        <w:rPr>
          <w:spacing w:val="-9"/>
          <w:sz w:val="20"/>
          <w:szCs w:val="20"/>
        </w:rPr>
        <w:t xml:space="preserve"> </w:t>
      </w:r>
      <w:r>
        <w:rPr>
          <w:sz w:val="20"/>
          <w:szCs w:val="20"/>
        </w:rPr>
        <w:t>on</w:t>
      </w:r>
      <w:r>
        <w:rPr>
          <w:spacing w:val="-9"/>
          <w:sz w:val="20"/>
          <w:szCs w:val="20"/>
        </w:rPr>
        <w:t xml:space="preserve"> </w:t>
      </w:r>
      <w:r>
        <w:rPr>
          <w:sz w:val="20"/>
          <w:szCs w:val="20"/>
        </w:rPr>
        <w:t>comparable</w:t>
      </w:r>
      <w:r>
        <w:rPr>
          <w:spacing w:val="-9"/>
          <w:sz w:val="20"/>
          <w:szCs w:val="20"/>
        </w:rPr>
        <w:t xml:space="preserve"> </w:t>
      </w:r>
      <w:r>
        <w:rPr>
          <w:sz w:val="20"/>
          <w:szCs w:val="20"/>
        </w:rPr>
        <w:t>observation</w:t>
      </w:r>
      <w:r>
        <w:rPr>
          <w:spacing w:val="-9"/>
          <w:sz w:val="20"/>
          <w:szCs w:val="20"/>
        </w:rPr>
        <w:t xml:space="preserve"> </w:t>
      </w:r>
      <w:r>
        <w:rPr>
          <w:sz w:val="20"/>
          <w:szCs w:val="20"/>
        </w:rPr>
        <w:t>periods</w:t>
      </w:r>
      <w:r>
        <w:rPr>
          <w:spacing w:val="-9"/>
          <w:sz w:val="20"/>
          <w:szCs w:val="20"/>
        </w:rPr>
        <w:t xml:space="preserve"> </w:t>
      </w:r>
      <w:r>
        <w:rPr>
          <w:sz w:val="20"/>
          <w:szCs w:val="20"/>
        </w:rPr>
        <w:t>across</w:t>
      </w:r>
      <w:r>
        <w:rPr>
          <w:spacing w:val="-9"/>
          <w:sz w:val="20"/>
          <w:szCs w:val="20"/>
        </w:rPr>
        <w:t xml:space="preserve"> </w:t>
      </w:r>
      <w:r>
        <w:rPr>
          <w:sz w:val="20"/>
          <w:szCs w:val="20"/>
        </w:rPr>
        <w:t>all</w:t>
      </w:r>
      <w:r>
        <w:rPr>
          <w:spacing w:val="-9"/>
          <w:sz w:val="20"/>
          <w:szCs w:val="20"/>
        </w:rPr>
        <w:t xml:space="preserve"> </w:t>
      </w:r>
      <w:r>
        <w:rPr>
          <w:sz w:val="20"/>
          <w:szCs w:val="20"/>
        </w:rPr>
        <w:t xml:space="preserve">three </w:t>
      </w:r>
      <w:r>
        <w:rPr>
          <w:spacing w:val="-2"/>
          <w:sz w:val="20"/>
          <w:szCs w:val="20"/>
        </w:rPr>
        <w:t>databases.</w:t>
      </w:r>
    </w:p>
    <w:p w14:paraId="06C3EF40">
      <w:pPr>
        <w:spacing w:line="480" w:lineRule="auto"/>
        <w:rPr>
          <w:sz w:val="20"/>
          <w:szCs w:val="20"/>
        </w:rPr>
      </w:pPr>
    </w:p>
    <w:p w14:paraId="6507EB4A">
      <w:pPr>
        <w:spacing w:line="480" w:lineRule="auto"/>
        <w:ind w:left="0"/>
        <w:rPr>
          <w:rFonts w:eastAsiaTheme="minorEastAsia"/>
          <w:b/>
          <w:spacing w:val="-2"/>
          <w:sz w:val="20"/>
          <w:szCs w:val="20"/>
          <w:lang w:eastAsia="zh-CN"/>
        </w:rPr>
      </w:pPr>
      <w:r>
        <w:rPr>
          <w:b/>
          <w:spacing w:val="-2"/>
          <w:sz w:val="20"/>
          <w:szCs w:val="20"/>
        </w:rPr>
        <w:t>4. Definition of Suspected Infection</w:t>
      </w:r>
    </w:p>
    <w:p w14:paraId="35A15346">
      <w:pPr>
        <w:spacing w:line="480" w:lineRule="auto"/>
        <w:rPr>
          <w:rFonts w:hint="eastAsia" w:eastAsiaTheme="minorEastAsia"/>
          <w:sz w:val="20"/>
          <w:szCs w:val="20"/>
          <w:lang w:eastAsia="zh-CN"/>
        </w:rPr>
      </w:pPr>
      <w:r>
        <w:rPr>
          <w:rFonts w:eastAsiaTheme="minorEastAsia"/>
          <w:sz w:val="20"/>
          <w:szCs w:val="20"/>
          <w:lang w:eastAsia="zh-CN"/>
        </w:rPr>
        <w:t xml:space="preserve">Suspected infection was identified by the temporal co-occurrence of clinical evidence of infection and administration of systemic antibiotics. In MIMIC-IV and AmsterdamUMCdb, clinical evidence of infection was defined as body fluid sampling for culture, with the infection window spanning antibiotics administered within 72 hours after culture or cultures obtained within 24 hours after antibiotics </w:t>
      </w:r>
      <w:r>
        <w:rPr>
          <w:rFonts w:hint="eastAsia" w:eastAsiaTheme="minorEastAsia"/>
          <w:sz w:val="20"/>
          <w:szCs w:val="20"/>
          <w:lang w:eastAsia="zh-CN"/>
        </w:rPr>
        <w:fldChar w:fldCharType="begin"/>
      </w:r>
      <w:r>
        <w:rPr>
          <w:rFonts w:hint="eastAsia" w:eastAsiaTheme="minorEastAsia"/>
          <w:sz w:val="20"/>
          <w:szCs w:val="20"/>
          <w:lang w:eastAsia="zh-CN"/>
        </w:rPr>
        <w:instrText xml:space="preserve"> ADDIN ZOTERO_ITEM CSL_CITATION {"citationID":"VxYGAoWc","properties":{"formattedCitation":"[6]","plainCitation":"[6]","noteIndex":0},"citationItems":[{"id":7985,"uris":["http://zotero.org/users/7180858/items/3PLJIDRG"],"itemData":{"id":7985,"type":"article-journal","abstract":"IMPORTANCE: Definitions of sepsis and septic shock were last revised in 2001. Considerable advances have since been made into the pathobiology (changes in organ function, morphology, cell biology, biochemistry, immunology, and circulation), management, and epidemiology of sepsis, suggesting the need for reexamination.\nOBJECTIVE: To evaluate and, as needed, update definitions for sepsis and septic shock.\nPROCESS: A task force (n = 19) with expertise in sepsis pathobiology, clinical trials, and epidemiology was convened by the Society of Critical Care Medicine and the European Society of Intensive Care Medicine. Definitions and clinical criteria were generated through meetings, Delphi processes, analysis of electronic health record databases, and voting, followed by circulation to international professional societies, requesting peer review and endorsement (by 31 societies listed in the Acknowledgment).\nKEY FINDINGS FROM EVIDENCE SYNTHESIS: Limitations of previous definitions included an excessive focus on inflammation, the misleading model that sepsis follows a continuum through severe sepsis to shock, and inadequate specificity and sensitivity of the systemic inflammatory response syndrome (SIRS) criteria. Multiple definitions and terminologies are currently in use for sepsis, septic shock, and organ dysfunction, leading to discrepancies in reported incidence and observed mortality. The task force concluded the term severe sepsis was redundant.\nRECOMMENDATIONS: Sepsis should be defined as life-threatening organ dysfunction caused by a dysregulated host response to infection. For clinical operationalization, organ dysfunction can be represented by an increase in the Sequential [Sepsis-related] Organ Failure Assessment (SOFA) score of 2 points or more, which is associated with an in-hospital mortality greater than 10%. Septic shock should be defined as a subset of sepsis in which particularly profound circulatory, cellular, and metabolic abnormalities are associated with a greater risk of mortality than with sepsis alone. Patients with septic shock can be clinically identified by a vasopressor requirement to maintain a mean arterial pressure of 65 mm Hg or greater and serum lactate level greater than 2 mmol/L (&gt;18 mg/dL) in the absence of hypovolemia. This combination is associated with hospital mortality rates greater than 40%. In out-of-hospital, emergency department, or general hospital ward settings, adult patients with suspected infection can be rapidly identified as being more likely to have poor outcomes typical of sepsis if they have at least 2 of the following clinical criteria that together constitute a new bedside clinical score termed quickSOFA (qSOFA): respiratory rate of 22/min or greater, altered mentation, or systolic blood pressure of 100 mm Hg or less.\nCONCLUSIONS AND RELEVANCE: These updated definitions and clinical criteria should replace previous definitions, offer greater consistency for epidemiologic studies and clinical trials, and facilitate earlier recognition and more timely management of patients with sepsis or at risk of developing sepsis.","container-title":"JAMA","DOI":"10.1001/jama.2016.0287","ISSN":"1538-3598","issue":"8","journalAbbreviation":"JAMA","language":"eng","page":"801-810","PMID":"26903338","PMCID":"PMC4968574","source":"PubMed","title":"The Third International Consensus Definitions for Sepsis and Septic Shock (Sepsis-3)","volume":"315","author":[{"family":"Singer","given":"Mervyn"},{"family":"Deutschman","given":"Clifford S."},{"family":"Seymour","given":"Christopher Warren"},{"family":"Shankar-Hari","given":"Manu"},{"family":"Annane","given":"Djillali"},{"family":"Bauer","given":"Michael"},{"family":"Bellomo","given":"Rinaldo"},{"family":"Bernard","given":"Gordon R."},{"family":"Chiche","given":"Jean-Daniel"},{"family":"Coopersmith","given":"Craig M."},{"family":"Hotchkiss","given":"Richard S."},{"family":"Levy","given":"Mitchell M."},{"family":"Marshall","given":"John C."},{"family":"Martin","given":"Greg S."},{"family":"Opal","given":"Steven M."},{"family":"Rubenfeld","given":"Gordon D."},{"family":"Poll","given":"Tom","non-dropping-particle":"van der"},{"family":"Vincent","given":"Jean-Louis"},{"family":"Angus","given":"Derek C."}],"issued":{"date-parts":[["2016",2,23]]}}}],"schema":"https://github.com/citation-style-language/schema/raw/master/csl-citation.json"} </w:instrText>
      </w:r>
      <w:r>
        <w:rPr>
          <w:rFonts w:hint="eastAsia" w:eastAsiaTheme="minorEastAsia"/>
          <w:sz w:val="20"/>
          <w:szCs w:val="20"/>
          <w:lang w:eastAsia="zh-CN"/>
        </w:rPr>
        <w:fldChar w:fldCharType="separate"/>
      </w:r>
      <w:r>
        <w:rPr>
          <w:rFonts w:eastAsiaTheme="minorEastAsia"/>
          <w:sz w:val="20"/>
          <w:lang w:eastAsia="zh-CN"/>
        </w:rPr>
        <w:t>[6]</w:t>
      </w:r>
      <w:r>
        <w:rPr>
          <w:rFonts w:hint="eastAsia" w:eastAsiaTheme="minorEastAsia"/>
          <w:sz w:val="20"/>
          <w:szCs w:val="20"/>
          <w:lang w:eastAsia="zh-CN"/>
        </w:rPr>
        <w:fldChar w:fldCharType="end"/>
      </w:r>
      <w:r>
        <w:rPr>
          <w:rFonts w:eastAsiaTheme="minorEastAsia"/>
          <w:sz w:val="20"/>
          <w:szCs w:val="20"/>
          <w:lang w:eastAsia="zh-CN"/>
        </w:rPr>
        <w:t xml:space="preserve">. In eICU-CRD, due to limited microbiology data availability, clinical evidence of infection was instead identified using infection-related ICD diagnosis codes, consistent with prior surveillance methodology using administrative data </w:t>
      </w:r>
      <w:r>
        <w:rPr>
          <w:rFonts w:eastAsiaTheme="minorEastAsia"/>
          <w:sz w:val="20"/>
          <w:szCs w:val="20"/>
          <w:lang w:eastAsia="zh-CN"/>
        </w:rPr>
        <w:fldChar w:fldCharType="begin"/>
      </w:r>
      <w:r>
        <w:rPr>
          <w:rFonts w:hint="eastAsia" w:eastAsiaTheme="minorEastAsia"/>
          <w:sz w:val="20"/>
          <w:szCs w:val="20"/>
          <w:lang w:eastAsia="zh-CN"/>
        </w:rPr>
        <w:instrText xml:space="preserve"> ADDIN ZOTERO_ITEM CSL_CITATION {"citationID":"xjqFoRFA","properties":{"formattedCitation":"[7–10]","plainCitation":"[7–10]","noteIndex":0},"citationItems":[{"id":8125,"uris":["http://zotero.org/users/7180858/items/75M7NJHC"],"itemData":{"id":8125,"type":"article-journal","abstract":"Clinical risk prediction with electronic health records (EHR) using machine learning has attracted lots of attentions in recent years, where one of the key challenges is how to protect data privacy. Federated learning (FL) provides a promising framework for building predictive models by leveraging the data from multiple institutions without sharing them. However, data distribution drift across different institutions greatly impacts the performance of FL. In this paper, an adaptive FL framework was proposed to address this challenge. Our framework separated the input features into stable, domain-specific, and conditional-irrelevant parts according to their relationships to clinical outcomes. We evaluate this framework on the tasks of predicting the onset risk of sepsis and acute kidney injury (AKI) for patients in the intensive care unit (ICU) from multiple clinical institutions. The results showed that our framework can achieve better prediction performance compared with existing FL baselines and provide reasonable feature interpretations.","container-title":"Patterns","DOI":"10.1016/j.patter.2023.100898","ISSN":"2666-3899","issue":"1","journalAbbreviation":"Patterns (N Y)","language":"eng","page":"100898","PMID":"38264713","PMCID":"PMC10801228","publisher-place":"New York, N.Y.","source":"PubMed","title":"An adaptive federated learning framework for clinical risk prediction with electronic health records from multiple hospitals","volume":"5","author":[{"family":"Pan","given":"Weishen"},{"family":"Xu","given":"Zhenxing"},{"family":"Rajendran","given":"Suraj"},{"family":"Wang","given":"Fei"}],"issued":{"date-parts":[["2024",1,12]]}},"label":"page"},{"id":8127,"uris":["http://zotero.org/users/7180858/items/EIPS26D3"],"itemData":{"id":8127,"type":"article-journal","abstract":"Sepsis is not a monolithic disease, but a loose collection of symptoms with diverse outcomes. Thus, stratification and subtyping of sepsis patients is of great importance. We examine the temporal evolution of patient state using our previously-published method for computing risk of transition from sepsis into septic shock. Risk trajectories diverge into four clusters following early prediction of septic shock, stratifying by outcome: the highest-risk and lowest-risk groups have a 76.5% and 10.4% prevalence of septic shock, and 43% and 18% mortality, respectively. These clusters differ also in treatments received and median time to shock onset. Analyses reveal the existence of a rapid (30-60 min) transition in risk at the time of threshold crossing. We hypothesize that this transition occurs as a result of the failure of compensatory biological systems to cope with infection, resulting in a bifurcation of low to high risk. Such a collapse, we believe, represents the true onset of septic shock. Thus, this rapid elevation in risk represents a potential new data-driven definition of septic shock.","container-title":"eLife","DOI":"10.7554/eLife.58142","ISSN":"2050-084X","journalAbbreviation":"Elife","language":"eng","page":"e58142","PMID":"32959779","PMCID":"PMC7508552","source":"PubMed","title":"Spectral clustering of risk score trajectories stratifies sepsis patients by clinical outcome and interventions received","volume":"9","author":[{"family":"Liu","given":"Ran"},{"family":"Greenstein","given":"Joseph L."},{"family":"Fackler","given":"James C."},{"family":"Bembea","given":"Melania M."},{"family":"Winslow","given":"Raimond L."}],"issued":{"date-parts":[["2020",9,22]]}},"label":"page"},{"id":8130,"uris":["http://zotero.org/users/7180858/items/RPLMJCGE"],"itemData":{"id":8130,"type":"article-journal","abstract":"BACKGROUND: Sepsis is a heterogeneous syndrome, and enrollment of more homogeneous patients is essential to improve the efficiency of clinical trials. Artificial intelligence (AI) has facilitated the identification of homogeneous subgroups, but how to estimate the uncertainty of the model outputs when applying AI to clinical decision-making remains unknown.\nOBJECTIVE: We aimed to design an AI-based model for purposeful patient enrollment, ensuring that a patient with sepsis recruited into a trial would still be persistently ill by the time the proposed therapy could impact patient outcome. We also expected that the model could provide interpretable factors and estimate the uncertainty of the model outputs at a customized confidence level.\nMETHODS: In this retrospective study, 9135 patients with sepsis requiring vasopressor treatment within 24 hours after sepsis onset were enrolled from Beth Israel Deaconess Medical Center. This cohort was used for model development, and 10-fold cross-validation with 50 repeats was used for internal validation. In total, 3743 patients with sepsis from the eICU Collaborative Research Database were used as the external validation cohort. All included patients with sepsis were stratified based on disease progression trajectories: rapid death, recovery, and persistent ill. A total of 148 variables were selected for predicting the 3 trajectories. Four machine learning algorithms with 3 different setups were used. We estimated the uncertainty of the model outputs using conformal prediction (CP). The Shapley Additive Explanations method was used to explain the model.\nRESULTS: The multiclass gradient boosting machine was identified as the best-performing model with good discrimination and calibration performance in both validation cohorts. The mean area under the receiver operating characteristic curve with SD was 0.906 (0.018) for rapid death, 0.843 (0.008) for recovery, and 0.807 (0.010) for persistent ill in the internal validation cohort. In the external validation cohort, the mean area under the receiver operating characteristic curve (SD) was 0.878 (0.003) for rapid death, 0.764 (0.008) for recovery, and 0.696 (0.007) for persistent ill. The maximum norepinephrine equivalence, total urine output, Acute Physiology Score III, mean systolic blood pressure, and the coefficient of variation of oxygen saturation contributed the most. Compared to the model without CP, using the model with CP at a mixed confidence approach reduced overall prediction errors by 27.6% (n=62) and 30.7% (n=412) in the internal and external validation cohorts, respectively, as well as enabled the identification of more potentially persistent ill patients.\nCONCLUSIONS: The implementation of our model has the potential to reduce heterogeneity and enroll more homogeneous patients in sepsis clinical trials. The use of CP for estimating the uncertainty of the model outputs allows for a more comprehensive understanding of the model's reliability and assists in making informed decisions based on the predicted outcomes.","container-title":"Journal of Medical Internet Research","DOI":"10.2196/54621","ISSN":"1438-8871","journalAbbreviation":"J Med Internet Res","language":"eng","page":"e54621","PMID":"39231425","PMCID":"PMC11411223","source":"PubMed","title":"Enhancing Patient Selection in Sepsis Clinical Trials Design Through an AI Enrichment Strategy: Algorithm Development and Validation","title-short":"Enhancing Patient Selection in Sepsis Clinical Trials Design Through an AI Enrichment Strategy","volume":"26","author":[{"family":"Yang","given":"Meicheng"},{"family":"Zhuang","given":"Jinqiang"},{"family":"Hu","given":"Wenhan"},{"family":"Li","given":"Jianqing"},{"family":"Wang","given":"Yu"},{"family":"Zhang","given":"Zhongheng"},{"family":"Liu","given":"Chengyu"},{"family":"Chen","given":"Hui"}],"issued":{"date-parts":[["2024",9,4]]}},"label":"page"},{"id":8132,"uris":["http://zotero.org/users/7180858/items/Q2FEX6P6"],"itemData":{"id":8132,"type":"article-journal","abstract":"PURPOSE: Sepsis is a leading cause of morbidity and mortality worldwide and is characterized by vascular leak. Treatment for sepsis, specifically intravenous fluids, may worsen deterioration in the context of vascular leak. We therefore sought to quantify vascular leak in sepsis patients to guide fluid resuscitation.\nMETHODS: We performed a retrospective cohort study of sepsis patients in four ICU databases in North America, Europe, and Asia. We developed an intuitive vascular leak index (VLI) and explored the relationship between VLI and in-hospital death and fluid balance using generalized additive models (GAM).\nRESULTS: Using a GAM, we found that increased VLI is associated with an increased risk of in-hospital death. Patients with a VLI in the highest quartile (Q4), across the four datasets, had a 1.61-2.31 times increased odds of dying in the hospital compared to patients with a VLI in the lowest quartile (Q1). VLI Q2 and Q3 were also associated with increased odds of dying. The relationship between VLI, treated as a continuous variable, and in-hospital death and fluid balance was statistically significant in the three datasets with large sample sizes. Specifically, we observed that as VLI increased, there was increase in the risk for in-hospital death and 36-84 h fluid balance.\nCONCLUSIONS: Our VLI identifies groups of patients who may be at higher risk for in-hospital death or for fluid accumulation. This relationship persisted in models developed to control for severity of illness and chronic comorbidities.","container-title":"Critical Care","DOI":"10.1186/s13054-022-03968-4","ISSN":"1466-609X","issue":"1","journalAbbreviation":"Crit Care","language":"eng","page":"103","PMID":"35410278","PMCID":"PMC9003991","publisher-place":"London, England","source":"PubMed","title":"A novel Vascular Leak Index identifies sepsis patients with a higher risk for in-hospital death and fluid accumulation","volume":"26","author":[{"family":"Chandra","given":"Jay"},{"family":"Armengol de la Hoz","given":"Miguel A."},{"family":"Lee","given":"Gwendolyn"},{"family":"Lee","given":"Alexandria"},{"family":"Thoral","given":"Patrick"},{"family":"Elbers","given":"Paul"},{"family":"Lee","given":"Hyung-Chul"},{"family":"Munger","given":"John S."},{"family":"Celi","given":"Leo Anthony"},{"family":"Kaufman","given":"David A."}],"issued":{"date-parts":[["2022",4,11]]}},"label":"page"}],"schema":"https://github.com/citation-style-language/schema/raw/master/csl-citation.json"} </w:instrText>
      </w:r>
      <w:r>
        <w:rPr>
          <w:rFonts w:eastAsiaTheme="minorEastAsia"/>
          <w:sz w:val="20"/>
          <w:szCs w:val="20"/>
          <w:lang w:eastAsia="zh-CN"/>
        </w:rPr>
        <w:fldChar w:fldCharType="separate"/>
      </w:r>
      <w:r>
        <w:rPr>
          <w:rFonts w:hint="default" w:ascii="Times New Roman" w:hAnsi="Times New Roman" w:cs="Times New Roman" w:eastAsiaTheme="minorEastAsia"/>
          <w:sz w:val="20"/>
          <w:szCs w:val="20"/>
          <w:lang w:eastAsia="zh-CN"/>
        </w:rPr>
        <w:t>[7–10]</w:t>
      </w:r>
      <w:r>
        <w:rPr>
          <w:rFonts w:eastAsiaTheme="minorEastAsia"/>
          <w:sz w:val="20"/>
          <w:szCs w:val="20"/>
          <w:lang w:eastAsia="zh-CN"/>
        </w:rPr>
        <w:fldChar w:fldCharType="end"/>
      </w:r>
      <w:r>
        <w:rPr>
          <w:rFonts w:eastAsiaTheme="minorEastAsia"/>
          <w:sz w:val="20"/>
          <w:szCs w:val="20"/>
          <w:lang w:eastAsia="zh-CN"/>
        </w:rPr>
        <w:t>. In all three databases, the timing of suspected infection onset was anchored to the initiation of systemic antibiotics.</w:t>
      </w:r>
    </w:p>
    <w:p w14:paraId="73E7D4BD">
      <w:pPr>
        <w:spacing w:line="480" w:lineRule="auto"/>
        <w:rPr>
          <w:sz w:val="20"/>
          <w:szCs w:val="20"/>
        </w:rPr>
      </w:pPr>
      <w:r>
        <w:rPr>
          <w:rFonts w:hint="eastAsia"/>
          <w:sz w:val="20"/>
          <w:szCs w:val="20"/>
        </w:rPr>
        <w:t xml:space="preserve"> </w:t>
      </w:r>
    </w:p>
    <w:p w14:paraId="13960144">
      <w:pPr>
        <w:spacing w:line="480" w:lineRule="auto"/>
        <w:ind w:left="0"/>
        <w:rPr>
          <w:b/>
          <w:spacing w:val="-2"/>
          <w:sz w:val="20"/>
          <w:szCs w:val="20"/>
        </w:rPr>
      </w:pPr>
      <w:r>
        <w:rPr>
          <w:b/>
          <w:spacing w:val="-2"/>
          <w:sz w:val="20"/>
          <w:szCs w:val="20"/>
        </w:rPr>
        <w:t xml:space="preserve">5. SOFA Score Calculation </w:t>
      </w:r>
    </w:p>
    <w:p w14:paraId="229E6D04">
      <w:pPr>
        <w:spacing w:line="480" w:lineRule="auto"/>
        <w:rPr>
          <w:sz w:val="20"/>
          <w:szCs w:val="20"/>
        </w:rPr>
      </w:pPr>
      <w:r>
        <w:rPr>
          <w:sz w:val="20"/>
          <w:szCs w:val="20"/>
        </w:rPr>
        <w:t>The SOFA-1 score was computed according to the original 1996 criteria (eTable 1</w:t>
      </w:r>
      <w:r>
        <w:fldChar w:fldCharType="begin"/>
      </w:r>
      <w:r>
        <w:instrText xml:space="preserve">HYPERLINK "file:///C:\Users\Dell\Downloads\cc7xle" \l "_bookmark5" \t "dkey"</w:instrText>
      </w:r>
      <w:r>
        <w:fldChar w:fldCharType="separate"/>
      </w:r>
      <w:r>
        <w:rPr>
          <w:sz w:val="20"/>
          <w:szCs w:val="20"/>
        </w:rPr>
        <w:t>).</w:t>
      </w:r>
      <w:r>
        <w:fldChar w:fldCharType="end"/>
      </w:r>
      <w:r>
        <w:rPr>
          <w:sz w:val="20"/>
          <w:szCs w:val="20"/>
        </w:rPr>
        <w:t xml:space="preserve"> The SOFA-2 score was computed according to the updated 2025 </w:t>
      </w:r>
      <w:r>
        <w:fldChar w:fldCharType="begin"/>
      </w:r>
      <w:r>
        <w:instrText xml:space="preserve">HYPERLINK "file:///C:\Users\Dell\Downloads\8og1v1" \l "_bookmark8" \t "dkey"</w:instrText>
      </w:r>
      <w:r>
        <w:fldChar w:fldCharType="separate"/>
      </w:r>
      <w:r>
        <w:rPr>
          <w:sz w:val="20"/>
          <w:szCs w:val="20"/>
        </w:rPr>
        <w:t>criteria,</w:t>
      </w:r>
      <w:r>
        <w:fldChar w:fldCharType="end"/>
      </w:r>
      <w:r>
        <w:rPr>
          <w:sz w:val="20"/>
          <w:szCs w:val="20"/>
        </w:rPr>
        <w:t xml:space="preserve">  incorporating the following key modifications:</w:t>
      </w:r>
      <w:r>
        <w:rPr>
          <w:rFonts w:hint="eastAsia"/>
          <w:sz w:val="20"/>
          <w:szCs w:val="20"/>
        </w:rPr>
        <w:t xml:space="preserve"> </w:t>
      </w:r>
      <w:r>
        <w:rPr>
          <w:sz w:val="20"/>
          <w:szCs w:val="20"/>
        </w:rPr>
        <w:t>(1) for the respiratory system, lowered PaO</w:t>
      </w:r>
      <w:r>
        <w:rPr>
          <w:sz w:val="20"/>
          <w:szCs w:val="20"/>
          <w:vertAlign w:val="subscript"/>
        </w:rPr>
        <w:t>2</w:t>
      </w:r>
      <w:r>
        <w:rPr>
          <w:sz w:val="20"/>
          <w:szCs w:val="20"/>
        </w:rPr>
        <w:t>/FiO</w:t>
      </w:r>
      <w:r>
        <w:rPr>
          <w:sz w:val="20"/>
          <w:szCs w:val="20"/>
          <w:vertAlign w:val="subscript"/>
        </w:rPr>
        <w:t>2</w:t>
      </w:r>
      <w:r>
        <w:rPr>
          <w:sz w:val="20"/>
          <w:szCs w:val="20"/>
        </w:rPr>
        <w:t xml:space="preserve"> thresholds, use of SpO</w:t>
      </w:r>
      <w:r>
        <w:rPr>
          <w:sz w:val="20"/>
          <w:szCs w:val="20"/>
          <w:vertAlign w:val="subscript"/>
        </w:rPr>
        <w:t>2</w:t>
      </w:r>
      <w:r>
        <w:rPr>
          <w:sz w:val="20"/>
          <w:szCs w:val="20"/>
        </w:rPr>
        <w:t>/FiO</w:t>
      </w:r>
      <w:r>
        <w:rPr>
          <w:sz w:val="20"/>
          <w:szCs w:val="20"/>
          <w:vertAlign w:val="subscript"/>
        </w:rPr>
        <w:t>2</w:t>
      </w:r>
      <w:r>
        <w:rPr>
          <w:sz w:val="20"/>
          <w:szCs w:val="20"/>
        </w:rPr>
        <w:t xml:space="preserve"> ratios when PaO</w:t>
      </w:r>
      <w:r>
        <w:rPr>
          <w:sz w:val="20"/>
          <w:szCs w:val="20"/>
          <w:vertAlign w:val="subscript"/>
        </w:rPr>
        <w:t>2</w:t>
      </w:r>
      <w:r>
        <w:rPr>
          <w:sz w:val="20"/>
          <w:szCs w:val="20"/>
        </w:rPr>
        <w:t xml:space="preserve"> was unavailable and SpO</w:t>
      </w:r>
      <w:r>
        <w:rPr>
          <w:sz w:val="20"/>
          <w:szCs w:val="20"/>
          <w:vertAlign w:val="subscript"/>
        </w:rPr>
        <w:t>2</w:t>
      </w:r>
      <w:r>
        <w:rPr>
          <w:sz w:val="20"/>
          <w:szCs w:val="20"/>
        </w:rPr>
        <w:t xml:space="preserve"> was &lt;98%, and inclusion of advanced ventilatory support (including high-flow nasal cannula and noninvasive ventilation) in scoring thresholds; (2) for the cardiovascular system, summation of norepinephrine and epinephrine doses and incorporation of mechanical circulatory support; (3) for the renal system, use of weight-standardized urine output thresholds assessed over 6-, 12-, and 24-hour windows; and (4) for the neurological system, use of pre-sedation Glasgow Coma Scale scores and awarding 1 point for patients receiving delirium treatment; updated cutoffs were also applied for coagulation and liver components as specified in the consensus criteria (eTable 2).</w:t>
      </w:r>
    </w:p>
    <w:p w14:paraId="0046007A">
      <w:pPr>
        <w:spacing w:line="480" w:lineRule="auto"/>
        <w:rPr>
          <w:rFonts w:eastAsiaTheme="minorEastAsia"/>
          <w:sz w:val="20"/>
          <w:szCs w:val="20"/>
          <w:lang w:eastAsia="zh-CN"/>
        </w:rPr>
      </w:pPr>
    </w:p>
    <w:p w14:paraId="33CE1D8B">
      <w:pPr>
        <w:spacing w:line="480" w:lineRule="auto"/>
        <w:ind w:left="0"/>
        <w:rPr>
          <w:b/>
          <w:spacing w:val="-2"/>
          <w:sz w:val="20"/>
          <w:szCs w:val="20"/>
        </w:rPr>
      </w:pPr>
      <w:r>
        <w:rPr>
          <w:b/>
          <w:spacing w:val="-2"/>
          <w:sz w:val="20"/>
          <w:szCs w:val="20"/>
        </w:rPr>
        <w:t>6. Calculation of ∆SOFA</w:t>
      </w:r>
    </w:p>
    <w:p w14:paraId="46E4DB11">
      <w:pPr>
        <w:pStyle w:val="5"/>
        <w:spacing w:line="480" w:lineRule="auto"/>
        <w:rPr>
          <w:rFonts w:eastAsiaTheme="minorEastAsia"/>
          <w:sz w:val="20"/>
          <w:szCs w:val="20"/>
          <w:lang w:eastAsia="zh-CN"/>
        </w:rPr>
      </w:pPr>
      <w:r>
        <w:rPr>
          <w:sz w:val="20"/>
          <w:szCs w:val="20"/>
        </w:rPr>
        <w:t>Consistent with the Sepsis-3 criteria, the ∆SOFA for each organ was calculated as the difference between the current subscore and the cumulative minimum subscore observed up to that time point, reflecting the acute increase from the patient’s individual baseline</w:t>
      </w:r>
    </w:p>
    <w:p w14:paraId="7DE916ED">
      <w:pPr>
        <w:spacing w:line="480" w:lineRule="auto"/>
        <w:rPr>
          <w:rFonts w:eastAsiaTheme="minorEastAsia"/>
          <w:sz w:val="20"/>
          <w:szCs w:val="20"/>
          <w:lang w:eastAsia="zh-CN"/>
        </w:rPr>
      </w:pPr>
    </w:p>
    <w:p w14:paraId="201EC931">
      <w:pPr>
        <w:spacing w:line="480" w:lineRule="auto"/>
        <w:ind w:left="0"/>
        <w:rPr>
          <w:b/>
          <w:spacing w:val="-2"/>
          <w:sz w:val="20"/>
          <w:szCs w:val="20"/>
        </w:rPr>
      </w:pPr>
      <w:r>
        <w:rPr>
          <w:b/>
          <w:spacing w:val="-2"/>
          <w:sz w:val="20"/>
          <w:szCs w:val="20"/>
        </w:rPr>
        <w:t>7. Sepsis-3 Event Labeling</w:t>
      </w:r>
    </w:p>
    <w:p w14:paraId="3ADCB5F0">
      <w:pPr>
        <w:spacing w:line="480" w:lineRule="auto"/>
        <w:rPr>
          <w:sz w:val="20"/>
          <w:szCs w:val="20"/>
        </w:rPr>
      </w:pPr>
      <w:r>
        <w:rPr>
          <w:sz w:val="20"/>
          <w:szCs w:val="20"/>
        </w:rPr>
        <w:t xml:space="preserve">Sepsis-3 </w:t>
      </w:r>
      <w:r>
        <w:rPr>
          <w:rFonts w:hint="eastAsia" w:eastAsiaTheme="minorEastAsia"/>
          <w:sz w:val="20"/>
          <w:szCs w:val="20"/>
          <w:lang w:eastAsia="zh-CN"/>
        </w:rPr>
        <w:fldChar w:fldCharType="begin"/>
      </w:r>
      <w:r>
        <w:rPr>
          <w:rFonts w:hint="eastAsia" w:eastAsiaTheme="minorEastAsia"/>
          <w:sz w:val="20"/>
          <w:szCs w:val="20"/>
          <w:lang w:eastAsia="zh-CN"/>
        </w:rPr>
        <w:instrText xml:space="preserve"> ADDIN ZOTERO_ITEM CSL_CITATION {"citationID":"z6I04m8u","properties":{"formattedCitation":"[6]","plainCitation":"[6]","noteIndex":0},"citationItems":[{"id":7985,"uris":["http://zotero.org/users/7180858/items/3PLJIDRG"],"itemData":{"id":7985,"type":"article-journal","abstract":"IMPORTANCE: Definitions of sepsis and septic shock were last revised in 2001. Considerable advances have since been made into the pathobiology (changes in organ function, morphology, cell biology, biochemistry, immunology, and circulation), management, and epidemiology of sepsis, suggesting the need for reexamination.\nOBJECTIVE: To evaluate and, as needed, update definitions for sepsis and septic shock.\nPROCESS: A task force (n = 19) with expertise in sepsis pathobiology, clinical trials, and epidemiology was convened by the Society of Critical Care Medicine and the European Society of Intensive Care Medicine. Definitions and clinical criteria were generated through meetings, Delphi processes, analysis of electronic health record databases, and voting, followed by circulation to international professional societies, requesting peer review and endorsement (by 31 societies listed in the Acknowledgment).\nKEY FINDINGS FROM EVIDENCE SYNTHESIS: Limitations of previous definitions included an excessive focus on inflammation, the misleading model that sepsis follows a continuum through severe sepsis to shock, and inadequate specificity and sensitivity of the systemic inflammatory response syndrome (SIRS) criteria. Multiple definitions and terminologies are currently in use for sepsis, septic shock, and organ dysfunction, leading to discrepancies in reported incidence and observed mortality. The task force concluded the term severe sepsis was redundant.\nRECOMMENDATIONS: Sepsis should be defined as life-threatening organ dysfunction caused by a dysregulated host response to infection. For clinical operationalization, organ dysfunction can be represented by an increase in the Sequential [Sepsis-related] Organ Failure Assessment (SOFA) score of 2 points or more, which is associated with an in-hospital mortality greater than 10%. Septic shock should be defined as a subset of sepsis in which particularly profound circulatory, cellular, and metabolic abnormalities are associated with a greater risk of mortality than with sepsis alone. Patients with septic shock can be clinically identified by a vasopressor requirement to maintain a mean arterial pressure of 65 mm Hg or greater and serum lactate level greater than 2 mmol/L (&gt;18 mg/dL) in the absence of hypovolemia. This combination is associated with hospital mortality rates greater than 40%. In out-of-hospital, emergency department, or general hospital ward settings, adult patients with suspected infection can be rapidly identified as being more likely to have poor outcomes typical of sepsis if they have at least 2 of the following clinical criteria that together constitute a new bedside clinical score termed quickSOFA (qSOFA): respiratory rate of 22/min or greater, altered mentation, or systolic blood pressure of 100 mm Hg or less.\nCONCLUSIONS AND RELEVANCE: These updated definitions and clinical criteria should replace previous definitions, offer greater consistency for epidemiologic studies and clinical trials, and facilitate earlier recognition and more timely management of patients with sepsis or at risk of developing sepsis.","container-title":"JAMA","DOI":"10.1001/jama.2016.0287","ISSN":"1538-3598","issue":"8","journalAbbreviation":"JAMA","language":"eng","page":"801-810","PMID":"26903338","PMCID":"PMC4968574","source":"PubMed","title":"The Third International Consensus Definitions for Sepsis and Septic Shock (Sepsis-3)","volume":"315","author":[{"family":"Singer","given":"Mervyn"},{"family":"Deutschman","given":"Clifford S."},{"family":"Seymour","given":"Christopher Warren"},{"family":"Shankar-Hari","given":"Manu"},{"family":"Annane","given":"Djillali"},{"family":"Bauer","given":"Michael"},{"family":"Bellomo","given":"Rinaldo"},{"family":"Bernard","given":"Gordon R."},{"family":"Chiche","given":"Jean-Daniel"},{"family":"Coopersmith","given":"Craig M."},{"family":"Hotchkiss","given":"Richard S."},{"family":"Levy","given":"Mitchell M."},{"family":"Marshall","given":"John C."},{"family":"Martin","given":"Greg S."},{"family":"Opal","given":"Steven M."},{"family":"Rubenfeld","given":"Gordon D."},{"family":"Poll","given":"Tom","non-dropping-particle":"van der"},{"family":"Vincent","given":"Jean-Louis"},{"family":"Angus","given":"Derek C."}],"issued":{"date-parts":[["2016",2,23]]}}}],"schema":"https://github.com/citation-style-language/schema/raw/master/csl-citation.json"} </w:instrText>
      </w:r>
      <w:r>
        <w:rPr>
          <w:rFonts w:hint="eastAsia" w:eastAsiaTheme="minorEastAsia"/>
          <w:sz w:val="20"/>
          <w:szCs w:val="20"/>
          <w:lang w:eastAsia="zh-CN"/>
        </w:rPr>
        <w:fldChar w:fldCharType="separate"/>
      </w:r>
      <w:r>
        <w:rPr>
          <w:rFonts w:eastAsiaTheme="minorEastAsia"/>
          <w:sz w:val="20"/>
          <w:lang w:eastAsia="zh-CN"/>
        </w:rPr>
        <w:t>[6]</w:t>
      </w:r>
      <w:r>
        <w:rPr>
          <w:rFonts w:hint="eastAsia" w:eastAsiaTheme="minorEastAsia"/>
          <w:sz w:val="20"/>
          <w:szCs w:val="20"/>
          <w:lang w:eastAsia="zh-CN"/>
        </w:rPr>
        <w:fldChar w:fldCharType="end"/>
      </w:r>
      <w:r>
        <w:rPr>
          <w:rFonts w:hint="eastAsia" w:eastAsiaTheme="minorEastAsia"/>
          <w:sz w:val="20"/>
          <w:szCs w:val="20"/>
          <w:lang w:eastAsia="zh-CN"/>
        </w:rPr>
        <w:t xml:space="preserve"> </w:t>
      </w:r>
      <w:r>
        <w:rPr>
          <w:sz w:val="20"/>
          <w:szCs w:val="20"/>
        </w:rPr>
        <w:t>events were detected from hourly SOFA trajectories and SI events using</w:t>
      </w:r>
      <w:r>
        <w:rPr>
          <w:rFonts w:hint="eastAsia" w:eastAsiaTheme="minorEastAsia"/>
          <w:sz w:val="20"/>
          <w:szCs w:val="20"/>
          <w:lang w:eastAsia="zh-CN"/>
        </w:rPr>
        <w:t xml:space="preserve"> the </w:t>
      </w:r>
      <w:r>
        <w:rPr>
          <w:sz w:val="20"/>
          <w:szCs w:val="20"/>
        </w:rPr>
        <w:t>procedure</w:t>
      </w:r>
      <w:r>
        <w:rPr>
          <w:rFonts w:hint="eastAsia" w:eastAsiaTheme="minorEastAsia"/>
          <w:sz w:val="20"/>
          <w:szCs w:val="20"/>
          <w:lang w:eastAsia="zh-CN"/>
        </w:rPr>
        <w:t xml:space="preserve"> </w:t>
      </w:r>
      <w:r>
        <w:rPr>
          <w:sz w:val="20"/>
          <w:szCs w:val="20"/>
        </w:rPr>
        <w:t>consistent</w:t>
      </w:r>
      <w:r>
        <w:rPr>
          <w:rFonts w:hint="eastAsia" w:eastAsiaTheme="minorEastAsia"/>
          <w:sz w:val="20"/>
          <w:szCs w:val="20"/>
          <w:lang w:eastAsia="zh-CN"/>
        </w:rPr>
        <w:t xml:space="preserve"> with</w:t>
      </w:r>
      <w:r>
        <w:rPr>
          <w:sz w:val="20"/>
          <w:szCs w:val="20"/>
        </w:rPr>
        <w:t xml:space="preserve"> </w:t>
      </w:r>
      <w:r>
        <w:rPr>
          <w:i/>
          <w:sz w:val="20"/>
          <w:szCs w:val="20"/>
        </w:rPr>
        <w:t>ricu</w:t>
      </w:r>
      <w:r>
        <w:rPr>
          <w:rFonts w:hint="eastAsia" w:eastAsiaTheme="minorEastAsia"/>
          <w:sz w:val="20"/>
          <w:szCs w:val="20"/>
          <w:lang w:eastAsia="zh-CN"/>
        </w:rPr>
        <w:t xml:space="preserve"> </w:t>
      </w:r>
      <w:r>
        <w:rPr>
          <w:rFonts w:hint="eastAsia" w:eastAsiaTheme="minorEastAsia"/>
          <w:sz w:val="20"/>
          <w:szCs w:val="20"/>
          <w:lang w:eastAsia="zh-CN"/>
        </w:rPr>
        <w:fldChar w:fldCharType="begin"/>
      </w:r>
      <w:r>
        <w:rPr>
          <w:rFonts w:hint="eastAsia" w:eastAsiaTheme="minorEastAsia"/>
          <w:sz w:val="20"/>
          <w:szCs w:val="20"/>
          <w:lang w:eastAsia="zh-CN"/>
        </w:rPr>
        <w:instrText xml:space="preserve"> ADDIN ZOTERO_ITEM CSL_CITATION {"citationID":"hb9Miwrq","properties":{"formattedCitation":"[11]","plainCitation":"[11]","noteIndex":0},"citationItems":[{"id":5790,"uris":["http://zotero.org/users/7180858/items/MYH9XNMD"],"itemData":{"id":5790,"type":"article-journal","abstract":"Objective: To develop a unified framework for analyzing data from 5 large publicly available intensive care unit (ICU) datasets. Findings: Using 3 American (Medical Information Mart for Intensive Care III, Medical Information Mart for Intensive Care IV, electronic ICU) and 2 European (Amsterdam University Medical Center Database, High Time Resolution ICU Dataset) databases, we constructed a mapping for each database to a set of clinically relevant concepts, which are grounded in the Observational Medical Outcomes Partnership Vocabulary wherever possible. Furthermore, we performed synchronization in the units of measurement and data type representation. On top of this, we built functionality, which allows the user to download, set up, and load data from all of the 5 databases, through a unified Application Programming Interface. The resulting ricu R-package represents the computational infrastructure for handling publicly available ICU datasets, and its latest release allows the user to load 119 existing clinical concepts from the 5 data sources.","container-title":"GigaScience","DOI":"10.1093/gigascience/giad041","ISSN":"2047-217X","language":"en","page":"giad041","source":"DOI.org (Crossref)","title":"ricu: R’s interface to intensive care data","title-short":"ricu","volume":"12","author":[{"family":"Bennett","given":"Nicolas"},{"family":"Plečko","given":"Drago"},{"family":"Ukor","given":"Ida-Fong"},{"family":"Meinshausen","given":"Nicolai"},{"family":"Bühlmann","given":"Peter"}],"issued":{"date-parts":[["2022",12,28]]}}}],"schema":"https://github.com/citation-style-language/schema/raw/master/csl-citation.json"} </w:instrText>
      </w:r>
      <w:r>
        <w:rPr>
          <w:rFonts w:hint="eastAsia" w:eastAsiaTheme="minorEastAsia"/>
          <w:sz w:val="20"/>
          <w:szCs w:val="20"/>
          <w:lang w:eastAsia="zh-CN"/>
        </w:rPr>
        <w:fldChar w:fldCharType="separate"/>
      </w:r>
      <w:r>
        <w:rPr>
          <w:rFonts w:hint="default" w:ascii="Times New Roman" w:hAnsi="Times New Roman" w:cs="Times New Roman" w:eastAsiaTheme="minorEastAsia"/>
          <w:sz w:val="20"/>
          <w:lang w:eastAsia="zh-CN"/>
        </w:rPr>
        <w:t>[11]</w:t>
      </w:r>
      <w:r>
        <w:rPr>
          <w:rFonts w:hint="eastAsia" w:eastAsiaTheme="minorEastAsia"/>
          <w:sz w:val="20"/>
          <w:szCs w:val="20"/>
          <w:lang w:eastAsia="zh-CN"/>
        </w:rPr>
        <w:fldChar w:fldCharType="end"/>
      </w:r>
      <w:r>
        <w:rPr>
          <w:rFonts w:hint="eastAsia" w:eastAsiaTheme="minorEastAsia"/>
          <w:sz w:val="20"/>
          <w:szCs w:val="20"/>
          <w:lang w:eastAsia="zh-CN"/>
        </w:rPr>
        <w:t>.</w:t>
      </w:r>
      <w:r>
        <w:rPr>
          <w:spacing w:val="32"/>
          <w:sz w:val="20"/>
          <w:szCs w:val="20"/>
        </w:rPr>
        <w:t xml:space="preserve"> </w:t>
      </w:r>
      <w:r>
        <w:rPr>
          <w:sz w:val="20"/>
          <w:szCs w:val="20"/>
        </w:rPr>
        <w:t>The following algorithm was applied separately to the time series data computed from SOFA-1 and SOFA-2 scores:</w:t>
      </w:r>
    </w:p>
    <w:p w14:paraId="0020ABFF">
      <w:pPr>
        <w:pStyle w:val="25"/>
        <w:numPr>
          <w:ilvl w:val="0"/>
          <w:numId w:val="1"/>
        </w:numPr>
        <w:tabs>
          <w:tab w:val="left" w:pos="435"/>
        </w:tabs>
        <w:spacing w:before="0" w:line="480" w:lineRule="auto"/>
        <w:rPr>
          <w:sz w:val="20"/>
          <w:szCs w:val="20"/>
        </w:rPr>
      </w:pPr>
      <w:r>
        <w:rPr>
          <w:sz w:val="20"/>
          <w:szCs w:val="20"/>
        </w:rPr>
        <w:t>An</w:t>
      </w:r>
      <w:r>
        <w:rPr>
          <w:spacing w:val="-9"/>
          <w:sz w:val="20"/>
          <w:szCs w:val="20"/>
        </w:rPr>
        <w:t xml:space="preserve"> </w:t>
      </w:r>
      <w:r>
        <w:rPr>
          <w:sz w:val="20"/>
          <w:szCs w:val="20"/>
        </w:rPr>
        <w:t>SI</w:t>
      </w:r>
      <w:r>
        <w:rPr>
          <w:spacing w:val="-8"/>
          <w:sz w:val="20"/>
          <w:szCs w:val="20"/>
        </w:rPr>
        <w:t xml:space="preserve"> </w:t>
      </w:r>
      <w:r>
        <w:rPr>
          <w:sz w:val="20"/>
          <w:szCs w:val="20"/>
        </w:rPr>
        <w:t>time</w:t>
      </w:r>
      <w:r>
        <w:rPr>
          <w:spacing w:val="-8"/>
          <w:sz w:val="20"/>
          <w:szCs w:val="20"/>
        </w:rPr>
        <w:t xml:space="preserve"> </w:t>
      </w:r>
      <w:r>
        <w:rPr>
          <w:sz w:val="20"/>
          <w:szCs w:val="20"/>
        </w:rPr>
        <w:t>window</w:t>
      </w:r>
      <w:r>
        <w:rPr>
          <w:spacing w:val="-8"/>
          <w:sz w:val="20"/>
          <w:szCs w:val="20"/>
        </w:rPr>
        <w:t xml:space="preserve"> </w:t>
      </w:r>
      <w:r>
        <w:rPr>
          <w:sz w:val="20"/>
          <w:szCs w:val="20"/>
        </w:rPr>
        <w:t>was</w:t>
      </w:r>
      <w:r>
        <w:rPr>
          <w:spacing w:val="-8"/>
          <w:sz w:val="20"/>
          <w:szCs w:val="20"/>
        </w:rPr>
        <w:t xml:space="preserve"> </w:t>
      </w:r>
      <w:r>
        <w:rPr>
          <w:sz w:val="20"/>
          <w:szCs w:val="20"/>
        </w:rPr>
        <w:t>constructed</w:t>
      </w:r>
      <w:r>
        <w:rPr>
          <w:spacing w:val="-9"/>
          <w:sz w:val="20"/>
          <w:szCs w:val="20"/>
        </w:rPr>
        <w:t xml:space="preserve"> </w:t>
      </w:r>
      <w:r>
        <w:rPr>
          <w:sz w:val="20"/>
          <w:szCs w:val="20"/>
        </w:rPr>
        <w:t>as</w:t>
      </w:r>
      <w:r>
        <w:rPr>
          <w:spacing w:val="-8"/>
          <w:sz w:val="20"/>
          <w:szCs w:val="20"/>
        </w:rPr>
        <w:t xml:space="preserve"> </w:t>
      </w:r>
      <w:r>
        <w:rPr>
          <w:sz w:val="20"/>
          <w:szCs w:val="20"/>
        </w:rPr>
        <w:t>[SI</w:t>
      </w:r>
      <w:r>
        <w:rPr>
          <w:i/>
          <w:sz w:val="20"/>
          <w:szCs w:val="20"/>
        </w:rPr>
        <w:t>−</w:t>
      </w:r>
      <w:r>
        <w:rPr>
          <w:sz w:val="20"/>
          <w:szCs w:val="20"/>
        </w:rPr>
        <w:t>48h,</w:t>
      </w:r>
      <w:r>
        <w:rPr>
          <w:spacing w:val="-8"/>
          <w:sz w:val="20"/>
          <w:szCs w:val="20"/>
        </w:rPr>
        <w:t xml:space="preserve"> </w:t>
      </w:r>
      <w:r>
        <w:rPr>
          <w:spacing w:val="-2"/>
          <w:sz w:val="20"/>
          <w:szCs w:val="20"/>
        </w:rPr>
        <w:t>SI+24h].</w:t>
      </w:r>
    </w:p>
    <w:p w14:paraId="1AA90CE0">
      <w:pPr>
        <w:pStyle w:val="25"/>
        <w:numPr>
          <w:ilvl w:val="0"/>
          <w:numId w:val="1"/>
        </w:numPr>
        <w:tabs>
          <w:tab w:val="left" w:pos="435"/>
        </w:tabs>
        <w:spacing w:before="0" w:line="480" w:lineRule="auto"/>
        <w:rPr>
          <w:sz w:val="20"/>
          <w:szCs w:val="20"/>
        </w:rPr>
      </w:pPr>
      <w:r>
        <w:rPr>
          <w:spacing w:val="-2"/>
          <w:sz w:val="20"/>
          <w:szCs w:val="20"/>
        </w:rPr>
        <w:t>Within</w:t>
      </w:r>
      <w:r>
        <w:rPr>
          <w:spacing w:val="-4"/>
          <w:sz w:val="20"/>
          <w:szCs w:val="20"/>
        </w:rPr>
        <w:t xml:space="preserve"> </w:t>
      </w:r>
      <w:r>
        <w:rPr>
          <w:spacing w:val="-2"/>
          <w:sz w:val="20"/>
          <w:szCs w:val="20"/>
        </w:rPr>
        <w:t>the</w:t>
      </w:r>
      <w:r>
        <w:rPr>
          <w:spacing w:val="-3"/>
          <w:sz w:val="20"/>
          <w:szCs w:val="20"/>
        </w:rPr>
        <w:t xml:space="preserve"> </w:t>
      </w:r>
      <w:r>
        <w:rPr>
          <w:spacing w:val="-2"/>
          <w:sz w:val="20"/>
          <w:szCs w:val="20"/>
        </w:rPr>
        <w:t>SI</w:t>
      </w:r>
      <w:r>
        <w:rPr>
          <w:spacing w:val="-3"/>
          <w:sz w:val="20"/>
          <w:szCs w:val="20"/>
        </w:rPr>
        <w:t xml:space="preserve"> </w:t>
      </w:r>
      <w:r>
        <w:rPr>
          <w:spacing w:val="-2"/>
          <w:sz w:val="20"/>
          <w:szCs w:val="20"/>
        </w:rPr>
        <w:t>window,</w:t>
      </w:r>
      <w:r>
        <w:rPr>
          <w:spacing w:val="-3"/>
          <w:sz w:val="20"/>
          <w:szCs w:val="20"/>
        </w:rPr>
        <w:t xml:space="preserve"> </w:t>
      </w:r>
      <w:r>
        <w:rPr>
          <w:spacing w:val="-2"/>
          <w:sz w:val="20"/>
          <w:szCs w:val="20"/>
        </w:rPr>
        <w:t>∆SOFA</w:t>
      </w:r>
      <w:r>
        <w:rPr>
          <w:spacing w:val="-3"/>
          <w:sz w:val="20"/>
          <w:szCs w:val="20"/>
        </w:rPr>
        <w:t xml:space="preserve"> </w:t>
      </w:r>
      <w:r>
        <w:rPr>
          <w:spacing w:val="-2"/>
          <w:sz w:val="20"/>
          <w:szCs w:val="20"/>
        </w:rPr>
        <w:t>was</w:t>
      </w:r>
      <w:r>
        <w:rPr>
          <w:spacing w:val="-4"/>
          <w:sz w:val="20"/>
          <w:szCs w:val="20"/>
        </w:rPr>
        <w:t xml:space="preserve"> </w:t>
      </w:r>
      <w:r>
        <w:rPr>
          <w:spacing w:val="-2"/>
          <w:sz w:val="20"/>
          <w:szCs w:val="20"/>
        </w:rPr>
        <w:t>computed</w:t>
      </w:r>
      <w:r>
        <w:rPr>
          <w:spacing w:val="-3"/>
          <w:sz w:val="20"/>
          <w:szCs w:val="20"/>
        </w:rPr>
        <w:t xml:space="preserve"> </w:t>
      </w:r>
      <w:r>
        <w:rPr>
          <w:spacing w:val="-2"/>
          <w:sz w:val="20"/>
          <w:szCs w:val="20"/>
        </w:rPr>
        <w:t>as</w:t>
      </w:r>
      <w:r>
        <w:rPr>
          <w:spacing w:val="-3"/>
          <w:sz w:val="20"/>
          <w:szCs w:val="20"/>
        </w:rPr>
        <w:t xml:space="preserve"> </w:t>
      </w:r>
      <w:r>
        <w:rPr>
          <w:spacing w:val="-2"/>
          <w:sz w:val="20"/>
          <w:szCs w:val="20"/>
        </w:rPr>
        <w:t>current</w:t>
      </w:r>
      <w:r>
        <w:rPr>
          <w:spacing w:val="-3"/>
          <w:sz w:val="20"/>
          <w:szCs w:val="20"/>
        </w:rPr>
        <w:t xml:space="preserve"> </w:t>
      </w:r>
      <w:r>
        <w:rPr>
          <w:spacing w:val="-2"/>
          <w:sz w:val="20"/>
          <w:szCs w:val="20"/>
        </w:rPr>
        <w:t>SOFA</w:t>
      </w:r>
      <w:r>
        <w:rPr>
          <w:spacing w:val="-3"/>
          <w:sz w:val="20"/>
          <w:szCs w:val="20"/>
        </w:rPr>
        <w:t xml:space="preserve"> score minus the cumulative minimum SOFA score observed up to that time point within the suspected infection window</w:t>
      </w:r>
      <w:r>
        <w:rPr>
          <w:spacing w:val="-2"/>
          <w:sz w:val="20"/>
          <w:szCs w:val="20"/>
        </w:rPr>
        <w:t>.</w:t>
      </w:r>
    </w:p>
    <w:p w14:paraId="1950DBDB">
      <w:pPr>
        <w:pStyle w:val="25"/>
        <w:numPr>
          <w:ilvl w:val="0"/>
          <w:numId w:val="1"/>
        </w:numPr>
        <w:tabs>
          <w:tab w:val="left" w:pos="435"/>
        </w:tabs>
        <w:spacing w:before="0" w:line="480" w:lineRule="auto"/>
        <w:rPr>
          <w:sz w:val="20"/>
          <w:szCs w:val="20"/>
        </w:rPr>
      </w:pPr>
      <w:r>
        <w:rPr>
          <w:sz w:val="20"/>
          <w:szCs w:val="20"/>
        </w:rPr>
        <w:t>A</w:t>
      </w:r>
      <w:r>
        <w:rPr>
          <w:spacing w:val="-14"/>
          <w:sz w:val="20"/>
          <w:szCs w:val="20"/>
        </w:rPr>
        <w:t xml:space="preserve"> </w:t>
      </w:r>
      <w:r>
        <w:rPr>
          <w:sz w:val="20"/>
          <w:szCs w:val="20"/>
        </w:rPr>
        <w:t>Sepsis-3</w:t>
      </w:r>
      <w:r>
        <w:rPr>
          <w:spacing w:val="-14"/>
          <w:sz w:val="20"/>
          <w:szCs w:val="20"/>
        </w:rPr>
        <w:t xml:space="preserve"> </w:t>
      </w:r>
      <w:r>
        <w:rPr>
          <w:sz w:val="20"/>
          <w:szCs w:val="20"/>
        </w:rPr>
        <w:t>event</w:t>
      </w:r>
      <w:r>
        <w:rPr>
          <w:spacing w:val="-11"/>
          <w:sz w:val="20"/>
          <w:szCs w:val="20"/>
        </w:rPr>
        <w:t xml:space="preserve"> </w:t>
      </w:r>
      <w:r>
        <w:rPr>
          <w:sz w:val="20"/>
          <w:szCs w:val="20"/>
        </w:rPr>
        <w:t>was</w:t>
      </w:r>
      <w:r>
        <w:rPr>
          <w:spacing w:val="-10"/>
          <w:sz w:val="20"/>
          <w:szCs w:val="20"/>
        </w:rPr>
        <w:t xml:space="preserve"> </w:t>
      </w:r>
      <w:r>
        <w:rPr>
          <w:sz w:val="20"/>
          <w:szCs w:val="20"/>
        </w:rPr>
        <w:t>detected</w:t>
      </w:r>
      <w:r>
        <w:rPr>
          <w:spacing w:val="-10"/>
          <w:sz w:val="20"/>
          <w:szCs w:val="20"/>
        </w:rPr>
        <w:t xml:space="preserve"> </w:t>
      </w:r>
      <w:r>
        <w:rPr>
          <w:sz w:val="20"/>
          <w:szCs w:val="20"/>
        </w:rPr>
        <w:t>at</w:t>
      </w:r>
      <w:r>
        <w:rPr>
          <w:spacing w:val="-10"/>
          <w:sz w:val="20"/>
          <w:szCs w:val="20"/>
        </w:rPr>
        <w:t xml:space="preserve"> </w:t>
      </w:r>
      <w:r>
        <w:rPr>
          <w:sz w:val="20"/>
          <w:szCs w:val="20"/>
        </w:rPr>
        <w:t>the</w:t>
      </w:r>
      <w:r>
        <w:rPr>
          <w:spacing w:val="-10"/>
          <w:sz w:val="20"/>
          <w:szCs w:val="20"/>
        </w:rPr>
        <w:t xml:space="preserve"> </w:t>
      </w:r>
      <w:r>
        <w:rPr>
          <w:sz w:val="20"/>
          <w:szCs w:val="20"/>
        </w:rPr>
        <w:t>earliest</w:t>
      </w:r>
      <w:r>
        <w:rPr>
          <w:spacing w:val="-10"/>
          <w:sz w:val="20"/>
          <w:szCs w:val="20"/>
        </w:rPr>
        <w:t xml:space="preserve"> </w:t>
      </w:r>
      <w:r>
        <w:rPr>
          <w:sz w:val="20"/>
          <w:szCs w:val="20"/>
        </w:rPr>
        <w:t>hour</w:t>
      </w:r>
      <w:r>
        <w:rPr>
          <w:spacing w:val="-9"/>
          <w:sz w:val="20"/>
          <w:szCs w:val="20"/>
        </w:rPr>
        <w:t xml:space="preserve"> </w:t>
      </w:r>
      <w:r>
        <w:rPr>
          <w:sz w:val="20"/>
          <w:szCs w:val="20"/>
        </w:rPr>
        <w:t>where</w:t>
      </w:r>
      <w:r>
        <w:rPr>
          <w:spacing w:val="-10"/>
          <w:sz w:val="20"/>
          <w:szCs w:val="20"/>
        </w:rPr>
        <w:t xml:space="preserve"> </w:t>
      </w:r>
      <w:r>
        <w:rPr>
          <w:sz w:val="20"/>
          <w:szCs w:val="20"/>
        </w:rPr>
        <w:t>∆SOFA</w:t>
      </w:r>
      <w:r>
        <w:rPr>
          <w:spacing w:val="-10"/>
          <w:sz w:val="20"/>
          <w:szCs w:val="20"/>
        </w:rPr>
        <w:t xml:space="preserve"> </w:t>
      </w:r>
      <w:r>
        <w:rPr>
          <w:i/>
          <w:sz w:val="20"/>
          <w:szCs w:val="20"/>
        </w:rPr>
        <w:t>≥</w:t>
      </w:r>
      <w:r>
        <w:rPr>
          <w:i/>
          <w:spacing w:val="-23"/>
          <w:sz w:val="20"/>
          <w:szCs w:val="20"/>
        </w:rPr>
        <w:t xml:space="preserve"> </w:t>
      </w:r>
      <w:r>
        <w:rPr>
          <w:spacing w:val="-5"/>
          <w:sz w:val="20"/>
          <w:szCs w:val="20"/>
        </w:rPr>
        <w:t>2.</w:t>
      </w:r>
    </w:p>
    <w:p w14:paraId="3A13A427">
      <w:pPr>
        <w:pStyle w:val="25"/>
        <w:numPr>
          <w:ilvl w:val="0"/>
          <w:numId w:val="1"/>
        </w:numPr>
        <w:tabs>
          <w:tab w:val="left" w:pos="435"/>
        </w:tabs>
        <w:spacing w:before="0" w:line="480" w:lineRule="auto"/>
        <w:rPr>
          <w:sz w:val="20"/>
          <w:szCs w:val="20"/>
        </w:rPr>
      </w:pPr>
      <w:r>
        <w:rPr>
          <w:sz w:val="20"/>
          <w:szCs w:val="20"/>
        </w:rPr>
        <w:t>Only</w:t>
      </w:r>
      <w:r>
        <w:rPr>
          <w:spacing w:val="-9"/>
          <w:sz w:val="20"/>
          <w:szCs w:val="20"/>
        </w:rPr>
        <w:t xml:space="preserve"> </w:t>
      </w:r>
      <w:r>
        <w:rPr>
          <w:sz w:val="20"/>
          <w:szCs w:val="20"/>
        </w:rPr>
        <w:t>the</w:t>
      </w:r>
      <w:r>
        <w:rPr>
          <w:spacing w:val="-8"/>
          <w:sz w:val="20"/>
          <w:szCs w:val="20"/>
        </w:rPr>
        <w:t xml:space="preserve"> </w:t>
      </w:r>
      <w:r>
        <w:rPr>
          <w:sz w:val="20"/>
          <w:szCs w:val="20"/>
        </w:rPr>
        <w:t>first</w:t>
      </w:r>
      <w:r>
        <w:rPr>
          <w:spacing w:val="-9"/>
          <w:sz w:val="20"/>
          <w:szCs w:val="20"/>
        </w:rPr>
        <w:t xml:space="preserve"> </w:t>
      </w:r>
      <w:r>
        <w:rPr>
          <w:sz w:val="20"/>
          <w:szCs w:val="20"/>
        </w:rPr>
        <w:t>Sepsis-3</w:t>
      </w:r>
      <w:r>
        <w:rPr>
          <w:spacing w:val="-8"/>
          <w:sz w:val="20"/>
          <w:szCs w:val="20"/>
        </w:rPr>
        <w:t xml:space="preserve"> </w:t>
      </w:r>
      <w:r>
        <w:rPr>
          <w:sz w:val="20"/>
          <w:szCs w:val="20"/>
        </w:rPr>
        <w:t>event</w:t>
      </w:r>
      <w:r>
        <w:rPr>
          <w:spacing w:val="-9"/>
          <w:sz w:val="20"/>
          <w:szCs w:val="20"/>
        </w:rPr>
        <w:t xml:space="preserve"> </w:t>
      </w:r>
      <w:r>
        <w:rPr>
          <w:sz w:val="20"/>
          <w:szCs w:val="20"/>
        </w:rPr>
        <w:t>per</w:t>
      </w:r>
      <w:r>
        <w:rPr>
          <w:spacing w:val="-8"/>
          <w:sz w:val="20"/>
          <w:szCs w:val="20"/>
        </w:rPr>
        <w:t xml:space="preserve"> </w:t>
      </w:r>
      <w:r>
        <w:rPr>
          <w:sz w:val="20"/>
          <w:szCs w:val="20"/>
        </w:rPr>
        <w:t>stay</w:t>
      </w:r>
      <w:r>
        <w:rPr>
          <w:spacing w:val="-9"/>
          <w:sz w:val="20"/>
          <w:szCs w:val="20"/>
        </w:rPr>
        <w:t xml:space="preserve"> </w:t>
      </w:r>
      <w:r>
        <w:rPr>
          <w:sz w:val="20"/>
          <w:szCs w:val="20"/>
        </w:rPr>
        <w:t>was</w:t>
      </w:r>
      <w:r>
        <w:rPr>
          <w:spacing w:val="-8"/>
          <w:sz w:val="20"/>
          <w:szCs w:val="20"/>
        </w:rPr>
        <w:t xml:space="preserve"> </w:t>
      </w:r>
      <w:r>
        <w:rPr>
          <w:spacing w:val="-2"/>
          <w:sz w:val="20"/>
          <w:szCs w:val="20"/>
        </w:rPr>
        <w:t>retained.</w:t>
      </w:r>
    </w:p>
    <w:p w14:paraId="3EA7E09D">
      <w:pPr>
        <w:spacing w:line="480" w:lineRule="auto"/>
        <w:rPr>
          <w:b/>
          <w:spacing w:val="-2"/>
          <w:sz w:val="20"/>
          <w:szCs w:val="20"/>
        </w:rPr>
      </w:pPr>
    </w:p>
    <w:p w14:paraId="7F99B1A8">
      <w:pPr>
        <w:spacing w:line="480" w:lineRule="auto"/>
        <w:ind w:left="0"/>
        <w:rPr>
          <w:b/>
          <w:spacing w:val="-2"/>
          <w:sz w:val="20"/>
          <w:szCs w:val="20"/>
        </w:rPr>
      </w:pPr>
      <w:r>
        <w:rPr>
          <w:b/>
          <w:spacing w:val="-2"/>
          <w:sz w:val="20"/>
          <w:szCs w:val="20"/>
        </w:rPr>
        <w:t>8. Organ-Specific Contribution Analysis</w:t>
      </w:r>
    </w:p>
    <w:p w14:paraId="03ACA385">
      <w:pPr>
        <w:pStyle w:val="5"/>
        <w:spacing w:line="480" w:lineRule="auto"/>
        <w:rPr>
          <w:rFonts w:eastAsiaTheme="minorEastAsia"/>
          <w:sz w:val="20"/>
          <w:szCs w:val="20"/>
          <w:lang w:eastAsia="zh-CN"/>
        </w:rPr>
      </w:pPr>
      <w:r>
        <w:rPr>
          <w:sz w:val="20"/>
          <w:szCs w:val="20"/>
        </w:rPr>
        <w:t>For each patient</w:t>
      </w:r>
      <w:r>
        <w:rPr>
          <w:spacing w:val="1"/>
          <w:sz w:val="20"/>
          <w:szCs w:val="20"/>
        </w:rPr>
        <w:t xml:space="preserve"> </w:t>
      </w:r>
      <w:r>
        <w:rPr>
          <w:sz w:val="20"/>
          <w:szCs w:val="20"/>
        </w:rPr>
        <w:t>in the SOFA-2</w:t>
      </w:r>
      <w:r>
        <w:rPr>
          <w:spacing w:val="1"/>
          <w:sz w:val="20"/>
          <w:szCs w:val="20"/>
        </w:rPr>
        <w:t xml:space="preserve"> </w:t>
      </w:r>
      <w:r>
        <w:rPr>
          <w:sz w:val="20"/>
          <w:szCs w:val="20"/>
        </w:rPr>
        <w:t>Only group,</w:t>
      </w:r>
      <w:r>
        <w:rPr>
          <w:spacing w:val="2"/>
          <w:sz w:val="20"/>
          <w:szCs w:val="20"/>
        </w:rPr>
        <w:t xml:space="preserve"> </w:t>
      </w:r>
      <w:r>
        <w:rPr>
          <w:sz w:val="20"/>
          <w:szCs w:val="20"/>
        </w:rPr>
        <w:t>we computed</w:t>
      </w:r>
      <w:r>
        <w:rPr>
          <w:spacing w:val="1"/>
          <w:sz w:val="20"/>
          <w:szCs w:val="20"/>
        </w:rPr>
        <w:t xml:space="preserve"> </w:t>
      </w:r>
      <w:r>
        <w:rPr>
          <w:sz w:val="20"/>
          <w:szCs w:val="20"/>
        </w:rPr>
        <w:t>the organ-level</w:t>
      </w:r>
      <w:r>
        <w:rPr>
          <w:spacing w:val="1"/>
          <w:sz w:val="20"/>
          <w:szCs w:val="20"/>
        </w:rPr>
        <w:t xml:space="preserve"> </w:t>
      </w:r>
      <w:r>
        <w:rPr>
          <w:sz w:val="20"/>
          <w:szCs w:val="20"/>
        </w:rPr>
        <w:t>delta difference as:</w:t>
      </w:r>
      <w:r>
        <w:rPr>
          <w:spacing w:val="18"/>
          <w:sz w:val="20"/>
          <w:szCs w:val="20"/>
        </w:rPr>
        <w:t xml:space="preserve"> </w:t>
      </w:r>
      <w:r>
        <w:rPr>
          <w:sz w:val="20"/>
          <w:szCs w:val="20"/>
        </w:rPr>
        <w:t>∆diff</w:t>
      </w:r>
      <w:r>
        <w:rPr>
          <w:sz w:val="20"/>
          <w:szCs w:val="20"/>
          <w:vertAlign w:val="subscript"/>
        </w:rPr>
        <w:t>organ</w:t>
      </w:r>
      <w:r>
        <w:rPr>
          <w:spacing w:val="19"/>
          <w:sz w:val="20"/>
          <w:szCs w:val="20"/>
        </w:rPr>
        <w:t xml:space="preserve"> </w:t>
      </w:r>
      <w:r>
        <w:rPr>
          <w:spacing w:val="-10"/>
          <w:sz w:val="20"/>
          <w:szCs w:val="20"/>
        </w:rPr>
        <w:t>=</w:t>
      </w:r>
      <w:r>
        <w:rPr>
          <w:rFonts w:hint="eastAsia" w:eastAsiaTheme="minorEastAsia"/>
          <w:sz w:val="20"/>
          <w:szCs w:val="20"/>
          <w:lang w:eastAsia="zh-CN"/>
        </w:rPr>
        <w:t xml:space="preserve"> </w:t>
      </w:r>
      <w:r>
        <w:rPr>
          <w:sz w:val="20"/>
          <w:szCs w:val="20"/>
        </w:rPr>
        <w:t>∆SOFA-2</w:t>
      </w:r>
      <w:r>
        <w:rPr>
          <w:sz w:val="20"/>
          <w:szCs w:val="20"/>
          <w:vertAlign w:val="subscript"/>
        </w:rPr>
        <w:t>organ</w:t>
      </w:r>
      <w:r>
        <w:rPr>
          <w:spacing w:val="-2"/>
          <w:sz w:val="20"/>
          <w:szCs w:val="20"/>
        </w:rPr>
        <w:t xml:space="preserve"> </w:t>
      </w:r>
      <w:r>
        <w:rPr>
          <w:i/>
          <w:sz w:val="20"/>
          <w:szCs w:val="20"/>
        </w:rPr>
        <w:t>−</w:t>
      </w:r>
      <w:r>
        <w:rPr>
          <w:i/>
          <w:spacing w:val="-20"/>
          <w:sz w:val="20"/>
          <w:szCs w:val="20"/>
        </w:rPr>
        <w:t xml:space="preserve"> </w:t>
      </w:r>
      <w:r>
        <w:rPr>
          <w:sz w:val="20"/>
          <w:szCs w:val="20"/>
        </w:rPr>
        <w:t>∆SOFA-1</w:t>
      </w:r>
      <w:r>
        <w:rPr>
          <w:sz w:val="20"/>
          <w:szCs w:val="20"/>
          <w:vertAlign w:val="subscript"/>
        </w:rPr>
        <w:t>organ</w:t>
      </w:r>
      <w:r>
        <w:rPr>
          <w:sz w:val="20"/>
          <w:szCs w:val="20"/>
        </w:rPr>
        <w:t xml:space="preserve"> at the time of SOFA-2 diagnosis. A positive delta difference indicates that the organ’s acute dysfunction was scored higher under SOFA-2 than under SOFA-1.</w:t>
      </w:r>
      <w:r>
        <w:rPr>
          <w:spacing w:val="40"/>
          <w:sz w:val="20"/>
          <w:szCs w:val="20"/>
        </w:rPr>
        <w:t xml:space="preserve"> </w:t>
      </w:r>
      <w:r>
        <w:rPr>
          <w:sz w:val="20"/>
          <w:szCs w:val="20"/>
        </w:rPr>
        <w:t>We calculated the proportion</w:t>
      </w:r>
      <w:r>
        <w:rPr>
          <w:spacing w:val="-13"/>
          <w:sz w:val="20"/>
          <w:szCs w:val="20"/>
        </w:rPr>
        <w:t xml:space="preserve"> </w:t>
      </w:r>
      <w:r>
        <w:rPr>
          <w:sz w:val="20"/>
          <w:szCs w:val="20"/>
        </w:rPr>
        <w:t>of</w:t>
      </w:r>
      <w:r>
        <w:rPr>
          <w:spacing w:val="-13"/>
          <w:sz w:val="20"/>
          <w:szCs w:val="20"/>
        </w:rPr>
        <w:t xml:space="preserve"> </w:t>
      </w:r>
      <w:r>
        <w:rPr>
          <w:sz w:val="20"/>
          <w:szCs w:val="20"/>
        </w:rPr>
        <w:t>patients</w:t>
      </w:r>
      <w:r>
        <w:rPr>
          <w:spacing w:val="-13"/>
          <w:sz w:val="20"/>
          <w:szCs w:val="20"/>
        </w:rPr>
        <w:t xml:space="preserve"> </w:t>
      </w:r>
      <w:r>
        <w:rPr>
          <w:sz w:val="20"/>
          <w:szCs w:val="20"/>
        </w:rPr>
        <w:t>where</w:t>
      </w:r>
      <w:r>
        <w:rPr>
          <w:spacing w:val="-13"/>
          <w:sz w:val="20"/>
          <w:szCs w:val="20"/>
        </w:rPr>
        <w:t xml:space="preserve"> </w:t>
      </w:r>
      <w:r>
        <w:rPr>
          <w:sz w:val="20"/>
          <w:szCs w:val="20"/>
        </w:rPr>
        <w:t>each</w:t>
      </w:r>
      <w:r>
        <w:rPr>
          <w:spacing w:val="-13"/>
          <w:sz w:val="20"/>
          <w:szCs w:val="20"/>
        </w:rPr>
        <w:t xml:space="preserve"> </w:t>
      </w:r>
      <w:r>
        <w:rPr>
          <w:sz w:val="20"/>
          <w:szCs w:val="20"/>
        </w:rPr>
        <w:t>organ</w:t>
      </w:r>
      <w:r>
        <w:rPr>
          <w:spacing w:val="-13"/>
          <w:sz w:val="20"/>
          <w:szCs w:val="20"/>
        </w:rPr>
        <w:t xml:space="preserve"> </w:t>
      </w:r>
      <w:r>
        <w:rPr>
          <w:sz w:val="20"/>
          <w:szCs w:val="20"/>
        </w:rPr>
        <w:t>system</w:t>
      </w:r>
      <w:r>
        <w:rPr>
          <w:spacing w:val="-13"/>
          <w:sz w:val="20"/>
          <w:szCs w:val="20"/>
        </w:rPr>
        <w:t xml:space="preserve"> </w:t>
      </w:r>
      <w:r>
        <w:rPr>
          <w:sz w:val="20"/>
          <w:szCs w:val="20"/>
        </w:rPr>
        <w:t>contributed</w:t>
      </w:r>
      <w:r>
        <w:rPr>
          <w:spacing w:val="-13"/>
          <w:sz w:val="20"/>
          <w:szCs w:val="20"/>
        </w:rPr>
        <w:t xml:space="preserve"> </w:t>
      </w:r>
      <w:r>
        <w:rPr>
          <w:sz w:val="20"/>
          <w:szCs w:val="20"/>
        </w:rPr>
        <w:t>to</w:t>
      </w:r>
      <w:r>
        <w:rPr>
          <w:spacing w:val="-13"/>
          <w:sz w:val="20"/>
          <w:szCs w:val="20"/>
        </w:rPr>
        <w:t xml:space="preserve"> </w:t>
      </w:r>
      <w:r>
        <w:rPr>
          <w:sz w:val="20"/>
          <w:szCs w:val="20"/>
        </w:rPr>
        <w:t>the</w:t>
      </w:r>
      <w:r>
        <w:rPr>
          <w:spacing w:val="-13"/>
          <w:sz w:val="20"/>
          <w:szCs w:val="20"/>
        </w:rPr>
        <w:t xml:space="preserve"> </w:t>
      </w:r>
      <w:r>
        <w:rPr>
          <w:rFonts w:hint="eastAsia" w:eastAsiaTheme="minorEastAsia"/>
          <w:sz w:val="20"/>
          <w:szCs w:val="20"/>
          <w:lang w:eastAsia="zh-CN"/>
        </w:rPr>
        <w:t>detection</w:t>
      </w:r>
      <w:r>
        <w:rPr>
          <w:spacing w:val="-13"/>
          <w:sz w:val="20"/>
          <w:szCs w:val="20"/>
        </w:rPr>
        <w:t xml:space="preserve"> </w:t>
      </w:r>
      <w:r>
        <w:rPr>
          <w:sz w:val="20"/>
          <w:szCs w:val="20"/>
        </w:rPr>
        <w:t>difference.</w:t>
      </w:r>
      <w:r>
        <w:rPr>
          <w:spacing w:val="-2"/>
          <w:sz w:val="20"/>
          <w:szCs w:val="20"/>
        </w:rPr>
        <w:t xml:space="preserve"> </w:t>
      </w:r>
      <w:r>
        <w:rPr>
          <w:sz w:val="20"/>
          <w:szCs w:val="20"/>
        </w:rPr>
        <w:t>For</w:t>
      </w:r>
      <w:r>
        <w:rPr>
          <w:spacing w:val="-13"/>
          <w:sz w:val="20"/>
          <w:szCs w:val="20"/>
        </w:rPr>
        <w:t xml:space="preserve"> </w:t>
      </w:r>
      <w:r>
        <w:rPr>
          <w:sz w:val="20"/>
          <w:szCs w:val="20"/>
        </w:rPr>
        <w:t>the</w:t>
      </w:r>
      <w:r>
        <w:rPr>
          <w:spacing w:val="-13"/>
          <w:sz w:val="20"/>
          <w:szCs w:val="20"/>
        </w:rPr>
        <w:t xml:space="preserve"> </w:t>
      </w:r>
      <w:r>
        <w:rPr>
          <w:sz w:val="20"/>
          <w:szCs w:val="20"/>
        </w:rPr>
        <w:t>SOFA-1 Only group, we applied the reverse calculation ∆diff</w:t>
      </w:r>
      <w:r>
        <w:rPr>
          <w:sz w:val="20"/>
          <w:szCs w:val="20"/>
          <w:vertAlign w:val="subscript"/>
        </w:rPr>
        <w:t>organ</w:t>
      </w:r>
      <w:r>
        <w:rPr>
          <w:spacing w:val="19"/>
          <w:sz w:val="20"/>
          <w:szCs w:val="20"/>
        </w:rPr>
        <w:t xml:space="preserve"> </w:t>
      </w:r>
      <w:r>
        <w:rPr>
          <w:spacing w:val="-10"/>
          <w:sz w:val="20"/>
          <w:szCs w:val="20"/>
        </w:rPr>
        <w:t>=</w:t>
      </w:r>
      <w:r>
        <w:rPr>
          <w:rFonts w:hint="eastAsia" w:eastAsiaTheme="minorEastAsia"/>
          <w:sz w:val="20"/>
          <w:szCs w:val="20"/>
          <w:lang w:eastAsia="zh-CN"/>
        </w:rPr>
        <w:t xml:space="preserve"> </w:t>
      </w:r>
      <w:r>
        <w:rPr>
          <w:sz w:val="20"/>
          <w:szCs w:val="20"/>
        </w:rPr>
        <w:t>∆SOFA-1</w:t>
      </w:r>
      <w:r>
        <w:rPr>
          <w:sz w:val="20"/>
          <w:szCs w:val="20"/>
          <w:vertAlign w:val="subscript"/>
        </w:rPr>
        <w:t>organ</w:t>
      </w:r>
      <w:r>
        <w:rPr>
          <w:sz w:val="20"/>
          <w:szCs w:val="20"/>
        </w:rPr>
        <w:t xml:space="preserve"> </w:t>
      </w:r>
      <w:r>
        <w:rPr>
          <w:i/>
          <w:sz w:val="20"/>
          <w:szCs w:val="20"/>
        </w:rPr>
        <w:t>−</w:t>
      </w:r>
      <w:r>
        <w:rPr>
          <w:i/>
          <w:spacing w:val="-13"/>
          <w:sz w:val="20"/>
          <w:szCs w:val="20"/>
        </w:rPr>
        <w:t xml:space="preserve"> </w:t>
      </w:r>
      <w:r>
        <w:rPr>
          <w:sz w:val="20"/>
          <w:szCs w:val="20"/>
        </w:rPr>
        <w:t>∆SOFA-2</w:t>
      </w:r>
      <w:r>
        <w:rPr>
          <w:sz w:val="20"/>
          <w:szCs w:val="20"/>
          <w:vertAlign w:val="subscript"/>
        </w:rPr>
        <w:t>organ</w:t>
      </w:r>
      <w:r>
        <w:rPr>
          <w:sz w:val="20"/>
          <w:szCs w:val="20"/>
        </w:rPr>
        <w:t xml:space="preserve"> at the time of SOFA-1 diagnosis to identify organs driving SOFA-1–specific identification.</w:t>
      </w:r>
    </w:p>
    <w:p w14:paraId="55D638FB">
      <w:pPr>
        <w:pStyle w:val="5"/>
        <w:spacing w:line="480" w:lineRule="auto"/>
        <w:rPr>
          <w:rFonts w:eastAsiaTheme="minorEastAsia"/>
          <w:sz w:val="20"/>
          <w:szCs w:val="20"/>
          <w:lang w:eastAsia="zh-CN"/>
        </w:rPr>
      </w:pPr>
    </w:p>
    <w:p w14:paraId="0C5057AC">
      <w:pPr>
        <w:spacing w:line="480" w:lineRule="auto"/>
        <w:ind w:left="0"/>
        <w:rPr>
          <w:b/>
          <w:spacing w:val="-2"/>
          <w:sz w:val="20"/>
          <w:szCs w:val="20"/>
        </w:rPr>
      </w:pPr>
      <w:r>
        <w:rPr>
          <w:rFonts w:hint="eastAsia" w:eastAsiaTheme="minorEastAsia"/>
          <w:b/>
          <w:spacing w:val="-2"/>
          <w:sz w:val="20"/>
          <w:szCs w:val="20"/>
          <w:lang w:eastAsia="zh-CN"/>
        </w:rPr>
        <w:t>9. T</w:t>
      </w:r>
      <w:r>
        <w:rPr>
          <w:b/>
          <w:spacing w:val="-2"/>
          <w:sz w:val="20"/>
          <w:szCs w:val="20"/>
        </w:rPr>
        <w:t xml:space="preserve">ime windows and </w:t>
      </w:r>
      <w:r>
        <w:rPr>
          <w:rFonts w:hint="eastAsia"/>
          <w:b/>
          <w:spacing w:val="-2"/>
          <w:sz w:val="20"/>
          <w:szCs w:val="20"/>
        </w:rPr>
        <w:t>SOFA</w:t>
      </w:r>
      <w:r>
        <w:rPr>
          <w:b/>
          <w:spacing w:val="-2"/>
          <w:sz w:val="20"/>
          <w:szCs w:val="20"/>
        </w:rPr>
        <w:t xml:space="preserve"> trajectories</w:t>
      </w:r>
      <w:r>
        <w:rPr>
          <w:rFonts w:hint="eastAsia"/>
          <w:b/>
          <w:spacing w:val="-2"/>
          <w:sz w:val="20"/>
          <w:szCs w:val="20"/>
        </w:rPr>
        <w:t xml:space="preserve"> in </w:t>
      </w:r>
      <w:r>
        <w:rPr>
          <w:b/>
          <w:spacing w:val="-2"/>
          <w:sz w:val="20"/>
          <w:szCs w:val="20"/>
        </w:rPr>
        <w:t>Predictive Modeling</w:t>
      </w:r>
    </w:p>
    <w:p w14:paraId="29505A02">
      <w:pPr>
        <w:pStyle w:val="5"/>
        <w:spacing w:line="480" w:lineRule="auto"/>
        <w:rPr>
          <w:rFonts w:eastAsiaTheme="minorEastAsia"/>
          <w:sz w:val="20"/>
          <w:szCs w:val="20"/>
          <w:lang w:eastAsia="zh-CN"/>
        </w:rPr>
      </w:pPr>
      <w:r>
        <w:rPr>
          <w:rFonts w:hint="eastAsia"/>
          <w:sz w:val="20"/>
          <w:szCs w:val="20"/>
        </w:rPr>
        <w:t xml:space="preserve">A unified temporal reference point was established for each patient: for Concordant Positive patients, the earlier of the two diagnosis times was used; for discordant groups, the respective diagnosis time (SOFA-1 or SOFA-2) was used. </w:t>
      </w:r>
      <w:r>
        <w:rPr>
          <w:rFonts w:hint="eastAsia" w:eastAsiaTheme="minorEastAsia"/>
          <w:sz w:val="20"/>
          <w:szCs w:val="20"/>
          <w:lang w:eastAsia="zh-CN"/>
        </w:rPr>
        <w:t>M</w:t>
      </w:r>
      <w:r>
        <w:rPr>
          <w:rFonts w:hint="eastAsia"/>
          <w:sz w:val="20"/>
          <w:szCs w:val="20"/>
        </w:rPr>
        <w:t xml:space="preserve">odels were trained on the same patient population using identical temporal reference points. Dynamic SOFA scores were extracted </w:t>
      </w:r>
      <w:r>
        <w:rPr>
          <w:sz w:val="20"/>
          <w:szCs w:val="20"/>
        </w:rPr>
        <w:t xml:space="preserve">from the first 24 hours following </w:t>
      </w:r>
      <w:r>
        <w:rPr>
          <w:rFonts w:hint="eastAsia"/>
          <w:sz w:val="20"/>
          <w:szCs w:val="20"/>
        </w:rPr>
        <w:t xml:space="preserve">this unified diagnosis time. Thus, the only difference between the two models was the scoring system itself, enabling a direct and fair comparison of their prognostic performance. </w:t>
      </w:r>
      <w:r>
        <w:rPr>
          <w:sz w:val="20"/>
          <w:szCs w:val="20"/>
        </w:rPr>
        <w:t>Only patients with at least 24 hours of post-diagnosis data were included in the analysis. Features were extracted at 6-hour intervals to characterize the dynamic trajectory of organ dysfunction over the first 24 hours.</w:t>
      </w:r>
    </w:p>
    <w:p w14:paraId="00400DE6">
      <w:pPr>
        <w:pStyle w:val="5"/>
        <w:rPr>
          <w:rFonts w:eastAsiaTheme="minorEastAsia"/>
          <w:sz w:val="20"/>
          <w:szCs w:val="20"/>
          <w:lang w:eastAsia="zh-CN"/>
        </w:rPr>
        <w:sectPr>
          <w:headerReference r:id="rId4" w:type="default"/>
          <w:footerReference r:id="rId5" w:type="default"/>
          <w:pgSz w:w="12240" w:h="15840"/>
          <w:pgMar w:top="1300" w:right="1080" w:bottom="1040" w:left="1440" w:header="0" w:footer="844" w:gutter="0"/>
          <w:lnNumType w:countBy="1" w:restart="continuous"/>
          <w:pgNumType w:start="1"/>
          <w:cols w:space="720" w:num="1"/>
        </w:sectPr>
      </w:pPr>
    </w:p>
    <w:p w14:paraId="6D6A525F">
      <w:pPr>
        <w:pStyle w:val="28"/>
      </w:pPr>
      <w:bookmarkStart w:id="4" w:name="_Toc218072618"/>
      <w:bookmarkStart w:id="5" w:name="_Toczvvhzq"/>
      <w:r>
        <w:t>eTable 1. SOFA-1 Scoring Criteria</w:t>
      </w:r>
      <w:bookmarkEnd w:id="4"/>
      <w:bookmarkEnd w:id="5"/>
    </w:p>
    <w:tbl>
      <w:tblPr>
        <w:tblStyle w:val="17"/>
        <w:tblW w:w="0" w:type="auto"/>
        <w:tblInd w:w="0" w:type="dxa"/>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fixed"/>
        <w:tblCellMar>
          <w:top w:w="15" w:type="dxa"/>
          <w:left w:w="15" w:type="dxa"/>
          <w:bottom w:w="15" w:type="dxa"/>
          <w:right w:w="15" w:type="dxa"/>
        </w:tblCellMar>
      </w:tblPr>
      <w:tblGrid>
        <w:gridCol w:w="1364"/>
        <w:gridCol w:w="1246"/>
        <w:gridCol w:w="1196"/>
        <w:gridCol w:w="1477"/>
        <w:gridCol w:w="2135"/>
        <w:gridCol w:w="2302"/>
      </w:tblGrid>
      <w:tr w14:paraId="028D1085">
        <w:trPr>
          <w:tblHeader/>
        </w:trPr>
        <w:tc>
          <w:tcPr>
            <w:tcW w:w="1364" w:type="dxa"/>
            <w:tcBorders>
              <w:top w:val="single" w:color="auto" w:sz="12" w:space="0"/>
              <w:bottom w:val="single" w:color="auto" w:sz="12" w:space="0"/>
            </w:tcBorders>
            <w:vAlign w:val="center"/>
          </w:tcPr>
          <w:p w14:paraId="72551AFF">
            <w:pPr>
              <w:widowControl/>
              <w:autoSpaceDE/>
              <w:autoSpaceDN/>
              <w:jc w:val="center"/>
              <w:rPr>
                <w:rFonts w:ascii="Arial" w:hAnsi="Arial" w:eastAsia="宋体" w:cs="Arial"/>
                <w:b/>
                <w:bCs/>
                <w:sz w:val="20"/>
                <w:szCs w:val="20"/>
                <w:lang w:eastAsia="zh-CN"/>
              </w:rPr>
            </w:pPr>
            <w:r>
              <w:rPr>
                <w:rFonts w:ascii="Arial" w:hAnsi="Arial" w:eastAsia="宋体" w:cs="Arial"/>
                <w:b/>
                <w:bCs/>
                <w:sz w:val="20"/>
                <w:szCs w:val="20"/>
                <w:lang w:eastAsia="zh-CN"/>
              </w:rPr>
              <w:t>Organ system</w:t>
            </w:r>
          </w:p>
        </w:tc>
        <w:tc>
          <w:tcPr>
            <w:tcW w:w="1246" w:type="dxa"/>
            <w:tcBorders>
              <w:top w:val="single" w:color="auto" w:sz="12" w:space="0"/>
              <w:bottom w:val="single" w:color="auto" w:sz="12" w:space="0"/>
            </w:tcBorders>
            <w:vAlign w:val="center"/>
          </w:tcPr>
          <w:p w14:paraId="2F7DAD11">
            <w:pPr>
              <w:widowControl/>
              <w:autoSpaceDE/>
              <w:autoSpaceDN/>
              <w:jc w:val="center"/>
              <w:rPr>
                <w:rFonts w:ascii="Arial" w:hAnsi="Arial" w:eastAsia="宋体" w:cs="Arial"/>
                <w:b/>
                <w:bCs/>
                <w:sz w:val="20"/>
                <w:szCs w:val="20"/>
                <w:lang w:eastAsia="zh-CN"/>
              </w:rPr>
            </w:pPr>
            <w:r>
              <w:rPr>
                <w:rFonts w:ascii="Arial" w:hAnsi="Arial" w:eastAsia="宋体" w:cs="Arial"/>
                <w:b/>
                <w:bCs/>
                <w:sz w:val="20"/>
                <w:szCs w:val="20"/>
                <w:lang w:eastAsia="zh-CN"/>
              </w:rPr>
              <w:t>0</w:t>
            </w:r>
          </w:p>
        </w:tc>
        <w:tc>
          <w:tcPr>
            <w:tcW w:w="1196" w:type="dxa"/>
            <w:tcBorders>
              <w:top w:val="single" w:color="auto" w:sz="12" w:space="0"/>
              <w:bottom w:val="single" w:color="auto" w:sz="12" w:space="0"/>
            </w:tcBorders>
            <w:vAlign w:val="center"/>
          </w:tcPr>
          <w:p w14:paraId="1951A6A8">
            <w:pPr>
              <w:widowControl/>
              <w:autoSpaceDE/>
              <w:autoSpaceDN/>
              <w:jc w:val="center"/>
              <w:rPr>
                <w:rFonts w:ascii="Arial" w:hAnsi="Arial" w:eastAsia="宋体" w:cs="Arial"/>
                <w:b/>
                <w:bCs/>
                <w:sz w:val="20"/>
                <w:szCs w:val="20"/>
                <w:lang w:eastAsia="zh-CN"/>
              </w:rPr>
            </w:pPr>
            <w:r>
              <w:rPr>
                <w:rFonts w:ascii="Arial" w:hAnsi="Arial" w:eastAsia="宋体" w:cs="Arial"/>
                <w:b/>
                <w:bCs/>
                <w:sz w:val="20"/>
                <w:szCs w:val="20"/>
                <w:lang w:eastAsia="zh-CN"/>
              </w:rPr>
              <w:t>1</w:t>
            </w:r>
          </w:p>
        </w:tc>
        <w:tc>
          <w:tcPr>
            <w:tcW w:w="1477" w:type="dxa"/>
            <w:tcBorders>
              <w:top w:val="single" w:color="auto" w:sz="12" w:space="0"/>
              <w:bottom w:val="single" w:color="auto" w:sz="12" w:space="0"/>
            </w:tcBorders>
            <w:vAlign w:val="center"/>
          </w:tcPr>
          <w:p w14:paraId="56071D08">
            <w:pPr>
              <w:widowControl/>
              <w:autoSpaceDE/>
              <w:autoSpaceDN/>
              <w:jc w:val="center"/>
              <w:rPr>
                <w:rFonts w:ascii="Arial" w:hAnsi="Arial" w:eastAsia="宋体" w:cs="Arial"/>
                <w:b/>
                <w:bCs/>
                <w:sz w:val="20"/>
                <w:szCs w:val="20"/>
                <w:lang w:eastAsia="zh-CN"/>
              </w:rPr>
            </w:pPr>
            <w:r>
              <w:rPr>
                <w:rFonts w:ascii="Arial" w:hAnsi="Arial" w:eastAsia="宋体" w:cs="Arial"/>
                <w:b/>
                <w:bCs/>
                <w:sz w:val="20"/>
                <w:szCs w:val="20"/>
                <w:lang w:eastAsia="zh-CN"/>
              </w:rPr>
              <w:t>2</w:t>
            </w:r>
          </w:p>
        </w:tc>
        <w:tc>
          <w:tcPr>
            <w:tcW w:w="2135" w:type="dxa"/>
            <w:tcBorders>
              <w:top w:val="single" w:color="auto" w:sz="12" w:space="0"/>
              <w:bottom w:val="single" w:color="auto" w:sz="12" w:space="0"/>
            </w:tcBorders>
            <w:vAlign w:val="center"/>
          </w:tcPr>
          <w:p w14:paraId="41BBC360">
            <w:pPr>
              <w:widowControl/>
              <w:autoSpaceDE/>
              <w:autoSpaceDN/>
              <w:jc w:val="center"/>
              <w:rPr>
                <w:rFonts w:ascii="Arial" w:hAnsi="Arial" w:eastAsia="宋体" w:cs="Arial"/>
                <w:b/>
                <w:bCs/>
                <w:sz w:val="20"/>
                <w:szCs w:val="20"/>
                <w:lang w:eastAsia="zh-CN"/>
              </w:rPr>
            </w:pPr>
            <w:r>
              <w:rPr>
                <w:rFonts w:ascii="Arial" w:hAnsi="Arial" w:eastAsia="宋体" w:cs="Arial"/>
                <w:b/>
                <w:bCs/>
                <w:sz w:val="20"/>
                <w:szCs w:val="20"/>
                <w:lang w:eastAsia="zh-CN"/>
              </w:rPr>
              <w:t>3</w:t>
            </w:r>
          </w:p>
        </w:tc>
        <w:tc>
          <w:tcPr>
            <w:tcW w:w="2302" w:type="dxa"/>
            <w:tcBorders>
              <w:top w:val="single" w:color="auto" w:sz="12" w:space="0"/>
              <w:bottom w:val="single" w:color="auto" w:sz="12" w:space="0"/>
            </w:tcBorders>
            <w:vAlign w:val="center"/>
          </w:tcPr>
          <w:p w14:paraId="3A174E81">
            <w:pPr>
              <w:widowControl/>
              <w:autoSpaceDE/>
              <w:autoSpaceDN/>
              <w:jc w:val="center"/>
              <w:rPr>
                <w:rFonts w:ascii="Arial" w:hAnsi="Arial" w:eastAsia="宋体" w:cs="Arial"/>
                <w:b/>
                <w:bCs/>
                <w:sz w:val="20"/>
                <w:szCs w:val="20"/>
                <w:lang w:eastAsia="zh-CN"/>
              </w:rPr>
            </w:pPr>
            <w:r>
              <w:rPr>
                <w:rFonts w:ascii="Arial" w:hAnsi="Arial" w:eastAsia="宋体" w:cs="Arial"/>
                <w:b/>
                <w:bCs/>
                <w:sz w:val="20"/>
                <w:szCs w:val="20"/>
                <w:lang w:eastAsia="zh-CN"/>
              </w:rPr>
              <w:t>4</w:t>
            </w:r>
          </w:p>
        </w:tc>
      </w:tr>
      <w:tr w14:paraId="4A504836">
        <w:tc>
          <w:tcPr>
            <w:tcW w:w="1364" w:type="dxa"/>
            <w:vAlign w:val="center"/>
          </w:tcPr>
          <w:p w14:paraId="55461B69">
            <w:pPr>
              <w:widowControl/>
              <w:autoSpaceDE/>
              <w:autoSpaceDN/>
              <w:rPr>
                <w:rFonts w:ascii="Arial" w:hAnsi="Arial" w:eastAsia="宋体" w:cs="Arial"/>
                <w:sz w:val="20"/>
                <w:szCs w:val="20"/>
                <w:lang w:eastAsia="zh-CN"/>
              </w:rPr>
            </w:pPr>
            <w:r>
              <w:rPr>
                <w:rFonts w:ascii="Arial" w:hAnsi="Arial" w:eastAsia="宋体" w:cs="Arial"/>
                <w:sz w:val="20"/>
                <w:szCs w:val="20"/>
                <w:lang w:eastAsia="zh-CN"/>
              </w:rPr>
              <w:t>Respiratory</w:t>
            </w:r>
          </w:p>
        </w:tc>
        <w:tc>
          <w:tcPr>
            <w:tcW w:w="1246" w:type="dxa"/>
            <w:vAlign w:val="center"/>
          </w:tcPr>
          <w:p w14:paraId="0D536F96">
            <w:pPr>
              <w:widowControl/>
              <w:autoSpaceDE/>
              <w:autoSpaceDN/>
              <w:rPr>
                <w:rFonts w:ascii="Arial" w:hAnsi="Arial" w:eastAsia="宋体" w:cs="Arial"/>
                <w:sz w:val="20"/>
                <w:szCs w:val="20"/>
                <w:lang w:eastAsia="zh-CN"/>
              </w:rPr>
            </w:pPr>
            <w:r>
              <w:rPr>
                <w:rFonts w:ascii="Arial" w:hAnsi="Arial" w:eastAsia="宋体" w:cs="Arial"/>
                <w:sz w:val="20"/>
                <w:szCs w:val="20"/>
                <w:lang w:eastAsia="zh-CN"/>
              </w:rPr>
              <w:t>PaO</w:t>
            </w:r>
            <w:r>
              <w:rPr>
                <w:rFonts w:ascii="Arial" w:hAnsi="Arial" w:eastAsia="宋体" w:cs="Arial"/>
                <w:sz w:val="20"/>
                <w:szCs w:val="20"/>
                <w:vertAlign w:val="subscript"/>
                <w:lang w:eastAsia="zh-CN"/>
              </w:rPr>
              <w:t>2</w:t>
            </w:r>
            <w:r>
              <w:rPr>
                <w:rFonts w:ascii="Arial" w:hAnsi="Arial" w:eastAsia="宋体" w:cs="Arial"/>
                <w:sz w:val="20"/>
                <w:szCs w:val="20"/>
                <w:lang w:eastAsia="zh-CN"/>
              </w:rPr>
              <w:t>/FiO</w:t>
            </w:r>
            <w:r>
              <w:rPr>
                <w:rFonts w:ascii="Arial" w:hAnsi="Arial" w:eastAsia="宋体" w:cs="Arial"/>
                <w:sz w:val="20"/>
                <w:szCs w:val="20"/>
                <w:vertAlign w:val="subscript"/>
                <w:lang w:eastAsia="zh-CN"/>
              </w:rPr>
              <w:t>2</w:t>
            </w:r>
            <w:r>
              <w:rPr>
                <w:rFonts w:ascii="Arial" w:hAnsi="Arial" w:eastAsia="宋体" w:cs="Arial"/>
                <w:sz w:val="20"/>
                <w:szCs w:val="20"/>
                <w:lang w:eastAsia="zh-CN"/>
              </w:rPr>
              <w:t xml:space="preserve"> &gt; 400 mm</w:t>
            </w:r>
            <w:r>
              <w:rPr>
                <w:rFonts w:hint="eastAsia" w:ascii="Arial" w:hAnsi="Arial" w:eastAsia="宋体" w:cs="Arial"/>
                <w:sz w:val="20"/>
                <w:szCs w:val="20"/>
                <w:lang w:eastAsia="zh-CN"/>
              </w:rPr>
              <w:t xml:space="preserve"> </w:t>
            </w:r>
            <w:r>
              <w:rPr>
                <w:rFonts w:ascii="Arial" w:hAnsi="Arial" w:eastAsia="宋体" w:cs="Arial"/>
                <w:sz w:val="20"/>
                <w:szCs w:val="20"/>
                <w:lang w:eastAsia="zh-CN"/>
              </w:rPr>
              <w:t>Hg</w:t>
            </w:r>
          </w:p>
        </w:tc>
        <w:tc>
          <w:tcPr>
            <w:tcW w:w="1196" w:type="dxa"/>
            <w:vAlign w:val="center"/>
          </w:tcPr>
          <w:p w14:paraId="35B6787E">
            <w:pPr>
              <w:widowControl/>
              <w:autoSpaceDE/>
              <w:autoSpaceDN/>
              <w:rPr>
                <w:rFonts w:ascii="Arial" w:hAnsi="Arial" w:eastAsia="宋体" w:cs="Arial"/>
                <w:sz w:val="20"/>
                <w:szCs w:val="20"/>
                <w:lang w:eastAsia="zh-CN"/>
              </w:rPr>
            </w:pPr>
            <w:r>
              <w:rPr>
                <w:rFonts w:ascii="Arial" w:hAnsi="Arial" w:eastAsia="宋体" w:cs="Arial"/>
                <w:sz w:val="20"/>
                <w:szCs w:val="20"/>
                <w:lang w:eastAsia="zh-CN"/>
              </w:rPr>
              <w:t>PaO</w:t>
            </w:r>
            <w:r>
              <w:rPr>
                <w:rFonts w:ascii="Arial" w:hAnsi="Arial" w:eastAsia="宋体" w:cs="Arial"/>
                <w:sz w:val="20"/>
                <w:szCs w:val="20"/>
                <w:vertAlign w:val="subscript"/>
                <w:lang w:eastAsia="zh-CN"/>
              </w:rPr>
              <w:t>2</w:t>
            </w:r>
            <w:r>
              <w:rPr>
                <w:rFonts w:ascii="Arial" w:hAnsi="Arial" w:eastAsia="宋体" w:cs="Arial"/>
                <w:sz w:val="20"/>
                <w:szCs w:val="20"/>
                <w:lang w:eastAsia="zh-CN"/>
              </w:rPr>
              <w:t>/FiO</w:t>
            </w:r>
            <w:r>
              <w:rPr>
                <w:rFonts w:ascii="Arial" w:hAnsi="Arial" w:eastAsia="宋体" w:cs="Arial"/>
                <w:sz w:val="20"/>
                <w:szCs w:val="20"/>
                <w:vertAlign w:val="subscript"/>
                <w:lang w:eastAsia="zh-CN"/>
              </w:rPr>
              <w:t>2</w:t>
            </w:r>
            <w:r>
              <w:rPr>
                <w:rFonts w:ascii="Arial" w:hAnsi="Arial" w:eastAsia="宋体" w:cs="Arial"/>
                <w:sz w:val="20"/>
                <w:szCs w:val="20"/>
                <w:lang w:eastAsia="zh-CN"/>
              </w:rPr>
              <w:t xml:space="preserve"> ≤ 400 mm</w:t>
            </w:r>
            <w:r>
              <w:rPr>
                <w:rFonts w:hint="eastAsia" w:ascii="Arial" w:hAnsi="Arial" w:eastAsia="宋体" w:cs="Arial"/>
                <w:sz w:val="20"/>
                <w:szCs w:val="20"/>
                <w:lang w:eastAsia="zh-CN"/>
              </w:rPr>
              <w:t xml:space="preserve"> </w:t>
            </w:r>
            <w:r>
              <w:rPr>
                <w:rFonts w:ascii="Arial" w:hAnsi="Arial" w:eastAsia="宋体" w:cs="Arial"/>
                <w:sz w:val="20"/>
                <w:szCs w:val="20"/>
                <w:lang w:eastAsia="zh-CN"/>
              </w:rPr>
              <w:t>Hg</w:t>
            </w:r>
          </w:p>
        </w:tc>
        <w:tc>
          <w:tcPr>
            <w:tcW w:w="1477" w:type="dxa"/>
            <w:vAlign w:val="center"/>
          </w:tcPr>
          <w:p w14:paraId="52D2BC48">
            <w:pPr>
              <w:widowControl/>
              <w:autoSpaceDE/>
              <w:autoSpaceDN/>
              <w:rPr>
                <w:rFonts w:ascii="Arial" w:hAnsi="Arial" w:eastAsia="宋体" w:cs="Arial"/>
                <w:sz w:val="20"/>
                <w:szCs w:val="20"/>
                <w:lang w:eastAsia="zh-CN"/>
              </w:rPr>
            </w:pPr>
            <w:r>
              <w:rPr>
                <w:rFonts w:ascii="Arial" w:hAnsi="Arial" w:eastAsia="宋体" w:cs="Arial"/>
                <w:sz w:val="20"/>
                <w:szCs w:val="20"/>
                <w:lang w:eastAsia="zh-CN"/>
              </w:rPr>
              <w:t>PaO</w:t>
            </w:r>
            <w:r>
              <w:rPr>
                <w:rFonts w:ascii="Arial" w:hAnsi="Arial" w:eastAsia="宋体" w:cs="Arial"/>
                <w:sz w:val="20"/>
                <w:szCs w:val="20"/>
                <w:vertAlign w:val="subscript"/>
                <w:lang w:eastAsia="zh-CN"/>
              </w:rPr>
              <w:t>2</w:t>
            </w:r>
            <w:r>
              <w:rPr>
                <w:rFonts w:ascii="Arial" w:hAnsi="Arial" w:eastAsia="宋体" w:cs="Arial"/>
                <w:sz w:val="20"/>
                <w:szCs w:val="20"/>
                <w:lang w:eastAsia="zh-CN"/>
              </w:rPr>
              <w:t>/FiO</w:t>
            </w:r>
            <w:r>
              <w:rPr>
                <w:rFonts w:ascii="Arial" w:hAnsi="Arial" w:eastAsia="宋体" w:cs="Arial"/>
                <w:sz w:val="20"/>
                <w:szCs w:val="20"/>
                <w:vertAlign w:val="subscript"/>
                <w:lang w:eastAsia="zh-CN"/>
              </w:rPr>
              <w:t>2</w:t>
            </w:r>
            <w:r>
              <w:rPr>
                <w:rFonts w:ascii="Arial" w:hAnsi="Arial" w:eastAsia="宋体" w:cs="Arial"/>
                <w:sz w:val="20"/>
                <w:szCs w:val="20"/>
                <w:lang w:eastAsia="zh-CN"/>
              </w:rPr>
              <w:t xml:space="preserve"> ≤ 300 mm</w:t>
            </w:r>
            <w:r>
              <w:rPr>
                <w:rFonts w:hint="eastAsia" w:ascii="Arial" w:hAnsi="Arial" w:eastAsia="宋体" w:cs="Arial"/>
                <w:sz w:val="20"/>
                <w:szCs w:val="20"/>
                <w:lang w:eastAsia="zh-CN"/>
              </w:rPr>
              <w:t xml:space="preserve"> </w:t>
            </w:r>
            <w:r>
              <w:rPr>
                <w:rFonts w:ascii="Arial" w:hAnsi="Arial" w:eastAsia="宋体" w:cs="Arial"/>
                <w:sz w:val="20"/>
                <w:szCs w:val="20"/>
                <w:lang w:eastAsia="zh-CN"/>
              </w:rPr>
              <w:t>Hg</w:t>
            </w:r>
          </w:p>
        </w:tc>
        <w:tc>
          <w:tcPr>
            <w:tcW w:w="2135" w:type="dxa"/>
            <w:vAlign w:val="center"/>
          </w:tcPr>
          <w:p w14:paraId="4019498A">
            <w:pPr>
              <w:widowControl/>
              <w:autoSpaceDE/>
              <w:autoSpaceDN/>
              <w:rPr>
                <w:rFonts w:ascii="Arial" w:hAnsi="Arial" w:eastAsia="宋体" w:cs="Arial"/>
                <w:sz w:val="20"/>
                <w:szCs w:val="20"/>
                <w:lang w:eastAsia="zh-CN"/>
              </w:rPr>
            </w:pPr>
            <w:r>
              <w:rPr>
                <w:rFonts w:ascii="Arial" w:hAnsi="Arial" w:eastAsia="宋体" w:cs="Arial"/>
                <w:sz w:val="20"/>
                <w:szCs w:val="20"/>
                <w:lang w:eastAsia="zh-CN"/>
              </w:rPr>
              <w:t>PaO</w:t>
            </w:r>
            <w:r>
              <w:rPr>
                <w:rFonts w:ascii="Arial" w:hAnsi="Arial" w:eastAsia="宋体" w:cs="Arial"/>
                <w:sz w:val="20"/>
                <w:szCs w:val="20"/>
                <w:vertAlign w:val="subscript"/>
                <w:lang w:eastAsia="zh-CN"/>
              </w:rPr>
              <w:t>2</w:t>
            </w:r>
            <w:r>
              <w:rPr>
                <w:rFonts w:ascii="Arial" w:hAnsi="Arial" w:eastAsia="宋体" w:cs="Arial"/>
                <w:sz w:val="20"/>
                <w:szCs w:val="20"/>
                <w:lang w:eastAsia="zh-CN"/>
              </w:rPr>
              <w:t>/FiO</w:t>
            </w:r>
            <w:r>
              <w:rPr>
                <w:rFonts w:ascii="Arial" w:hAnsi="Arial" w:eastAsia="宋体" w:cs="Arial"/>
                <w:sz w:val="20"/>
                <w:szCs w:val="20"/>
                <w:vertAlign w:val="subscript"/>
                <w:lang w:eastAsia="zh-CN"/>
              </w:rPr>
              <w:t>2</w:t>
            </w:r>
            <w:r>
              <w:rPr>
                <w:rFonts w:ascii="Arial" w:hAnsi="Arial" w:eastAsia="宋体" w:cs="Arial"/>
                <w:sz w:val="20"/>
                <w:szCs w:val="20"/>
                <w:lang w:eastAsia="zh-CN"/>
              </w:rPr>
              <w:t xml:space="preserve"> ≤ 200 mm</w:t>
            </w:r>
            <w:r>
              <w:rPr>
                <w:rFonts w:hint="eastAsia" w:ascii="Arial" w:hAnsi="Arial" w:eastAsia="宋体" w:cs="Arial"/>
                <w:sz w:val="20"/>
                <w:szCs w:val="20"/>
                <w:lang w:eastAsia="zh-CN"/>
              </w:rPr>
              <w:t xml:space="preserve"> </w:t>
            </w:r>
            <w:r>
              <w:rPr>
                <w:rFonts w:ascii="Arial" w:hAnsi="Arial" w:eastAsia="宋体" w:cs="Arial"/>
                <w:sz w:val="20"/>
                <w:szCs w:val="20"/>
                <w:lang w:eastAsia="zh-CN"/>
              </w:rPr>
              <w:t>Hg with respiratory support</w:t>
            </w:r>
          </w:p>
        </w:tc>
        <w:tc>
          <w:tcPr>
            <w:tcW w:w="2302" w:type="dxa"/>
            <w:vAlign w:val="center"/>
          </w:tcPr>
          <w:p w14:paraId="346363A5">
            <w:pPr>
              <w:widowControl/>
              <w:autoSpaceDE/>
              <w:autoSpaceDN/>
              <w:rPr>
                <w:rFonts w:ascii="Arial" w:hAnsi="Arial" w:eastAsia="宋体" w:cs="Arial"/>
                <w:sz w:val="20"/>
                <w:szCs w:val="20"/>
                <w:lang w:eastAsia="zh-CN"/>
              </w:rPr>
            </w:pPr>
            <w:r>
              <w:rPr>
                <w:rFonts w:ascii="Arial" w:hAnsi="Arial" w:eastAsia="宋体" w:cs="Arial"/>
                <w:sz w:val="20"/>
                <w:szCs w:val="20"/>
                <w:lang w:eastAsia="zh-CN"/>
              </w:rPr>
              <w:t>PaO</w:t>
            </w:r>
            <w:r>
              <w:rPr>
                <w:rFonts w:ascii="Arial" w:hAnsi="Arial" w:eastAsia="宋体" w:cs="Arial"/>
                <w:sz w:val="20"/>
                <w:szCs w:val="20"/>
                <w:vertAlign w:val="subscript"/>
                <w:lang w:eastAsia="zh-CN"/>
              </w:rPr>
              <w:t>2</w:t>
            </w:r>
            <w:r>
              <w:rPr>
                <w:rFonts w:ascii="Arial" w:hAnsi="Arial" w:eastAsia="宋体" w:cs="Arial"/>
                <w:sz w:val="20"/>
                <w:szCs w:val="20"/>
                <w:lang w:eastAsia="zh-CN"/>
              </w:rPr>
              <w:t>/FiO</w:t>
            </w:r>
            <w:r>
              <w:rPr>
                <w:rFonts w:ascii="Arial" w:hAnsi="Arial" w:eastAsia="宋体" w:cs="Arial"/>
                <w:sz w:val="20"/>
                <w:szCs w:val="20"/>
                <w:vertAlign w:val="subscript"/>
                <w:lang w:eastAsia="zh-CN"/>
              </w:rPr>
              <w:t>2</w:t>
            </w:r>
            <w:r>
              <w:rPr>
                <w:rFonts w:ascii="Arial" w:hAnsi="Arial" w:eastAsia="宋体" w:cs="Arial"/>
                <w:sz w:val="20"/>
                <w:szCs w:val="20"/>
                <w:lang w:eastAsia="zh-CN"/>
              </w:rPr>
              <w:t xml:space="preserve"> ≤ 100 mm</w:t>
            </w:r>
            <w:r>
              <w:rPr>
                <w:rFonts w:hint="eastAsia" w:ascii="Arial" w:hAnsi="Arial" w:eastAsia="宋体" w:cs="Arial"/>
                <w:sz w:val="20"/>
                <w:szCs w:val="20"/>
                <w:lang w:eastAsia="zh-CN"/>
              </w:rPr>
              <w:t xml:space="preserve"> </w:t>
            </w:r>
            <w:r>
              <w:rPr>
                <w:rFonts w:ascii="Arial" w:hAnsi="Arial" w:eastAsia="宋体" w:cs="Arial"/>
                <w:sz w:val="20"/>
                <w:szCs w:val="20"/>
                <w:lang w:eastAsia="zh-CN"/>
              </w:rPr>
              <w:t>Hg with respiratory support</w:t>
            </w:r>
          </w:p>
        </w:tc>
      </w:tr>
      <w:tr w14:paraId="6B00A4E9">
        <w:tc>
          <w:tcPr>
            <w:tcW w:w="1364" w:type="dxa"/>
            <w:vAlign w:val="center"/>
          </w:tcPr>
          <w:p w14:paraId="4E5763D5">
            <w:pPr>
              <w:widowControl/>
              <w:autoSpaceDE/>
              <w:autoSpaceDN/>
              <w:rPr>
                <w:rFonts w:ascii="Arial" w:hAnsi="Arial" w:eastAsia="宋体" w:cs="Arial"/>
                <w:sz w:val="20"/>
                <w:szCs w:val="20"/>
                <w:lang w:eastAsia="zh-CN"/>
              </w:rPr>
            </w:pPr>
            <w:r>
              <w:rPr>
                <w:rFonts w:ascii="Arial" w:hAnsi="Arial" w:eastAsia="宋体" w:cs="Arial"/>
                <w:sz w:val="20"/>
                <w:szCs w:val="20"/>
                <w:lang w:eastAsia="zh-CN"/>
              </w:rPr>
              <w:t>Cardiovascular</w:t>
            </w:r>
          </w:p>
        </w:tc>
        <w:tc>
          <w:tcPr>
            <w:tcW w:w="1246" w:type="dxa"/>
            <w:vAlign w:val="center"/>
          </w:tcPr>
          <w:p w14:paraId="22CDBDAE">
            <w:pPr>
              <w:widowControl/>
              <w:autoSpaceDE/>
              <w:autoSpaceDN/>
              <w:rPr>
                <w:rFonts w:ascii="Arial" w:hAnsi="Arial" w:eastAsia="宋体" w:cs="Arial"/>
                <w:sz w:val="20"/>
                <w:szCs w:val="20"/>
                <w:lang w:eastAsia="zh-CN"/>
              </w:rPr>
            </w:pPr>
            <w:r>
              <w:rPr>
                <w:rFonts w:ascii="Arial" w:hAnsi="Arial" w:eastAsia="宋体" w:cs="Arial"/>
                <w:sz w:val="20"/>
                <w:szCs w:val="20"/>
                <w:lang w:eastAsia="zh-CN"/>
              </w:rPr>
              <w:t>MAP ≥ 70 mm</w:t>
            </w:r>
            <w:r>
              <w:rPr>
                <w:rFonts w:hint="eastAsia" w:ascii="Arial" w:hAnsi="Arial" w:eastAsia="宋体" w:cs="Arial"/>
                <w:sz w:val="20"/>
                <w:szCs w:val="20"/>
                <w:lang w:eastAsia="zh-CN"/>
              </w:rPr>
              <w:t xml:space="preserve"> </w:t>
            </w:r>
            <w:r>
              <w:rPr>
                <w:rFonts w:ascii="Arial" w:hAnsi="Arial" w:eastAsia="宋体" w:cs="Arial"/>
                <w:sz w:val="20"/>
                <w:szCs w:val="20"/>
                <w:lang w:eastAsia="zh-CN"/>
              </w:rPr>
              <w:t>Hg</w:t>
            </w:r>
          </w:p>
        </w:tc>
        <w:tc>
          <w:tcPr>
            <w:tcW w:w="1196" w:type="dxa"/>
            <w:vAlign w:val="center"/>
          </w:tcPr>
          <w:p w14:paraId="6C4DFB8A">
            <w:pPr>
              <w:widowControl/>
              <w:autoSpaceDE/>
              <w:autoSpaceDN/>
              <w:rPr>
                <w:rFonts w:ascii="Arial" w:hAnsi="Arial" w:eastAsia="宋体" w:cs="Arial"/>
                <w:sz w:val="20"/>
                <w:szCs w:val="20"/>
                <w:lang w:eastAsia="zh-CN"/>
              </w:rPr>
            </w:pPr>
            <w:r>
              <w:rPr>
                <w:rFonts w:ascii="Arial" w:hAnsi="Arial" w:eastAsia="宋体" w:cs="Arial"/>
                <w:sz w:val="20"/>
                <w:szCs w:val="20"/>
                <w:lang w:eastAsia="zh-CN"/>
              </w:rPr>
              <w:t>MAP &lt; 70 mm</w:t>
            </w:r>
            <w:r>
              <w:rPr>
                <w:rFonts w:hint="eastAsia" w:ascii="Arial" w:hAnsi="Arial" w:eastAsia="宋体" w:cs="Arial"/>
                <w:sz w:val="20"/>
                <w:szCs w:val="20"/>
                <w:lang w:eastAsia="zh-CN"/>
              </w:rPr>
              <w:t xml:space="preserve"> </w:t>
            </w:r>
            <w:r>
              <w:rPr>
                <w:rFonts w:ascii="Arial" w:hAnsi="Arial" w:eastAsia="宋体" w:cs="Arial"/>
                <w:sz w:val="20"/>
                <w:szCs w:val="20"/>
                <w:lang w:eastAsia="zh-CN"/>
              </w:rPr>
              <w:t>Hg</w:t>
            </w:r>
          </w:p>
        </w:tc>
        <w:tc>
          <w:tcPr>
            <w:tcW w:w="1477" w:type="dxa"/>
            <w:vAlign w:val="center"/>
          </w:tcPr>
          <w:p w14:paraId="14DB89E5">
            <w:pPr>
              <w:widowControl/>
              <w:autoSpaceDE/>
              <w:autoSpaceDN/>
              <w:rPr>
                <w:rFonts w:ascii="Arial" w:hAnsi="Arial" w:eastAsia="宋体" w:cs="Arial"/>
                <w:sz w:val="20"/>
                <w:szCs w:val="20"/>
                <w:lang w:eastAsia="zh-CN"/>
              </w:rPr>
            </w:pPr>
            <w:r>
              <w:rPr>
                <w:rFonts w:ascii="Arial" w:hAnsi="Arial" w:eastAsia="宋体" w:cs="Arial"/>
                <w:sz w:val="20"/>
                <w:szCs w:val="20"/>
                <w:lang w:eastAsia="zh-CN"/>
              </w:rPr>
              <w:t>Dopamine ≤ 5 μg/kg/min or dobutamine (any dose)</w:t>
            </w:r>
          </w:p>
        </w:tc>
        <w:tc>
          <w:tcPr>
            <w:tcW w:w="2135" w:type="dxa"/>
            <w:vAlign w:val="center"/>
          </w:tcPr>
          <w:p w14:paraId="5C239A1D">
            <w:pPr>
              <w:widowControl/>
              <w:autoSpaceDE/>
              <w:autoSpaceDN/>
              <w:rPr>
                <w:rFonts w:ascii="Arial" w:hAnsi="Arial" w:eastAsia="宋体" w:cs="Arial"/>
                <w:sz w:val="20"/>
                <w:szCs w:val="20"/>
                <w:lang w:eastAsia="zh-CN"/>
              </w:rPr>
            </w:pPr>
            <w:r>
              <w:rPr>
                <w:rFonts w:ascii="Arial" w:hAnsi="Arial" w:eastAsia="宋体" w:cs="Arial"/>
                <w:sz w:val="20"/>
                <w:szCs w:val="20"/>
                <w:lang w:eastAsia="zh-CN"/>
              </w:rPr>
              <w:t>Dopamine &gt; 5 μg/kg/min or epinephrine ≤ 0.1 μg/kg/min or norepinephrine ≤ 0.1 μg/kg/min</w:t>
            </w:r>
          </w:p>
        </w:tc>
        <w:tc>
          <w:tcPr>
            <w:tcW w:w="2302" w:type="dxa"/>
            <w:vAlign w:val="center"/>
          </w:tcPr>
          <w:p w14:paraId="4E28B4F3">
            <w:pPr>
              <w:widowControl/>
              <w:autoSpaceDE/>
              <w:autoSpaceDN/>
              <w:rPr>
                <w:rFonts w:ascii="Arial" w:hAnsi="Arial" w:eastAsia="宋体" w:cs="Arial"/>
                <w:sz w:val="20"/>
                <w:szCs w:val="20"/>
                <w:lang w:eastAsia="zh-CN"/>
              </w:rPr>
            </w:pPr>
            <w:r>
              <w:rPr>
                <w:rFonts w:ascii="Arial" w:hAnsi="Arial" w:eastAsia="宋体" w:cs="Arial"/>
                <w:sz w:val="20"/>
                <w:szCs w:val="20"/>
                <w:lang w:eastAsia="zh-CN"/>
              </w:rPr>
              <w:t>Dopamine &gt; 15 μg/kg/min or epinephrine &gt; 0.1 μg/kg/min or norepinephrine &gt; 0.1 μg/kg/min</w:t>
            </w:r>
          </w:p>
        </w:tc>
      </w:tr>
      <w:tr w14:paraId="7CD9DA6F">
        <w:tc>
          <w:tcPr>
            <w:tcW w:w="1364" w:type="dxa"/>
            <w:vAlign w:val="center"/>
          </w:tcPr>
          <w:p w14:paraId="0D5C7331">
            <w:pPr>
              <w:widowControl/>
              <w:autoSpaceDE/>
              <w:autoSpaceDN/>
              <w:rPr>
                <w:rFonts w:ascii="Arial" w:hAnsi="Arial" w:eastAsia="宋体" w:cs="Arial"/>
                <w:sz w:val="20"/>
                <w:szCs w:val="20"/>
                <w:lang w:eastAsia="zh-CN"/>
              </w:rPr>
            </w:pPr>
            <w:r>
              <w:rPr>
                <w:rFonts w:ascii="Arial" w:hAnsi="Arial" w:eastAsia="宋体" w:cs="Arial"/>
                <w:sz w:val="20"/>
                <w:szCs w:val="20"/>
                <w:lang w:eastAsia="zh-CN"/>
              </w:rPr>
              <w:t>Renal</w:t>
            </w:r>
          </w:p>
        </w:tc>
        <w:tc>
          <w:tcPr>
            <w:tcW w:w="1246" w:type="dxa"/>
            <w:vAlign w:val="center"/>
          </w:tcPr>
          <w:p w14:paraId="447D4594">
            <w:pPr>
              <w:widowControl/>
              <w:autoSpaceDE/>
              <w:autoSpaceDN/>
              <w:rPr>
                <w:rFonts w:ascii="Arial" w:hAnsi="Arial" w:eastAsia="宋体" w:cs="Arial"/>
                <w:sz w:val="20"/>
                <w:szCs w:val="20"/>
                <w:lang w:eastAsia="zh-CN"/>
              </w:rPr>
            </w:pPr>
            <w:r>
              <w:rPr>
                <w:rFonts w:ascii="Arial" w:hAnsi="Arial" w:eastAsia="宋体" w:cs="Arial"/>
                <w:sz w:val="20"/>
                <w:szCs w:val="20"/>
                <w:lang w:eastAsia="zh-CN"/>
              </w:rPr>
              <w:t>Creatinine &lt; 1.2 mg/dL</w:t>
            </w:r>
          </w:p>
        </w:tc>
        <w:tc>
          <w:tcPr>
            <w:tcW w:w="1196" w:type="dxa"/>
            <w:vAlign w:val="center"/>
          </w:tcPr>
          <w:p w14:paraId="0E14C39A">
            <w:pPr>
              <w:widowControl/>
              <w:autoSpaceDE/>
              <w:autoSpaceDN/>
              <w:rPr>
                <w:rFonts w:ascii="Arial" w:hAnsi="Arial" w:eastAsia="宋体" w:cs="Arial"/>
                <w:sz w:val="20"/>
                <w:szCs w:val="20"/>
                <w:lang w:eastAsia="zh-CN"/>
              </w:rPr>
            </w:pPr>
            <w:r>
              <w:rPr>
                <w:rFonts w:ascii="Arial" w:hAnsi="Arial" w:eastAsia="宋体" w:cs="Arial"/>
                <w:sz w:val="20"/>
                <w:szCs w:val="20"/>
                <w:lang w:eastAsia="zh-CN"/>
              </w:rPr>
              <w:t>Creatinine 1.2–1.9 mg/dL</w:t>
            </w:r>
          </w:p>
        </w:tc>
        <w:tc>
          <w:tcPr>
            <w:tcW w:w="1477" w:type="dxa"/>
            <w:vAlign w:val="center"/>
          </w:tcPr>
          <w:p w14:paraId="0139FCDB">
            <w:pPr>
              <w:widowControl/>
              <w:autoSpaceDE/>
              <w:autoSpaceDN/>
              <w:rPr>
                <w:rFonts w:ascii="Arial" w:hAnsi="Arial" w:eastAsia="宋体" w:cs="Arial"/>
                <w:sz w:val="20"/>
                <w:szCs w:val="20"/>
                <w:lang w:eastAsia="zh-CN"/>
              </w:rPr>
            </w:pPr>
            <w:r>
              <w:rPr>
                <w:rFonts w:ascii="Arial" w:hAnsi="Arial" w:eastAsia="宋体" w:cs="Arial"/>
                <w:sz w:val="20"/>
                <w:szCs w:val="20"/>
                <w:lang w:eastAsia="zh-CN"/>
              </w:rPr>
              <w:t>Creatinine 2.0–3.4 mg/dL</w:t>
            </w:r>
          </w:p>
        </w:tc>
        <w:tc>
          <w:tcPr>
            <w:tcW w:w="2135" w:type="dxa"/>
            <w:vAlign w:val="center"/>
          </w:tcPr>
          <w:p w14:paraId="0655DCA7">
            <w:pPr>
              <w:widowControl/>
              <w:autoSpaceDE/>
              <w:autoSpaceDN/>
              <w:rPr>
                <w:rFonts w:ascii="Arial" w:hAnsi="Arial" w:eastAsia="宋体" w:cs="Arial"/>
                <w:sz w:val="20"/>
                <w:szCs w:val="20"/>
                <w:lang w:eastAsia="zh-CN"/>
              </w:rPr>
            </w:pPr>
            <w:r>
              <w:rPr>
                <w:rFonts w:ascii="Arial" w:hAnsi="Arial" w:eastAsia="宋体" w:cs="Arial"/>
                <w:sz w:val="20"/>
                <w:szCs w:val="20"/>
                <w:lang w:eastAsia="zh-CN"/>
              </w:rPr>
              <w:t>Creatinine 3.5–4.9 mg/dL or urine output &lt; 500 mL/day</w:t>
            </w:r>
            <w:r>
              <w:rPr>
                <w:rFonts w:hint="eastAsia" w:ascii="Arial" w:hAnsi="Arial" w:eastAsia="宋体" w:cs="Arial"/>
                <w:sz w:val="20"/>
                <w:szCs w:val="20"/>
                <w:vertAlign w:val="superscript"/>
                <w:lang w:eastAsia="zh-CN"/>
              </w:rPr>
              <w:t>b</w:t>
            </w:r>
          </w:p>
        </w:tc>
        <w:tc>
          <w:tcPr>
            <w:tcW w:w="2302" w:type="dxa"/>
            <w:vAlign w:val="center"/>
          </w:tcPr>
          <w:p w14:paraId="198EFB27">
            <w:pPr>
              <w:widowControl/>
              <w:autoSpaceDE/>
              <w:autoSpaceDN/>
              <w:rPr>
                <w:rFonts w:ascii="Arial" w:hAnsi="Arial" w:eastAsia="宋体" w:cs="Arial"/>
                <w:sz w:val="20"/>
                <w:szCs w:val="20"/>
                <w:lang w:eastAsia="zh-CN"/>
              </w:rPr>
            </w:pPr>
            <w:r>
              <w:rPr>
                <w:rFonts w:ascii="Arial" w:hAnsi="Arial" w:eastAsia="宋体" w:cs="Arial"/>
                <w:sz w:val="20"/>
                <w:szCs w:val="20"/>
                <w:lang w:eastAsia="zh-CN"/>
              </w:rPr>
              <w:t>Creatinine &gt; 5.0 mg/dL or urine output &lt; 200 mL/day</w:t>
            </w:r>
            <w:r>
              <w:rPr>
                <w:rFonts w:hint="eastAsia" w:ascii="Arial" w:hAnsi="Arial" w:eastAsia="宋体" w:cs="Arial"/>
                <w:sz w:val="20"/>
                <w:szCs w:val="20"/>
                <w:vertAlign w:val="superscript"/>
                <w:lang w:eastAsia="zh-CN"/>
              </w:rPr>
              <w:t>a</w:t>
            </w:r>
          </w:p>
        </w:tc>
      </w:tr>
      <w:tr w14:paraId="6C276BB0">
        <w:tc>
          <w:tcPr>
            <w:tcW w:w="1364" w:type="dxa"/>
            <w:vAlign w:val="center"/>
          </w:tcPr>
          <w:p w14:paraId="14463D5F">
            <w:pPr>
              <w:widowControl/>
              <w:autoSpaceDE/>
              <w:autoSpaceDN/>
              <w:rPr>
                <w:rFonts w:ascii="Arial" w:hAnsi="Arial" w:eastAsia="宋体" w:cs="Arial"/>
                <w:sz w:val="20"/>
                <w:szCs w:val="20"/>
                <w:lang w:eastAsia="zh-CN"/>
              </w:rPr>
            </w:pPr>
            <w:r>
              <w:rPr>
                <w:rFonts w:ascii="Arial" w:hAnsi="Arial" w:eastAsia="宋体" w:cs="Arial"/>
                <w:sz w:val="20"/>
                <w:szCs w:val="20"/>
                <w:lang w:eastAsia="zh-CN"/>
              </w:rPr>
              <w:t>CNS</w:t>
            </w:r>
          </w:p>
        </w:tc>
        <w:tc>
          <w:tcPr>
            <w:tcW w:w="1246" w:type="dxa"/>
            <w:vAlign w:val="center"/>
          </w:tcPr>
          <w:p w14:paraId="5C7FBF19">
            <w:pPr>
              <w:widowControl/>
              <w:autoSpaceDE/>
              <w:autoSpaceDN/>
              <w:rPr>
                <w:rFonts w:ascii="Arial" w:hAnsi="Arial" w:eastAsia="宋体" w:cs="Arial"/>
                <w:sz w:val="20"/>
                <w:szCs w:val="20"/>
                <w:lang w:eastAsia="zh-CN"/>
              </w:rPr>
            </w:pPr>
            <w:r>
              <w:rPr>
                <w:rFonts w:ascii="Arial" w:hAnsi="Arial" w:eastAsia="宋体" w:cs="Arial"/>
                <w:sz w:val="20"/>
                <w:szCs w:val="20"/>
                <w:lang w:eastAsia="zh-CN"/>
              </w:rPr>
              <w:t>GCS 15</w:t>
            </w:r>
          </w:p>
        </w:tc>
        <w:tc>
          <w:tcPr>
            <w:tcW w:w="1196" w:type="dxa"/>
            <w:vAlign w:val="center"/>
          </w:tcPr>
          <w:p w14:paraId="50F04975">
            <w:pPr>
              <w:widowControl/>
              <w:autoSpaceDE/>
              <w:autoSpaceDN/>
              <w:rPr>
                <w:rFonts w:ascii="Arial" w:hAnsi="Arial" w:eastAsia="宋体" w:cs="Arial"/>
                <w:sz w:val="20"/>
                <w:szCs w:val="20"/>
                <w:lang w:eastAsia="zh-CN"/>
              </w:rPr>
            </w:pPr>
            <w:r>
              <w:rPr>
                <w:rFonts w:ascii="Arial" w:hAnsi="Arial" w:eastAsia="宋体" w:cs="Arial"/>
                <w:sz w:val="20"/>
                <w:szCs w:val="20"/>
                <w:lang w:eastAsia="zh-CN"/>
              </w:rPr>
              <w:t>GCS 13–14</w:t>
            </w:r>
          </w:p>
        </w:tc>
        <w:tc>
          <w:tcPr>
            <w:tcW w:w="1477" w:type="dxa"/>
            <w:vAlign w:val="center"/>
          </w:tcPr>
          <w:p w14:paraId="6B27032B">
            <w:pPr>
              <w:widowControl/>
              <w:autoSpaceDE/>
              <w:autoSpaceDN/>
              <w:rPr>
                <w:rFonts w:ascii="Arial" w:hAnsi="Arial" w:eastAsia="宋体" w:cs="Arial"/>
                <w:sz w:val="20"/>
                <w:szCs w:val="20"/>
                <w:lang w:eastAsia="zh-CN"/>
              </w:rPr>
            </w:pPr>
            <w:r>
              <w:rPr>
                <w:rFonts w:ascii="Arial" w:hAnsi="Arial" w:eastAsia="宋体" w:cs="Arial"/>
                <w:sz w:val="20"/>
                <w:szCs w:val="20"/>
                <w:lang w:eastAsia="zh-CN"/>
              </w:rPr>
              <w:t>GCS 10–12</w:t>
            </w:r>
          </w:p>
        </w:tc>
        <w:tc>
          <w:tcPr>
            <w:tcW w:w="2135" w:type="dxa"/>
            <w:vAlign w:val="center"/>
          </w:tcPr>
          <w:p w14:paraId="7F7C1263">
            <w:pPr>
              <w:widowControl/>
              <w:autoSpaceDE/>
              <w:autoSpaceDN/>
              <w:rPr>
                <w:rFonts w:ascii="Arial" w:hAnsi="Arial" w:eastAsia="宋体" w:cs="Arial"/>
                <w:sz w:val="20"/>
                <w:szCs w:val="20"/>
                <w:lang w:eastAsia="zh-CN"/>
              </w:rPr>
            </w:pPr>
            <w:r>
              <w:rPr>
                <w:rFonts w:ascii="Arial" w:hAnsi="Arial" w:eastAsia="宋体" w:cs="Arial"/>
                <w:sz w:val="20"/>
                <w:szCs w:val="20"/>
                <w:lang w:eastAsia="zh-CN"/>
              </w:rPr>
              <w:t>GCS 6–9</w:t>
            </w:r>
          </w:p>
        </w:tc>
        <w:tc>
          <w:tcPr>
            <w:tcW w:w="2302" w:type="dxa"/>
            <w:vAlign w:val="center"/>
          </w:tcPr>
          <w:p w14:paraId="296DF23F">
            <w:pPr>
              <w:widowControl/>
              <w:autoSpaceDE/>
              <w:autoSpaceDN/>
              <w:rPr>
                <w:rFonts w:ascii="Arial" w:hAnsi="Arial" w:eastAsia="宋体" w:cs="Arial"/>
                <w:sz w:val="20"/>
                <w:szCs w:val="20"/>
                <w:lang w:eastAsia="zh-CN"/>
              </w:rPr>
            </w:pPr>
            <w:r>
              <w:rPr>
                <w:rFonts w:ascii="Arial" w:hAnsi="Arial" w:eastAsia="宋体" w:cs="Arial"/>
                <w:sz w:val="20"/>
                <w:szCs w:val="20"/>
                <w:lang w:eastAsia="zh-CN"/>
              </w:rPr>
              <w:t>GCS &lt; 6</w:t>
            </w:r>
          </w:p>
        </w:tc>
      </w:tr>
      <w:tr w14:paraId="1279EB06">
        <w:tc>
          <w:tcPr>
            <w:tcW w:w="1364" w:type="dxa"/>
            <w:tcBorders>
              <w:bottom w:val="nil"/>
            </w:tcBorders>
            <w:vAlign w:val="center"/>
          </w:tcPr>
          <w:p w14:paraId="48FF4C17">
            <w:pPr>
              <w:widowControl/>
              <w:autoSpaceDE/>
              <w:autoSpaceDN/>
              <w:rPr>
                <w:rFonts w:ascii="Arial" w:hAnsi="Arial" w:eastAsia="宋体" w:cs="Arial"/>
                <w:sz w:val="20"/>
                <w:szCs w:val="20"/>
                <w:lang w:eastAsia="zh-CN"/>
              </w:rPr>
            </w:pPr>
            <w:r>
              <w:rPr>
                <w:rFonts w:ascii="Arial" w:hAnsi="Arial" w:eastAsia="宋体" w:cs="Arial"/>
                <w:sz w:val="20"/>
                <w:szCs w:val="20"/>
                <w:lang w:eastAsia="zh-CN"/>
              </w:rPr>
              <w:t>Liver</w:t>
            </w:r>
          </w:p>
        </w:tc>
        <w:tc>
          <w:tcPr>
            <w:tcW w:w="1246" w:type="dxa"/>
            <w:tcBorders>
              <w:bottom w:val="nil"/>
            </w:tcBorders>
            <w:vAlign w:val="center"/>
          </w:tcPr>
          <w:p w14:paraId="0768A7CE">
            <w:pPr>
              <w:widowControl/>
              <w:autoSpaceDE/>
              <w:autoSpaceDN/>
              <w:rPr>
                <w:rFonts w:ascii="Arial" w:hAnsi="Arial" w:eastAsia="宋体" w:cs="Arial"/>
                <w:sz w:val="20"/>
                <w:szCs w:val="20"/>
                <w:lang w:eastAsia="zh-CN"/>
              </w:rPr>
            </w:pPr>
            <w:r>
              <w:rPr>
                <w:rFonts w:ascii="Arial" w:hAnsi="Arial" w:eastAsia="宋体" w:cs="Arial"/>
                <w:sz w:val="20"/>
                <w:szCs w:val="20"/>
                <w:lang w:eastAsia="zh-CN"/>
              </w:rPr>
              <w:t>Bilirubin &lt; 1.2 mg/dL</w:t>
            </w:r>
          </w:p>
        </w:tc>
        <w:tc>
          <w:tcPr>
            <w:tcW w:w="1196" w:type="dxa"/>
            <w:tcBorders>
              <w:bottom w:val="nil"/>
            </w:tcBorders>
            <w:vAlign w:val="center"/>
          </w:tcPr>
          <w:p w14:paraId="07E2B88F">
            <w:pPr>
              <w:widowControl/>
              <w:autoSpaceDE/>
              <w:autoSpaceDN/>
              <w:rPr>
                <w:rFonts w:ascii="Arial" w:hAnsi="Arial" w:eastAsia="宋体" w:cs="Arial"/>
                <w:sz w:val="20"/>
                <w:szCs w:val="20"/>
                <w:lang w:eastAsia="zh-CN"/>
              </w:rPr>
            </w:pPr>
            <w:r>
              <w:rPr>
                <w:rFonts w:ascii="Arial" w:hAnsi="Arial" w:eastAsia="宋体" w:cs="Arial"/>
                <w:sz w:val="20"/>
                <w:szCs w:val="20"/>
                <w:lang w:eastAsia="zh-CN"/>
              </w:rPr>
              <w:t>Bilirubin 1.2–1.9 mg/dL</w:t>
            </w:r>
          </w:p>
        </w:tc>
        <w:tc>
          <w:tcPr>
            <w:tcW w:w="1477" w:type="dxa"/>
            <w:tcBorders>
              <w:bottom w:val="nil"/>
            </w:tcBorders>
            <w:vAlign w:val="center"/>
          </w:tcPr>
          <w:p w14:paraId="7A1D68EF">
            <w:pPr>
              <w:widowControl/>
              <w:autoSpaceDE/>
              <w:autoSpaceDN/>
              <w:rPr>
                <w:rFonts w:ascii="Arial" w:hAnsi="Arial" w:eastAsia="宋体" w:cs="Arial"/>
                <w:sz w:val="20"/>
                <w:szCs w:val="20"/>
                <w:lang w:eastAsia="zh-CN"/>
              </w:rPr>
            </w:pPr>
            <w:r>
              <w:rPr>
                <w:rFonts w:ascii="Arial" w:hAnsi="Arial" w:eastAsia="宋体" w:cs="Arial"/>
                <w:sz w:val="20"/>
                <w:szCs w:val="20"/>
                <w:lang w:eastAsia="zh-CN"/>
              </w:rPr>
              <w:t>Bilirubin 2.0–5.9 mg/dL</w:t>
            </w:r>
          </w:p>
        </w:tc>
        <w:tc>
          <w:tcPr>
            <w:tcW w:w="2135" w:type="dxa"/>
            <w:tcBorders>
              <w:bottom w:val="nil"/>
            </w:tcBorders>
            <w:vAlign w:val="center"/>
          </w:tcPr>
          <w:p w14:paraId="1C72D2F6">
            <w:pPr>
              <w:widowControl/>
              <w:autoSpaceDE/>
              <w:autoSpaceDN/>
              <w:rPr>
                <w:rFonts w:ascii="Arial" w:hAnsi="Arial" w:eastAsia="宋体" w:cs="Arial"/>
                <w:sz w:val="20"/>
                <w:szCs w:val="20"/>
                <w:lang w:eastAsia="zh-CN"/>
              </w:rPr>
            </w:pPr>
            <w:r>
              <w:rPr>
                <w:rFonts w:ascii="Arial" w:hAnsi="Arial" w:eastAsia="宋体" w:cs="Arial"/>
                <w:sz w:val="20"/>
                <w:szCs w:val="20"/>
                <w:lang w:eastAsia="zh-CN"/>
              </w:rPr>
              <w:t>Bilirubin 6.0–11.9 mg/dL</w:t>
            </w:r>
          </w:p>
        </w:tc>
        <w:tc>
          <w:tcPr>
            <w:tcW w:w="2302" w:type="dxa"/>
            <w:tcBorders>
              <w:bottom w:val="nil"/>
            </w:tcBorders>
            <w:vAlign w:val="center"/>
          </w:tcPr>
          <w:p w14:paraId="454DE329">
            <w:pPr>
              <w:widowControl/>
              <w:autoSpaceDE/>
              <w:autoSpaceDN/>
              <w:rPr>
                <w:rFonts w:ascii="Arial" w:hAnsi="Arial" w:eastAsia="宋体" w:cs="Arial"/>
                <w:sz w:val="20"/>
                <w:szCs w:val="20"/>
                <w:lang w:eastAsia="zh-CN"/>
              </w:rPr>
            </w:pPr>
            <w:r>
              <w:rPr>
                <w:rFonts w:ascii="Arial" w:hAnsi="Arial" w:eastAsia="宋体" w:cs="Arial"/>
                <w:sz w:val="20"/>
                <w:szCs w:val="20"/>
                <w:lang w:eastAsia="zh-CN"/>
              </w:rPr>
              <w:t>Bilirubin ≥ 12.0 mg/dL</w:t>
            </w:r>
          </w:p>
        </w:tc>
      </w:tr>
      <w:tr w14:paraId="2F2221F2">
        <w:tc>
          <w:tcPr>
            <w:tcW w:w="1364" w:type="dxa"/>
            <w:tcBorders>
              <w:top w:val="nil"/>
              <w:bottom w:val="single" w:color="auto" w:sz="12" w:space="0"/>
            </w:tcBorders>
            <w:vAlign w:val="center"/>
          </w:tcPr>
          <w:p w14:paraId="366BC7D4">
            <w:pPr>
              <w:widowControl/>
              <w:autoSpaceDE/>
              <w:autoSpaceDN/>
              <w:rPr>
                <w:rFonts w:ascii="Arial" w:hAnsi="Arial" w:eastAsia="宋体" w:cs="Arial"/>
                <w:sz w:val="20"/>
                <w:szCs w:val="20"/>
                <w:lang w:eastAsia="zh-CN"/>
              </w:rPr>
            </w:pPr>
            <w:r>
              <w:rPr>
                <w:rFonts w:ascii="Arial" w:hAnsi="Arial" w:eastAsia="宋体" w:cs="Arial"/>
                <w:sz w:val="20"/>
                <w:szCs w:val="20"/>
                <w:lang w:eastAsia="zh-CN"/>
              </w:rPr>
              <w:t>Coagulation</w:t>
            </w:r>
          </w:p>
        </w:tc>
        <w:tc>
          <w:tcPr>
            <w:tcW w:w="1246" w:type="dxa"/>
            <w:tcBorders>
              <w:top w:val="nil"/>
              <w:bottom w:val="single" w:color="auto" w:sz="12" w:space="0"/>
            </w:tcBorders>
            <w:vAlign w:val="center"/>
          </w:tcPr>
          <w:p w14:paraId="53109DFD">
            <w:pPr>
              <w:widowControl/>
              <w:autoSpaceDE/>
              <w:autoSpaceDN/>
              <w:rPr>
                <w:rFonts w:ascii="Arial" w:hAnsi="Arial" w:eastAsia="宋体" w:cs="Arial"/>
                <w:sz w:val="20"/>
                <w:szCs w:val="20"/>
                <w:lang w:eastAsia="zh-CN"/>
              </w:rPr>
            </w:pPr>
            <w:r>
              <w:rPr>
                <w:rFonts w:ascii="Arial" w:hAnsi="Arial" w:eastAsia="宋体" w:cs="Arial"/>
                <w:sz w:val="20"/>
                <w:szCs w:val="20"/>
                <w:lang w:eastAsia="zh-CN"/>
              </w:rPr>
              <w:t>Platelets ≥ 150×10³/μL</w:t>
            </w:r>
          </w:p>
        </w:tc>
        <w:tc>
          <w:tcPr>
            <w:tcW w:w="1196" w:type="dxa"/>
            <w:tcBorders>
              <w:top w:val="nil"/>
              <w:bottom w:val="single" w:color="auto" w:sz="12" w:space="0"/>
            </w:tcBorders>
            <w:vAlign w:val="center"/>
          </w:tcPr>
          <w:p w14:paraId="1924E1F8">
            <w:pPr>
              <w:widowControl/>
              <w:autoSpaceDE/>
              <w:autoSpaceDN/>
              <w:rPr>
                <w:rFonts w:ascii="Arial" w:hAnsi="Arial" w:eastAsia="宋体" w:cs="Arial"/>
                <w:sz w:val="20"/>
                <w:szCs w:val="20"/>
                <w:lang w:eastAsia="zh-CN"/>
              </w:rPr>
            </w:pPr>
            <w:r>
              <w:rPr>
                <w:rFonts w:ascii="Arial" w:hAnsi="Arial" w:eastAsia="宋体" w:cs="Arial"/>
                <w:sz w:val="20"/>
                <w:szCs w:val="20"/>
                <w:lang w:eastAsia="zh-CN"/>
              </w:rPr>
              <w:t>Platelets &lt; 150×10³/μL</w:t>
            </w:r>
          </w:p>
        </w:tc>
        <w:tc>
          <w:tcPr>
            <w:tcW w:w="1477" w:type="dxa"/>
            <w:tcBorders>
              <w:top w:val="nil"/>
              <w:bottom w:val="single" w:color="auto" w:sz="12" w:space="0"/>
            </w:tcBorders>
            <w:vAlign w:val="center"/>
          </w:tcPr>
          <w:p w14:paraId="40A30950">
            <w:pPr>
              <w:widowControl/>
              <w:autoSpaceDE/>
              <w:autoSpaceDN/>
              <w:rPr>
                <w:rFonts w:ascii="Arial" w:hAnsi="Arial" w:eastAsia="宋体" w:cs="Arial"/>
                <w:sz w:val="20"/>
                <w:szCs w:val="20"/>
                <w:lang w:eastAsia="zh-CN"/>
              </w:rPr>
            </w:pPr>
            <w:r>
              <w:rPr>
                <w:rFonts w:ascii="Arial" w:hAnsi="Arial" w:eastAsia="宋体" w:cs="Arial"/>
                <w:sz w:val="20"/>
                <w:szCs w:val="20"/>
                <w:lang w:eastAsia="zh-CN"/>
              </w:rPr>
              <w:t>Platelets &lt; 100×10³/μL</w:t>
            </w:r>
          </w:p>
        </w:tc>
        <w:tc>
          <w:tcPr>
            <w:tcW w:w="2135" w:type="dxa"/>
            <w:tcBorders>
              <w:top w:val="nil"/>
              <w:bottom w:val="single" w:color="auto" w:sz="12" w:space="0"/>
            </w:tcBorders>
            <w:vAlign w:val="center"/>
          </w:tcPr>
          <w:p w14:paraId="6D49F6FD">
            <w:pPr>
              <w:widowControl/>
              <w:autoSpaceDE/>
              <w:autoSpaceDN/>
              <w:rPr>
                <w:rFonts w:ascii="Arial" w:hAnsi="Arial" w:eastAsia="宋体" w:cs="Arial"/>
                <w:sz w:val="20"/>
                <w:szCs w:val="20"/>
                <w:lang w:eastAsia="zh-CN"/>
              </w:rPr>
            </w:pPr>
            <w:r>
              <w:rPr>
                <w:rFonts w:ascii="Arial" w:hAnsi="Arial" w:eastAsia="宋体" w:cs="Arial"/>
                <w:sz w:val="20"/>
                <w:szCs w:val="20"/>
                <w:lang w:eastAsia="zh-CN"/>
              </w:rPr>
              <w:t>Platelets &lt; 50×10³/μL</w:t>
            </w:r>
          </w:p>
        </w:tc>
        <w:tc>
          <w:tcPr>
            <w:tcW w:w="2302" w:type="dxa"/>
            <w:tcBorders>
              <w:top w:val="nil"/>
              <w:bottom w:val="single" w:color="auto" w:sz="12" w:space="0"/>
            </w:tcBorders>
            <w:vAlign w:val="center"/>
          </w:tcPr>
          <w:p w14:paraId="51021D52">
            <w:pPr>
              <w:widowControl/>
              <w:autoSpaceDE/>
              <w:autoSpaceDN/>
              <w:rPr>
                <w:rFonts w:ascii="Arial" w:hAnsi="Arial" w:eastAsia="宋体" w:cs="Arial"/>
                <w:sz w:val="20"/>
                <w:szCs w:val="20"/>
                <w:lang w:eastAsia="zh-CN"/>
              </w:rPr>
            </w:pPr>
            <w:r>
              <w:rPr>
                <w:rFonts w:ascii="Arial" w:hAnsi="Arial" w:eastAsia="宋体" w:cs="Arial"/>
                <w:sz w:val="20"/>
                <w:szCs w:val="20"/>
                <w:lang w:eastAsia="zh-CN"/>
              </w:rPr>
              <w:t>Platelets &lt; 20×10³/μL</w:t>
            </w:r>
          </w:p>
        </w:tc>
      </w:tr>
    </w:tbl>
    <w:p w14:paraId="6F560C3C">
      <w:pPr>
        <w:pStyle w:val="5"/>
        <w:rPr>
          <w:rFonts w:ascii="Arial" w:hAnsi="Arial" w:cs="Arial"/>
          <w:lang w:eastAsia="zh-CN"/>
        </w:rPr>
      </w:pPr>
      <w:r>
        <w:rPr>
          <w:rFonts w:ascii="Arial" w:hAnsi="Arial" w:cs="Arial"/>
        </w:rPr>
        <w:t>Abbreviations: GCS, Glasgow Coma Scale; MAP, mean arterial pressure; PaO2/FiO2, ratio of partial</w:t>
      </w:r>
      <w:r>
        <w:rPr>
          <w:rFonts w:hint="eastAsia" w:ascii="Arial" w:hAnsi="Arial" w:cs="Arial"/>
          <w:lang w:eastAsia="zh-CN"/>
        </w:rPr>
        <w:t xml:space="preserve"> </w:t>
      </w:r>
      <w:r>
        <w:rPr>
          <w:rFonts w:ascii="Arial" w:hAnsi="Arial" w:cs="Arial"/>
        </w:rPr>
        <w:t>pressure of oxygen to fraction of inspired oxygen.</w:t>
      </w:r>
    </w:p>
    <w:p w14:paraId="13C8BBFC">
      <w:pPr>
        <w:pStyle w:val="5"/>
        <w:rPr>
          <w:rFonts w:ascii="Arial" w:hAnsi="Arial" w:cs="Arial"/>
          <w:lang w:eastAsia="zh-CN"/>
        </w:rPr>
        <w:sectPr>
          <w:headerReference r:id="rId6" w:type="default"/>
          <w:footerReference r:id="rId7" w:type="default"/>
          <w:pgSz w:w="12240" w:h="15840"/>
          <w:pgMar w:top="1380" w:right="1080" w:bottom="1040" w:left="1440" w:header="0" w:footer="844" w:gutter="0"/>
          <w:lnNumType w:countBy="1" w:restart="continuous"/>
          <w:cols w:space="720" w:num="1"/>
        </w:sectPr>
      </w:pPr>
      <w:r>
        <w:rPr>
          <w:rFonts w:ascii="Arial" w:hAnsi="Arial" w:cs="Arial"/>
        </w:rPr>
        <w:t>SOFA-1 uses absolute urine output thresholds (mL/day), whereas SOFA-2 uses weight-standardized thresholds (mL/kg/h) assessed over 6-, 12-, and 24-hour windows.</w:t>
      </w:r>
    </w:p>
    <w:p w14:paraId="749D3E50">
      <w:pPr>
        <w:pStyle w:val="28"/>
        <w:rPr>
          <w:rFonts w:eastAsiaTheme="minorEastAsia"/>
          <w:vertAlign w:val="superscript"/>
          <w:lang w:eastAsia="zh-CN"/>
        </w:rPr>
      </w:pPr>
      <w:bookmarkStart w:id="6" w:name="_Tocyddqfw"/>
      <w:bookmarkStart w:id="7" w:name="_Toc218072619"/>
      <w:r>
        <w:t>eTable</w:t>
      </w:r>
      <w:r>
        <w:rPr>
          <w:spacing w:val="-4"/>
        </w:rPr>
        <w:t xml:space="preserve"> </w:t>
      </w:r>
      <w:r>
        <w:t>2.</w:t>
      </w:r>
      <w:r>
        <w:rPr>
          <w:spacing w:val="7"/>
        </w:rPr>
        <w:t xml:space="preserve"> </w:t>
      </w:r>
      <w:r>
        <w:t>SOFA-2</w:t>
      </w:r>
      <w:r>
        <w:rPr>
          <w:spacing w:val="-4"/>
        </w:rPr>
        <w:t xml:space="preserve"> </w:t>
      </w:r>
      <w:r>
        <w:t>Scoring</w:t>
      </w:r>
      <w:r>
        <w:rPr>
          <w:spacing w:val="-3"/>
        </w:rPr>
        <w:t xml:space="preserve"> </w:t>
      </w:r>
      <w:r>
        <w:t>Criteria</w:t>
      </w:r>
      <w:bookmarkEnd w:id="6"/>
      <w:bookmarkEnd w:id="7"/>
    </w:p>
    <w:tbl>
      <w:tblPr>
        <w:tblStyle w:val="17"/>
        <w:tblW w:w="0" w:type="auto"/>
        <w:tblInd w:w="0" w:type="dxa"/>
        <w:tblLayout w:type="fixed"/>
        <w:tblCellMar>
          <w:top w:w="15" w:type="dxa"/>
          <w:left w:w="15" w:type="dxa"/>
          <w:bottom w:w="15" w:type="dxa"/>
          <w:right w:w="15" w:type="dxa"/>
        </w:tblCellMar>
      </w:tblPr>
      <w:tblGrid>
        <w:gridCol w:w="1726"/>
        <w:gridCol w:w="1488"/>
        <w:gridCol w:w="1474"/>
        <w:gridCol w:w="1576"/>
        <w:gridCol w:w="1715"/>
        <w:gridCol w:w="1741"/>
      </w:tblGrid>
      <w:tr w14:paraId="0F17DDC4">
        <w:trPr>
          <w:tblHeader/>
        </w:trPr>
        <w:tc>
          <w:tcPr>
            <w:tcW w:w="1726" w:type="dxa"/>
            <w:tcBorders>
              <w:top w:val="single" w:color="auto" w:sz="12" w:space="0"/>
              <w:bottom w:val="single" w:color="auto" w:sz="12" w:space="0"/>
            </w:tcBorders>
            <w:vAlign w:val="center"/>
          </w:tcPr>
          <w:p w14:paraId="459EF48A">
            <w:pPr>
              <w:pStyle w:val="2"/>
              <w:spacing w:before="0"/>
              <w:rPr>
                <w:rFonts w:ascii="Arial" w:hAnsi="Arial" w:cs="Arial" w:eastAsiaTheme="minorEastAsia"/>
                <w:sz w:val="20"/>
                <w:szCs w:val="20"/>
                <w:lang w:eastAsia="zh-CN"/>
              </w:rPr>
            </w:pPr>
            <w:r>
              <w:rPr>
                <w:rFonts w:ascii="Arial" w:hAnsi="Arial" w:cs="Arial" w:eastAsiaTheme="minorEastAsia"/>
                <w:sz w:val="20"/>
                <w:szCs w:val="20"/>
                <w:lang w:eastAsia="zh-CN"/>
              </w:rPr>
              <w:t>Organ system</w:t>
            </w:r>
          </w:p>
        </w:tc>
        <w:tc>
          <w:tcPr>
            <w:tcW w:w="1488" w:type="dxa"/>
            <w:tcBorders>
              <w:top w:val="single" w:color="auto" w:sz="12" w:space="0"/>
              <w:bottom w:val="single" w:color="auto" w:sz="12" w:space="0"/>
            </w:tcBorders>
            <w:vAlign w:val="center"/>
          </w:tcPr>
          <w:p w14:paraId="661D96F0">
            <w:pPr>
              <w:pStyle w:val="2"/>
              <w:spacing w:before="0"/>
              <w:rPr>
                <w:rFonts w:ascii="Arial" w:hAnsi="Arial" w:cs="Arial" w:eastAsiaTheme="minorEastAsia"/>
                <w:sz w:val="20"/>
                <w:szCs w:val="20"/>
                <w:lang w:eastAsia="zh-CN"/>
              </w:rPr>
            </w:pPr>
            <w:r>
              <w:rPr>
                <w:rFonts w:ascii="Arial" w:hAnsi="Arial" w:cs="Arial" w:eastAsiaTheme="minorEastAsia"/>
                <w:sz w:val="20"/>
                <w:szCs w:val="20"/>
                <w:lang w:eastAsia="zh-CN"/>
              </w:rPr>
              <w:t>Score 0</w:t>
            </w:r>
          </w:p>
        </w:tc>
        <w:tc>
          <w:tcPr>
            <w:tcW w:w="1474" w:type="dxa"/>
            <w:tcBorders>
              <w:top w:val="single" w:color="auto" w:sz="12" w:space="0"/>
              <w:bottom w:val="single" w:color="auto" w:sz="12" w:space="0"/>
            </w:tcBorders>
            <w:vAlign w:val="center"/>
          </w:tcPr>
          <w:p w14:paraId="0551865C">
            <w:pPr>
              <w:pStyle w:val="2"/>
              <w:spacing w:before="0"/>
              <w:rPr>
                <w:rFonts w:ascii="Arial" w:hAnsi="Arial" w:cs="Arial" w:eastAsiaTheme="minorEastAsia"/>
                <w:sz w:val="20"/>
                <w:szCs w:val="20"/>
                <w:lang w:eastAsia="zh-CN"/>
              </w:rPr>
            </w:pPr>
            <w:r>
              <w:rPr>
                <w:rFonts w:ascii="Arial" w:hAnsi="Arial" w:cs="Arial" w:eastAsiaTheme="minorEastAsia"/>
                <w:sz w:val="20"/>
                <w:szCs w:val="20"/>
                <w:lang w:eastAsia="zh-CN"/>
              </w:rPr>
              <w:t>Score 1</w:t>
            </w:r>
          </w:p>
        </w:tc>
        <w:tc>
          <w:tcPr>
            <w:tcW w:w="1576" w:type="dxa"/>
            <w:tcBorders>
              <w:top w:val="single" w:color="auto" w:sz="12" w:space="0"/>
              <w:bottom w:val="single" w:color="auto" w:sz="12" w:space="0"/>
            </w:tcBorders>
            <w:vAlign w:val="center"/>
          </w:tcPr>
          <w:p w14:paraId="09C10814">
            <w:pPr>
              <w:pStyle w:val="2"/>
              <w:spacing w:before="0"/>
              <w:rPr>
                <w:rFonts w:ascii="Arial" w:hAnsi="Arial" w:cs="Arial" w:eastAsiaTheme="minorEastAsia"/>
                <w:sz w:val="20"/>
                <w:szCs w:val="20"/>
                <w:lang w:eastAsia="zh-CN"/>
              </w:rPr>
            </w:pPr>
            <w:r>
              <w:rPr>
                <w:rFonts w:ascii="Arial" w:hAnsi="Arial" w:cs="Arial" w:eastAsiaTheme="minorEastAsia"/>
                <w:sz w:val="20"/>
                <w:szCs w:val="20"/>
                <w:lang w:eastAsia="zh-CN"/>
              </w:rPr>
              <w:t>Score 2</w:t>
            </w:r>
          </w:p>
        </w:tc>
        <w:tc>
          <w:tcPr>
            <w:tcW w:w="1715" w:type="dxa"/>
            <w:tcBorders>
              <w:top w:val="single" w:color="auto" w:sz="12" w:space="0"/>
              <w:bottom w:val="single" w:color="auto" w:sz="12" w:space="0"/>
            </w:tcBorders>
            <w:vAlign w:val="center"/>
          </w:tcPr>
          <w:p w14:paraId="52554268">
            <w:pPr>
              <w:pStyle w:val="2"/>
              <w:spacing w:before="0"/>
              <w:rPr>
                <w:rFonts w:ascii="Arial" w:hAnsi="Arial" w:cs="Arial" w:eastAsiaTheme="minorEastAsia"/>
                <w:sz w:val="20"/>
                <w:szCs w:val="20"/>
                <w:lang w:eastAsia="zh-CN"/>
              </w:rPr>
            </w:pPr>
            <w:r>
              <w:rPr>
                <w:rFonts w:ascii="Arial" w:hAnsi="Arial" w:cs="Arial" w:eastAsiaTheme="minorEastAsia"/>
                <w:sz w:val="20"/>
                <w:szCs w:val="20"/>
                <w:lang w:eastAsia="zh-CN"/>
              </w:rPr>
              <w:t>Score 3</w:t>
            </w:r>
          </w:p>
        </w:tc>
        <w:tc>
          <w:tcPr>
            <w:tcW w:w="1741" w:type="dxa"/>
            <w:tcBorders>
              <w:top w:val="single" w:color="auto" w:sz="12" w:space="0"/>
              <w:bottom w:val="single" w:color="auto" w:sz="12" w:space="0"/>
            </w:tcBorders>
            <w:vAlign w:val="center"/>
          </w:tcPr>
          <w:p w14:paraId="58292830">
            <w:pPr>
              <w:pStyle w:val="2"/>
              <w:spacing w:before="0"/>
              <w:rPr>
                <w:rFonts w:ascii="Arial" w:hAnsi="Arial" w:cs="Arial" w:eastAsiaTheme="minorEastAsia"/>
                <w:sz w:val="20"/>
                <w:szCs w:val="20"/>
                <w:lang w:eastAsia="zh-CN"/>
              </w:rPr>
            </w:pPr>
            <w:r>
              <w:rPr>
                <w:rFonts w:ascii="Arial" w:hAnsi="Arial" w:cs="Arial" w:eastAsiaTheme="minorEastAsia"/>
                <w:sz w:val="20"/>
                <w:szCs w:val="20"/>
                <w:lang w:eastAsia="zh-CN"/>
              </w:rPr>
              <w:t>Score 4</w:t>
            </w:r>
          </w:p>
        </w:tc>
      </w:tr>
      <w:tr w14:paraId="7A837FA8">
        <w:tc>
          <w:tcPr>
            <w:tcW w:w="1726" w:type="dxa"/>
            <w:vAlign w:val="center"/>
          </w:tcPr>
          <w:p w14:paraId="2C5893D6">
            <w:pPr>
              <w:pStyle w:val="2"/>
              <w:spacing w:before="0"/>
              <w:rPr>
                <w:rFonts w:ascii="Arial" w:hAnsi="Arial" w:cs="Arial" w:eastAsiaTheme="minorEastAsia"/>
                <w:b w:val="0"/>
                <w:bCs w:val="0"/>
                <w:sz w:val="20"/>
                <w:szCs w:val="20"/>
                <w:lang w:eastAsia="zh-CN"/>
              </w:rPr>
            </w:pPr>
            <w:r>
              <w:rPr>
                <w:rFonts w:ascii="Arial" w:hAnsi="Arial" w:cs="Arial" w:eastAsiaTheme="minorEastAsia"/>
                <w:b w:val="0"/>
                <w:bCs w:val="0"/>
                <w:sz w:val="20"/>
                <w:szCs w:val="20"/>
                <w:lang w:eastAsia="zh-CN"/>
              </w:rPr>
              <w:t>Brain</w:t>
            </w:r>
            <w:r>
              <w:rPr>
                <w:rFonts w:hint="eastAsia" w:ascii="Arial" w:hAnsi="Arial" w:cs="Arial" w:eastAsiaTheme="minorEastAsia"/>
                <w:b w:val="0"/>
                <w:bCs w:val="0"/>
                <w:spacing w:val="-2"/>
                <w:sz w:val="20"/>
                <w:szCs w:val="20"/>
                <w:vertAlign w:val="superscript"/>
                <w:lang w:eastAsia="zh-CN"/>
              </w:rPr>
              <w:t>a, b</w:t>
            </w:r>
          </w:p>
        </w:tc>
        <w:tc>
          <w:tcPr>
            <w:tcW w:w="1488" w:type="dxa"/>
            <w:vAlign w:val="center"/>
          </w:tcPr>
          <w:p w14:paraId="6750A211">
            <w:pPr>
              <w:pStyle w:val="2"/>
              <w:spacing w:before="0"/>
              <w:rPr>
                <w:rFonts w:ascii="Arial" w:hAnsi="Arial" w:cs="Arial" w:eastAsiaTheme="minorEastAsia"/>
                <w:b w:val="0"/>
                <w:bCs w:val="0"/>
                <w:sz w:val="20"/>
                <w:szCs w:val="20"/>
                <w:lang w:eastAsia="zh-CN"/>
              </w:rPr>
            </w:pPr>
            <w:r>
              <w:rPr>
                <w:rFonts w:ascii="Arial" w:hAnsi="Arial" w:cs="Arial" w:eastAsiaTheme="minorEastAsia"/>
                <w:b w:val="0"/>
                <w:bCs w:val="0"/>
                <w:sz w:val="20"/>
                <w:szCs w:val="20"/>
                <w:lang w:eastAsia="zh-CN"/>
              </w:rPr>
              <w:t>GCS 15 (or thumbs-up, fist, or peace sign)</w:t>
            </w:r>
          </w:p>
        </w:tc>
        <w:tc>
          <w:tcPr>
            <w:tcW w:w="1474" w:type="dxa"/>
            <w:vAlign w:val="center"/>
          </w:tcPr>
          <w:p w14:paraId="39FD6FF3">
            <w:pPr>
              <w:pStyle w:val="2"/>
              <w:spacing w:before="0"/>
              <w:rPr>
                <w:rFonts w:ascii="Arial" w:hAnsi="Arial" w:cs="Arial" w:eastAsiaTheme="minorEastAsia"/>
                <w:b w:val="0"/>
                <w:bCs w:val="0"/>
                <w:sz w:val="20"/>
                <w:szCs w:val="20"/>
                <w:lang w:eastAsia="zh-CN"/>
              </w:rPr>
            </w:pPr>
            <w:r>
              <w:rPr>
                <w:rFonts w:ascii="Arial" w:hAnsi="Arial" w:cs="Arial" w:eastAsiaTheme="minorEastAsia"/>
                <w:b w:val="0"/>
                <w:bCs w:val="0"/>
                <w:sz w:val="20"/>
                <w:szCs w:val="20"/>
                <w:lang w:eastAsia="zh-CN"/>
              </w:rPr>
              <w:t>GCS 13–14 (or localizing to pain)</w:t>
            </w:r>
            <w:r>
              <w:rPr>
                <w:rFonts w:hint="eastAsia" w:ascii="Arial" w:hAnsi="Arial" w:cs="Arial" w:eastAsiaTheme="minorEastAsia"/>
                <w:b w:val="0"/>
                <w:bCs w:val="0"/>
                <w:sz w:val="20"/>
                <w:szCs w:val="20"/>
                <w:vertAlign w:val="superscript"/>
                <w:lang w:eastAsia="zh-CN"/>
              </w:rPr>
              <w:t>b</w:t>
            </w:r>
            <w:r>
              <w:rPr>
                <w:rFonts w:ascii="Arial" w:hAnsi="Arial" w:cs="Arial" w:eastAsiaTheme="minorEastAsia"/>
                <w:b w:val="0"/>
                <w:bCs w:val="0"/>
                <w:sz w:val="20"/>
                <w:szCs w:val="20"/>
                <w:lang w:eastAsia="zh-CN"/>
              </w:rPr>
              <w:t xml:space="preserve"> or need for drugs to treat delirium</w:t>
            </w:r>
            <w:r>
              <w:rPr>
                <w:rFonts w:hint="eastAsia" w:ascii="Arial" w:hAnsi="Arial" w:cs="Arial" w:eastAsiaTheme="minorEastAsia"/>
                <w:b w:val="0"/>
                <w:bCs w:val="0"/>
                <w:sz w:val="20"/>
                <w:szCs w:val="20"/>
                <w:vertAlign w:val="superscript"/>
                <w:lang w:eastAsia="zh-CN"/>
              </w:rPr>
              <w:t>c</w:t>
            </w:r>
          </w:p>
        </w:tc>
        <w:tc>
          <w:tcPr>
            <w:tcW w:w="1576" w:type="dxa"/>
            <w:vAlign w:val="center"/>
          </w:tcPr>
          <w:p w14:paraId="1D9E00C4">
            <w:pPr>
              <w:pStyle w:val="2"/>
              <w:spacing w:before="0"/>
              <w:rPr>
                <w:rFonts w:ascii="Arial" w:hAnsi="Arial" w:cs="Arial" w:eastAsiaTheme="minorEastAsia"/>
                <w:b w:val="0"/>
                <w:bCs w:val="0"/>
                <w:sz w:val="20"/>
                <w:szCs w:val="20"/>
                <w:lang w:eastAsia="zh-CN"/>
              </w:rPr>
            </w:pPr>
            <w:r>
              <w:rPr>
                <w:rFonts w:ascii="Arial" w:hAnsi="Arial" w:cs="Arial" w:eastAsiaTheme="minorEastAsia"/>
                <w:b w:val="0"/>
                <w:bCs w:val="0"/>
                <w:sz w:val="20"/>
                <w:szCs w:val="20"/>
                <w:lang w:eastAsia="zh-CN"/>
              </w:rPr>
              <w:t>GCS 9–12 (or withdrawal to pain)</w:t>
            </w:r>
          </w:p>
        </w:tc>
        <w:tc>
          <w:tcPr>
            <w:tcW w:w="1715" w:type="dxa"/>
            <w:vAlign w:val="center"/>
          </w:tcPr>
          <w:p w14:paraId="5044A270">
            <w:pPr>
              <w:pStyle w:val="2"/>
              <w:spacing w:before="0"/>
              <w:rPr>
                <w:rFonts w:ascii="Arial" w:hAnsi="Arial" w:cs="Arial" w:eastAsiaTheme="minorEastAsia"/>
                <w:b w:val="0"/>
                <w:bCs w:val="0"/>
                <w:sz w:val="20"/>
                <w:szCs w:val="20"/>
                <w:lang w:eastAsia="zh-CN"/>
              </w:rPr>
            </w:pPr>
            <w:r>
              <w:rPr>
                <w:rFonts w:ascii="Arial" w:hAnsi="Arial" w:cs="Arial" w:eastAsiaTheme="minorEastAsia"/>
                <w:b w:val="0"/>
                <w:bCs w:val="0"/>
                <w:sz w:val="20"/>
                <w:szCs w:val="20"/>
                <w:lang w:eastAsia="zh-CN"/>
              </w:rPr>
              <w:t>GCS 6–8 (or flexion to pain)</w:t>
            </w:r>
          </w:p>
        </w:tc>
        <w:tc>
          <w:tcPr>
            <w:tcW w:w="1741" w:type="dxa"/>
            <w:vAlign w:val="center"/>
          </w:tcPr>
          <w:p w14:paraId="0FFC508A">
            <w:pPr>
              <w:pStyle w:val="2"/>
              <w:spacing w:before="0"/>
              <w:rPr>
                <w:rFonts w:ascii="Arial" w:hAnsi="Arial" w:cs="Arial" w:eastAsiaTheme="minorEastAsia"/>
                <w:b w:val="0"/>
                <w:bCs w:val="0"/>
                <w:sz w:val="20"/>
                <w:szCs w:val="20"/>
                <w:lang w:eastAsia="zh-CN"/>
              </w:rPr>
            </w:pPr>
            <w:r>
              <w:rPr>
                <w:rFonts w:ascii="Arial" w:hAnsi="Arial" w:cs="Arial" w:eastAsiaTheme="minorEastAsia"/>
                <w:b w:val="0"/>
                <w:bCs w:val="0"/>
                <w:sz w:val="20"/>
                <w:szCs w:val="20"/>
                <w:lang w:eastAsia="zh-CN"/>
              </w:rPr>
              <w:t>GCS 3–5 (or extension to pain, no response to pain, generalized myoclonus)</w:t>
            </w:r>
          </w:p>
        </w:tc>
      </w:tr>
      <w:tr w14:paraId="4A677933">
        <w:tc>
          <w:tcPr>
            <w:tcW w:w="1726" w:type="dxa"/>
            <w:vAlign w:val="center"/>
          </w:tcPr>
          <w:p w14:paraId="483BECED">
            <w:pPr>
              <w:pStyle w:val="2"/>
              <w:spacing w:before="0"/>
              <w:rPr>
                <w:rFonts w:ascii="Arial" w:hAnsi="Arial" w:cs="Arial" w:eastAsiaTheme="minorEastAsia"/>
                <w:b w:val="0"/>
                <w:bCs w:val="0"/>
                <w:sz w:val="20"/>
                <w:szCs w:val="20"/>
                <w:lang w:eastAsia="zh-CN"/>
              </w:rPr>
            </w:pPr>
            <w:r>
              <w:rPr>
                <w:rFonts w:ascii="Arial" w:hAnsi="Arial" w:cs="Arial" w:eastAsiaTheme="minorEastAsia"/>
                <w:b w:val="0"/>
                <w:bCs w:val="0"/>
                <w:sz w:val="20"/>
                <w:szCs w:val="20"/>
                <w:lang w:eastAsia="zh-CN"/>
              </w:rPr>
              <w:t>Respiratory</w:t>
            </w:r>
            <w:r>
              <w:rPr>
                <w:rFonts w:hint="eastAsia" w:ascii="Arial" w:hAnsi="Arial" w:cs="Arial" w:eastAsiaTheme="minorEastAsia"/>
                <w:b w:val="0"/>
                <w:bCs w:val="0"/>
                <w:sz w:val="20"/>
                <w:szCs w:val="20"/>
                <w:vertAlign w:val="superscript"/>
                <w:lang w:eastAsia="zh-CN"/>
              </w:rPr>
              <w:t>d</w:t>
            </w:r>
          </w:p>
        </w:tc>
        <w:tc>
          <w:tcPr>
            <w:tcW w:w="1488" w:type="dxa"/>
            <w:vAlign w:val="center"/>
          </w:tcPr>
          <w:p w14:paraId="494B69EC">
            <w:pPr>
              <w:pStyle w:val="2"/>
              <w:spacing w:before="0"/>
              <w:rPr>
                <w:rFonts w:ascii="Arial" w:hAnsi="Arial" w:cs="Arial" w:eastAsiaTheme="minorEastAsia"/>
                <w:b w:val="0"/>
                <w:bCs w:val="0"/>
                <w:sz w:val="20"/>
                <w:szCs w:val="20"/>
                <w:lang w:eastAsia="zh-CN"/>
              </w:rPr>
            </w:pPr>
            <w:r>
              <w:rPr>
                <w:rFonts w:ascii="Arial" w:hAnsi="Arial" w:eastAsia="宋体" w:cs="Arial"/>
                <w:b w:val="0"/>
                <w:bCs w:val="0"/>
                <w:sz w:val="20"/>
                <w:szCs w:val="20"/>
                <w:lang w:eastAsia="zh-CN"/>
              </w:rPr>
              <w:t>PaO</w:t>
            </w:r>
            <w:r>
              <w:rPr>
                <w:rFonts w:ascii="Arial" w:hAnsi="Arial" w:eastAsia="宋体" w:cs="Arial"/>
                <w:b w:val="0"/>
                <w:bCs w:val="0"/>
                <w:sz w:val="20"/>
                <w:szCs w:val="20"/>
                <w:vertAlign w:val="subscript"/>
                <w:lang w:eastAsia="zh-CN"/>
              </w:rPr>
              <w:t>2</w:t>
            </w:r>
            <w:r>
              <w:rPr>
                <w:rFonts w:ascii="Arial" w:hAnsi="Arial" w:eastAsia="宋体" w:cs="Arial"/>
                <w:b w:val="0"/>
                <w:bCs w:val="0"/>
                <w:sz w:val="20"/>
                <w:szCs w:val="20"/>
                <w:lang w:eastAsia="zh-CN"/>
              </w:rPr>
              <w:t>/FiO</w:t>
            </w:r>
            <w:r>
              <w:rPr>
                <w:rFonts w:ascii="Arial" w:hAnsi="Arial" w:eastAsia="宋体" w:cs="Arial"/>
                <w:b w:val="0"/>
                <w:bCs w:val="0"/>
                <w:sz w:val="20"/>
                <w:szCs w:val="20"/>
                <w:vertAlign w:val="subscript"/>
                <w:lang w:eastAsia="zh-CN"/>
              </w:rPr>
              <w:t>2</w:t>
            </w:r>
            <w:r>
              <w:rPr>
                <w:rFonts w:ascii="Arial" w:hAnsi="Arial" w:cs="Arial" w:eastAsiaTheme="minorEastAsia"/>
                <w:b w:val="0"/>
                <w:bCs w:val="0"/>
                <w:sz w:val="20"/>
                <w:szCs w:val="20"/>
                <w:lang w:eastAsia="zh-CN"/>
              </w:rPr>
              <w:t xml:space="preserve"> &gt;300 mm Hg (&gt;40 kPa)</w:t>
            </w:r>
          </w:p>
        </w:tc>
        <w:tc>
          <w:tcPr>
            <w:tcW w:w="1474" w:type="dxa"/>
            <w:vAlign w:val="center"/>
          </w:tcPr>
          <w:p w14:paraId="4B84BE4D">
            <w:pPr>
              <w:pStyle w:val="2"/>
              <w:spacing w:before="0"/>
              <w:rPr>
                <w:rFonts w:ascii="Arial" w:hAnsi="Arial" w:cs="Arial" w:eastAsiaTheme="minorEastAsia"/>
                <w:b w:val="0"/>
                <w:bCs w:val="0"/>
                <w:sz w:val="20"/>
                <w:szCs w:val="20"/>
                <w:lang w:eastAsia="zh-CN"/>
              </w:rPr>
            </w:pPr>
            <w:r>
              <w:rPr>
                <w:rFonts w:ascii="Arial" w:hAnsi="Arial" w:eastAsia="宋体" w:cs="Arial"/>
                <w:b w:val="0"/>
                <w:bCs w:val="0"/>
                <w:sz w:val="20"/>
                <w:szCs w:val="20"/>
                <w:lang w:eastAsia="zh-CN"/>
              </w:rPr>
              <w:t>PaO</w:t>
            </w:r>
            <w:r>
              <w:rPr>
                <w:rFonts w:ascii="Arial" w:hAnsi="Arial" w:eastAsia="宋体" w:cs="Arial"/>
                <w:b w:val="0"/>
                <w:bCs w:val="0"/>
                <w:sz w:val="20"/>
                <w:szCs w:val="20"/>
                <w:vertAlign w:val="subscript"/>
                <w:lang w:eastAsia="zh-CN"/>
              </w:rPr>
              <w:t>2</w:t>
            </w:r>
            <w:r>
              <w:rPr>
                <w:rFonts w:ascii="Arial" w:hAnsi="Arial" w:eastAsia="宋体" w:cs="Arial"/>
                <w:b w:val="0"/>
                <w:bCs w:val="0"/>
                <w:sz w:val="20"/>
                <w:szCs w:val="20"/>
                <w:lang w:eastAsia="zh-CN"/>
              </w:rPr>
              <w:t>/FiO</w:t>
            </w:r>
            <w:r>
              <w:rPr>
                <w:rFonts w:ascii="Arial" w:hAnsi="Arial" w:eastAsia="宋体" w:cs="Arial"/>
                <w:b w:val="0"/>
                <w:bCs w:val="0"/>
                <w:sz w:val="20"/>
                <w:szCs w:val="20"/>
                <w:vertAlign w:val="subscript"/>
                <w:lang w:eastAsia="zh-CN"/>
              </w:rPr>
              <w:t>2</w:t>
            </w:r>
            <w:r>
              <w:rPr>
                <w:rFonts w:ascii="Arial" w:hAnsi="Arial" w:cs="Arial" w:eastAsiaTheme="minorEastAsia"/>
                <w:b w:val="0"/>
                <w:bCs w:val="0"/>
                <w:sz w:val="20"/>
                <w:szCs w:val="20"/>
                <w:lang w:eastAsia="zh-CN"/>
              </w:rPr>
              <w:t>≤300 mm Hg (≤40 kPa)</w:t>
            </w:r>
          </w:p>
        </w:tc>
        <w:tc>
          <w:tcPr>
            <w:tcW w:w="1576" w:type="dxa"/>
            <w:vAlign w:val="center"/>
          </w:tcPr>
          <w:p w14:paraId="566FE2BC">
            <w:pPr>
              <w:pStyle w:val="2"/>
              <w:spacing w:before="0"/>
              <w:rPr>
                <w:rFonts w:ascii="Arial" w:hAnsi="Arial" w:cs="Arial" w:eastAsiaTheme="minorEastAsia"/>
                <w:b w:val="0"/>
                <w:bCs w:val="0"/>
                <w:sz w:val="20"/>
                <w:szCs w:val="20"/>
                <w:lang w:eastAsia="zh-CN"/>
              </w:rPr>
            </w:pPr>
            <w:r>
              <w:rPr>
                <w:rFonts w:ascii="Arial" w:hAnsi="Arial" w:eastAsia="宋体" w:cs="Arial"/>
                <w:b w:val="0"/>
                <w:bCs w:val="0"/>
                <w:sz w:val="20"/>
                <w:szCs w:val="20"/>
                <w:lang w:eastAsia="zh-CN"/>
              </w:rPr>
              <w:t>PaO</w:t>
            </w:r>
            <w:r>
              <w:rPr>
                <w:rFonts w:ascii="Arial" w:hAnsi="Arial" w:eastAsia="宋体" w:cs="Arial"/>
                <w:b w:val="0"/>
                <w:bCs w:val="0"/>
                <w:sz w:val="20"/>
                <w:szCs w:val="20"/>
                <w:vertAlign w:val="subscript"/>
                <w:lang w:eastAsia="zh-CN"/>
              </w:rPr>
              <w:t>2</w:t>
            </w:r>
            <w:r>
              <w:rPr>
                <w:rFonts w:ascii="Arial" w:hAnsi="Arial" w:eastAsia="宋体" w:cs="Arial"/>
                <w:b w:val="0"/>
                <w:bCs w:val="0"/>
                <w:sz w:val="20"/>
                <w:szCs w:val="20"/>
                <w:lang w:eastAsia="zh-CN"/>
              </w:rPr>
              <w:t>/FiO</w:t>
            </w:r>
            <w:r>
              <w:rPr>
                <w:rFonts w:ascii="Arial" w:hAnsi="Arial" w:eastAsia="宋体" w:cs="Arial"/>
                <w:b w:val="0"/>
                <w:bCs w:val="0"/>
                <w:sz w:val="20"/>
                <w:szCs w:val="20"/>
                <w:vertAlign w:val="subscript"/>
                <w:lang w:eastAsia="zh-CN"/>
              </w:rPr>
              <w:t>2</w:t>
            </w:r>
            <w:r>
              <w:rPr>
                <w:rFonts w:ascii="Arial" w:hAnsi="Arial" w:cs="Arial" w:eastAsiaTheme="minorEastAsia"/>
                <w:b w:val="0"/>
                <w:bCs w:val="0"/>
                <w:sz w:val="20"/>
                <w:szCs w:val="20"/>
                <w:lang w:eastAsia="zh-CN"/>
              </w:rPr>
              <w:t xml:space="preserve"> ≤225 mm Hg (≤30 kPa)</w:t>
            </w:r>
          </w:p>
        </w:tc>
        <w:tc>
          <w:tcPr>
            <w:tcW w:w="1715" w:type="dxa"/>
            <w:vAlign w:val="center"/>
          </w:tcPr>
          <w:p w14:paraId="7E3810C3">
            <w:pPr>
              <w:pStyle w:val="2"/>
              <w:spacing w:before="0"/>
              <w:rPr>
                <w:rFonts w:ascii="Arial" w:hAnsi="Arial" w:cs="Arial" w:eastAsiaTheme="minorEastAsia"/>
                <w:b w:val="0"/>
                <w:bCs w:val="0"/>
                <w:sz w:val="20"/>
                <w:szCs w:val="20"/>
                <w:lang w:eastAsia="zh-CN"/>
              </w:rPr>
            </w:pPr>
            <w:r>
              <w:rPr>
                <w:rFonts w:ascii="Arial" w:hAnsi="Arial" w:eastAsia="宋体" w:cs="Arial"/>
                <w:b w:val="0"/>
                <w:bCs w:val="0"/>
                <w:sz w:val="20"/>
                <w:szCs w:val="20"/>
                <w:lang w:eastAsia="zh-CN"/>
              </w:rPr>
              <w:t>PaO</w:t>
            </w:r>
            <w:r>
              <w:rPr>
                <w:rFonts w:ascii="Arial" w:hAnsi="Arial" w:eastAsia="宋体" w:cs="Arial"/>
                <w:b w:val="0"/>
                <w:bCs w:val="0"/>
                <w:sz w:val="20"/>
                <w:szCs w:val="20"/>
                <w:vertAlign w:val="subscript"/>
                <w:lang w:eastAsia="zh-CN"/>
              </w:rPr>
              <w:t>2</w:t>
            </w:r>
            <w:r>
              <w:rPr>
                <w:rFonts w:ascii="Arial" w:hAnsi="Arial" w:eastAsia="宋体" w:cs="Arial"/>
                <w:b w:val="0"/>
                <w:bCs w:val="0"/>
                <w:sz w:val="20"/>
                <w:szCs w:val="20"/>
                <w:lang w:eastAsia="zh-CN"/>
              </w:rPr>
              <w:t>/FiO</w:t>
            </w:r>
            <w:r>
              <w:rPr>
                <w:rFonts w:ascii="Arial" w:hAnsi="Arial" w:eastAsia="宋体" w:cs="Arial"/>
                <w:b w:val="0"/>
                <w:bCs w:val="0"/>
                <w:sz w:val="20"/>
                <w:szCs w:val="20"/>
                <w:vertAlign w:val="subscript"/>
                <w:lang w:eastAsia="zh-CN"/>
              </w:rPr>
              <w:t>2</w:t>
            </w:r>
            <w:r>
              <w:rPr>
                <w:rFonts w:ascii="Arial" w:hAnsi="Arial" w:cs="Arial" w:eastAsiaTheme="minorEastAsia"/>
                <w:b w:val="0"/>
                <w:bCs w:val="0"/>
                <w:sz w:val="20"/>
                <w:szCs w:val="20"/>
                <w:lang w:eastAsia="zh-CN"/>
              </w:rPr>
              <w:t xml:space="preserve"> ≤150 mm Hg (≤20 kPa) and advanced ventilatory support</w:t>
            </w:r>
            <w:r>
              <w:rPr>
                <w:rFonts w:hint="eastAsia" w:ascii="Arial" w:hAnsi="Arial" w:cs="Arial" w:eastAsiaTheme="minorEastAsia"/>
                <w:b w:val="0"/>
                <w:bCs w:val="0"/>
                <w:sz w:val="20"/>
                <w:szCs w:val="20"/>
                <w:vertAlign w:val="superscript"/>
                <w:lang w:eastAsia="zh-CN"/>
              </w:rPr>
              <w:t>e,f</w:t>
            </w:r>
          </w:p>
        </w:tc>
        <w:tc>
          <w:tcPr>
            <w:tcW w:w="1741" w:type="dxa"/>
            <w:vAlign w:val="center"/>
          </w:tcPr>
          <w:p w14:paraId="79F22B60">
            <w:pPr>
              <w:pStyle w:val="2"/>
              <w:spacing w:before="0"/>
              <w:rPr>
                <w:rFonts w:ascii="Arial" w:hAnsi="Arial" w:cs="Arial" w:eastAsiaTheme="minorEastAsia"/>
                <w:b w:val="0"/>
                <w:bCs w:val="0"/>
                <w:sz w:val="20"/>
                <w:szCs w:val="20"/>
                <w:lang w:eastAsia="zh-CN"/>
              </w:rPr>
            </w:pPr>
            <w:r>
              <w:rPr>
                <w:rFonts w:ascii="Arial" w:hAnsi="Arial" w:eastAsia="宋体" w:cs="Arial"/>
                <w:b w:val="0"/>
                <w:bCs w:val="0"/>
                <w:sz w:val="20"/>
                <w:szCs w:val="20"/>
                <w:lang w:eastAsia="zh-CN"/>
              </w:rPr>
              <w:t>PaO</w:t>
            </w:r>
            <w:r>
              <w:rPr>
                <w:rFonts w:ascii="Arial" w:hAnsi="Arial" w:eastAsia="宋体" w:cs="Arial"/>
                <w:b w:val="0"/>
                <w:bCs w:val="0"/>
                <w:sz w:val="20"/>
                <w:szCs w:val="20"/>
                <w:vertAlign w:val="subscript"/>
                <w:lang w:eastAsia="zh-CN"/>
              </w:rPr>
              <w:t>2</w:t>
            </w:r>
            <w:r>
              <w:rPr>
                <w:rFonts w:ascii="Arial" w:hAnsi="Arial" w:eastAsia="宋体" w:cs="Arial"/>
                <w:b w:val="0"/>
                <w:bCs w:val="0"/>
                <w:sz w:val="20"/>
                <w:szCs w:val="20"/>
                <w:lang w:eastAsia="zh-CN"/>
              </w:rPr>
              <w:t>/FiO</w:t>
            </w:r>
            <w:r>
              <w:rPr>
                <w:rFonts w:ascii="Arial" w:hAnsi="Arial" w:eastAsia="宋体" w:cs="Arial"/>
                <w:b w:val="0"/>
                <w:bCs w:val="0"/>
                <w:sz w:val="20"/>
                <w:szCs w:val="20"/>
                <w:vertAlign w:val="subscript"/>
                <w:lang w:eastAsia="zh-CN"/>
              </w:rPr>
              <w:t>2</w:t>
            </w:r>
            <w:r>
              <w:rPr>
                <w:rFonts w:ascii="Arial" w:hAnsi="Arial" w:cs="Arial" w:eastAsiaTheme="minorEastAsia"/>
                <w:b w:val="0"/>
                <w:bCs w:val="0"/>
                <w:sz w:val="20"/>
                <w:szCs w:val="20"/>
                <w:lang w:eastAsia="zh-CN"/>
              </w:rPr>
              <w:t xml:space="preserve"> ≤75 mm Hg (≤10 kPa) and advanced ventilatory support or ECMO</w:t>
            </w:r>
            <w:r>
              <w:rPr>
                <w:rFonts w:hint="eastAsia" w:ascii="Arial" w:hAnsi="Arial" w:cs="Arial" w:eastAsiaTheme="minorEastAsia"/>
                <w:b w:val="0"/>
                <w:bCs w:val="0"/>
                <w:sz w:val="20"/>
                <w:szCs w:val="20"/>
                <w:vertAlign w:val="superscript"/>
                <w:lang w:eastAsia="zh-CN"/>
              </w:rPr>
              <w:t>g</w:t>
            </w:r>
          </w:p>
        </w:tc>
      </w:tr>
      <w:tr w14:paraId="12CA8A10">
        <w:tc>
          <w:tcPr>
            <w:tcW w:w="1726" w:type="dxa"/>
            <w:vAlign w:val="center"/>
          </w:tcPr>
          <w:p w14:paraId="78AD5E24">
            <w:pPr>
              <w:pStyle w:val="2"/>
              <w:spacing w:before="0"/>
              <w:rPr>
                <w:rFonts w:ascii="Arial" w:hAnsi="Arial" w:cs="Arial" w:eastAsiaTheme="minorEastAsia"/>
                <w:b w:val="0"/>
                <w:bCs w:val="0"/>
                <w:sz w:val="20"/>
                <w:szCs w:val="20"/>
                <w:lang w:eastAsia="zh-CN"/>
              </w:rPr>
            </w:pPr>
            <w:r>
              <w:rPr>
                <w:rFonts w:ascii="Arial" w:hAnsi="Arial" w:cs="Arial" w:eastAsiaTheme="minorEastAsia"/>
                <w:b w:val="0"/>
                <w:bCs w:val="0"/>
                <w:sz w:val="20"/>
                <w:szCs w:val="20"/>
                <w:lang w:eastAsia="zh-CN"/>
              </w:rPr>
              <w:t>Cardiovascular</w:t>
            </w:r>
            <w:r>
              <w:rPr>
                <w:rFonts w:hint="eastAsia" w:ascii="Arial" w:hAnsi="Arial" w:cs="Arial" w:eastAsiaTheme="minorEastAsia"/>
                <w:b w:val="0"/>
                <w:bCs w:val="0"/>
                <w:sz w:val="20"/>
                <w:szCs w:val="20"/>
                <w:vertAlign w:val="superscript"/>
                <w:lang w:eastAsia="zh-CN"/>
              </w:rPr>
              <w:t>h,</w:t>
            </w:r>
            <w:r>
              <w:rPr>
                <w:rFonts w:ascii="Arial" w:hAnsi="Arial" w:cs="Arial" w:eastAsiaTheme="minorEastAsia"/>
                <w:b w:val="0"/>
                <w:bCs w:val="0"/>
                <w:sz w:val="20"/>
                <w:szCs w:val="20"/>
                <w:vertAlign w:val="superscript"/>
                <w:lang w:eastAsia="zh-CN"/>
              </w:rPr>
              <w:t>I</w:t>
            </w:r>
            <w:r>
              <w:rPr>
                <w:rFonts w:hint="eastAsia" w:ascii="Arial" w:hAnsi="Arial" w:cs="Arial" w:eastAsiaTheme="minorEastAsia"/>
                <w:b w:val="0"/>
                <w:bCs w:val="0"/>
                <w:sz w:val="20"/>
                <w:szCs w:val="20"/>
                <w:vertAlign w:val="superscript"/>
                <w:lang w:eastAsia="zh-CN"/>
              </w:rPr>
              <w:t>,j,k</w:t>
            </w:r>
          </w:p>
        </w:tc>
        <w:tc>
          <w:tcPr>
            <w:tcW w:w="1488" w:type="dxa"/>
            <w:vAlign w:val="center"/>
          </w:tcPr>
          <w:p w14:paraId="54EC8D53">
            <w:pPr>
              <w:pStyle w:val="2"/>
              <w:spacing w:before="0"/>
              <w:rPr>
                <w:rFonts w:ascii="Arial" w:hAnsi="Arial" w:cs="Arial" w:eastAsiaTheme="minorEastAsia"/>
                <w:b w:val="0"/>
                <w:bCs w:val="0"/>
                <w:sz w:val="20"/>
                <w:szCs w:val="20"/>
                <w:lang w:eastAsia="zh-CN"/>
              </w:rPr>
            </w:pPr>
            <w:r>
              <w:rPr>
                <w:rFonts w:ascii="Arial" w:hAnsi="Arial" w:cs="Arial" w:eastAsiaTheme="minorEastAsia"/>
                <w:b w:val="0"/>
                <w:bCs w:val="0"/>
                <w:sz w:val="20"/>
                <w:szCs w:val="20"/>
                <w:lang w:eastAsia="zh-CN"/>
              </w:rPr>
              <w:t>MAP ≥70 mm Hg, no vasopressor or inotrope</w:t>
            </w:r>
          </w:p>
        </w:tc>
        <w:tc>
          <w:tcPr>
            <w:tcW w:w="1474" w:type="dxa"/>
            <w:vAlign w:val="center"/>
          </w:tcPr>
          <w:p w14:paraId="35F4BFAF">
            <w:pPr>
              <w:pStyle w:val="2"/>
              <w:spacing w:before="0"/>
              <w:rPr>
                <w:rFonts w:ascii="Arial" w:hAnsi="Arial" w:cs="Arial" w:eastAsiaTheme="minorEastAsia"/>
                <w:b w:val="0"/>
                <w:bCs w:val="0"/>
                <w:sz w:val="20"/>
                <w:szCs w:val="20"/>
                <w:lang w:eastAsia="zh-CN"/>
              </w:rPr>
            </w:pPr>
            <w:r>
              <w:rPr>
                <w:rFonts w:ascii="Arial" w:hAnsi="Arial" w:cs="Arial" w:eastAsiaTheme="minorEastAsia"/>
                <w:b w:val="0"/>
                <w:bCs w:val="0"/>
                <w:sz w:val="20"/>
                <w:szCs w:val="20"/>
                <w:lang w:eastAsia="zh-CN"/>
              </w:rPr>
              <w:t>MAP &lt;70 mm Hg, no vasopressor or inotrope</w:t>
            </w:r>
          </w:p>
        </w:tc>
        <w:tc>
          <w:tcPr>
            <w:tcW w:w="1576" w:type="dxa"/>
            <w:vAlign w:val="center"/>
          </w:tcPr>
          <w:p w14:paraId="2E4701CF">
            <w:pPr>
              <w:pStyle w:val="2"/>
              <w:spacing w:before="0"/>
              <w:rPr>
                <w:rFonts w:ascii="Arial" w:hAnsi="Arial" w:cs="Arial" w:eastAsiaTheme="minorEastAsia"/>
                <w:b w:val="0"/>
                <w:bCs w:val="0"/>
                <w:sz w:val="20"/>
                <w:szCs w:val="20"/>
                <w:lang w:eastAsia="zh-CN"/>
              </w:rPr>
            </w:pPr>
            <w:r>
              <w:rPr>
                <w:rFonts w:ascii="Arial" w:hAnsi="Arial" w:cs="Arial" w:eastAsiaTheme="minorEastAsia"/>
                <w:b w:val="0"/>
                <w:bCs w:val="0"/>
                <w:sz w:val="20"/>
                <w:szCs w:val="20"/>
                <w:lang w:eastAsia="zh-CN"/>
              </w:rPr>
              <w:t>Low-dose vasopressor (norepinephrine + epinephrine ≤0.2 μg/kg/min) or any dose of other vasopressor or inotrope</w:t>
            </w:r>
          </w:p>
        </w:tc>
        <w:tc>
          <w:tcPr>
            <w:tcW w:w="1715" w:type="dxa"/>
            <w:vAlign w:val="center"/>
          </w:tcPr>
          <w:p w14:paraId="139BD4D2">
            <w:pPr>
              <w:pStyle w:val="2"/>
              <w:spacing w:before="0"/>
              <w:rPr>
                <w:rFonts w:ascii="Arial" w:hAnsi="Arial" w:cs="Arial" w:eastAsiaTheme="minorEastAsia"/>
                <w:b w:val="0"/>
                <w:bCs w:val="0"/>
                <w:sz w:val="20"/>
                <w:szCs w:val="20"/>
                <w:lang w:eastAsia="zh-CN"/>
              </w:rPr>
            </w:pPr>
            <w:r>
              <w:rPr>
                <w:rFonts w:ascii="Arial" w:hAnsi="Arial" w:cs="Arial" w:eastAsiaTheme="minorEastAsia"/>
                <w:b w:val="0"/>
                <w:bCs w:val="0"/>
                <w:sz w:val="20"/>
                <w:szCs w:val="20"/>
                <w:lang w:eastAsia="zh-CN"/>
              </w:rPr>
              <w:t>Medium-dose vasopressor (norepinephrine + epinephrine &gt;0.2 to ≤0.4 μg/kg/min) or low-dose vasopressor with any other vasopressor or inotrope</w:t>
            </w:r>
          </w:p>
        </w:tc>
        <w:tc>
          <w:tcPr>
            <w:tcW w:w="1741" w:type="dxa"/>
            <w:vAlign w:val="center"/>
          </w:tcPr>
          <w:p w14:paraId="48C55DCE">
            <w:pPr>
              <w:pStyle w:val="2"/>
              <w:spacing w:before="0"/>
              <w:rPr>
                <w:rFonts w:ascii="Arial" w:hAnsi="Arial" w:cs="Arial" w:eastAsiaTheme="minorEastAsia"/>
                <w:b w:val="0"/>
                <w:bCs w:val="0"/>
                <w:sz w:val="20"/>
                <w:szCs w:val="20"/>
                <w:lang w:eastAsia="zh-CN"/>
              </w:rPr>
            </w:pPr>
            <w:r>
              <w:rPr>
                <w:rFonts w:ascii="Arial" w:hAnsi="Arial" w:cs="Arial" w:eastAsiaTheme="minorEastAsia"/>
                <w:b w:val="0"/>
                <w:bCs w:val="0"/>
                <w:sz w:val="20"/>
                <w:szCs w:val="20"/>
                <w:lang w:eastAsia="zh-CN"/>
              </w:rPr>
              <w:t>High-dose vasopressor (norepinephrine + epinephrine &gt;0.4 μg/kg/min) or medium-dose vasopressor with any other vasopressor or inotrope or mechanical support</w:t>
            </w:r>
            <w:r>
              <w:rPr>
                <w:rFonts w:hint="eastAsia" w:ascii="Arial" w:hAnsi="Arial" w:cs="Arial" w:eastAsiaTheme="minorEastAsia"/>
                <w:b w:val="0"/>
                <w:bCs w:val="0"/>
                <w:sz w:val="20"/>
                <w:szCs w:val="20"/>
                <w:vertAlign w:val="superscript"/>
                <w:lang w:eastAsia="zh-CN"/>
              </w:rPr>
              <w:t>g</w:t>
            </w:r>
            <w:r>
              <w:rPr>
                <w:rFonts w:ascii="Arial" w:hAnsi="Arial" w:cs="Arial"/>
                <w:b w:val="0"/>
                <w:bCs w:val="0"/>
                <w:spacing w:val="-2"/>
                <w:sz w:val="20"/>
                <w:szCs w:val="20"/>
                <w:vertAlign w:val="superscript"/>
              </w:rPr>
              <w:t>,</w:t>
            </w:r>
            <w:r>
              <w:rPr>
                <w:rFonts w:hint="eastAsia" w:ascii="Arial" w:hAnsi="Arial" w:cs="Arial" w:eastAsiaTheme="minorEastAsia"/>
                <w:b w:val="0"/>
                <w:bCs w:val="0"/>
                <w:sz w:val="20"/>
                <w:szCs w:val="20"/>
                <w:vertAlign w:val="superscript"/>
                <w:lang w:eastAsia="zh-CN"/>
              </w:rPr>
              <w:t>l</w:t>
            </w:r>
          </w:p>
        </w:tc>
      </w:tr>
      <w:tr w14:paraId="79244B88">
        <w:tc>
          <w:tcPr>
            <w:tcW w:w="1726" w:type="dxa"/>
            <w:vAlign w:val="center"/>
          </w:tcPr>
          <w:p w14:paraId="39C895E9">
            <w:pPr>
              <w:pStyle w:val="2"/>
              <w:spacing w:before="0"/>
              <w:rPr>
                <w:rFonts w:ascii="Arial" w:hAnsi="Arial" w:cs="Arial" w:eastAsiaTheme="minorEastAsia"/>
                <w:b w:val="0"/>
                <w:bCs w:val="0"/>
                <w:sz w:val="20"/>
                <w:szCs w:val="20"/>
                <w:lang w:eastAsia="zh-CN"/>
              </w:rPr>
            </w:pPr>
            <w:r>
              <w:rPr>
                <w:rFonts w:ascii="Arial" w:hAnsi="Arial" w:cs="Arial" w:eastAsiaTheme="minorEastAsia"/>
                <w:b w:val="0"/>
                <w:bCs w:val="0"/>
                <w:sz w:val="20"/>
                <w:szCs w:val="20"/>
                <w:lang w:eastAsia="zh-CN"/>
              </w:rPr>
              <w:t>Liver</w:t>
            </w:r>
          </w:p>
        </w:tc>
        <w:tc>
          <w:tcPr>
            <w:tcW w:w="1488" w:type="dxa"/>
            <w:vAlign w:val="center"/>
          </w:tcPr>
          <w:p w14:paraId="4D9D95DD">
            <w:pPr>
              <w:pStyle w:val="2"/>
              <w:spacing w:before="0"/>
              <w:rPr>
                <w:rFonts w:ascii="Arial" w:hAnsi="Arial" w:cs="Arial" w:eastAsiaTheme="minorEastAsia"/>
                <w:b w:val="0"/>
                <w:bCs w:val="0"/>
                <w:sz w:val="20"/>
                <w:szCs w:val="20"/>
                <w:lang w:eastAsia="zh-CN"/>
              </w:rPr>
            </w:pPr>
            <w:r>
              <w:rPr>
                <w:rFonts w:ascii="Arial" w:hAnsi="Arial" w:cs="Arial" w:eastAsiaTheme="minorEastAsia"/>
                <w:b w:val="0"/>
                <w:bCs w:val="0"/>
                <w:sz w:val="20"/>
                <w:szCs w:val="20"/>
                <w:lang w:eastAsia="zh-CN"/>
              </w:rPr>
              <w:t>Total bilirubin ≤1.20 mg/dL</w:t>
            </w:r>
          </w:p>
        </w:tc>
        <w:tc>
          <w:tcPr>
            <w:tcW w:w="1474" w:type="dxa"/>
            <w:vAlign w:val="center"/>
          </w:tcPr>
          <w:p w14:paraId="7DB8A0B2">
            <w:pPr>
              <w:pStyle w:val="2"/>
              <w:spacing w:before="0"/>
              <w:rPr>
                <w:rFonts w:ascii="Arial" w:hAnsi="Arial" w:cs="Arial" w:eastAsiaTheme="minorEastAsia"/>
                <w:b w:val="0"/>
                <w:bCs w:val="0"/>
                <w:sz w:val="20"/>
                <w:szCs w:val="20"/>
                <w:lang w:eastAsia="zh-CN"/>
              </w:rPr>
            </w:pPr>
            <w:r>
              <w:rPr>
                <w:rFonts w:ascii="Arial" w:hAnsi="Arial" w:cs="Arial" w:eastAsiaTheme="minorEastAsia"/>
                <w:b w:val="0"/>
                <w:bCs w:val="0"/>
                <w:sz w:val="20"/>
                <w:szCs w:val="20"/>
                <w:lang w:eastAsia="zh-CN"/>
              </w:rPr>
              <w:t>Total bilirubin ≤3.0 mg/dL</w:t>
            </w:r>
          </w:p>
        </w:tc>
        <w:tc>
          <w:tcPr>
            <w:tcW w:w="1576" w:type="dxa"/>
            <w:vAlign w:val="center"/>
          </w:tcPr>
          <w:p w14:paraId="50C662F1">
            <w:pPr>
              <w:pStyle w:val="2"/>
              <w:spacing w:before="0"/>
              <w:rPr>
                <w:rFonts w:ascii="Arial" w:hAnsi="Arial" w:cs="Arial" w:eastAsiaTheme="minorEastAsia"/>
                <w:b w:val="0"/>
                <w:bCs w:val="0"/>
                <w:sz w:val="20"/>
                <w:szCs w:val="20"/>
                <w:lang w:eastAsia="zh-CN"/>
              </w:rPr>
            </w:pPr>
            <w:r>
              <w:rPr>
                <w:rFonts w:ascii="Arial" w:hAnsi="Arial" w:cs="Arial" w:eastAsiaTheme="minorEastAsia"/>
                <w:b w:val="0"/>
                <w:bCs w:val="0"/>
                <w:sz w:val="20"/>
                <w:szCs w:val="20"/>
                <w:lang w:eastAsia="zh-CN"/>
              </w:rPr>
              <w:t>Total bilirubin ≤6.0 mg/dL</w:t>
            </w:r>
          </w:p>
        </w:tc>
        <w:tc>
          <w:tcPr>
            <w:tcW w:w="1715" w:type="dxa"/>
            <w:vAlign w:val="center"/>
          </w:tcPr>
          <w:p w14:paraId="0EAB267A">
            <w:pPr>
              <w:pStyle w:val="2"/>
              <w:spacing w:before="0"/>
              <w:rPr>
                <w:rFonts w:ascii="Arial" w:hAnsi="Arial" w:cs="Arial" w:eastAsiaTheme="minorEastAsia"/>
                <w:b w:val="0"/>
                <w:bCs w:val="0"/>
                <w:sz w:val="20"/>
                <w:szCs w:val="20"/>
                <w:lang w:eastAsia="zh-CN"/>
              </w:rPr>
            </w:pPr>
            <w:r>
              <w:rPr>
                <w:rFonts w:ascii="Arial" w:hAnsi="Arial" w:cs="Arial" w:eastAsiaTheme="minorEastAsia"/>
                <w:b w:val="0"/>
                <w:bCs w:val="0"/>
                <w:sz w:val="20"/>
                <w:szCs w:val="20"/>
                <w:lang w:eastAsia="zh-CN"/>
              </w:rPr>
              <w:t>Total bilirubin ≤12.0 mg/dL</w:t>
            </w:r>
          </w:p>
        </w:tc>
        <w:tc>
          <w:tcPr>
            <w:tcW w:w="1741" w:type="dxa"/>
            <w:vAlign w:val="center"/>
          </w:tcPr>
          <w:p w14:paraId="789DFCB0">
            <w:pPr>
              <w:pStyle w:val="2"/>
              <w:spacing w:before="0"/>
              <w:rPr>
                <w:rFonts w:ascii="Arial" w:hAnsi="Arial" w:cs="Arial" w:eastAsiaTheme="minorEastAsia"/>
                <w:b w:val="0"/>
                <w:bCs w:val="0"/>
                <w:sz w:val="20"/>
                <w:szCs w:val="20"/>
                <w:lang w:eastAsia="zh-CN"/>
              </w:rPr>
            </w:pPr>
            <w:r>
              <w:rPr>
                <w:rFonts w:ascii="Arial" w:hAnsi="Arial" w:cs="Arial" w:eastAsiaTheme="minorEastAsia"/>
                <w:b w:val="0"/>
                <w:bCs w:val="0"/>
                <w:sz w:val="20"/>
                <w:szCs w:val="20"/>
                <w:lang w:eastAsia="zh-CN"/>
              </w:rPr>
              <w:t>Total bilirubin &gt;12 mg/dL</w:t>
            </w:r>
          </w:p>
        </w:tc>
      </w:tr>
      <w:tr w14:paraId="62EB15D4">
        <w:tc>
          <w:tcPr>
            <w:tcW w:w="1726" w:type="dxa"/>
            <w:vAlign w:val="center"/>
          </w:tcPr>
          <w:p w14:paraId="5FE622D6">
            <w:pPr>
              <w:pStyle w:val="2"/>
              <w:spacing w:before="0"/>
              <w:rPr>
                <w:rFonts w:ascii="Arial" w:hAnsi="Arial" w:cs="Arial" w:eastAsiaTheme="minorEastAsia"/>
                <w:b w:val="0"/>
                <w:bCs w:val="0"/>
                <w:sz w:val="20"/>
                <w:szCs w:val="20"/>
                <w:lang w:eastAsia="zh-CN"/>
              </w:rPr>
            </w:pPr>
            <w:r>
              <w:rPr>
                <w:rFonts w:ascii="Arial" w:hAnsi="Arial" w:cs="Arial" w:eastAsiaTheme="minorEastAsia"/>
                <w:b w:val="0"/>
                <w:bCs w:val="0"/>
                <w:sz w:val="20"/>
                <w:szCs w:val="20"/>
                <w:lang w:eastAsia="zh-CN"/>
              </w:rPr>
              <w:t>Kidney</w:t>
            </w:r>
          </w:p>
        </w:tc>
        <w:tc>
          <w:tcPr>
            <w:tcW w:w="1488" w:type="dxa"/>
            <w:vAlign w:val="center"/>
          </w:tcPr>
          <w:p w14:paraId="64318CA3">
            <w:pPr>
              <w:pStyle w:val="2"/>
              <w:spacing w:before="0"/>
              <w:rPr>
                <w:rFonts w:ascii="Arial" w:hAnsi="Arial" w:cs="Arial" w:eastAsiaTheme="minorEastAsia"/>
                <w:b w:val="0"/>
                <w:bCs w:val="0"/>
                <w:sz w:val="20"/>
                <w:szCs w:val="20"/>
                <w:lang w:eastAsia="zh-CN"/>
              </w:rPr>
            </w:pPr>
            <w:r>
              <w:rPr>
                <w:rFonts w:ascii="Arial" w:hAnsi="Arial" w:cs="Arial" w:eastAsiaTheme="minorEastAsia"/>
                <w:b w:val="0"/>
                <w:bCs w:val="0"/>
                <w:sz w:val="20"/>
                <w:szCs w:val="20"/>
                <w:lang w:eastAsia="zh-CN"/>
              </w:rPr>
              <w:t>Creatinine ≤1.20 mg/dL</w:t>
            </w:r>
          </w:p>
        </w:tc>
        <w:tc>
          <w:tcPr>
            <w:tcW w:w="1474" w:type="dxa"/>
            <w:vAlign w:val="center"/>
          </w:tcPr>
          <w:p w14:paraId="656FE424">
            <w:pPr>
              <w:pStyle w:val="2"/>
              <w:spacing w:before="0"/>
              <w:rPr>
                <w:rFonts w:ascii="Arial" w:hAnsi="Arial" w:cs="Arial" w:eastAsiaTheme="minorEastAsia"/>
                <w:b w:val="0"/>
                <w:bCs w:val="0"/>
                <w:sz w:val="20"/>
                <w:szCs w:val="20"/>
                <w:lang w:eastAsia="zh-CN"/>
              </w:rPr>
            </w:pPr>
            <w:r>
              <w:rPr>
                <w:rFonts w:ascii="Arial" w:hAnsi="Arial" w:cs="Arial" w:eastAsiaTheme="minorEastAsia"/>
                <w:b w:val="0"/>
                <w:bCs w:val="0"/>
                <w:sz w:val="20"/>
                <w:szCs w:val="20"/>
                <w:lang w:eastAsia="zh-CN"/>
              </w:rPr>
              <w:t>Creatinine ≤2.0 mg/dL or urine output &lt;0.5 mL/kg/h (6–12 h)</w:t>
            </w:r>
          </w:p>
        </w:tc>
        <w:tc>
          <w:tcPr>
            <w:tcW w:w="1576" w:type="dxa"/>
            <w:vAlign w:val="center"/>
          </w:tcPr>
          <w:p w14:paraId="7A7AC92B">
            <w:pPr>
              <w:pStyle w:val="2"/>
              <w:spacing w:before="0"/>
              <w:rPr>
                <w:rFonts w:ascii="Arial" w:hAnsi="Arial" w:cs="Arial" w:eastAsiaTheme="minorEastAsia"/>
                <w:b w:val="0"/>
                <w:bCs w:val="0"/>
                <w:sz w:val="20"/>
                <w:szCs w:val="20"/>
                <w:lang w:eastAsia="zh-CN"/>
              </w:rPr>
            </w:pPr>
            <w:r>
              <w:rPr>
                <w:rFonts w:ascii="Arial" w:hAnsi="Arial" w:cs="Arial" w:eastAsiaTheme="minorEastAsia"/>
                <w:b w:val="0"/>
                <w:bCs w:val="0"/>
                <w:sz w:val="20"/>
                <w:szCs w:val="20"/>
                <w:lang w:eastAsia="zh-CN"/>
              </w:rPr>
              <w:t>Creatinine ≤3.50 mg/dL or urine output &lt;0.5 mL/kg/h (≥12 h)</w:t>
            </w:r>
          </w:p>
        </w:tc>
        <w:tc>
          <w:tcPr>
            <w:tcW w:w="1715" w:type="dxa"/>
            <w:vAlign w:val="center"/>
          </w:tcPr>
          <w:p w14:paraId="1947AAAD">
            <w:pPr>
              <w:pStyle w:val="2"/>
              <w:spacing w:before="0"/>
              <w:rPr>
                <w:rFonts w:ascii="Arial" w:hAnsi="Arial" w:cs="Arial" w:eastAsiaTheme="minorEastAsia"/>
                <w:b w:val="0"/>
                <w:bCs w:val="0"/>
                <w:sz w:val="20"/>
                <w:szCs w:val="20"/>
                <w:lang w:eastAsia="zh-CN"/>
              </w:rPr>
            </w:pPr>
            <w:r>
              <w:rPr>
                <w:rFonts w:ascii="Arial" w:hAnsi="Arial" w:cs="Arial" w:eastAsiaTheme="minorEastAsia"/>
                <w:b w:val="0"/>
                <w:bCs w:val="0"/>
                <w:sz w:val="20"/>
                <w:szCs w:val="20"/>
                <w:lang w:eastAsia="zh-CN"/>
              </w:rPr>
              <w:t>Creatinine &gt;3.50 mg/dL or urine output &lt;0.3 mL/kg/h (≥24 h) or anuria (0 mL) for ≥12 h</w:t>
            </w:r>
          </w:p>
        </w:tc>
        <w:tc>
          <w:tcPr>
            <w:tcW w:w="1741" w:type="dxa"/>
            <w:vAlign w:val="center"/>
          </w:tcPr>
          <w:p w14:paraId="29CBDA86">
            <w:pPr>
              <w:pStyle w:val="2"/>
              <w:spacing w:before="0"/>
              <w:rPr>
                <w:rFonts w:ascii="Arial" w:hAnsi="Arial" w:cs="Arial" w:eastAsiaTheme="minorEastAsia"/>
                <w:b w:val="0"/>
                <w:bCs w:val="0"/>
                <w:sz w:val="20"/>
                <w:szCs w:val="20"/>
                <w:lang w:eastAsia="zh-CN"/>
              </w:rPr>
            </w:pPr>
            <w:r>
              <w:rPr>
                <w:rFonts w:ascii="Arial" w:hAnsi="Arial" w:cs="Arial" w:eastAsiaTheme="minorEastAsia"/>
                <w:b w:val="0"/>
                <w:bCs w:val="0"/>
                <w:sz w:val="20"/>
                <w:szCs w:val="20"/>
                <w:lang w:eastAsia="zh-CN"/>
              </w:rPr>
              <w:t>Receiving or meeting criteria for RRT (includes chronic use)</w:t>
            </w:r>
            <w:r>
              <w:rPr>
                <w:rFonts w:hint="eastAsia" w:ascii="Arial" w:hAnsi="Arial" w:cs="Arial" w:eastAsiaTheme="minorEastAsia"/>
                <w:b w:val="0"/>
                <w:bCs w:val="0"/>
                <w:sz w:val="20"/>
                <w:szCs w:val="20"/>
                <w:vertAlign w:val="superscript"/>
                <w:lang w:eastAsia="zh-CN"/>
              </w:rPr>
              <w:t>m,n,o</w:t>
            </w:r>
          </w:p>
        </w:tc>
      </w:tr>
      <w:tr w14:paraId="7AEDA6BD">
        <w:tc>
          <w:tcPr>
            <w:tcW w:w="1726" w:type="dxa"/>
            <w:tcBorders>
              <w:bottom w:val="single" w:color="auto" w:sz="12" w:space="0"/>
            </w:tcBorders>
            <w:vAlign w:val="center"/>
          </w:tcPr>
          <w:p w14:paraId="7D3A0F80">
            <w:pPr>
              <w:pStyle w:val="2"/>
              <w:spacing w:before="0"/>
              <w:rPr>
                <w:rFonts w:ascii="Arial" w:hAnsi="Arial" w:cs="Arial" w:eastAsiaTheme="minorEastAsia"/>
                <w:b w:val="0"/>
                <w:bCs w:val="0"/>
                <w:sz w:val="20"/>
                <w:szCs w:val="20"/>
                <w:lang w:eastAsia="zh-CN"/>
              </w:rPr>
            </w:pPr>
            <w:r>
              <w:rPr>
                <w:rFonts w:ascii="Arial" w:hAnsi="Arial" w:cs="Arial" w:eastAsiaTheme="minorEastAsia"/>
                <w:b w:val="0"/>
                <w:bCs w:val="0"/>
                <w:sz w:val="20"/>
                <w:szCs w:val="20"/>
                <w:lang w:eastAsia="zh-CN"/>
              </w:rPr>
              <w:t>Hemostasis</w:t>
            </w:r>
          </w:p>
        </w:tc>
        <w:tc>
          <w:tcPr>
            <w:tcW w:w="1488" w:type="dxa"/>
            <w:tcBorders>
              <w:bottom w:val="single" w:color="auto" w:sz="12" w:space="0"/>
            </w:tcBorders>
            <w:vAlign w:val="center"/>
          </w:tcPr>
          <w:p w14:paraId="358121BB">
            <w:pPr>
              <w:pStyle w:val="2"/>
              <w:spacing w:before="0"/>
              <w:rPr>
                <w:rFonts w:ascii="Arial" w:hAnsi="Arial" w:cs="Arial" w:eastAsiaTheme="minorEastAsia"/>
                <w:b w:val="0"/>
                <w:bCs w:val="0"/>
                <w:sz w:val="20"/>
                <w:szCs w:val="20"/>
                <w:lang w:eastAsia="zh-CN"/>
              </w:rPr>
            </w:pPr>
            <w:r>
              <w:rPr>
                <w:rFonts w:ascii="Arial" w:hAnsi="Arial" w:cs="Arial" w:eastAsiaTheme="minorEastAsia"/>
                <w:b w:val="0"/>
                <w:bCs w:val="0"/>
                <w:sz w:val="20"/>
                <w:szCs w:val="20"/>
                <w:lang w:eastAsia="zh-CN"/>
              </w:rPr>
              <w:t>Platelets &gt;150 ×10³/μL</w:t>
            </w:r>
          </w:p>
        </w:tc>
        <w:tc>
          <w:tcPr>
            <w:tcW w:w="1474" w:type="dxa"/>
            <w:tcBorders>
              <w:bottom w:val="single" w:color="auto" w:sz="12" w:space="0"/>
            </w:tcBorders>
            <w:vAlign w:val="center"/>
          </w:tcPr>
          <w:p w14:paraId="489B1193">
            <w:pPr>
              <w:pStyle w:val="2"/>
              <w:spacing w:before="0"/>
              <w:rPr>
                <w:rFonts w:ascii="Arial" w:hAnsi="Arial" w:cs="Arial" w:eastAsiaTheme="minorEastAsia"/>
                <w:b w:val="0"/>
                <w:bCs w:val="0"/>
                <w:sz w:val="20"/>
                <w:szCs w:val="20"/>
                <w:lang w:eastAsia="zh-CN"/>
              </w:rPr>
            </w:pPr>
            <w:r>
              <w:rPr>
                <w:rFonts w:ascii="Arial" w:hAnsi="Arial" w:cs="Arial" w:eastAsiaTheme="minorEastAsia"/>
                <w:b w:val="0"/>
                <w:bCs w:val="0"/>
                <w:sz w:val="20"/>
                <w:szCs w:val="20"/>
                <w:lang w:eastAsia="zh-CN"/>
              </w:rPr>
              <w:t>Platelets ≤150 ×10³/μL</w:t>
            </w:r>
          </w:p>
        </w:tc>
        <w:tc>
          <w:tcPr>
            <w:tcW w:w="1576" w:type="dxa"/>
            <w:tcBorders>
              <w:bottom w:val="single" w:color="auto" w:sz="12" w:space="0"/>
            </w:tcBorders>
            <w:vAlign w:val="center"/>
          </w:tcPr>
          <w:p w14:paraId="17FD816A">
            <w:pPr>
              <w:pStyle w:val="2"/>
              <w:spacing w:before="0"/>
              <w:rPr>
                <w:rFonts w:ascii="Arial" w:hAnsi="Arial" w:cs="Arial" w:eastAsiaTheme="minorEastAsia"/>
                <w:b w:val="0"/>
                <w:bCs w:val="0"/>
                <w:sz w:val="20"/>
                <w:szCs w:val="20"/>
                <w:lang w:eastAsia="zh-CN"/>
              </w:rPr>
            </w:pPr>
            <w:r>
              <w:rPr>
                <w:rFonts w:ascii="Arial" w:hAnsi="Arial" w:cs="Arial" w:eastAsiaTheme="minorEastAsia"/>
                <w:b w:val="0"/>
                <w:bCs w:val="0"/>
                <w:sz w:val="20"/>
                <w:szCs w:val="20"/>
                <w:lang w:eastAsia="zh-CN"/>
              </w:rPr>
              <w:t>Platelets ≤100 ×10³/μL</w:t>
            </w:r>
          </w:p>
        </w:tc>
        <w:tc>
          <w:tcPr>
            <w:tcW w:w="1715" w:type="dxa"/>
            <w:tcBorders>
              <w:bottom w:val="single" w:color="auto" w:sz="12" w:space="0"/>
            </w:tcBorders>
            <w:vAlign w:val="center"/>
          </w:tcPr>
          <w:p w14:paraId="198B8A7B">
            <w:pPr>
              <w:pStyle w:val="2"/>
              <w:spacing w:before="0"/>
              <w:rPr>
                <w:rFonts w:ascii="Arial" w:hAnsi="Arial" w:cs="Arial" w:eastAsiaTheme="minorEastAsia"/>
                <w:b w:val="0"/>
                <w:bCs w:val="0"/>
                <w:sz w:val="20"/>
                <w:szCs w:val="20"/>
                <w:lang w:eastAsia="zh-CN"/>
              </w:rPr>
            </w:pPr>
            <w:r>
              <w:rPr>
                <w:rFonts w:ascii="Arial" w:hAnsi="Arial" w:cs="Arial" w:eastAsiaTheme="minorEastAsia"/>
                <w:b w:val="0"/>
                <w:bCs w:val="0"/>
                <w:sz w:val="20"/>
                <w:szCs w:val="20"/>
                <w:lang w:eastAsia="zh-CN"/>
              </w:rPr>
              <w:t>Platelets ≤80 ×10³/μL</w:t>
            </w:r>
          </w:p>
        </w:tc>
        <w:tc>
          <w:tcPr>
            <w:tcW w:w="1741" w:type="dxa"/>
            <w:tcBorders>
              <w:bottom w:val="single" w:color="auto" w:sz="12" w:space="0"/>
            </w:tcBorders>
            <w:vAlign w:val="center"/>
          </w:tcPr>
          <w:p w14:paraId="4A11AD3F">
            <w:pPr>
              <w:pStyle w:val="2"/>
              <w:spacing w:before="0"/>
              <w:rPr>
                <w:rFonts w:ascii="Arial" w:hAnsi="Arial" w:cs="Arial" w:eastAsiaTheme="minorEastAsia"/>
                <w:b w:val="0"/>
                <w:bCs w:val="0"/>
                <w:sz w:val="20"/>
                <w:szCs w:val="20"/>
                <w:lang w:eastAsia="zh-CN"/>
              </w:rPr>
            </w:pPr>
            <w:r>
              <w:rPr>
                <w:rFonts w:ascii="Arial" w:hAnsi="Arial" w:cs="Arial" w:eastAsiaTheme="minorEastAsia"/>
                <w:b w:val="0"/>
                <w:bCs w:val="0"/>
                <w:sz w:val="20"/>
                <w:szCs w:val="20"/>
                <w:lang w:eastAsia="zh-CN"/>
              </w:rPr>
              <w:t>Platelets ≤50 ×10³/μL</w:t>
            </w:r>
          </w:p>
        </w:tc>
      </w:tr>
    </w:tbl>
    <w:p w14:paraId="34A38BC7">
      <w:pPr>
        <w:pStyle w:val="5"/>
        <w:rPr>
          <w:rFonts w:ascii="Arial" w:hAnsi="Arial" w:cs="Arial"/>
        </w:rPr>
      </w:pPr>
      <w:r>
        <w:rPr>
          <w:rFonts w:ascii="Arial" w:hAnsi="Arial" w:cs="Arial"/>
        </w:rPr>
        <w:t>Abbreviations:</w:t>
      </w:r>
      <w:r>
        <w:rPr>
          <w:rFonts w:ascii="Arial" w:hAnsi="Arial" w:cs="Arial"/>
          <w:spacing w:val="34"/>
        </w:rPr>
        <w:t xml:space="preserve"> </w:t>
      </w:r>
      <w:r>
        <w:rPr>
          <w:rFonts w:ascii="Arial" w:hAnsi="Arial" w:cs="Arial"/>
        </w:rPr>
        <w:t>ECMO, extracorporeal membrane oxygenation; GCS, Glasgow Coma Scale; MAP, mean arterial pressure; PaO</w:t>
      </w:r>
      <w:r>
        <w:rPr>
          <w:rFonts w:ascii="Arial" w:hAnsi="Arial" w:cs="Arial"/>
          <w:vertAlign w:val="subscript"/>
        </w:rPr>
        <w:t>2</w:t>
      </w:r>
      <w:r>
        <w:rPr>
          <w:rFonts w:ascii="Arial" w:hAnsi="Arial" w:cs="Arial"/>
        </w:rPr>
        <w:t>:FiO</w:t>
      </w:r>
      <w:r>
        <w:rPr>
          <w:rFonts w:ascii="Arial" w:hAnsi="Arial" w:cs="Arial"/>
          <w:vertAlign w:val="subscript"/>
        </w:rPr>
        <w:t>2</w:t>
      </w:r>
      <w:r>
        <w:rPr>
          <w:rFonts w:ascii="Arial" w:hAnsi="Arial" w:cs="Arial"/>
        </w:rPr>
        <w:t>, ratio of</w:t>
      </w:r>
      <w:r>
        <w:rPr>
          <w:rFonts w:ascii="Arial" w:hAnsi="Arial" w:cs="Arial"/>
          <w:spacing w:val="40"/>
        </w:rPr>
        <w:t xml:space="preserve"> </w:t>
      </w:r>
      <w:r>
        <w:rPr>
          <w:rFonts w:ascii="Arial" w:hAnsi="Arial" w:cs="Arial"/>
        </w:rPr>
        <w:t>partial pressure of oxygen to fraction of inspired oxygen; RRT, renal replacement therapy; SOFA, Sequential Organ Failure Assessment.</w:t>
      </w:r>
    </w:p>
    <w:p w14:paraId="206052C2">
      <w:pPr>
        <w:pStyle w:val="5"/>
        <w:rPr>
          <w:rFonts w:ascii="Arial" w:hAnsi="Arial" w:cs="Arial"/>
        </w:rPr>
      </w:pPr>
      <w:r>
        <w:rPr>
          <w:rFonts w:ascii="Arial" w:hAnsi="Arial" w:cs="Arial"/>
        </w:rPr>
        <w:t>The</w:t>
      </w:r>
      <w:r>
        <w:rPr>
          <w:rFonts w:ascii="Arial" w:hAnsi="Arial" w:cs="Arial"/>
          <w:spacing w:val="-5"/>
        </w:rPr>
        <w:t xml:space="preserve"> </w:t>
      </w:r>
      <w:r>
        <w:rPr>
          <w:rFonts w:ascii="Arial" w:hAnsi="Arial" w:cs="Arial"/>
        </w:rPr>
        <w:t>final</w:t>
      </w:r>
      <w:r>
        <w:rPr>
          <w:rFonts w:ascii="Arial" w:hAnsi="Arial" w:cs="Arial"/>
          <w:spacing w:val="-5"/>
        </w:rPr>
        <w:t xml:space="preserve"> </w:t>
      </w:r>
      <w:r>
        <w:rPr>
          <w:rFonts w:ascii="Arial" w:hAnsi="Arial" w:cs="Arial"/>
        </w:rPr>
        <w:t>score</w:t>
      </w:r>
      <w:r>
        <w:rPr>
          <w:rFonts w:ascii="Arial" w:hAnsi="Arial" w:cs="Arial"/>
          <w:spacing w:val="-5"/>
        </w:rPr>
        <w:t xml:space="preserve"> </w:t>
      </w:r>
      <w:r>
        <w:rPr>
          <w:rFonts w:ascii="Arial" w:hAnsi="Arial" w:cs="Arial"/>
        </w:rPr>
        <w:t>is</w:t>
      </w:r>
      <w:r>
        <w:rPr>
          <w:rFonts w:ascii="Arial" w:hAnsi="Arial" w:cs="Arial"/>
          <w:spacing w:val="-6"/>
        </w:rPr>
        <w:t xml:space="preserve"> </w:t>
      </w:r>
      <w:r>
        <w:rPr>
          <w:rFonts w:ascii="Arial" w:hAnsi="Arial" w:cs="Arial"/>
        </w:rPr>
        <w:t>obtained</w:t>
      </w:r>
      <w:r>
        <w:rPr>
          <w:rFonts w:ascii="Arial" w:hAnsi="Arial" w:cs="Arial"/>
          <w:spacing w:val="-5"/>
        </w:rPr>
        <w:t xml:space="preserve"> </w:t>
      </w:r>
      <w:r>
        <w:rPr>
          <w:rFonts w:ascii="Arial" w:hAnsi="Arial" w:cs="Arial"/>
        </w:rPr>
        <w:t>by</w:t>
      </w:r>
      <w:r>
        <w:rPr>
          <w:rFonts w:ascii="Arial" w:hAnsi="Arial" w:cs="Arial"/>
          <w:spacing w:val="-5"/>
        </w:rPr>
        <w:t xml:space="preserve"> </w:t>
      </w:r>
      <w:r>
        <w:rPr>
          <w:rFonts w:ascii="Arial" w:hAnsi="Arial" w:cs="Arial"/>
        </w:rPr>
        <w:t>summing</w:t>
      </w:r>
      <w:r>
        <w:rPr>
          <w:rFonts w:ascii="Arial" w:hAnsi="Arial" w:cs="Arial"/>
          <w:spacing w:val="-5"/>
        </w:rPr>
        <w:t xml:space="preserve"> </w:t>
      </w:r>
      <w:r>
        <w:rPr>
          <w:rFonts w:ascii="Arial" w:hAnsi="Arial" w:cs="Arial"/>
        </w:rPr>
        <w:t>the</w:t>
      </w:r>
      <w:r>
        <w:rPr>
          <w:rFonts w:ascii="Arial" w:hAnsi="Arial" w:cs="Arial"/>
          <w:spacing w:val="-6"/>
        </w:rPr>
        <w:t xml:space="preserve"> </w:t>
      </w:r>
      <w:r>
        <w:rPr>
          <w:rFonts w:ascii="Arial" w:hAnsi="Arial" w:cs="Arial"/>
        </w:rPr>
        <w:t>maximum</w:t>
      </w:r>
      <w:r>
        <w:rPr>
          <w:rFonts w:ascii="Arial" w:hAnsi="Arial" w:cs="Arial"/>
          <w:spacing w:val="-5"/>
        </w:rPr>
        <w:t xml:space="preserve"> </w:t>
      </w:r>
      <w:r>
        <w:rPr>
          <w:rFonts w:ascii="Arial" w:hAnsi="Arial" w:cs="Arial"/>
        </w:rPr>
        <w:t>points</w:t>
      </w:r>
      <w:r>
        <w:rPr>
          <w:rFonts w:ascii="Arial" w:hAnsi="Arial" w:cs="Arial"/>
          <w:spacing w:val="-5"/>
        </w:rPr>
        <w:t xml:space="preserve"> </w:t>
      </w:r>
      <w:r>
        <w:rPr>
          <w:rFonts w:ascii="Arial" w:hAnsi="Arial" w:cs="Arial"/>
        </w:rPr>
        <w:t>from</w:t>
      </w:r>
      <w:r>
        <w:rPr>
          <w:rFonts w:ascii="Arial" w:hAnsi="Arial" w:cs="Arial"/>
          <w:spacing w:val="-5"/>
        </w:rPr>
        <w:t xml:space="preserve"> </w:t>
      </w:r>
      <w:r>
        <w:rPr>
          <w:rFonts w:ascii="Arial" w:hAnsi="Arial" w:cs="Arial"/>
        </w:rPr>
        <w:t>each</w:t>
      </w:r>
      <w:r>
        <w:rPr>
          <w:rFonts w:ascii="Arial" w:hAnsi="Arial" w:cs="Arial"/>
          <w:spacing w:val="-6"/>
        </w:rPr>
        <w:t xml:space="preserve"> </w:t>
      </w:r>
      <w:r>
        <w:rPr>
          <w:rFonts w:ascii="Arial" w:hAnsi="Arial" w:cs="Arial"/>
        </w:rPr>
        <w:t>of</w:t>
      </w:r>
      <w:r>
        <w:rPr>
          <w:rFonts w:ascii="Arial" w:hAnsi="Arial" w:cs="Arial"/>
          <w:spacing w:val="-5"/>
        </w:rPr>
        <w:t xml:space="preserve"> </w:t>
      </w:r>
      <w:r>
        <w:rPr>
          <w:rFonts w:ascii="Arial" w:hAnsi="Arial" w:cs="Arial"/>
        </w:rPr>
        <w:t>the</w:t>
      </w:r>
      <w:r>
        <w:rPr>
          <w:rFonts w:ascii="Arial" w:hAnsi="Arial" w:cs="Arial"/>
          <w:spacing w:val="-5"/>
        </w:rPr>
        <w:t xml:space="preserve"> </w:t>
      </w:r>
      <w:r>
        <w:rPr>
          <w:rFonts w:ascii="Arial" w:hAnsi="Arial" w:cs="Arial"/>
        </w:rPr>
        <w:t>6</w:t>
      </w:r>
      <w:r>
        <w:rPr>
          <w:rFonts w:ascii="Arial" w:hAnsi="Arial" w:cs="Arial"/>
          <w:spacing w:val="-5"/>
        </w:rPr>
        <w:t xml:space="preserve"> </w:t>
      </w:r>
      <w:r>
        <w:rPr>
          <w:rFonts w:ascii="Arial" w:hAnsi="Arial" w:cs="Arial"/>
        </w:rPr>
        <w:t>organ</w:t>
      </w:r>
      <w:r>
        <w:rPr>
          <w:rFonts w:ascii="Arial" w:hAnsi="Arial" w:cs="Arial"/>
          <w:spacing w:val="-6"/>
        </w:rPr>
        <w:t xml:space="preserve"> </w:t>
      </w:r>
      <w:r>
        <w:rPr>
          <w:rFonts w:ascii="Arial" w:hAnsi="Arial" w:cs="Arial"/>
        </w:rPr>
        <w:t>systems</w:t>
      </w:r>
      <w:r>
        <w:rPr>
          <w:rFonts w:ascii="Arial" w:hAnsi="Arial" w:cs="Arial"/>
          <w:spacing w:val="-5"/>
        </w:rPr>
        <w:t xml:space="preserve"> </w:t>
      </w:r>
      <w:r>
        <w:rPr>
          <w:rFonts w:ascii="Arial" w:hAnsi="Arial" w:cs="Arial"/>
        </w:rPr>
        <w:t>individually</w:t>
      </w:r>
      <w:r>
        <w:rPr>
          <w:rFonts w:ascii="Arial" w:hAnsi="Arial" w:cs="Arial"/>
          <w:spacing w:val="-5"/>
        </w:rPr>
        <w:t xml:space="preserve"> </w:t>
      </w:r>
      <w:r>
        <w:rPr>
          <w:rFonts w:ascii="Arial" w:hAnsi="Arial" w:cs="Arial"/>
        </w:rPr>
        <w:t>within</w:t>
      </w:r>
      <w:r>
        <w:rPr>
          <w:rFonts w:ascii="Arial" w:hAnsi="Arial" w:cs="Arial"/>
          <w:spacing w:val="-5"/>
        </w:rPr>
        <w:t xml:space="preserve"> </w:t>
      </w:r>
      <w:r>
        <w:rPr>
          <w:rFonts w:ascii="Arial" w:hAnsi="Arial" w:cs="Arial"/>
        </w:rPr>
        <w:t>a</w:t>
      </w:r>
      <w:r>
        <w:rPr>
          <w:rFonts w:ascii="Arial" w:hAnsi="Arial" w:cs="Arial"/>
          <w:spacing w:val="-6"/>
        </w:rPr>
        <w:t xml:space="preserve"> </w:t>
      </w:r>
      <w:r>
        <w:rPr>
          <w:rFonts w:ascii="Arial" w:hAnsi="Arial" w:cs="Arial"/>
        </w:rPr>
        <w:t>24-hour</w:t>
      </w:r>
      <w:r>
        <w:rPr>
          <w:rFonts w:ascii="Arial" w:hAnsi="Arial" w:cs="Arial"/>
          <w:spacing w:val="-5"/>
        </w:rPr>
        <w:t xml:space="preserve"> </w:t>
      </w:r>
      <w:r>
        <w:rPr>
          <w:rFonts w:ascii="Arial" w:hAnsi="Arial" w:cs="Arial"/>
        </w:rPr>
        <w:t>period,</w:t>
      </w:r>
      <w:r>
        <w:rPr>
          <w:rFonts w:ascii="Arial" w:hAnsi="Arial" w:cs="Arial"/>
          <w:spacing w:val="-5"/>
        </w:rPr>
        <w:t xml:space="preserve"> </w:t>
      </w:r>
      <w:r>
        <w:rPr>
          <w:rFonts w:ascii="Arial" w:hAnsi="Arial" w:cs="Arial"/>
        </w:rPr>
        <w:t>ranging</w:t>
      </w:r>
      <w:r>
        <w:rPr>
          <w:rFonts w:ascii="Arial" w:hAnsi="Arial" w:cs="Arial"/>
          <w:spacing w:val="-5"/>
        </w:rPr>
        <w:t xml:space="preserve"> </w:t>
      </w:r>
      <w:r>
        <w:rPr>
          <w:rFonts w:ascii="Arial" w:hAnsi="Arial" w:cs="Arial"/>
        </w:rPr>
        <w:t>from</w:t>
      </w:r>
      <w:r>
        <w:rPr>
          <w:rFonts w:ascii="Arial" w:hAnsi="Arial" w:cs="Arial"/>
          <w:spacing w:val="40"/>
        </w:rPr>
        <w:t xml:space="preserve"> </w:t>
      </w:r>
      <w:r>
        <w:rPr>
          <w:rFonts w:ascii="Arial" w:hAnsi="Arial" w:cs="Arial"/>
        </w:rPr>
        <w:t>0 to 24.</w:t>
      </w:r>
      <w:r>
        <w:rPr>
          <w:rFonts w:hint="eastAsia" w:ascii="Arial" w:hAnsi="Arial" w:cs="Arial" w:eastAsiaTheme="minorEastAsia"/>
          <w:lang w:eastAsia="zh-CN"/>
        </w:rPr>
        <w:t xml:space="preserve"> </w:t>
      </w:r>
      <w:r>
        <w:rPr>
          <w:rFonts w:ascii="Arial" w:hAnsi="Arial" w:cs="Arial"/>
        </w:rPr>
        <w:t>For missing values at day 1, the general recommendation is to score these as 0 points.</w:t>
      </w:r>
      <w:r>
        <w:rPr>
          <w:rFonts w:ascii="Arial" w:hAnsi="Arial" w:cs="Arial"/>
          <w:spacing w:val="40"/>
        </w:rPr>
        <w:t xml:space="preserve"> </w:t>
      </w:r>
      <w:r>
        <w:rPr>
          <w:rFonts w:ascii="Arial" w:hAnsi="Arial" w:cs="Arial"/>
        </w:rPr>
        <w:t>This may vary for specific purposes (eg, bedside use,</w:t>
      </w:r>
      <w:r>
        <w:rPr>
          <w:rFonts w:ascii="Arial" w:hAnsi="Arial" w:cs="Arial"/>
          <w:spacing w:val="40"/>
        </w:rPr>
        <w:t xml:space="preserve"> </w:t>
      </w:r>
      <w:r>
        <w:rPr>
          <w:rFonts w:ascii="Arial" w:hAnsi="Arial" w:cs="Arial"/>
        </w:rPr>
        <w:t>research,</w:t>
      </w:r>
      <w:r>
        <w:rPr>
          <w:rFonts w:ascii="Arial" w:hAnsi="Arial" w:cs="Arial"/>
          <w:spacing w:val="-10"/>
        </w:rPr>
        <w:t xml:space="preserve"> </w:t>
      </w:r>
      <w:r>
        <w:rPr>
          <w:rFonts w:ascii="Arial" w:hAnsi="Arial" w:cs="Arial"/>
        </w:rPr>
        <w:t>etc).</w:t>
      </w:r>
      <w:r>
        <w:rPr>
          <w:rFonts w:ascii="Arial" w:hAnsi="Arial" w:cs="Arial"/>
          <w:spacing w:val="-10"/>
        </w:rPr>
        <w:t xml:space="preserve"> </w:t>
      </w:r>
      <w:r>
        <w:rPr>
          <w:rFonts w:ascii="Arial" w:hAnsi="Arial" w:cs="Arial"/>
        </w:rPr>
        <w:t>For</w:t>
      </w:r>
      <w:r>
        <w:rPr>
          <w:rFonts w:ascii="Arial" w:hAnsi="Arial" w:cs="Arial"/>
          <w:spacing w:val="-10"/>
        </w:rPr>
        <w:t xml:space="preserve"> </w:t>
      </w:r>
      <w:r>
        <w:rPr>
          <w:rFonts w:ascii="Arial" w:hAnsi="Arial" w:cs="Arial"/>
        </w:rPr>
        <w:t>sequential</w:t>
      </w:r>
      <w:r>
        <w:rPr>
          <w:rFonts w:ascii="Arial" w:hAnsi="Arial" w:cs="Arial"/>
          <w:spacing w:val="-10"/>
        </w:rPr>
        <w:t xml:space="preserve"> </w:t>
      </w:r>
      <w:r>
        <w:rPr>
          <w:rFonts w:ascii="Arial" w:hAnsi="Arial" w:cs="Arial"/>
        </w:rPr>
        <w:t>scoring,</w:t>
      </w:r>
      <w:r>
        <w:rPr>
          <w:rFonts w:ascii="Arial" w:hAnsi="Arial" w:cs="Arial"/>
          <w:spacing w:val="-10"/>
        </w:rPr>
        <w:t xml:space="preserve"> </w:t>
      </w:r>
      <w:r>
        <w:rPr>
          <w:rFonts w:ascii="Arial" w:hAnsi="Arial" w:cs="Arial"/>
        </w:rPr>
        <w:t>for</w:t>
      </w:r>
      <w:r>
        <w:rPr>
          <w:rFonts w:ascii="Arial" w:hAnsi="Arial" w:cs="Arial"/>
          <w:spacing w:val="-10"/>
        </w:rPr>
        <w:t xml:space="preserve"> </w:t>
      </w:r>
      <w:r>
        <w:rPr>
          <w:rFonts w:ascii="Arial" w:hAnsi="Arial" w:cs="Arial"/>
        </w:rPr>
        <w:t>missing</w:t>
      </w:r>
      <w:r>
        <w:rPr>
          <w:rFonts w:ascii="Arial" w:hAnsi="Arial" w:cs="Arial"/>
          <w:spacing w:val="-10"/>
        </w:rPr>
        <w:t xml:space="preserve"> </w:t>
      </w:r>
      <w:r>
        <w:rPr>
          <w:rFonts w:ascii="Arial" w:hAnsi="Arial" w:cs="Arial"/>
        </w:rPr>
        <w:t>data</w:t>
      </w:r>
      <w:r>
        <w:rPr>
          <w:rFonts w:ascii="Arial" w:hAnsi="Arial" w:cs="Arial"/>
          <w:spacing w:val="-10"/>
        </w:rPr>
        <w:t xml:space="preserve"> </w:t>
      </w:r>
      <w:r>
        <w:rPr>
          <w:rFonts w:ascii="Arial" w:hAnsi="Arial" w:cs="Arial"/>
        </w:rPr>
        <w:t>after</w:t>
      </w:r>
      <w:r>
        <w:rPr>
          <w:rFonts w:ascii="Arial" w:hAnsi="Arial" w:cs="Arial"/>
          <w:spacing w:val="-10"/>
        </w:rPr>
        <w:t xml:space="preserve"> </w:t>
      </w:r>
      <w:r>
        <w:rPr>
          <w:rFonts w:ascii="Arial" w:hAnsi="Arial" w:cs="Arial"/>
        </w:rPr>
        <w:t>day</w:t>
      </w:r>
      <w:r>
        <w:rPr>
          <w:rFonts w:ascii="Arial" w:hAnsi="Arial" w:cs="Arial"/>
          <w:spacing w:val="-10"/>
        </w:rPr>
        <w:t xml:space="preserve"> </w:t>
      </w:r>
      <w:r>
        <w:rPr>
          <w:rFonts w:ascii="Arial" w:hAnsi="Arial" w:cs="Arial"/>
        </w:rPr>
        <w:t>1,</w:t>
      </w:r>
      <w:r>
        <w:rPr>
          <w:rFonts w:ascii="Arial" w:hAnsi="Arial" w:cs="Arial"/>
          <w:spacing w:val="-10"/>
        </w:rPr>
        <w:t xml:space="preserve"> </w:t>
      </w:r>
      <w:r>
        <w:rPr>
          <w:rFonts w:ascii="Arial" w:hAnsi="Arial" w:cs="Arial"/>
        </w:rPr>
        <w:t>it</w:t>
      </w:r>
      <w:r>
        <w:rPr>
          <w:rFonts w:ascii="Arial" w:hAnsi="Arial" w:cs="Arial"/>
          <w:spacing w:val="-10"/>
        </w:rPr>
        <w:t xml:space="preserve"> </w:t>
      </w:r>
      <w:r>
        <w:rPr>
          <w:rFonts w:ascii="Arial" w:hAnsi="Arial" w:cs="Arial"/>
        </w:rPr>
        <w:t>is</w:t>
      </w:r>
      <w:r>
        <w:rPr>
          <w:rFonts w:ascii="Arial" w:hAnsi="Arial" w:cs="Arial"/>
          <w:spacing w:val="-10"/>
        </w:rPr>
        <w:t xml:space="preserve"> </w:t>
      </w:r>
      <w:r>
        <w:rPr>
          <w:rFonts w:ascii="Arial" w:hAnsi="Arial" w:cs="Arial"/>
        </w:rPr>
        <w:t>to</w:t>
      </w:r>
      <w:r>
        <w:rPr>
          <w:rFonts w:ascii="Arial" w:hAnsi="Arial" w:cs="Arial"/>
          <w:spacing w:val="-10"/>
        </w:rPr>
        <w:t xml:space="preserve"> </w:t>
      </w:r>
      <w:r>
        <w:rPr>
          <w:rFonts w:ascii="Arial" w:hAnsi="Arial" w:cs="Arial"/>
        </w:rPr>
        <w:t>carry</w:t>
      </w:r>
      <w:r>
        <w:rPr>
          <w:rFonts w:ascii="Arial" w:hAnsi="Arial" w:cs="Arial"/>
          <w:spacing w:val="-10"/>
        </w:rPr>
        <w:t xml:space="preserve"> </w:t>
      </w:r>
      <w:r>
        <w:rPr>
          <w:rFonts w:ascii="Arial" w:hAnsi="Arial" w:cs="Arial"/>
        </w:rPr>
        <w:t>forward</w:t>
      </w:r>
      <w:r>
        <w:rPr>
          <w:rFonts w:ascii="Arial" w:hAnsi="Arial" w:cs="Arial"/>
          <w:spacing w:val="-10"/>
        </w:rPr>
        <w:t xml:space="preserve"> </w:t>
      </w:r>
      <w:r>
        <w:rPr>
          <w:rFonts w:ascii="Arial" w:hAnsi="Arial" w:cs="Arial"/>
        </w:rPr>
        <w:t>the</w:t>
      </w:r>
      <w:r>
        <w:rPr>
          <w:rFonts w:ascii="Arial" w:hAnsi="Arial" w:cs="Arial"/>
          <w:spacing w:val="-10"/>
        </w:rPr>
        <w:t xml:space="preserve"> </w:t>
      </w:r>
      <w:r>
        <w:rPr>
          <w:rFonts w:ascii="Arial" w:hAnsi="Arial" w:cs="Arial"/>
        </w:rPr>
        <w:t>last</w:t>
      </w:r>
      <w:r>
        <w:rPr>
          <w:rFonts w:ascii="Arial" w:hAnsi="Arial" w:cs="Arial"/>
          <w:spacing w:val="-10"/>
        </w:rPr>
        <w:t xml:space="preserve"> </w:t>
      </w:r>
      <w:r>
        <w:rPr>
          <w:rFonts w:ascii="Arial" w:hAnsi="Arial" w:cs="Arial"/>
        </w:rPr>
        <w:t>observation,</w:t>
      </w:r>
      <w:r>
        <w:rPr>
          <w:rFonts w:ascii="Arial" w:hAnsi="Arial" w:cs="Arial"/>
          <w:spacing w:val="-10"/>
        </w:rPr>
        <w:t xml:space="preserve"> </w:t>
      </w:r>
      <w:r>
        <w:rPr>
          <w:rFonts w:ascii="Arial" w:hAnsi="Arial" w:cs="Arial"/>
        </w:rPr>
        <w:t>the</w:t>
      </w:r>
      <w:r>
        <w:rPr>
          <w:rFonts w:ascii="Arial" w:hAnsi="Arial" w:cs="Arial"/>
          <w:spacing w:val="-10"/>
        </w:rPr>
        <w:t xml:space="preserve"> </w:t>
      </w:r>
      <w:r>
        <w:rPr>
          <w:rFonts w:ascii="Arial" w:hAnsi="Arial" w:cs="Arial"/>
        </w:rPr>
        <w:t>rationale</w:t>
      </w:r>
      <w:r>
        <w:rPr>
          <w:rFonts w:ascii="Arial" w:hAnsi="Arial" w:cs="Arial"/>
          <w:spacing w:val="-10"/>
        </w:rPr>
        <w:t xml:space="preserve"> </w:t>
      </w:r>
      <w:r>
        <w:rPr>
          <w:rFonts w:ascii="Arial" w:hAnsi="Arial" w:cs="Arial"/>
        </w:rPr>
        <w:t>being</w:t>
      </w:r>
      <w:r>
        <w:rPr>
          <w:rFonts w:ascii="Arial" w:hAnsi="Arial" w:cs="Arial"/>
          <w:spacing w:val="-10"/>
        </w:rPr>
        <w:t xml:space="preserve"> </w:t>
      </w:r>
      <w:r>
        <w:rPr>
          <w:rFonts w:ascii="Arial" w:hAnsi="Arial" w:cs="Arial"/>
        </w:rPr>
        <w:t>that</w:t>
      </w:r>
      <w:r>
        <w:rPr>
          <w:rFonts w:ascii="Arial" w:hAnsi="Arial" w:cs="Arial"/>
          <w:spacing w:val="-10"/>
        </w:rPr>
        <w:t xml:space="preserve"> </w:t>
      </w:r>
      <w:r>
        <w:rPr>
          <w:rFonts w:ascii="Arial" w:hAnsi="Arial" w:cs="Arial"/>
        </w:rPr>
        <w:t>nonmeasurement</w:t>
      </w:r>
      <w:r>
        <w:rPr>
          <w:rFonts w:ascii="Arial" w:hAnsi="Arial" w:cs="Arial"/>
          <w:spacing w:val="40"/>
        </w:rPr>
        <w:t xml:space="preserve"> </w:t>
      </w:r>
      <w:r>
        <w:rPr>
          <w:rFonts w:ascii="Arial" w:hAnsi="Arial" w:cs="Arial"/>
        </w:rPr>
        <w:t>suggests</w:t>
      </w:r>
      <w:r>
        <w:rPr>
          <w:rFonts w:ascii="Arial" w:hAnsi="Arial" w:cs="Arial"/>
          <w:spacing w:val="-3"/>
        </w:rPr>
        <w:t xml:space="preserve"> </w:t>
      </w:r>
      <w:r>
        <w:rPr>
          <w:rFonts w:ascii="Arial" w:hAnsi="Arial" w:cs="Arial"/>
        </w:rPr>
        <w:t>stability.</w:t>
      </w:r>
    </w:p>
    <w:p w14:paraId="467A5E52">
      <w:pPr>
        <w:pStyle w:val="5"/>
        <w:rPr>
          <w:rFonts w:ascii="Arial" w:hAnsi="Arial" w:cs="Arial"/>
        </w:rPr>
      </w:pPr>
      <w:r>
        <w:rPr>
          <w:rFonts w:hint="eastAsia" w:ascii="Arial" w:hAnsi="Arial" w:cs="Arial" w:eastAsiaTheme="minorEastAsia"/>
          <w:position w:val="6"/>
          <w:lang w:eastAsia="zh-CN"/>
        </w:rPr>
        <w:t>a</w:t>
      </w:r>
      <w:r>
        <w:rPr>
          <w:rFonts w:ascii="Arial" w:hAnsi="Arial" w:cs="Arial"/>
          <w:spacing w:val="14"/>
          <w:position w:val="6"/>
        </w:rPr>
        <w:t xml:space="preserve"> </w:t>
      </w:r>
      <w:r>
        <w:rPr>
          <w:rFonts w:ascii="Arial" w:hAnsi="Arial" w:cs="Arial"/>
        </w:rPr>
        <w:t>For</w:t>
      </w:r>
      <w:r>
        <w:rPr>
          <w:rFonts w:ascii="Arial" w:hAnsi="Arial" w:cs="Arial"/>
          <w:spacing w:val="-5"/>
        </w:rPr>
        <w:t xml:space="preserve"> </w:t>
      </w:r>
      <w:r>
        <w:rPr>
          <w:rFonts w:ascii="Arial" w:hAnsi="Arial" w:cs="Arial"/>
        </w:rPr>
        <w:t>sedated</w:t>
      </w:r>
      <w:r>
        <w:rPr>
          <w:rFonts w:ascii="Arial" w:hAnsi="Arial" w:cs="Arial"/>
          <w:spacing w:val="-5"/>
        </w:rPr>
        <w:t xml:space="preserve"> </w:t>
      </w:r>
      <w:r>
        <w:rPr>
          <w:rFonts w:ascii="Arial" w:hAnsi="Arial" w:cs="Arial"/>
        </w:rPr>
        <w:t>patients,</w:t>
      </w:r>
      <w:r>
        <w:rPr>
          <w:rFonts w:ascii="Arial" w:hAnsi="Arial" w:cs="Arial"/>
          <w:spacing w:val="-5"/>
        </w:rPr>
        <w:t xml:space="preserve"> </w:t>
      </w:r>
      <w:r>
        <w:rPr>
          <w:rFonts w:ascii="Arial" w:hAnsi="Arial" w:cs="Arial"/>
        </w:rPr>
        <w:t>use</w:t>
      </w:r>
      <w:r>
        <w:rPr>
          <w:rFonts w:ascii="Arial" w:hAnsi="Arial" w:cs="Arial"/>
          <w:spacing w:val="-5"/>
        </w:rPr>
        <w:t xml:space="preserve"> </w:t>
      </w:r>
      <w:r>
        <w:rPr>
          <w:rFonts w:ascii="Arial" w:hAnsi="Arial" w:cs="Arial"/>
        </w:rPr>
        <w:t>the</w:t>
      </w:r>
      <w:r>
        <w:rPr>
          <w:rFonts w:ascii="Arial" w:hAnsi="Arial" w:cs="Arial"/>
          <w:spacing w:val="-5"/>
        </w:rPr>
        <w:t xml:space="preserve"> </w:t>
      </w:r>
      <w:r>
        <w:rPr>
          <w:rFonts w:ascii="Arial" w:hAnsi="Arial" w:cs="Arial"/>
        </w:rPr>
        <w:t>last</w:t>
      </w:r>
      <w:r>
        <w:rPr>
          <w:rFonts w:ascii="Arial" w:hAnsi="Arial" w:cs="Arial"/>
          <w:spacing w:val="-4"/>
        </w:rPr>
        <w:t xml:space="preserve"> </w:t>
      </w:r>
      <w:r>
        <w:rPr>
          <w:rFonts w:ascii="Arial" w:hAnsi="Arial" w:cs="Arial"/>
        </w:rPr>
        <w:t>recorded</w:t>
      </w:r>
      <w:r>
        <w:rPr>
          <w:rFonts w:ascii="Arial" w:hAnsi="Arial" w:cs="Arial"/>
          <w:spacing w:val="-5"/>
        </w:rPr>
        <w:t xml:space="preserve"> </w:t>
      </w:r>
      <w:r>
        <w:rPr>
          <w:rFonts w:ascii="Arial" w:hAnsi="Arial" w:cs="Arial"/>
        </w:rPr>
        <w:t>GCS</w:t>
      </w:r>
      <w:r>
        <w:rPr>
          <w:rFonts w:ascii="Arial" w:hAnsi="Arial" w:cs="Arial"/>
          <w:spacing w:val="-5"/>
        </w:rPr>
        <w:t xml:space="preserve"> </w:t>
      </w:r>
      <w:r>
        <w:rPr>
          <w:rFonts w:ascii="Arial" w:hAnsi="Arial" w:cs="Arial"/>
        </w:rPr>
        <w:t>before</w:t>
      </w:r>
      <w:r>
        <w:rPr>
          <w:rFonts w:ascii="Arial" w:hAnsi="Arial" w:cs="Arial"/>
          <w:spacing w:val="-5"/>
        </w:rPr>
        <w:t xml:space="preserve"> </w:t>
      </w:r>
      <w:r>
        <w:rPr>
          <w:rFonts w:ascii="Arial" w:hAnsi="Arial" w:cs="Arial"/>
        </w:rPr>
        <w:t>sedation.</w:t>
      </w:r>
      <w:r>
        <w:rPr>
          <w:rFonts w:ascii="Arial" w:hAnsi="Arial" w:cs="Arial"/>
          <w:spacing w:val="4"/>
        </w:rPr>
        <w:t xml:space="preserve"> </w:t>
      </w:r>
      <w:r>
        <w:rPr>
          <w:rFonts w:ascii="Arial" w:hAnsi="Arial" w:cs="Arial"/>
        </w:rPr>
        <w:t>If</w:t>
      </w:r>
      <w:r>
        <w:rPr>
          <w:rFonts w:ascii="Arial" w:hAnsi="Arial" w:cs="Arial"/>
          <w:spacing w:val="-5"/>
        </w:rPr>
        <w:t xml:space="preserve"> </w:t>
      </w:r>
      <w:r>
        <w:rPr>
          <w:rFonts w:ascii="Arial" w:hAnsi="Arial" w:cs="Arial"/>
        </w:rPr>
        <w:t>the</w:t>
      </w:r>
      <w:r>
        <w:rPr>
          <w:rFonts w:ascii="Arial" w:hAnsi="Arial" w:cs="Arial"/>
          <w:spacing w:val="-4"/>
        </w:rPr>
        <w:t xml:space="preserve"> </w:t>
      </w:r>
      <w:r>
        <w:rPr>
          <w:rFonts w:ascii="Arial" w:hAnsi="Arial" w:cs="Arial"/>
        </w:rPr>
        <w:t>previous</w:t>
      </w:r>
      <w:r>
        <w:rPr>
          <w:rFonts w:ascii="Arial" w:hAnsi="Arial" w:cs="Arial"/>
          <w:spacing w:val="-5"/>
        </w:rPr>
        <w:t xml:space="preserve"> </w:t>
      </w:r>
      <w:r>
        <w:rPr>
          <w:rFonts w:ascii="Arial" w:hAnsi="Arial" w:cs="Arial"/>
        </w:rPr>
        <w:t>GCS</w:t>
      </w:r>
      <w:r>
        <w:rPr>
          <w:rFonts w:ascii="Arial" w:hAnsi="Arial" w:cs="Arial"/>
          <w:spacing w:val="-5"/>
        </w:rPr>
        <w:t xml:space="preserve"> </w:t>
      </w:r>
      <w:r>
        <w:rPr>
          <w:rFonts w:ascii="Arial" w:hAnsi="Arial" w:cs="Arial"/>
        </w:rPr>
        <w:t>is</w:t>
      </w:r>
      <w:r>
        <w:rPr>
          <w:rFonts w:ascii="Arial" w:hAnsi="Arial" w:cs="Arial"/>
          <w:spacing w:val="-5"/>
        </w:rPr>
        <w:t xml:space="preserve"> </w:t>
      </w:r>
      <w:r>
        <w:rPr>
          <w:rFonts w:ascii="Arial" w:hAnsi="Arial" w:cs="Arial"/>
        </w:rPr>
        <w:t>unknown,</w:t>
      </w:r>
      <w:r>
        <w:rPr>
          <w:rFonts w:ascii="Arial" w:hAnsi="Arial" w:cs="Arial"/>
          <w:spacing w:val="-5"/>
        </w:rPr>
        <w:t xml:space="preserve"> </w:t>
      </w:r>
      <w:r>
        <w:rPr>
          <w:rFonts w:ascii="Arial" w:hAnsi="Arial" w:cs="Arial"/>
        </w:rPr>
        <w:t>score</w:t>
      </w:r>
      <w:r>
        <w:rPr>
          <w:rFonts w:ascii="Arial" w:hAnsi="Arial" w:cs="Arial"/>
          <w:spacing w:val="-5"/>
        </w:rPr>
        <w:t xml:space="preserve"> 0.</w:t>
      </w:r>
    </w:p>
    <w:p w14:paraId="0B9EE4CC">
      <w:pPr>
        <w:pStyle w:val="5"/>
        <w:rPr>
          <w:rFonts w:ascii="Arial" w:hAnsi="Arial" w:cs="Arial"/>
        </w:rPr>
      </w:pPr>
      <w:r>
        <w:rPr>
          <w:rFonts w:hint="eastAsia" w:ascii="Arial" w:hAnsi="Arial" w:cs="Arial" w:eastAsiaTheme="minorEastAsia"/>
          <w:position w:val="6"/>
          <w:lang w:eastAsia="zh-CN"/>
        </w:rPr>
        <w:t>b</w:t>
      </w:r>
      <w:r>
        <w:rPr>
          <w:rFonts w:ascii="Arial" w:hAnsi="Arial" w:cs="Arial"/>
          <w:spacing w:val="14"/>
          <w:position w:val="6"/>
        </w:rPr>
        <w:t xml:space="preserve"> </w:t>
      </w:r>
      <w:r>
        <w:rPr>
          <w:rFonts w:ascii="Arial" w:hAnsi="Arial" w:cs="Arial"/>
        </w:rPr>
        <w:t>When</w:t>
      </w:r>
      <w:r>
        <w:rPr>
          <w:rFonts w:ascii="Arial" w:hAnsi="Arial" w:cs="Arial"/>
          <w:spacing w:val="-5"/>
        </w:rPr>
        <w:t xml:space="preserve"> </w:t>
      </w:r>
      <w:r>
        <w:rPr>
          <w:rFonts w:ascii="Arial" w:hAnsi="Arial" w:cs="Arial"/>
        </w:rPr>
        <w:t>not</w:t>
      </w:r>
      <w:r>
        <w:rPr>
          <w:rFonts w:ascii="Arial" w:hAnsi="Arial" w:cs="Arial"/>
          <w:spacing w:val="-5"/>
        </w:rPr>
        <w:t xml:space="preserve"> </w:t>
      </w:r>
      <w:r>
        <w:rPr>
          <w:rFonts w:ascii="Arial" w:hAnsi="Arial" w:cs="Arial"/>
        </w:rPr>
        <w:t>possible</w:t>
      </w:r>
      <w:r>
        <w:rPr>
          <w:rFonts w:ascii="Arial" w:hAnsi="Arial" w:cs="Arial"/>
          <w:spacing w:val="-5"/>
        </w:rPr>
        <w:t xml:space="preserve"> </w:t>
      </w:r>
      <w:r>
        <w:rPr>
          <w:rFonts w:ascii="Arial" w:hAnsi="Arial" w:cs="Arial"/>
        </w:rPr>
        <w:t>to</w:t>
      </w:r>
      <w:r>
        <w:rPr>
          <w:rFonts w:ascii="Arial" w:hAnsi="Arial" w:cs="Arial"/>
          <w:spacing w:val="-5"/>
        </w:rPr>
        <w:t xml:space="preserve"> </w:t>
      </w:r>
      <w:r>
        <w:rPr>
          <w:rFonts w:ascii="Arial" w:hAnsi="Arial" w:cs="Arial"/>
        </w:rPr>
        <w:t>evaluate</w:t>
      </w:r>
      <w:r>
        <w:rPr>
          <w:rFonts w:ascii="Arial" w:hAnsi="Arial" w:cs="Arial"/>
          <w:spacing w:val="-5"/>
        </w:rPr>
        <w:t xml:space="preserve"> </w:t>
      </w:r>
      <w:r>
        <w:rPr>
          <w:rFonts w:ascii="Arial" w:hAnsi="Arial" w:cs="Arial"/>
        </w:rPr>
        <w:t>the</w:t>
      </w:r>
      <w:r>
        <w:rPr>
          <w:rFonts w:ascii="Arial" w:hAnsi="Arial" w:cs="Arial"/>
          <w:spacing w:val="-5"/>
        </w:rPr>
        <w:t xml:space="preserve"> </w:t>
      </w:r>
      <w:r>
        <w:rPr>
          <w:rFonts w:ascii="Arial" w:hAnsi="Arial" w:cs="Arial"/>
        </w:rPr>
        <w:t>3</w:t>
      </w:r>
      <w:r>
        <w:rPr>
          <w:rFonts w:ascii="Arial" w:hAnsi="Arial" w:cs="Arial"/>
          <w:spacing w:val="-5"/>
        </w:rPr>
        <w:t xml:space="preserve"> </w:t>
      </w:r>
      <w:r>
        <w:rPr>
          <w:rFonts w:ascii="Arial" w:hAnsi="Arial" w:cs="Arial"/>
        </w:rPr>
        <w:t>domains</w:t>
      </w:r>
      <w:r>
        <w:rPr>
          <w:rFonts w:ascii="Arial" w:hAnsi="Arial" w:cs="Arial"/>
          <w:spacing w:val="-5"/>
        </w:rPr>
        <w:t xml:space="preserve"> </w:t>
      </w:r>
      <w:r>
        <w:rPr>
          <w:rFonts w:ascii="Arial" w:hAnsi="Arial" w:cs="Arial"/>
        </w:rPr>
        <w:t>of</w:t>
      </w:r>
      <w:r>
        <w:rPr>
          <w:rFonts w:ascii="Arial" w:hAnsi="Arial" w:cs="Arial"/>
          <w:spacing w:val="-5"/>
        </w:rPr>
        <w:t xml:space="preserve"> </w:t>
      </w:r>
      <w:r>
        <w:rPr>
          <w:rFonts w:ascii="Arial" w:hAnsi="Arial" w:cs="Arial"/>
        </w:rPr>
        <w:t>GCS,</w:t>
      </w:r>
      <w:r>
        <w:rPr>
          <w:rFonts w:ascii="Arial" w:hAnsi="Arial" w:cs="Arial"/>
          <w:spacing w:val="-5"/>
        </w:rPr>
        <w:t xml:space="preserve"> </w:t>
      </w:r>
      <w:r>
        <w:rPr>
          <w:rFonts w:ascii="Arial" w:hAnsi="Arial" w:cs="Arial"/>
        </w:rPr>
        <w:t>use</w:t>
      </w:r>
      <w:r>
        <w:rPr>
          <w:rFonts w:ascii="Arial" w:hAnsi="Arial" w:cs="Arial"/>
          <w:spacing w:val="-5"/>
        </w:rPr>
        <w:t xml:space="preserve"> </w:t>
      </w:r>
      <w:r>
        <w:rPr>
          <w:rFonts w:ascii="Arial" w:hAnsi="Arial" w:cs="Arial"/>
        </w:rPr>
        <w:t>the</w:t>
      </w:r>
      <w:r>
        <w:rPr>
          <w:rFonts w:ascii="Arial" w:hAnsi="Arial" w:cs="Arial"/>
          <w:spacing w:val="-5"/>
        </w:rPr>
        <w:t xml:space="preserve"> </w:t>
      </w:r>
      <w:r>
        <w:rPr>
          <w:rFonts w:ascii="Arial" w:hAnsi="Arial" w:cs="Arial"/>
        </w:rPr>
        <w:t>best</w:t>
      </w:r>
      <w:r>
        <w:rPr>
          <w:rFonts w:ascii="Arial" w:hAnsi="Arial" w:cs="Arial"/>
          <w:spacing w:val="-5"/>
        </w:rPr>
        <w:t xml:space="preserve"> </w:t>
      </w:r>
      <w:r>
        <w:rPr>
          <w:rFonts w:ascii="Arial" w:hAnsi="Arial" w:cs="Arial"/>
        </w:rPr>
        <w:t>achieved</w:t>
      </w:r>
      <w:r>
        <w:rPr>
          <w:rFonts w:ascii="Arial" w:hAnsi="Arial" w:cs="Arial"/>
          <w:spacing w:val="-5"/>
        </w:rPr>
        <w:t xml:space="preserve"> </w:t>
      </w:r>
      <w:r>
        <w:rPr>
          <w:rFonts w:ascii="Arial" w:hAnsi="Arial" w:cs="Arial"/>
        </w:rPr>
        <w:t>score</w:t>
      </w:r>
      <w:r>
        <w:rPr>
          <w:rFonts w:ascii="Arial" w:hAnsi="Arial" w:cs="Arial"/>
          <w:spacing w:val="-5"/>
        </w:rPr>
        <w:t xml:space="preserve"> </w:t>
      </w:r>
      <w:r>
        <w:rPr>
          <w:rFonts w:ascii="Arial" w:hAnsi="Arial" w:cs="Arial"/>
        </w:rPr>
        <w:t>in</w:t>
      </w:r>
      <w:r>
        <w:rPr>
          <w:rFonts w:ascii="Arial" w:hAnsi="Arial" w:cs="Arial"/>
          <w:spacing w:val="-5"/>
        </w:rPr>
        <w:t xml:space="preserve"> </w:t>
      </w:r>
      <w:r>
        <w:rPr>
          <w:rFonts w:ascii="Arial" w:hAnsi="Arial" w:cs="Arial"/>
        </w:rPr>
        <w:t>the</w:t>
      </w:r>
      <w:r>
        <w:rPr>
          <w:rFonts w:ascii="Arial" w:hAnsi="Arial" w:cs="Arial"/>
          <w:spacing w:val="-5"/>
        </w:rPr>
        <w:t xml:space="preserve"> </w:t>
      </w:r>
      <w:r>
        <w:rPr>
          <w:rFonts w:ascii="Arial" w:hAnsi="Arial" w:cs="Arial"/>
        </w:rPr>
        <w:t>motor-scale</w:t>
      </w:r>
      <w:r>
        <w:rPr>
          <w:rFonts w:ascii="Arial" w:hAnsi="Arial" w:cs="Arial"/>
          <w:spacing w:val="-5"/>
        </w:rPr>
        <w:t xml:space="preserve"> </w:t>
      </w:r>
      <w:r>
        <w:rPr>
          <w:rFonts w:ascii="Arial" w:hAnsi="Arial" w:cs="Arial"/>
          <w:spacing w:val="-2"/>
        </w:rPr>
        <w:t>domain.</w:t>
      </w:r>
    </w:p>
    <w:p w14:paraId="212E6CB9">
      <w:pPr>
        <w:pStyle w:val="5"/>
        <w:rPr>
          <w:rFonts w:ascii="Arial" w:hAnsi="Arial" w:cs="Arial"/>
        </w:rPr>
      </w:pPr>
      <w:r>
        <w:rPr>
          <w:rFonts w:hint="eastAsia" w:ascii="Arial" w:hAnsi="Arial" w:cs="Arial" w:eastAsiaTheme="minorEastAsia"/>
          <w:position w:val="6"/>
          <w:lang w:eastAsia="zh-CN"/>
        </w:rPr>
        <w:t>c</w:t>
      </w:r>
      <w:r>
        <w:rPr>
          <w:rFonts w:ascii="Arial" w:hAnsi="Arial" w:cs="Arial"/>
          <w:spacing w:val="-8"/>
          <w:position w:val="6"/>
        </w:rPr>
        <w:t xml:space="preserve"> </w:t>
      </w:r>
      <w:r>
        <w:rPr>
          <w:rFonts w:ascii="Arial" w:hAnsi="Arial" w:cs="Arial"/>
        </w:rPr>
        <w:t>If</w:t>
      </w:r>
      <w:r>
        <w:rPr>
          <w:rFonts w:ascii="Arial" w:hAnsi="Arial" w:cs="Arial"/>
          <w:spacing w:val="-10"/>
        </w:rPr>
        <w:t xml:space="preserve"> </w:t>
      </w:r>
      <w:r>
        <w:rPr>
          <w:rFonts w:ascii="Arial" w:hAnsi="Arial" w:cs="Arial"/>
        </w:rPr>
        <w:t>receiving</w:t>
      </w:r>
      <w:r>
        <w:rPr>
          <w:rFonts w:ascii="Arial" w:hAnsi="Arial" w:cs="Arial"/>
          <w:spacing w:val="-10"/>
        </w:rPr>
        <w:t xml:space="preserve"> </w:t>
      </w:r>
      <w:r>
        <w:rPr>
          <w:rFonts w:ascii="Arial" w:hAnsi="Arial" w:cs="Arial"/>
        </w:rPr>
        <w:t>drug</w:t>
      </w:r>
      <w:r>
        <w:rPr>
          <w:rFonts w:ascii="Arial" w:hAnsi="Arial" w:cs="Arial"/>
          <w:spacing w:val="-10"/>
        </w:rPr>
        <w:t xml:space="preserve"> </w:t>
      </w:r>
      <w:r>
        <w:rPr>
          <w:rFonts w:ascii="Arial" w:hAnsi="Arial" w:cs="Arial"/>
        </w:rPr>
        <w:t>treatment</w:t>
      </w:r>
      <w:r>
        <w:rPr>
          <w:rFonts w:ascii="Arial" w:hAnsi="Arial" w:cs="Arial"/>
          <w:spacing w:val="-10"/>
        </w:rPr>
        <w:t xml:space="preserve"> </w:t>
      </w:r>
      <w:r>
        <w:rPr>
          <w:rFonts w:ascii="Arial" w:hAnsi="Arial" w:cs="Arial"/>
        </w:rPr>
        <w:t>for</w:t>
      </w:r>
      <w:r>
        <w:rPr>
          <w:rFonts w:ascii="Arial" w:hAnsi="Arial" w:cs="Arial"/>
          <w:spacing w:val="-10"/>
        </w:rPr>
        <w:t xml:space="preserve"> </w:t>
      </w:r>
      <w:r>
        <w:rPr>
          <w:rFonts w:ascii="Arial" w:hAnsi="Arial" w:cs="Arial"/>
        </w:rPr>
        <w:t>delirium,</w:t>
      </w:r>
      <w:r>
        <w:rPr>
          <w:rFonts w:ascii="Arial" w:hAnsi="Arial" w:cs="Arial"/>
          <w:spacing w:val="-10"/>
        </w:rPr>
        <w:t xml:space="preserve"> </w:t>
      </w:r>
      <w:r>
        <w:rPr>
          <w:rFonts w:ascii="Arial" w:hAnsi="Arial" w:cs="Arial"/>
        </w:rPr>
        <w:t>score</w:t>
      </w:r>
      <w:r>
        <w:rPr>
          <w:rFonts w:ascii="Arial" w:hAnsi="Arial" w:cs="Arial"/>
          <w:spacing w:val="-10"/>
        </w:rPr>
        <w:t xml:space="preserve"> </w:t>
      </w:r>
      <w:r>
        <w:rPr>
          <w:rFonts w:ascii="Arial" w:hAnsi="Arial" w:cs="Arial"/>
        </w:rPr>
        <w:t>1</w:t>
      </w:r>
      <w:r>
        <w:rPr>
          <w:rFonts w:ascii="Arial" w:hAnsi="Arial" w:cs="Arial"/>
          <w:spacing w:val="-10"/>
        </w:rPr>
        <w:t xml:space="preserve"> </w:t>
      </w:r>
      <w:r>
        <w:rPr>
          <w:rFonts w:ascii="Arial" w:hAnsi="Arial" w:cs="Arial"/>
        </w:rPr>
        <w:t>point</w:t>
      </w:r>
      <w:r>
        <w:rPr>
          <w:rFonts w:ascii="Arial" w:hAnsi="Arial" w:cs="Arial"/>
          <w:spacing w:val="-10"/>
        </w:rPr>
        <w:t xml:space="preserve"> </w:t>
      </w:r>
      <w:r>
        <w:rPr>
          <w:rFonts w:ascii="Arial" w:hAnsi="Arial" w:cs="Arial"/>
        </w:rPr>
        <w:t>even</w:t>
      </w:r>
      <w:r>
        <w:rPr>
          <w:rFonts w:ascii="Arial" w:hAnsi="Arial" w:cs="Arial"/>
          <w:spacing w:val="-10"/>
        </w:rPr>
        <w:t xml:space="preserve"> </w:t>
      </w:r>
      <w:r>
        <w:rPr>
          <w:rFonts w:ascii="Arial" w:hAnsi="Arial" w:cs="Arial"/>
        </w:rPr>
        <w:t>if</w:t>
      </w:r>
      <w:r>
        <w:rPr>
          <w:rFonts w:ascii="Arial" w:hAnsi="Arial" w:cs="Arial"/>
          <w:spacing w:val="-10"/>
        </w:rPr>
        <w:t xml:space="preserve"> </w:t>
      </w:r>
      <w:r>
        <w:rPr>
          <w:rFonts w:ascii="Arial" w:hAnsi="Arial" w:cs="Arial"/>
        </w:rPr>
        <w:t>GCS</w:t>
      </w:r>
      <w:r>
        <w:rPr>
          <w:rFonts w:ascii="Arial" w:hAnsi="Arial" w:cs="Arial"/>
          <w:spacing w:val="-10"/>
        </w:rPr>
        <w:t xml:space="preserve"> </w:t>
      </w:r>
      <w:r>
        <w:rPr>
          <w:rFonts w:ascii="Arial" w:hAnsi="Arial" w:cs="Arial"/>
        </w:rPr>
        <w:t>is</w:t>
      </w:r>
      <w:r>
        <w:rPr>
          <w:rFonts w:ascii="Arial" w:hAnsi="Arial" w:cs="Arial"/>
          <w:spacing w:val="-10"/>
        </w:rPr>
        <w:t xml:space="preserve"> </w:t>
      </w:r>
      <w:r>
        <w:rPr>
          <w:rFonts w:ascii="Arial" w:hAnsi="Arial" w:cs="Arial"/>
        </w:rPr>
        <w:t>15.</w:t>
      </w:r>
      <w:r>
        <w:rPr>
          <w:rFonts w:ascii="Arial" w:hAnsi="Arial" w:cs="Arial"/>
          <w:spacing w:val="-10"/>
        </w:rPr>
        <w:t xml:space="preserve"> </w:t>
      </w:r>
      <w:r>
        <w:rPr>
          <w:rFonts w:ascii="Arial" w:hAnsi="Arial" w:cs="Arial"/>
        </w:rPr>
        <w:t>For</w:t>
      </w:r>
      <w:r>
        <w:rPr>
          <w:rFonts w:ascii="Arial" w:hAnsi="Arial" w:cs="Arial"/>
          <w:spacing w:val="-10"/>
        </w:rPr>
        <w:t xml:space="preserve"> </w:t>
      </w:r>
      <w:r>
        <w:rPr>
          <w:rFonts w:ascii="Arial" w:hAnsi="Arial" w:cs="Arial"/>
        </w:rPr>
        <w:t>relevant</w:t>
      </w:r>
      <w:r>
        <w:rPr>
          <w:rFonts w:ascii="Arial" w:hAnsi="Arial" w:cs="Arial"/>
          <w:spacing w:val="-10"/>
        </w:rPr>
        <w:t xml:space="preserve"> </w:t>
      </w:r>
      <w:r>
        <w:rPr>
          <w:rFonts w:ascii="Arial" w:hAnsi="Arial" w:cs="Arial"/>
        </w:rPr>
        <w:t>drugs,</w:t>
      </w:r>
      <w:r>
        <w:rPr>
          <w:rFonts w:ascii="Arial" w:hAnsi="Arial" w:cs="Arial"/>
          <w:spacing w:val="-10"/>
        </w:rPr>
        <w:t xml:space="preserve"> </w:t>
      </w:r>
      <w:r>
        <w:rPr>
          <w:rFonts w:ascii="Arial" w:hAnsi="Arial" w:cs="Arial"/>
        </w:rPr>
        <w:t>see</w:t>
      </w:r>
      <w:r>
        <w:rPr>
          <w:rFonts w:ascii="Arial" w:hAnsi="Arial" w:cs="Arial"/>
          <w:spacing w:val="-10"/>
        </w:rPr>
        <w:t xml:space="preserve"> </w:t>
      </w:r>
      <w:r>
        <w:rPr>
          <w:rFonts w:ascii="Arial" w:hAnsi="Arial" w:cs="Arial"/>
        </w:rPr>
        <w:t>the</w:t>
      </w:r>
      <w:r>
        <w:rPr>
          <w:rFonts w:ascii="Arial" w:hAnsi="Arial" w:cs="Arial"/>
          <w:spacing w:val="-10"/>
        </w:rPr>
        <w:t xml:space="preserve"> </w:t>
      </w:r>
      <w:r>
        <w:rPr>
          <w:rFonts w:ascii="Arial" w:hAnsi="Arial" w:cs="Arial"/>
        </w:rPr>
        <w:t>International</w:t>
      </w:r>
      <w:r>
        <w:rPr>
          <w:rFonts w:ascii="Arial" w:hAnsi="Arial" w:cs="Arial"/>
          <w:spacing w:val="-10"/>
        </w:rPr>
        <w:t xml:space="preserve"> </w:t>
      </w:r>
      <w:r>
        <w:rPr>
          <w:rFonts w:ascii="Arial" w:hAnsi="Arial" w:cs="Arial"/>
        </w:rPr>
        <w:t>Management</w:t>
      </w:r>
      <w:r>
        <w:rPr>
          <w:rFonts w:ascii="Arial" w:hAnsi="Arial" w:cs="Arial"/>
          <w:spacing w:val="40"/>
        </w:rPr>
        <w:t xml:space="preserve"> </w:t>
      </w:r>
      <w:r>
        <w:rPr>
          <w:rFonts w:ascii="Arial" w:hAnsi="Arial" w:cs="Arial"/>
        </w:rPr>
        <w:t>of Pain, Agitation, and Delirium in Adult Patients in the ICU Guidelines.</w:t>
      </w:r>
    </w:p>
    <w:p w14:paraId="698A3FBF">
      <w:pPr>
        <w:pStyle w:val="5"/>
        <w:rPr>
          <w:rFonts w:ascii="Arial" w:hAnsi="Arial" w:cs="Arial"/>
        </w:rPr>
      </w:pPr>
      <w:r>
        <w:rPr>
          <w:rFonts w:hint="eastAsia" w:ascii="Arial" w:hAnsi="Arial" w:cs="Arial" w:eastAsiaTheme="minorEastAsia"/>
          <w:position w:val="6"/>
          <w:lang w:eastAsia="zh-CN"/>
        </w:rPr>
        <w:t>d</w:t>
      </w:r>
      <w:r>
        <w:rPr>
          <w:rFonts w:ascii="Arial" w:hAnsi="Arial" w:cs="Arial"/>
          <w:spacing w:val="35"/>
          <w:position w:val="6"/>
        </w:rPr>
        <w:t xml:space="preserve"> </w:t>
      </w:r>
      <w:r>
        <w:rPr>
          <w:rFonts w:ascii="Arial" w:hAnsi="Arial" w:cs="Arial"/>
        </w:rPr>
        <w:t>Use the arterial oxygen saturation (SpO</w:t>
      </w:r>
      <w:r>
        <w:rPr>
          <w:rFonts w:ascii="Arial" w:hAnsi="Arial" w:cs="Arial"/>
          <w:vertAlign w:val="subscript"/>
        </w:rPr>
        <w:t>2</w:t>
      </w:r>
      <w:r>
        <w:rPr>
          <w:rFonts w:ascii="Arial" w:hAnsi="Arial" w:cs="Arial"/>
        </w:rPr>
        <w:t>) to FiO</w:t>
      </w:r>
      <w:r>
        <w:rPr>
          <w:rFonts w:ascii="Arial" w:hAnsi="Arial" w:cs="Arial"/>
          <w:vertAlign w:val="subscript"/>
        </w:rPr>
        <w:t>2</w:t>
      </w:r>
      <w:r>
        <w:rPr>
          <w:rFonts w:ascii="Arial" w:hAnsi="Arial" w:cs="Arial"/>
        </w:rPr>
        <w:t xml:space="preserve"> ratio only when the PaO</w:t>
      </w:r>
      <w:r>
        <w:rPr>
          <w:rFonts w:ascii="Arial" w:hAnsi="Arial" w:cs="Arial"/>
          <w:vertAlign w:val="subscript"/>
        </w:rPr>
        <w:t>2</w:t>
      </w:r>
      <w:r>
        <w:rPr>
          <w:rFonts w:ascii="Arial" w:hAnsi="Arial" w:cs="Arial"/>
        </w:rPr>
        <w:t>:FiO</w:t>
      </w:r>
      <w:r>
        <w:rPr>
          <w:rFonts w:ascii="Arial" w:hAnsi="Arial" w:cs="Arial"/>
          <w:vertAlign w:val="subscript"/>
        </w:rPr>
        <w:t>2</w:t>
      </w:r>
      <w:r>
        <w:rPr>
          <w:rFonts w:ascii="Arial" w:hAnsi="Arial" w:cs="Arial"/>
        </w:rPr>
        <w:t xml:space="preserve"> ratio is unavailable and when the SpO</w:t>
      </w:r>
      <w:r>
        <w:rPr>
          <w:rFonts w:ascii="Arial" w:hAnsi="Arial" w:cs="Arial"/>
          <w:vertAlign w:val="subscript"/>
        </w:rPr>
        <w:t>2</w:t>
      </w:r>
      <w:r>
        <w:rPr>
          <w:rFonts w:ascii="Arial" w:hAnsi="Arial" w:cs="Arial"/>
        </w:rPr>
        <w:t xml:space="preserve"> is less than 98%.</w:t>
      </w:r>
      <w:r>
        <w:rPr>
          <w:rFonts w:ascii="Arial" w:hAnsi="Arial" w:cs="Arial"/>
          <w:spacing w:val="40"/>
        </w:rPr>
        <w:t xml:space="preserve"> </w:t>
      </w:r>
      <w:r>
        <w:rPr>
          <w:rFonts w:ascii="Arial" w:hAnsi="Arial" w:cs="Arial"/>
        </w:rPr>
        <w:t>Cutoffs: 0</w:t>
      </w:r>
      <w:r>
        <w:rPr>
          <w:rFonts w:ascii="Arial" w:hAnsi="Arial" w:cs="Arial"/>
          <w:spacing w:val="-3"/>
        </w:rPr>
        <w:t xml:space="preserve"> </w:t>
      </w:r>
      <w:r>
        <w:rPr>
          <w:rFonts w:ascii="Arial" w:hAnsi="Arial" w:cs="Arial"/>
        </w:rPr>
        <w:t>points,</w:t>
      </w:r>
      <w:r>
        <w:rPr>
          <w:rFonts w:ascii="Arial" w:hAnsi="Arial" w:cs="Arial"/>
          <w:spacing w:val="-3"/>
        </w:rPr>
        <w:t xml:space="preserve"> </w:t>
      </w:r>
      <w:r>
        <w:rPr>
          <w:rFonts w:ascii="Arial" w:hAnsi="Arial" w:cs="Arial"/>
        </w:rPr>
        <w:t>greater</w:t>
      </w:r>
      <w:r>
        <w:rPr>
          <w:rFonts w:ascii="Arial" w:hAnsi="Arial" w:cs="Arial"/>
          <w:spacing w:val="-3"/>
        </w:rPr>
        <w:t xml:space="preserve"> </w:t>
      </w:r>
      <w:r>
        <w:rPr>
          <w:rFonts w:ascii="Arial" w:hAnsi="Arial" w:cs="Arial"/>
        </w:rPr>
        <w:t>than</w:t>
      </w:r>
      <w:r>
        <w:rPr>
          <w:rFonts w:ascii="Arial" w:hAnsi="Arial" w:cs="Arial"/>
          <w:spacing w:val="-3"/>
        </w:rPr>
        <w:t xml:space="preserve"> </w:t>
      </w:r>
      <w:r>
        <w:rPr>
          <w:rFonts w:ascii="Arial" w:hAnsi="Arial" w:cs="Arial"/>
        </w:rPr>
        <w:t>300</w:t>
      </w:r>
      <w:r>
        <w:rPr>
          <w:rFonts w:ascii="Arial" w:hAnsi="Arial" w:cs="Arial"/>
          <w:spacing w:val="-3"/>
        </w:rPr>
        <w:t xml:space="preserve"> </w:t>
      </w:r>
      <w:r>
        <w:rPr>
          <w:rFonts w:ascii="Arial" w:hAnsi="Arial" w:cs="Arial"/>
        </w:rPr>
        <w:t>mm</w:t>
      </w:r>
      <w:r>
        <w:rPr>
          <w:rFonts w:ascii="Arial" w:hAnsi="Arial" w:cs="Arial"/>
          <w:spacing w:val="-3"/>
        </w:rPr>
        <w:t xml:space="preserve"> </w:t>
      </w:r>
      <w:r>
        <w:rPr>
          <w:rFonts w:ascii="Arial" w:hAnsi="Arial" w:cs="Arial"/>
        </w:rPr>
        <w:t>Hg;</w:t>
      </w:r>
      <w:r>
        <w:rPr>
          <w:rFonts w:ascii="Arial" w:hAnsi="Arial" w:cs="Arial"/>
          <w:spacing w:val="-3"/>
        </w:rPr>
        <w:t xml:space="preserve"> </w:t>
      </w:r>
      <w:r>
        <w:rPr>
          <w:rFonts w:ascii="Arial" w:hAnsi="Arial" w:cs="Arial"/>
        </w:rPr>
        <w:t>1</w:t>
      </w:r>
      <w:r>
        <w:rPr>
          <w:rFonts w:ascii="Arial" w:hAnsi="Arial" w:cs="Arial"/>
          <w:spacing w:val="-3"/>
        </w:rPr>
        <w:t xml:space="preserve"> </w:t>
      </w:r>
      <w:r>
        <w:rPr>
          <w:rFonts w:ascii="Arial" w:hAnsi="Arial" w:cs="Arial"/>
        </w:rPr>
        <w:t>point,</w:t>
      </w:r>
      <w:r>
        <w:rPr>
          <w:rFonts w:ascii="Arial" w:hAnsi="Arial" w:cs="Arial"/>
          <w:spacing w:val="-3"/>
        </w:rPr>
        <w:t xml:space="preserve"> </w:t>
      </w:r>
      <w:r>
        <w:rPr>
          <w:rFonts w:ascii="Arial" w:hAnsi="Arial" w:cs="Arial"/>
        </w:rPr>
        <w:t>300</w:t>
      </w:r>
      <w:r>
        <w:rPr>
          <w:rFonts w:ascii="Arial" w:hAnsi="Arial" w:cs="Arial"/>
          <w:spacing w:val="-3"/>
        </w:rPr>
        <w:t xml:space="preserve"> </w:t>
      </w:r>
      <w:r>
        <w:rPr>
          <w:rFonts w:ascii="Arial" w:hAnsi="Arial" w:cs="Arial"/>
        </w:rPr>
        <w:t>mm</w:t>
      </w:r>
      <w:r>
        <w:rPr>
          <w:rFonts w:ascii="Arial" w:hAnsi="Arial" w:cs="Arial"/>
          <w:spacing w:val="-3"/>
        </w:rPr>
        <w:t xml:space="preserve"> </w:t>
      </w:r>
      <w:r>
        <w:rPr>
          <w:rFonts w:ascii="Arial" w:hAnsi="Arial" w:cs="Arial"/>
        </w:rPr>
        <w:t>Hg</w:t>
      </w:r>
      <w:r>
        <w:rPr>
          <w:rFonts w:ascii="Arial" w:hAnsi="Arial" w:cs="Arial"/>
          <w:spacing w:val="-3"/>
        </w:rPr>
        <w:t xml:space="preserve"> </w:t>
      </w:r>
      <w:r>
        <w:rPr>
          <w:rFonts w:ascii="Arial" w:hAnsi="Arial" w:cs="Arial"/>
        </w:rPr>
        <w:t>or</w:t>
      </w:r>
      <w:r>
        <w:rPr>
          <w:rFonts w:ascii="Arial" w:hAnsi="Arial" w:cs="Arial"/>
          <w:spacing w:val="-3"/>
        </w:rPr>
        <w:t xml:space="preserve"> </w:t>
      </w:r>
      <w:r>
        <w:rPr>
          <w:rFonts w:ascii="Arial" w:hAnsi="Arial" w:cs="Arial"/>
        </w:rPr>
        <w:t>less;</w:t>
      </w:r>
      <w:r>
        <w:rPr>
          <w:rFonts w:ascii="Arial" w:hAnsi="Arial" w:cs="Arial"/>
          <w:spacing w:val="-3"/>
        </w:rPr>
        <w:t xml:space="preserve"> </w:t>
      </w:r>
      <w:r>
        <w:rPr>
          <w:rFonts w:ascii="Arial" w:hAnsi="Arial" w:cs="Arial"/>
        </w:rPr>
        <w:t>2</w:t>
      </w:r>
      <w:r>
        <w:rPr>
          <w:rFonts w:ascii="Arial" w:hAnsi="Arial" w:cs="Arial"/>
          <w:spacing w:val="-3"/>
        </w:rPr>
        <w:t xml:space="preserve"> </w:t>
      </w:r>
      <w:r>
        <w:rPr>
          <w:rFonts w:ascii="Arial" w:hAnsi="Arial" w:cs="Arial"/>
        </w:rPr>
        <w:t>points,</w:t>
      </w:r>
      <w:r>
        <w:rPr>
          <w:rFonts w:ascii="Arial" w:hAnsi="Arial" w:cs="Arial"/>
          <w:spacing w:val="-3"/>
        </w:rPr>
        <w:t xml:space="preserve"> </w:t>
      </w:r>
      <w:r>
        <w:rPr>
          <w:rFonts w:ascii="Arial" w:hAnsi="Arial" w:cs="Arial"/>
        </w:rPr>
        <w:t>250</w:t>
      </w:r>
      <w:r>
        <w:rPr>
          <w:rFonts w:ascii="Arial" w:hAnsi="Arial" w:cs="Arial"/>
          <w:spacing w:val="-3"/>
        </w:rPr>
        <w:t xml:space="preserve"> </w:t>
      </w:r>
      <w:r>
        <w:rPr>
          <w:rFonts w:ascii="Arial" w:hAnsi="Arial" w:cs="Arial"/>
        </w:rPr>
        <w:t>mm</w:t>
      </w:r>
      <w:r>
        <w:rPr>
          <w:rFonts w:ascii="Arial" w:hAnsi="Arial" w:cs="Arial"/>
          <w:spacing w:val="-3"/>
        </w:rPr>
        <w:t xml:space="preserve"> </w:t>
      </w:r>
      <w:r>
        <w:rPr>
          <w:rFonts w:ascii="Arial" w:hAnsi="Arial" w:cs="Arial"/>
        </w:rPr>
        <w:t>Hg</w:t>
      </w:r>
      <w:r>
        <w:rPr>
          <w:rFonts w:ascii="Arial" w:hAnsi="Arial" w:cs="Arial"/>
          <w:spacing w:val="-3"/>
        </w:rPr>
        <w:t xml:space="preserve"> </w:t>
      </w:r>
      <w:r>
        <w:rPr>
          <w:rFonts w:ascii="Arial" w:hAnsi="Arial" w:cs="Arial"/>
        </w:rPr>
        <w:t>or</w:t>
      </w:r>
      <w:r>
        <w:rPr>
          <w:rFonts w:ascii="Arial" w:hAnsi="Arial" w:cs="Arial"/>
          <w:spacing w:val="-3"/>
        </w:rPr>
        <w:t xml:space="preserve"> </w:t>
      </w:r>
      <w:r>
        <w:rPr>
          <w:rFonts w:ascii="Arial" w:hAnsi="Arial" w:cs="Arial"/>
        </w:rPr>
        <w:t>less;</w:t>
      </w:r>
      <w:r>
        <w:rPr>
          <w:rFonts w:ascii="Arial" w:hAnsi="Arial" w:cs="Arial"/>
          <w:spacing w:val="-3"/>
        </w:rPr>
        <w:t xml:space="preserve"> </w:t>
      </w:r>
      <w:r>
        <w:rPr>
          <w:rFonts w:ascii="Arial" w:hAnsi="Arial" w:cs="Arial"/>
        </w:rPr>
        <w:t>3</w:t>
      </w:r>
      <w:r>
        <w:rPr>
          <w:rFonts w:ascii="Arial" w:hAnsi="Arial" w:cs="Arial"/>
          <w:spacing w:val="-3"/>
        </w:rPr>
        <w:t xml:space="preserve"> </w:t>
      </w:r>
      <w:r>
        <w:rPr>
          <w:rFonts w:ascii="Arial" w:hAnsi="Arial" w:cs="Arial"/>
        </w:rPr>
        <w:t>points,</w:t>
      </w:r>
      <w:r>
        <w:rPr>
          <w:rFonts w:ascii="Arial" w:hAnsi="Arial" w:cs="Arial"/>
          <w:spacing w:val="-3"/>
        </w:rPr>
        <w:t xml:space="preserve"> </w:t>
      </w:r>
      <w:r>
        <w:rPr>
          <w:rFonts w:ascii="Arial" w:hAnsi="Arial" w:cs="Arial"/>
        </w:rPr>
        <w:t>200</w:t>
      </w:r>
      <w:r>
        <w:rPr>
          <w:rFonts w:ascii="Arial" w:hAnsi="Arial" w:cs="Arial"/>
          <w:spacing w:val="-3"/>
        </w:rPr>
        <w:t xml:space="preserve"> </w:t>
      </w:r>
      <w:r>
        <w:rPr>
          <w:rFonts w:ascii="Arial" w:hAnsi="Arial" w:cs="Arial"/>
        </w:rPr>
        <w:t>mm</w:t>
      </w:r>
      <w:r>
        <w:rPr>
          <w:rFonts w:ascii="Arial" w:hAnsi="Arial" w:cs="Arial"/>
          <w:spacing w:val="-3"/>
        </w:rPr>
        <w:t xml:space="preserve"> </w:t>
      </w:r>
      <w:r>
        <w:rPr>
          <w:rFonts w:ascii="Arial" w:hAnsi="Arial" w:cs="Arial"/>
        </w:rPr>
        <w:t>Hg</w:t>
      </w:r>
      <w:r>
        <w:rPr>
          <w:rFonts w:ascii="Arial" w:hAnsi="Arial" w:cs="Arial"/>
          <w:spacing w:val="-3"/>
        </w:rPr>
        <w:t xml:space="preserve"> </w:t>
      </w:r>
      <w:r>
        <w:rPr>
          <w:rFonts w:ascii="Arial" w:hAnsi="Arial" w:cs="Arial"/>
        </w:rPr>
        <w:t>or</w:t>
      </w:r>
      <w:r>
        <w:rPr>
          <w:rFonts w:ascii="Arial" w:hAnsi="Arial" w:cs="Arial"/>
          <w:spacing w:val="-3"/>
        </w:rPr>
        <w:t xml:space="preserve"> </w:t>
      </w:r>
      <w:r>
        <w:rPr>
          <w:rFonts w:ascii="Arial" w:hAnsi="Arial" w:cs="Arial"/>
        </w:rPr>
        <w:t>less</w:t>
      </w:r>
      <w:r>
        <w:rPr>
          <w:rFonts w:ascii="Arial" w:hAnsi="Arial" w:cs="Arial"/>
          <w:spacing w:val="-3"/>
        </w:rPr>
        <w:t xml:space="preserve"> </w:t>
      </w:r>
      <w:r>
        <w:rPr>
          <w:rFonts w:ascii="Arial" w:hAnsi="Arial" w:cs="Arial"/>
        </w:rPr>
        <w:t>with</w:t>
      </w:r>
      <w:r>
        <w:rPr>
          <w:rFonts w:ascii="Arial" w:hAnsi="Arial" w:cs="Arial"/>
          <w:spacing w:val="-3"/>
        </w:rPr>
        <w:t xml:space="preserve"> </w:t>
      </w:r>
      <w:r>
        <w:rPr>
          <w:rFonts w:ascii="Arial" w:hAnsi="Arial" w:cs="Arial"/>
        </w:rPr>
        <w:t>ventilatory</w:t>
      </w:r>
      <w:r>
        <w:rPr>
          <w:rFonts w:ascii="Arial" w:hAnsi="Arial" w:cs="Arial"/>
          <w:spacing w:val="40"/>
        </w:rPr>
        <w:t xml:space="preserve"> </w:t>
      </w:r>
      <w:r>
        <w:rPr>
          <w:rFonts w:ascii="Arial" w:hAnsi="Arial" w:cs="Arial"/>
        </w:rPr>
        <w:t>support; 4 points, 120 mm Hg or less with ventilatory support or ECMO.</w:t>
      </w:r>
    </w:p>
    <w:p w14:paraId="01FAC7D4">
      <w:pPr>
        <w:pStyle w:val="5"/>
        <w:rPr>
          <w:rFonts w:ascii="Arial" w:hAnsi="Arial" w:cs="Arial"/>
        </w:rPr>
      </w:pPr>
      <w:r>
        <w:rPr>
          <w:rFonts w:hint="eastAsia" w:ascii="Arial" w:hAnsi="Arial" w:cs="Arial" w:eastAsiaTheme="minorEastAsia"/>
          <w:position w:val="6"/>
          <w:lang w:eastAsia="zh-CN"/>
        </w:rPr>
        <w:t>e</w:t>
      </w:r>
      <w:r>
        <w:rPr>
          <w:rFonts w:ascii="Arial" w:hAnsi="Arial" w:cs="Arial"/>
          <w:spacing w:val="35"/>
          <w:position w:val="6"/>
        </w:rPr>
        <w:t xml:space="preserve"> </w:t>
      </w:r>
      <w:r>
        <w:rPr>
          <w:rFonts w:ascii="Arial" w:hAnsi="Arial" w:cs="Arial"/>
        </w:rPr>
        <w:t>Advanced ventilatory support is defined as receipt of high-flow nasal cannula, continuous positive airflow pressure, bilevel positive airway</w:t>
      </w:r>
      <w:r>
        <w:rPr>
          <w:rFonts w:ascii="Arial" w:hAnsi="Arial" w:cs="Arial"/>
          <w:spacing w:val="40"/>
        </w:rPr>
        <w:t xml:space="preserve"> </w:t>
      </w:r>
      <w:r>
        <w:rPr>
          <w:rFonts w:ascii="Arial" w:hAnsi="Arial" w:cs="Arial"/>
        </w:rPr>
        <w:t>pressure,</w:t>
      </w:r>
      <w:r>
        <w:rPr>
          <w:rFonts w:ascii="Arial" w:hAnsi="Arial" w:cs="Arial"/>
          <w:spacing w:val="-7"/>
        </w:rPr>
        <w:t xml:space="preserve"> </w:t>
      </w:r>
      <w:r>
        <w:rPr>
          <w:rFonts w:ascii="Arial" w:hAnsi="Arial" w:cs="Arial"/>
        </w:rPr>
        <w:t>noninvasive</w:t>
      </w:r>
      <w:r>
        <w:rPr>
          <w:rFonts w:ascii="Arial" w:hAnsi="Arial" w:cs="Arial"/>
          <w:spacing w:val="-7"/>
        </w:rPr>
        <w:t xml:space="preserve"> </w:t>
      </w:r>
      <w:r>
        <w:rPr>
          <w:rFonts w:ascii="Arial" w:hAnsi="Arial" w:cs="Arial"/>
        </w:rPr>
        <w:t>ventilation,</w:t>
      </w:r>
      <w:r>
        <w:rPr>
          <w:rFonts w:ascii="Arial" w:hAnsi="Arial" w:cs="Arial"/>
          <w:spacing w:val="-7"/>
        </w:rPr>
        <w:t xml:space="preserve"> </w:t>
      </w:r>
      <w:r>
        <w:rPr>
          <w:rFonts w:ascii="Arial" w:hAnsi="Arial" w:cs="Arial"/>
        </w:rPr>
        <w:t>invasive</w:t>
      </w:r>
      <w:r>
        <w:rPr>
          <w:rFonts w:ascii="Arial" w:hAnsi="Arial" w:cs="Arial"/>
          <w:spacing w:val="-7"/>
        </w:rPr>
        <w:t xml:space="preserve"> </w:t>
      </w:r>
      <w:r>
        <w:rPr>
          <w:rFonts w:ascii="Arial" w:hAnsi="Arial" w:cs="Arial"/>
        </w:rPr>
        <w:t>mechanical</w:t>
      </w:r>
      <w:r>
        <w:rPr>
          <w:rFonts w:ascii="Arial" w:hAnsi="Arial" w:cs="Arial"/>
          <w:spacing w:val="-7"/>
        </w:rPr>
        <w:t xml:space="preserve"> </w:t>
      </w:r>
      <w:r>
        <w:rPr>
          <w:rFonts w:ascii="Arial" w:hAnsi="Arial" w:cs="Arial"/>
        </w:rPr>
        <w:t>ventilation,</w:t>
      </w:r>
      <w:r>
        <w:rPr>
          <w:rFonts w:ascii="Arial" w:hAnsi="Arial" w:cs="Arial"/>
          <w:spacing w:val="-7"/>
        </w:rPr>
        <w:t xml:space="preserve"> </w:t>
      </w:r>
      <w:r>
        <w:rPr>
          <w:rFonts w:ascii="Arial" w:hAnsi="Arial" w:cs="Arial"/>
        </w:rPr>
        <w:t>or</w:t>
      </w:r>
      <w:r>
        <w:rPr>
          <w:rFonts w:ascii="Arial" w:hAnsi="Arial" w:cs="Arial"/>
          <w:spacing w:val="-7"/>
        </w:rPr>
        <w:t xml:space="preserve"> </w:t>
      </w:r>
      <w:r>
        <w:rPr>
          <w:rFonts w:ascii="Arial" w:hAnsi="Arial" w:cs="Arial"/>
        </w:rPr>
        <w:t>long-term</w:t>
      </w:r>
      <w:r>
        <w:rPr>
          <w:rFonts w:ascii="Arial" w:hAnsi="Arial" w:cs="Arial"/>
          <w:spacing w:val="-7"/>
        </w:rPr>
        <w:t xml:space="preserve"> </w:t>
      </w:r>
      <w:r>
        <w:rPr>
          <w:rFonts w:ascii="Arial" w:hAnsi="Arial" w:cs="Arial"/>
        </w:rPr>
        <w:t>home</w:t>
      </w:r>
      <w:r>
        <w:rPr>
          <w:rFonts w:ascii="Arial" w:hAnsi="Arial" w:cs="Arial"/>
          <w:spacing w:val="-7"/>
        </w:rPr>
        <w:t xml:space="preserve"> </w:t>
      </w:r>
      <w:r>
        <w:rPr>
          <w:rFonts w:ascii="Arial" w:hAnsi="Arial" w:cs="Arial"/>
        </w:rPr>
        <w:t>ventilation. This</w:t>
      </w:r>
      <w:r>
        <w:rPr>
          <w:rFonts w:ascii="Arial" w:hAnsi="Arial" w:cs="Arial"/>
          <w:spacing w:val="-7"/>
        </w:rPr>
        <w:t xml:space="preserve"> </w:t>
      </w:r>
      <w:r>
        <w:rPr>
          <w:rFonts w:ascii="Arial" w:hAnsi="Arial" w:cs="Arial"/>
        </w:rPr>
        <w:t>is</w:t>
      </w:r>
      <w:r>
        <w:rPr>
          <w:rFonts w:ascii="Arial" w:hAnsi="Arial" w:cs="Arial"/>
          <w:spacing w:val="-7"/>
        </w:rPr>
        <w:t xml:space="preserve"> </w:t>
      </w:r>
      <w:r>
        <w:rPr>
          <w:rFonts w:ascii="Arial" w:hAnsi="Arial" w:cs="Arial"/>
        </w:rPr>
        <w:t>required</w:t>
      </w:r>
      <w:r>
        <w:rPr>
          <w:rFonts w:ascii="Arial" w:hAnsi="Arial" w:cs="Arial"/>
          <w:spacing w:val="-7"/>
        </w:rPr>
        <w:t xml:space="preserve"> </w:t>
      </w:r>
      <w:r>
        <w:rPr>
          <w:rFonts w:ascii="Arial" w:hAnsi="Arial" w:cs="Arial"/>
        </w:rPr>
        <w:t>to</w:t>
      </w:r>
      <w:r>
        <w:rPr>
          <w:rFonts w:ascii="Arial" w:hAnsi="Arial" w:cs="Arial"/>
          <w:spacing w:val="-7"/>
        </w:rPr>
        <w:t xml:space="preserve"> </w:t>
      </w:r>
      <w:r>
        <w:rPr>
          <w:rFonts w:ascii="Arial" w:hAnsi="Arial" w:cs="Arial"/>
        </w:rPr>
        <w:t>score</w:t>
      </w:r>
      <w:r>
        <w:rPr>
          <w:rFonts w:ascii="Arial" w:hAnsi="Arial" w:cs="Arial"/>
          <w:spacing w:val="-7"/>
        </w:rPr>
        <w:t xml:space="preserve"> </w:t>
      </w:r>
      <w:r>
        <w:rPr>
          <w:rFonts w:ascii="Arial" w:hAnsi="Arial" w:cs="Arial"/>
        </w:rPr>
        <w:t>3</w:t>
      </w:r>
      <w:r>
        <w:rPr>
          <w:rFonts w:ascii="Arial" w:hAnsi="Arial" w:cs="Arial"/>
          <w:spacing w:val="-7"/>
        </w:rPr>
        <w:t xml:space="preserve"> </w:t>
      </w:r>
      <w:r>
        <w:rPr>
          <w:rFonts w:ascii="Arial" w:hAnsi="Arial" w:cs="Arial"/>
        </w:rPr>
        <w:t>to</w:t>
      </w:r>
      <w:r>
        <w:rPr>
          <w:rFonts w:ascii="Arial" w:hAnsi="Arial" w:cs="Arial"/>
          <w:spacing w:val="-7"/>
        </w:rPr>
        <w:t xml:space="preserve"> </w:t>
      </w:r>
      <w:r>
        <w:rPr>
          <w:rFonts w:ascii="Arial" w:hAnsi="Arial" w:cs="Arial"/>
        </w:rPr>
        <w:t>4</w:t>
      </w:r>
      <w:r>
        <w:rPr>
          <w:rFonts w:ascii="Arial" w:hAnsi="Arial" w:cs="Arial"/>
          <w:spacing w:val="-7"/>
        </w:rPr>
        <w:t xml:space="preserve"> </w:t>
      </w:r>
      <w:r>
        <w:rPr>
          <w:rFonts w:ascii="Arial" w:hAnsi="Arial" w:cs="Arial"/>
        </w:rPr>
        <w:t>points,</w:t>
      </w:r>
      <w:r>
        <w:rPr>
          <w:rFonts w:ascii="Arial" w:hAnsi="Arial" w:cs="Arial"/>
          <w:spacing w:val="-7"/>
        </w:rPr>
        <w:t xml:space="preserve"> </w:t>
      </w:r>
      <w:r>
        <w:rPr>
          <w:rFonts w:ascii="Arial" w:hAnsi="Arial" w:cs="Arial"/>
        </w:rPr>
        <w:t>in</w:t>
      </w:r>
      <w:r>
        <w:rPr>
          <w:rFonts w:ascii="Arial" w:hAnsi="Arial" w:cs="Arial"/>
          <w:spacing w:val="-7"/>
        </w:rPr>
        <w:t xml:space="preserve"> </w:t>
      </w:r>
      <w:r>
        <w:rPr>
          <w:rFonts w:ascii="Arial" w:hAnsi="Arial" w:cs="Arial"/>
        </w:rPr>
        <w:t>addition</w:t>
      </w:r>
      <w:r>
        <w:rPr>
          <w:rFonts w:ascii="Arial" w:hAnsi="Arial" w:cs="Arial"/>
          <w:spacing w:val="40"/>
        </w:rPr>
        <w:t xml:space="preserve"> </w:t>
      </w:r>
      <w:r>
        <w:rPr>
          <w:rFonts w:ascii="Arial" w:hAnsi="Arial" w:cs="Arial"/>
        </w:rPr>
        <w:t>to the PaO</w:t>
      </w:r>
      <w:r>
        <w:rPr>
          <w:rFonts w:ascii="Arial" w:hAnsi="Arial" w:cs="Arial"/>
          <w:vertAlign w:val="subscript"/>
        </w:rPr>
        <w:t>2</w:t>
      </w:r>
      <w:r>
        <w:rPr>
          <w:rFonts w:ascii="Arial" w:hAnsi="Arial" w:cs="Arial"/>
        </w:rPr>
        <w:t>:FiO</w:t>
      </w:r>
      <w:r>
        <w:rPr>
          <w:rFonts w:ascii="Arial" w:hAnsi="Arial" w:cs="Arial"/>
          <w:vertAlign w:val="subscript"/>
        </w:rPr>
        <w:t>2</w:t>
      </w:r>
      <w:r>
        <w:rPr>
          <w:rFonts w:ascii="Arial" w:hAnsi="Arial" w:cs="Arial"/>
        </w:rPr>
        <w:t xml:space="preserve"> or SpO</w:t>
      </w:r>
      <w:r>
        <w:rPr>
          <w:rFonts w:ascii="Arial" w:hAnsi="Arial" w:cs="Arial"/>
          <w:vertAlign w:val="subscript"/>
        </w:rPr>
        <w:t>2</w:t>
      </w:r>
      <w:r>
        <w:rPr>
          <w:rFonts w:ascii="Arial" w:hAnsi="Arial" w:cs="Arial"/>
        </w:rPr>
        <w:t>:FiO</w:t>
      </w:r>
      <w:r>
        <w:rPr>
          <w:rFonts w:ascii="Arial" w:hAnsi="Arial" w:cs="Arial"/>
          <w:vertAlign w:val="subscript"/>
        </w:rPr>
        <w:t>2</w:t>
      </w:r>
      <w:r>
        <w:rPr>
          <w:rFonts w:ascii="Arial" w:hAnsi="Arial" w:cs="Arial"/>
        </w:rPr>
        <w:t xml:space="preserve"> ratio being within the specified range. Changes in PaO</w:t>
      </w:r>
      <w:r>
        <w:rPr>
          <w:rFonts w:ascii="Arial" w:hAnsi="Arial" w:cs="Arial"/>
          <w:vertAlign w:val="subscript"/>
        </w:rPr>
        <w:t>2</w:t>
      </w:r>
      <w:r>
        <w:rPr>
          <w:rFonts w:ascii="Arial" w:hAnsi="Arial" w:cs="Arial"/>
        </w:rPr>
        <w:t>/FiO</w:t>
      </w:r>
      <w:r>
        <w:rPr>
          <w:rFonts w:ascii="Arial" w:hAnsi="Arial" w:cs="Arial"/>
          <w:vertAlign w:val="subscript"/>
        </w:rPr>
        <w:t>2</w:t>
      </w:r>
      <w:r>
        <w:rPr>
          <w:rFonts w:ascii="Arial" w:hAnsi="Arial" w:cs="Arial"/>
        </w:rPr>
        <w:t xml:space="preserve"> or SpO</w:t>
      </w:r>
      <w:r>
        <w:rPr>
          <w:rFonts w:ascii="Arial" w:hAnsi="Arial" w:cs="Arial"/>
          <w:vertAlign w:val="subscript"/>
        </w:rPr>
        <w:t>2</w:t>
      </w:r>
      <w:r>
        <w:rPr>
          <w:rFonts w:ascii="Arial" w:hAnsi="Arial" w:cs="Arial"/>
        </w:rPr>
        <w:t>/FiO</w:t>
      </w:r>
      <w:r>
        <w:rPr>
          <w:rFonts w:ascii="Arial" w:hAnsi="Arial" w:cs="Arial"/>
          <w:vertAlign w:val="subscript"/>
        </w:rPr>
        <w:t>2</w:t>
      </w:r>
      <w:r>
        <w:rPr>
          <w:rFonts w:ascii="Arial" w:hAnsi="Arial" w:cs="Arial"/>
        </w:rPr>
        <w:t xml:space="preserve"> within 1 hour (eg, after suctioning)</w:t>
      </w:r>
      <w:r>
        <w:rPr>
          <w:rFonts w:ascii="Arial" w:hAnsi="Arial" w:cs="Arial"/>
          <w:spacing w:val="40"/>
        </w:rPr>
        <w:t xml:space="preserve"> </w:t>
      </w:r>
      <w:r>
        <w:rPr>
          <w:rFonts w:ascii="Arial" w:hAnsi="Arial" w:cs="Arial"/>
        </w:rPr>
        <w:t>should not be considered.</w:t>
      </w:r>
    </w:p>
    <w:p w14:paraId="18DF8390">
      <w:pPr>
        <w:pStyle w:val="5"/>
        <w:rPr>
          <w:rFonts w:ascii="Arial" w:hAnsi="Arial" w:cs="Arial"/>
        </w:rPr>
      </w:pPr>
      <w:r>
        <w:rPr>
          <w:rFonts w:hint="eastAsia" w:ascii="Arial" w:hAnsi="Arial" w:cs="Arial" w:eastAsiaTheme="minorEastAsia"/>
          <w:position w:val="6"/>
          <w:lang w:eastAsia="zh-CN"/>
        </w:rPr>
        <w:t>f</w:t>
      </w:r>
      <w:r>
        <w:rPr>
          <w:rFonts w:ascii="Arial" w:hAnsi="Arial" w:cs="Arial"/>
          <w:spacing w:val="6"/>
          <w:position w:val="6"/>
        </w:rPr>
        <w:t xml:space="preserve"> </w:t>
      </w:r>
      <w:r>
        <w:rPr>
          <w:rFonts w:ascii="Arial" w:hAnsi="Arial" w:cs="Arial"/>
        </w:rPr>
        <w:t>Patients</w:t>
      </w:r>
      <w:r>
        <w:rPr>
          <w:rFonts w:ascii="Arial" w:hAnsi="Arial" w:cs="Arial"/>
          <w:spacing w:val="-10"/>
        </w:rPr>
        <w:t xml:space="preserve"> </w:t>
      </w:r>
      <w:r>
        <w:rPr>
          <w:rFonts w:ascii="Arial" w:hAnsi="Arial" w:cs="Arial"/>
        </w:rPr>
        <w:t>not</w:t>
      </w:r>
      <w:r>
        <w:rPr>
          <w:rFonts w:ascii="Arial" w:hAnsi="Arial" w:cs="Arial"/>
          <w:spacing w:val="-10"/>
        </w:rPr>
        <w:t xml:space="preserve"> </w:t>
      </w:r>
      <w:r>
        <w:rPr>
          <w:rFonts w:ascii="Arial" w:hAnsi="Arial" w:cs="Arial"/>
        </w:rPr>
        <w:t>receiving</w:t>
      </w:r>
      <w:r>
        <w:rPr>
          <w:rFonts w:ascii="Arial" w:hAnsi="Arial" w:cs="Arial"/>
          <w:spacing w:val="-10"/>
        </w:rPr>
        <w:t xml:space="preserve"> </w:t>
      </w:r>
      <w:r>
        <w:rPr>
          <w:rFonts w:ascii="Arial" w:hAnsi="Arial" w:cs="Arial"/>
        </w:rPr>
        <w:t>advanced</w:t>
      </w:r>
      <w:r>
        <w:rPr>
          <w:rFonts w:ascii="Arial" w:hAnsi="Arial" w:cs="Arial"/>
          <w:spacing w:val="-10"/>
        </w:rPr>
        <w:t xml:space="preserve"> </w:t>
      </w:r>
      <w:r>
        <w:rPr>
          <w:rFonts w:ascii="Arial" w:hAnsi="Arial" w:cs="Arial"/>
        </w:rPr>
        <w:t>respiratory</w:t>
      </w:r>
      <w:r>
        <w:rPr>
          <w:rFonts w:ascii="Arial" w:hAnsi="Arial" w:cs="Arial"/>
          <w:spacing w:val="-10"/>
        </w:rPr>
        <w:t xml:space="preserve"> </w:t>
      </w:r>
      <w:r>
        <w:rPr>
          <w:rFonts w:ascii="Arial" w:hAnsi="Arial" w:cs="Arial"/>
        </w:rPr>
        <w:t>support</w:t>
      </w:r>
      <w:r>
        <w:rPr>
          <w:rFonts w:ascii="Arial" w:hAnsi="Arial" w:cs="Arial"/>
          <w:spacing w:val="-10"/>
        </w:rPr>
        <w:t xml:space="preserve"> </w:t>
      </w:r>
      <w:r>
        <w:rPr>
          <w:rFonts w:ascii="Arial" w:hAnsi="Arial" w:cs="Arial"/>
        </w:rPr>
        <w:t>can</w:t>
      </w:r>
      <w:r>
        <w:rPr>
          <w:rFonts w:ascii="Arial" w:hAnsi="Arial" w:cs="Arial"/>
          <w:spacing w:val="-10"/>
        </w:rPr>
        <w:t xml:space="preserve"> </w:t>
      </w:r>
      <w:r>
        <w:rPr>
          <w:rFonts w:ascii="Arial" w:hAnsi="Arial" w:cs="Arial"/>
        </w:rPr>
        <w:t>score</w:t>
      </w:r>
      <w:r>
        <w:rPr>
          <w:rFonts w:ascii="Arial" w:hAnsi="Arial" w:cs="Arial"/>
          <w:spacing w:val="-10"/>
        </w:rPr>
        <w:t xml:space="preserve"> </w:t>
      </w:r>
      <w:r>
        <w:rPr>
          <w:rFonts w:ascii="Arial" w:hAnsi="Arial" w:cs="Arial"/>
        </w:rPr>
        <w:t>a</w:t>
      </w:r>
      <w:r>
        <w:rPr>
          <w:rFonts w:ascii="Arial" w:hAnsi="Arial" w:cs="Arial"/>
          <w:spacing w:val="-10"/>
        </w:rPr>
        <w:t xml:space="preserve"> </w:t>
      </w:r>
      <w:r>
        <w:rPr>
          <w:rFonts w:ascii="Arial" w:hAnsi="Arial" w:cs="Arial"/>
        </w:rPr>
        <w:t>maximum</w:t>
      </w:r>
      <w:r>
        <w:rPr>
          <w:rFonts w:ascii="Arial" w:hAnsi="Arial" w:cs="Arial"/>
          <w:spacing w:val="-10"/>
        </w:rPr>
        <w:t xml:space="preserve"> </w:t>
      </w:r>
      <w:r>
        <w:rPr>
          <w:rFonts w:ascii="Arial" w:hAnsi="Arial" w:cs="Arial"/>
        </w:rPr>
        <w:t>of</w:t>
      </w:r>
      <w:r>
        <w:rPr>
          <w:rFonts w:ascii="Arial" w:hAnsi="Arial" w:cs="Arial"/>
          <w:spacing w:val="-10"/>
        </w:rPr>
        <w:t xml:space="preserve"> </w:t>
      </w:r>
      <w:r>
        <w:rPr>
          <w:rFonts w:ascii="Arial" w:hAnsi="Arial" w:cs="Arial"/>
        </w:rPr>
        <w:t>2</w:t>
      </w:r>
      <w:r>
        <w:rPr>
          <w:rFonts w:ascii="Arial" w:hAnsi="Arial" w:cs="Arial"/>
          <w:spacing w:val="-10"/>
        </w:rPr>
        <w:t xml:space="preserve"> </w:t>
      </w:r>
      <w:r>
        <w:rPr>
          <w:rFonts w:ascii="Arial" w:hAnsi="Arial" w:cs="Arial"/>
        </w:rPr>
        <w:t>points</w:t>
      </w:r>
      <w:r>
        <w:rPr>
          <w:rFonts w:ascii="Arial" w:hAnsi="Arial" w:cs="Arial"/>
          <w:spacing w:val="-10"/>
        </w:rPr>
        <w:t xml:space="preserve"> </w:t>
      </w:r>
      <w:r>
        <w:rPr>
          <w:rFonts w:ascii="Arial" w:hAnsi="Arial" w:cs="Arial"/>
        </w:rPr>
        <w:t>unless</w:t>
      </w:r>
      <w:r>
        <w:rPr>
          <w:rFonts w:ascii="Arial" w:hAnsi="Arial" w:cs="Arial"/>
          <w:spacing w:val="-10"/>
        </w:rPr>
        <w:t xml:space="preserve"> </w:t>
      </w:r>
      <w:r>
        <w:rPr>
          <w:rFonts w:ascii="Arial" w:hAnsi="Arial" w:cs="Arial"/>
        </w:rPr>
        <w:t>ventilatory</w:t>
      </w:r>
      <w:r>
        <w:rPr>
          <w:rFonts w:ascii="Arial" w:hAnsi="Arial" w:cs="Arial"/>
          <w:spacing w:val="-10"/>
        </w:rPr>
        <w:t xml:space="preserve"> </w:t>
      </w:r>
      <w:r>
        <w:rPr>
          <w:rFonts w:ascii="Arial" w:hAnsi="Arial" w:cs="Arial"/>
        </w:rPr>
        <w:t>support</w:t>
      </w:r>
      <w:r>
        <w:rPr>
          <w:rFonts w:ascii="Arial" w:hAnsi="Arial" w:cs="Arial"/>
          <w:spacing w:val="-10"/>
        </w:rPr>
        <w:t xml:space="preserve"> </w:t>
      </w:r>
      <w:r>
        <w:rPr>
          <w:rFonts w:ascii="Arial" w:hAnsi="Arial" w:cs="Arial"/>
        </w:rPr>
        <w:t>is</w:t>
      </w:r>
      <w:r>
        <w:rPr>
          <w:rFonts w:ascii="Arial" w:hAnsi="Arial" w:cs="Arial"/>
          <w:spacing w:val="-10"/>
        </w:rPr>
        <w:t xml:space="preserve"> </w:t>
      </w:r>
      <w:r>
        <w:rPr>
          <w:rFonts w:ascii="Arial" w:hAnsi="Arial" w:cs="Arial"/>
        </w:rPr>
        <w:t>(1)</w:t>
      </w:r>
      <w:r>
        <w:rPr>
          <w:rFonts w:ascii="Arial" w:hAnsi="Arial" w:cs="Arial"/>
          <w:spacing w:val="-10"/>
        </w:rPr>
        <w:t xml:space="preserve"> </w:t>
      </w:r>
      <w:r>
        <w:rPr>
          <w:rFonts w:ascii="Arial" w:hAnsi="Arial" w:cs="Arial"/>
        </w:rPr>
        <w:t>not</w:t>
      </w:r>
      <w:r>
        <w:rPr>
          <w:rFonts w:ascii="Arial" w:hAnsi="Arial" w:cs="Arial"/>
          <w:spacing w:val="-10"/>
        </w:rPr>
        <w:t xml:space="preserve"> </w:t>
      </w:r>
      <w:r>
        <w:rPr>
          <w:rFonts w:ascii="Arial" w:hAnsi="Arial" w:cs="Arial"/>
        </w:rPr>
        <w:t>available</w:t>
      </w:r>
      <w:r>
        <w:rPr>
          <w:rFonts w:ascii="Arial" w:hAnsi="Arial" w:cs="Arial"/>
          <w:spacing w:val="-10"/>
        </w:rPr>
        <w:t xml:space="preserve"> </w:t>
      </w:r>
      <w:r>
        <w:rPr>
          <w:rFonts w:ascii="Arial" w:hAnsi="Arial" w:cs="Arial"/>
        </w:rPr>
        <w:t>or</w:t>
      </w:r>
      <w:r>
        <w:rPr>
          <w:rFonts w:ascii="Arial" w:hAnsi="Arial" w:cs="Arial"/>
          <w:spacing w:val="-10"/>
        </w:rPr>
        <w:t xml:space="preserve"> </w:t>
      </w:r>
      <w:r>
        <w:rPr>
          <w:rFonts w:ascii="Arial" w:hAnsi="Arial" w:cs="Arial"/>
        </w:rPr>
        <w:t>(2)</w:t>
      </w:r>
      <w:r>
        <w:rPr>
          <w:rFonts w:ascii="Arial" w:hAnsi="Arial" w:cs="Arial"/>
          <w:spacing w:val="-10"/>
        </w:rPr>
        <w:t xml:space="preserve"> </w:t>
      </w:r>
      <w:r>
        <w:rPr>
          <w:rFonts w:ascii="Arial" w:hAnsi="Arial" w:cs="Arial"/>
        </w:rPr>
        <w:t>precluded</w:t>
      </w:r>
      <w:r>
        <w:rPr>
          <w:rFonts w:ascii="Arial" w:hAnsi="Arial" w:cs="Arial"/>
          <w:spacing w:val="40"/>
        </w:rPr>
        <w:t xml:space="preserve"> </w:t>
      </w:r>
      <w:r>
        <w:rPr>
          <w:rFonts w:ascii="Arial" w:hAnsi="Arial" w:cs="Arial"/>
        </w:rPr>
        <w:t>due to the ceiling of treatment; if so, severity is scored by the PaO</w:t>
      </w:r>
      <w:r>
        <w:rPr>
          <w:rFonts w:ascii="Arial" w:hAnsi="Arial" w:cs="Arial"/>
          <w:vertAlign w:val="subscript"/>
        </w:rPr>
        <w:t>2</w:t>
      </w:r>
      <w:r>
        <w:rPr>
          <w:rFonts w:ascii="Arial" w:hAnsi="Arial" w:cs="Arial"/>
        </w:rPr>
        <w:t>:FiO</w:t>
      </w:r>
      <w:r>
        <w:rPr>
          <w:rFonts w:ascii="Arial" w:hAnsi="Arial" w:cs="Arial"/>
          <w:vertAlign w:val="subscript"/>
        </w:rPr>
        <w:t>2</w:t>
      </w:r>
      <w:r>
        <w:rPr>
          <w:rFonts w:ascii="Arial" w:hAnsi="Arial" w:cs="Arial"/>
        </w:rPr>
        <w:t xml:space="preserve"> or SpO</w:t>
      </w:r>
      <w:r>
        <w:rPr>
          <w:rFonts w:ascii="Arial" w:hAnsi="Arial" w:cs="Arial"/>
          <w:vertAlign w:val="subscript"/>
        </w:rPr>
        <w:t>2</w:t>
      </w:r>
      <w:r>
        <w:rPr>
          <w:rFonts w:ascii="Arial" w:hAnsi="Arial" w:cs="Arial"/>
        </w:rPr>
        <w:t>:FiO</w:t>
      </w:r>
      <w:r>
        <w:rPr>
          <w:rFonts w:ascii="Arial" w:hAnsi="Arial" w:cs="Arial"/>
          <w:vertAlign w:val="subscript"/>
        </w:rPr>
        <w:t>2</w:t>
      </w:r>
      <w:r>
        <w:rPr>
          <w:rFonts w:ascii="Arial" w:hAnsi="Arial" w:cs="Arial"/>
        </w:rPr>
        <w:t xml:space="preserve"> ratio.</w:t>
      </w:r>
    </w:p>
    <w:p w14:paraId="3B34FF48">
      <w:pPr>
        <w:pStyle w:val="5"/>
        <w:rPr>
          <w:rFonts w:ascii="Arial" w:hAnsi="Arial" w:cs="Arial"/>
        </w:rPr>
      </w:pPr>
      <w:r>
        <w:rPr>
          <w:rFonts w:hint="eastAsia" w:ascii="Arial" w:hAnsi="Arial" w:cs="Arial" w:eastAsiaTheme="minorEastAsia"/>
          <w:position w:val="6"/>
          <w:lang w:eastAsia="zh-CN"/>
        </w:rPr>
        <w:t>g</w:t>
      </w:r>
      <w:r>
        <w:rPr>
          <w:rFonts w:ascii="Arial" w:hAnsi="Arial" w:cs="Arial"/>
          <w:spacing w:val="20"/>
          <w:position w:val="6"/>
        </w:rPr>
        <w:t xml:space="preserve"> </w:t>
      </w:r>
      <w:r>
        <w:rPr>
          <w:rFonts w:ascii="Arial" w:hAnsi="Arial" w:cs="Arial"/>
        </w:rPr>
        <w:t>If used for respiratory failure, ECMO (all forms) should be scored 4 in the respiratory component (regardless of PaO</w:t>
      </w:r>
      <w:r>
        <w:rPr>
          <w:rFonts w:ascii="Arial" w:hAnsi="Arial" w:cs="Arial"/>
          <w:vertAlign w:val="subscript"/>
        </w:rPr>
        <w:t>2</w:t>
      </w:r>
      <w:r>
        <w:rPr>
          <w:rFonts w:ascii="Arial" w:hAnsi="Arial" w:cs="Arial"/>
        </w:rPr>
        <w:t>:FiO</w:t>
      </w:r>
      <w:r>
        <w:rPr>
          <w:rFonts w:ascii="Arial" w:hAnsi="Arial" w:cs="Arial"/>
          <w:vertAlign w:val="subscript"/>
        </w:rPr>
        <w:t>2</w:t>
      </w:r>
      <w:r>
        <w:rPr>
          <w:rFonts w:ascii="Arial" w:hAnsi="Arial" w:cs="Arial"/>
        </w:rPr>
        <w:t xml:space="preserve"> ratio), but not in the</w:t>
      </w:r>
      <w:r>
        <w:rPr>
          <w:rFonts w:ascii="Arial" w:hAnsi="Arial" w:cs="Arial"/>
          <w:spacing w:val="40"/>
        </w:rPr>
        <w:t xml:space="preserve"> </w:t>
      </w:r>
      <w:r>
        <w:rPr>
          <w:rFonts w:ascii="Arial" w:hAnsi="Arial" w:cs="Arial"/>
        </w:rPr>
        <w:t>cardiovascular component.</w:t>
      </w:r>
      <w:r>
        <w:rPr>
          <w:rFonts w:ascii="Arial" w:hAnsi="Arial" w:cs="Arial"/>
          <w:spacing w:val="22"/>
        </w:rPr>
        <w:t xml:space="preserve"> </w:t>
      </w:r>
      <w:r>
        <w:rPr>
          <w:rFonts w:ascii="Arial" w:hAnsi="Arial" w:cs="Arial"/>
        </w:rPr>
        <w:t>If used for cardiovascular indications (all forms), it should be automatically scored in both the cardiovascular and the</w:t>
      </w:r>
      <w:r>
        <w:rPr>
          <w:rFonts w:ascii="Arial" w:hAnsi="Arial" w:cs="Arial"/>
          <w:spacing w:val="40"/>
        </w:rPr>
        <w:t xml:space="preserve"> </w:t>
      </w:r>
      <w:r>
        <w:rPr>
          <w:rFonts w:ascii="Arial" w:hAnsi="Arial" w:cs="Arial"/>
        </w:rPr>
        <w:t>respiratory</w:t>
      </w:r>
      <w:r>
        <w:rPr>
          <w:rFonts w:ascii="Arial" w:hAnsi="Arial" w:cs="Arial"/>
          <w:spacing w:val="-3"/>
        </w:rPr>
        <w:t xml:space="preserve"> </w:t>
      </w:r>
      <w:r>
        <w:rPr>
          <w:rFonts w:ascii="Arial" w:hAnsi="Arial" w:cs="Arial"/>
        </w:rPr>
        <w:t>systems.</w:t>
      </w:r>
    </w:p>
    <w:p w14:paraId="26A6BF35">
      <w:pPr>
        <w:pStyle w:val="5"/>
        <w:rPr>
          <w:rFonts w:ascii="Arial" w:hAnsi="Arial" w:cs="Arial"/>
        </w:rPr>
      </w:pPr>
      <w:r>
        <w:rPr>
          <w:rFonts w:hint="eastAsia" w:ascii="Arial" w:hAnsi="Arial" w:cs="Arial" w:eastAsiaTheme="minorEastAsia"/>
          <w:position w:val="6"/>
          <w:lang w:eastAsia="zh-CN"/>
        </w:rPr>
        <w:t>h</w:t>
      </w:r>
      <w:r>
        <w:rPr>
          <w:rFonts w:ascii="Arial" w:hAnsi="Arial" w:cs="Arial"/>
          <w:spacing w:val="12"/>
          <w:position w:val="6"/>
        </w:rPr>
        <w:t xml:space="preserve"> </w:t>
      </w:r>
      <w:r>
        <w:rPr>
          <w:rFonts w:ascii="Arial" w:hAnsi="Arial" w:cs="Arial"/>
        </w:rPr>
        <w:t>Vasopressor</w:t>
      </w:r>
      <w:r>
        <w:rPr>
          <w:rFonts w:ascii="Arial" w:hAnsi="Arial" w:cs="Arial"/>
          <w:spacing w:val="-7"/>
        </w:rPr>
        <w:t xml:space="preserve"> </w:t>
      </w:r>
      <w:r>
        <w:rPr>
          <w:rFonts w:ascii="Arial" w:hAnsi="Arial" w:cs="Arial"/>
        </w:rPr>
        <w:t>medication</w:t>
      </w:r>
      <w:r>
        <w:rPr>
          <w:rFonts w:ascii="Arial" w:hAnsi="Arial" w:cs="Arial"/>
          <w:spacing w:val="-6"/>
        </w:rPr>
        <w:t xml:space="preserve"> </w:t>
      </w:r>
      <w:r>
        <w:rPr>
          <w:rFonts w:ascii="Arial" w:hAnsi="Arial" w:cs="Arial"/>
        </w:rPr>
        <w:t>is</w:t>
      </w:r>
      <w:r>
        <w:rPr>
          <w:rFonts w:ascii="Arial" w:hAnsi="Arial" w:cs="Arial"/>
          <w:spacing w:val="-7"/>
        </w:rPr>
        <w:t xml:space="preserve"> </w:t>
      </w:r>
      <w:r>
        <w:rPr>
          <w:rFonts w:ascii="Arial" w:hAnsi="Arial" w:cs="Arial"/>
        </w:rPr>
        <w:t>only</w:t>
      </w:r>
      <w:r>
        <w:rPr>
          <w:rFonts w:ascii="Arial" w:hAnsi="Arial" w:cs="Arial"/>
          <w:spacing w:val="-6"/>
        </w:rPr>
        <w:t xml:space="preserve"> </w:t>
      </w:r>
      <w:r>
        <w:rPr>
          <w:rFonts w:ascii="Arial" w:hAnsi="Arial" w:cs="Arial"/>
        </w:rPr>
        <w:t>scored</w:t>
      </w:r>
      <w:r>
        <w:rPr>
          <w:rFonts w:ascii="Arial" w:hAnsi="Arial" w:cs="Arial"/>
          <w:spacing w:val="-6"/>
        </w:rPr>
        <w:t xml:space="preserve"> </w:t>
      </w:r>
      <w:r>
        <w:rPr>
          <w:rFonts w:ascii="Arial" w:hAnsi="Arial" w:cs="Arial"/>
        </w:rPr>
        <w:t>if</w:t>
      </w:r>
      <w:r>
        <w:rPr>
          <w:rFonts w:ascii="Arial" w:hAnsi="Arial" w:cs="Arial"/>
          <w:spacing w:val="-7"/>
        </w:rPr>
        <w:t xml:space="preserve"> </w:t>
      </w:r>
      <w:r>
        <w:rPr>
          <w:rFonts w:ascii="Arial" w:hAnsi="Arial" w:cs="Arial"/>
        </w:rPr>
        <w:t>given</w:t>
      </w:r>
      <w:r>
        <w:rPr>
          <w:rFonts w:ascii="Arial" w:hAnsi="Arial" w:cs="Arial"/>
          <w:spacing w:val="-6"/>
        </w:rPr>
        <w:t xml:space="preserve"> </w:t>
      </w:r>
      <w:r>
        <w:rPr>
          <w:rFonts w:ascii="Arial" w:hAnsi="Arial" w:cs="Arial"/>
        </w:rPr>
        <w:t>by</w:t>
      </w:r>
      <w:r>
        <w:rPr>
          <w:rFonts w:ascii="Arial" w:hAnsi="Arial" w:cs="Arial"/>
          <w:spacing w:val="-7"/>
        </w:rPr>
        <w:t xml:space="preserve"> </w:t>
      </w:r>
      <w:r>
        <w:rPr>
          <w:rFonts w:ascii="Arial" w:hAnsi="Arial" w:cs="Arial"/>
        </w:rPr>
        <w:t>continuous</w:t>
      </w:r>
      <w:r>
        <w:rPr>
          <w:rFonts w:ascii="Arial" w:hAnsi="Arial" w:cs="Arial"/>
          <w:spacing w:val="-6"/>
        </w:rPr>
        <w:t xml:space="preserve"> </w:t>
      </w:r>
      <w:r>
        <w:rPr>
          <w:rFonts w:ascii="Arial" w:hAnsi="Arial" w:cs="Arial"/>
        </w:rPr>
        <w:t>intravenous</w:t>
      </w:r>
      <w:r>
        <w:rPr>
          <w:rFonts w:ascii="Arial" w:hAnsi="Arial" w:cs="Arial"/>
          <w:spacing w:val="-6"/>
        </w:rPr>
        <w:t xml:space="preserve"> </w:t>
      </w:r>
      <w:r>
        <w:rPr>
          <w:rFonts w:ascii="Arial" w:hAnsi="Arial" w:cs="Arial"/>
        </w:rPr>
        <w:t>infusion</w:t>
      </w:r>
      <w:r>
        <w:rPr>
          <w:rFonts w:ascii="Arial" w:hAnsi="Arial" w:cs="Arial"/>
          <w:spacing w:val="-7"/>
        </w:rPr>
        <w:t xml:space="preserve"> </w:t>
      </w:r>
      <w:r>
        <w:rPr>
          <w:rFonts w:ascii="Arial" w:hAnsi="Arial" w:cs="Arial"/>
        </w:rPr>
        <w:t>for</w:t>
      </w:r>
      <w:r>
        <w:rPr>
          <w:rFonts w:ascii="Arial" w:hAnsi="Arial" w:cs="Arial"/>
          <w:spacing w:val="-6"/>
        </w:rPr>
        <w:t xml:space="preserve"> </w:t>
      </w:r>
      <w:r>
        <w:rPr>
          <w:rFonts w:ascii="Arial" w:hAnsi="Arial" w:cs="Arial"/>
        </w:rPr>
        <w:t>at</w:t>
      </w:r>
      <w:r>
        <w:rPr>
          <w:rFonts w:ascii="Arial" w:hAnsi="Arial" w:cs="Arial"/>
          <w:spacing w:val="-7"/>
        </w:rPr>
        <w:t xml:space="preserve"> </w:t>
      </w:r>
      <w:r>
        <w:rPr>
          <w:rFonts w:ascii="Arial" w:hAnsi="Arial" w:cs="Arial"/>
        </w:rPr>
        <w:t>least</w:t>
      </w:r>
      <w:r>
        <w:rPr>
          <w:rFonts w:ascii="Arial" w:hAnsi="Arial" w:cs="Arial"/>
          <w:spacing w:val="-6"/>
        </w:rPr>
        <w:t xml:space="preserve"> </w:t>
      </w:r>
      <w:r>
        <w:rPr>
          <w:rFonts w:ascii="Arial" w:hAnsi="Arial" w:cs="Arial"/>
        </w:rPr>
        <w:t>1</w:t>
      </w:r>
      <w:r>
        <w:rPr>
          <w:rFonts w:ascii="Arial" w:hAnsi="Arial" w:cs="Arial"/>
          <w:spacing w:val="-7"/>
        </w:rPr>
        <w:t xml:space="preserve"> </w:t>
      </w:r>
      <w:r>
        <w:rPr>
          <w:rFonts w:ascii="Arial" w:hAnsi="Arial" w:cs="Arial"/>
          <w:spacing w:val="-2"/>
        </w:rPr>
        <w:t>hour.</w:t>
      </w:r>
    </w:p>
    <w:p w14:paraId="6D84AAD9">
      <w:pPr>
        <w:pStyle w:val="5"/>
        <w:rPr>
          <w:rFonts w:ascii="Arial" w:hAnsi="Arial" w:cs="Arial"/>
        </w:rPr>
      </w:pPr>
      <w:r>
        <w:rPr>
          <w:rFonts w:hint="eastAsia" w:ascii="Arial" w:hAnsi="Arial" w:cs="Arial" w:eastAsiaTheme="minorEastAsia"/>
          <w:position w:val="6"/>
          <w:lang w:eastAsia="zh-CN"/>
        </w:rPr>
        <w:t>i</w:t>
      </w:r>
      <w:r>
        <w:rPr>
          <w:rFonts w:ascii="Arial" w:hAnsi="Arial" w:cs="Arial"/>
          <w:spacing w:val="18"/>
          <w:position w:val="6"/>
        </w:rPr>
        <w:t xml:space="preserve"> </w:t>
      </w:r>
      <w:r>
        <w:rPr>
          <w:rFonts w:ascii="Arial" w:hAnsi="Arial" w:cs="Arial"/>
        </w:rPr>
        <w:t>Norepinephrine is</w:t>
      </w:r>
      <w:r>
        <w:rPr>
          <w:rFonts w:ascii="Arial" w:hAnsi="Arial" w:cs="Arial"/>
          <w:spacing w:val="-1"/>
        </w:rPr>
        <w:t xml:space="preserve"> </w:t>
      </w:r>
      <w:r>
        <w:rPr>
          <w:rFonts w:ascii="Arial" w:hAnsi="Arial" w:cs="Arial"/>
        </w:rPr>
        <w:t>usually</w:t>
      </w:r>
      <w:r>
        <w:rPr>
          <w:rFonts w:ascii="Arial" w:hAnsi="Arial" w:cs="Arial"/>
          <w:spacing w:val="-1"/>
        </w:rPr>
        <w:t xml:space="preserve"> </w:t>
      </w:r>
      <w:r>
        <w:rPr>
          <w:rFonts w:ascii="Arial" w:hAnsi="Arial" w:cs="Arial"/>
        </w:rPr>
        <w:t>dispensed as</w:t>
      </w:r>
      <w:r>
        <w:rPr>
          <w:rFonts w:ascii="Arial" w:hAnsi="Arial" w:cs="Arial"/>
          <w:spacing w:val="-1"/>
        </w:rPr>
        <w:t xml:space="preserve"> </w:t>
      </w:r>
      <w:r>
        <w:rPr>
          <w:rFonts w:ascii="Arial" w:hAnsi="Arial" w:cs="Arial"/>
        </w:rPr>
        <w:t>the salt</w:t>
      </w:r>
      <w:r>
        <w:rPr>
          <w:rFonts w:ascii="Arial" w:hAnsi="Arial" w:cs="Arial"/>
          <w:spacing w:val="-1"/>
        </w:rPr>
        <w:t xml:space="preserve"> </w:t>
      </w:r>
      <w:r>
        <w:rPr>
          <w:rFonts w:ascii="Arial" w:hAnsi="Arial" w:cs="Arial"/>
        </w:rPr>
        <w:t>(eg, hemitartrate or</w:t>
      </w:r>
      <w:r>
        <w:rPr>
          <w:rFonts w:ascii="Arial" w:hAnsi="Arial" w:cs="Arial"/>
          <w:spacing w:val="-1"/>
        </w:rPr>
        <w:t xml:space="preserve"> </w:t>
      </w:r>
      <w:r>
        <w:rPr>
          <w:rFonts w:ascii="Arial" w:hAnsi="Arial" w:cs="Arial"/>
        </w:rPr>
        <w:t>bitartrate).</w:t>
      </w:r>
      <w:r>
        <w:rPr>
          <w:rFonts w:ascii="Arial" w:hAnsi="Arial" w:cs="Arial"/>
          <w:spacing w:val="14"/>
        </w:rPr>
        <w:t xml:space="preserve"> </w:t>
      </w:r>
      <w:r>
        <w:rPr>
          <w:rFonts w:ascii="Arial" w:hAnsi="Arial" w:cs="Arial"/>
        </w:rPr>
        <w:t>Dose should</w:t>
      </w:r>
      <w:r>
        <w:rPr>
          <w:rFonts w:ascii="Arial" w:hAnsi="Arial" w:cs="Arial"/>
          <w:spacing w:val="-1"/>
        </w:rPr>
        <w:t xml:space="preserve"> </w:t>
      </w:r>
      <w:r>
        <w:rPr>
          <w:rFonts w:ascii="Arial" w:hAnsi="Arial" w:cs="Arial"/>
        </w:rPr>
        <w:t>be expressed</w:t>
      </w:r>
      <w:r>
        <w:rPr>
          <w:rFonts w:ascii="Arial" w:hAnsi="Arial" w:cs="Arial"/>
          <w:spacing w:val="-1"/>
        </w:rPr>
        <w:t xml:space="preserve"> </w:t>
      </w:r>
      <w:r>
        <w:rPr>
          <w:rFonts w:ascii="Arial" w:hAnsi="Arial" w:cs="Arial"/>
        </w:rPr>
        <w:t>as</w:t>
      </w:r>
      <w:r>
        <w:rPr>
          <w:rFonts w:ascii="Arial" w:hAnsi="Arial" w:cs="Arial"/>
          <w:spacing w:val="-1"/>
        </w:rPr>
        <w:t xml:space="preserve"> </w:t>
      </w:r>
      <w:r>
        <w:rPr>
          <w:rFonts w:ascii="Arial" w:hAnsi="Arial" w:cs="Arial"/>
        </w:rPr>
        <w:t>the base.</w:t>
      </w:r>
      <w:r>
        <w:rPr>
          <w:rFonts w:ascii="Arial" w:hAnsi="Arial" w:cs="Arial"/>
          <w:spacing w:val="14"/>
        </w:rPr>
        <w:t xml:space="preserve"> </w:t>
      </w:r>
      <w:r>
        <w:rPr>
          <w:rFonts w:ascii="Arial" w:hAnsi="Arial" w:cs="Arial"/>
        </w:rPr>
        <w:t>One</w:t>
      </w:r>
      <w:r>
        <w:rPr>
          <w:rFonts w:ascii="Arial" w:hAnsi="Arial" w:cs="Arial"/>
          <w:spacing w:val="-1"/>
        </w:rPr>
        <w:t xml:space="preserve"> </w:t>
      </w:r>
      <w:r>
        <w:rPr>
          <w:rFonts w:ascii="Arial" w:hAnsi="Arial" w:cs="Arial"/>
        </w:rPr>
        <w:t>mg of</w:t>
      </w:r>
      <w:r>
        <w:rPr>
          <w:rFonts w:ascii="Arial" w:hAnsi="Arial" w:cs="Arial"/>
          <w:spacing w:val="-1"/>
        </w:rPr>
        <w:t xml:space="preserve"> </w:t>
      </w:r>
      <w:r>
        <w:rPr>
          <w:rFonts w:ascii="Arial" w:hAnsi="Arial" w:cs="Arial"/>
          <w:spacing w:val="-2"/>
        </w:rPr>
        <w:t>norepinephrine</w:t>
      </w:r>
      <w:r>
        <w:rPr>
          <w:rFonts w:ascii="Arial" w:hAnsi="Arial" w:cs="Arial"/>
        </w:rPr>
        <w:t>base</w:t>
      </w:r>
      <w:r>
        <w:rPr>
          <w:rFonts w:ascii="Arial" w:hAnsi="Arial" w:cs="Arial"/>
          <w:spacing w:val="-8"/>
        </w:rPr>
        <w:t xml:space="preserve"> </w:t>
      </w:r>
      <w:r>
        <w:rPr>
          <w:rFonts w:ascii="Arial" w:hAnsi="Arial" w:cs="Arial"/>
        </w:rPr>
        <w:t>is</w:t>
      </w:r>
      <w:r>
        <w:rPr>
          <w:rFonts w:ascii="Arial" w:hAnsi="Arial" w:cs="Arial"/>
          <w:spacing w:val="-8"/>
        </w:rPr>
        <w:t xml:space="preserve"> </w:t>
      </w:r>
      <w:r>
        <w:rPr>
          <w:rFonts w:ascii="Arial" w:hAnsi="Arial" w:cs="Arial"/>
        </w:rPr>
        <w:t>equivalent</w:t>
      </w:r>
      <w:r>
        <w:rPr>
          <w:rFonts w:ascii="Arial" w:hAnsi="Arial" w:cs="Arial"/>
          <w:spacing w:val="-8"/>
        </w:rPr>
        <w:t xml:space="preserve"> </w:t>
      </w:r>
      <w:r>
        <w:rPr>
          <w:rFonts w:ascii="Arial" w:hAnsi="Arial" w:cs="Arial"/>
        </w:rPr>
        <w:t>to</w:t>
      </w:r>
      <w:r>
        <w:rPr>
          <w:rFonts w:ascii="Arial" w:hAnsi="Arial" w:cs="Arial"/>
          <w:spacing w:val="-8"/>
        </w:rPr>
        <w:t xml:space="preserve"> </w:t>
      </w:r>
      <w:r>
        <w:rPr>
          <w:rFonts w:ascii="Arial" w:hAnsi="Arial" w:cs="Arial"/>
        </w:rPr>
        <w:t>2</w:t>
      </w:r>
      <w:r>
        <w:rPr>
          <w:rFonts w:ascii="Arial" w:hAnsi="Arial" w:cs="Arial"/>
          <w:spacing w:val="-8"/>
        </w:rPr>
        <w:t xml:space="preserve"> </w:t>
      </w:r>
      <w:r>
        <w:rPr>
          <w:rFonts w:ascii="Arial" w:hAnsi="Arial" w:cs="Arial"/>
        </w:rPr>
        <w:t>mg</w:t>
      </w:r>
      <w:r>
        <w:rPr>
          <w:rFonts w:ascii="Arial" w:hAnsi="Arial" w:cs="Arial"/>
          <w:spacing w:val="-8"/>
        </w:rPr>
        <w:t xml:space="preserve"> </w:t>
      </w:r>
      <w:r>
        <w:rPr>
          <w:rFonts w:ascii="Arial" w:hAnsi="Arial" w:cs="Arial"/>
        </w:rPr>
        <w:t>of</w:t>
      </w:r>
      <w:r>
        <w:rPr>
          <w:rFonts w:ascii="Arial" w:hAnsi="Arial" w:cs="Arial"/>
          <w:spacing w:val="-8"/>
        </w:rPr>
        <w:t xml:space="preserve"> </w:t>
      </w:r>
      <w:r>
        <w:rPr>
          <w:rFonts w:ascii="Arial" w:hAnsi="Arial" w:cs="Arial"/>
        </w:rPr>
        <w:t>norepinephrine</w:t>
      </w:r>
      <w:r>
        <w:rPr>
          <w:rFonts w:ascii="Arial" w:hAnsi="Arial" w:cs="Arial"/>
          <w:spacing w:val="-8"/>
        </w:rPr>
        <w:t xml:space="preserve"> </w:t>
      </w:r>
      <w:r>
        <w:rPr>
          <w:rFonts w:ascii="Arial" w:hAnsi="Arial" w:cs="Arial"/>
        </w:rPr>
        <w:t>bitartrate</w:t>
      </w:r>
      <w:r>
        <w:rPr>
          <w:rFonts w:ascii="Arial" w:hAnsi="Arial" w:cs="Arial"/>
          <w:spacing w:val="-8"/>
        </w:rPr>
        <w:t xml:space="preserve"> </w:t>
      </w:r>
      <w:r>
        <w:rPr>
          <w:rFonts w:ascii="Arial" w:hAnsi="Arial" w:cs="Arial"/>
        </w:rPr>
        <w:t>monohydrate,</w:t>
      </w:r>
      <w:r>
        <w:rPr>
          <w:rFonts w:ascii="Arial" w:hAnsi="Arial" w:cs="Arial"/>
          <w:spacing w:val="-8"/>
        </w:rPr>
        <w:t xml:space="preserve"> </w:t>
      </w:r>
      <w:r>
        <w:rPr>
          <w:rFonts w:ascii="Arial" w:hAnsi="Arial" w:cs="Arial"/>
        </w:rPr>
        <w:t>1.89</w:t>
      </w:r>
      <w:r>
        <w:rPr>
          <w:rFonts w:ascii="Arial" w:hAnsi="Arial" w:cs="Arial"/>
          <w:spacing w:val="-8"/>
        </w:rPr>
        <w:t xml:space="preserve"> </w:t>
      </w:r>
      <w:r>
        <w:rPr>
          <w:rFonts w:ascii="Arial" w:hAnsi="Arial" w:cs="Arial"/>
        </w:rPr>
        <w:t>mg</w:t>
      </w:r>
      <w:r>
        <w:rPr>
          <w:rFonts w:ascii="Arial" w:hAnsi="Arial" w:cs="Arial"/>
          <w:spacing w:val="-8"/>
        </w:rPr>
        <w:t xml:space="preserve"> </w:t>
      </w:r>
      <w:r>
        <w:rPr>
          <w:rFonts w:ascii="Arial" w:hAnsi="Arial" w:cs="Arial"/>
        </w:rPr>
        <w:t>of</w:t>
      </w:r>
      <w:r>
        <w:rPr>
          <w:rFonts w:ascii="Arial" w:hAnsi="Arial" w:cs="Arial"/>
          <w:spacing w:val="-8"/>
        </w:rPr>
        <w:t xml:space="preserve"> </w:t>
      </w:r>
      <w:r>
        <w:rPr>
          <w:rFonts w:ascii="Arial" w:hAnsi="Arial" w:cs="Arial"/>
        </w:rPr>
        <w:t>the</w:t>
      </w:r>
      <w:r>
        <w:rPr>
          <w:rFonts w:ascii="Arial" w:hAnsi="Arial" w:cs="Arial"/>
          <w:spacing w:val="-8"/>
        </w:rPr>
        <w:t xml:space="preserve"> </w:t>
      </w:r>
      <w:r>
        <w:rPr>
          <w:rFonts w:ascii="Arial" w:hAnsi="Arial" w:cs="Arial"/>
        </w:rPr>
        <w:t>anhydrous</w:t>
      </w:r>
      <w:r>
        <w:rPr>
          <w:rFonts w:ascii="Arial" w:hAnsi="Arial" w:cs="Arial"/>
          <w:spacing w:val="-8"/>
        </w:rPr>
        <w:t xml:space="preserve"> </w:t>
      </w:r>
      <w:r>
        <w:rPr>
          <w:rFonts w:ascii="Arial" w:hAnsi="Arial" w:cs="Arial"/>
        </w:rPr>
        <w:t>bitartrate</w:t>
      </w:r>
      <w:r>
        <w:rPr>
          <w:rFonts w:ascii="Arial" w:hAnsi="Arial" w:cs="Arial"/>
          <w:spacing w:val="-8"/>
        </w:rPr>
        <w:t xml:space="preserve"> </w:t>
      </w:r>
      <w:r>
        <w:rPr>
          <w:rFonts w:ascii="Arial" w:hAnsi="Arial" w:cs="Arial"/>
        </w:rPr>
        <w:t>(also</w:t>
      </w:r>
      <w:r>
        <w:rPr>
          <w:rFonts w:ascii="Arial" w:hAnsi="Arial" w:cs="Arial"/>
          <w:spacing w:val="-8"/>
        </w:rPr>
        <w:t xml:space="preserve"> </w:t>
      </w:r>
      <w:r>
        <w:rPr>
          <w:rFonts w:ascii="Arial" w:hAnsi="Arial" w:cs="Arial"/>
        </w:rPr>
        <w:t>called</w:t>
      </w:r>
      <w:r>
        <w:rPr>
          <w:rFonts w:ascii="Arial" w:hAnsi="Arial" w:cs="Arial"/>
          <w:spacing w:val="-8"/>
        </w:rPr>
        <w:t xml:space="preserve"> </w:t>
      </w:r>
      <w:r>
        <w:rPr>
          <w:rFonts w:ascii="Arial" w:hAnsi="Arial" w:cs="Arial"/>
        </w:rPr>
        <w:t>hydrogen</w:t>
      </w:r>
      <w:r>
        <w:rPr>
          <w:rFonts w:ascii="Arial" w:hAnsi="Arial" w:cs="Arial"/>
          <w:spacing w:val="-8"/>
        </w:rPr>
        <w:t xml:space="preserve"> </w:t>
      </w:r>
      <w:r>
        <w:rPr>
          <w:rFonts w:ascii="Arial" w:hAnsi="Arial" w:cs="Arial"/>
        </w:rPr>
        <w:t>tartrate,</w:t>
      </w:r>
      <w:r>
        <w:rPr>
          <w:rFonts w:ascii="Arial" w:hAnsi="Arial" w:cs="Arial"/>
          <w:spacing w:val="-7"/>
        </w:rPr>
        <w:t xml:space="preserve"> </w:t>
      </w:r>
      <w:r>
        <w:rPr>
          <w:rFonts w:ascii="Arial" w:hAnsi="Arial" w:cs="Arial"/>
        </w:rPr>
        <w:t>acid</w:t>
      </w:r>
      <w:r>
        <w:rPr>
          <w:rFonts w:ascii="Arial" w:hAnsi="Arial" w:cs="Arial"/>
          <w:spacing w:val="-8"/>
        </w:rPr>
        <w:t xml:space="preserve"> </w:t>
      </w:r>
      <w:r>
        <w:rPr>
          <w:rFonts w:ascii="Arial" w:hAnsi="Arial" w:cs="Arial"/>
        </w:rPr>
        <w:t>tartrate,</w:t>
      </w:r>
      <w:r>
        <w:rPr>
          <w:rFonts w:ascii="Arial" w:hAnsi="Arial" w:cs="Arial"/>
          <w:spacing w:val="40"/>
        </w:rPr>
        <w:t xml:space="preserve"> </w:t>
      </w:r>
      <w:r>
        <w:rPr>
          <w:rFonts w:ascii="Arial" w:hAnsi="Arial" w:cs="Arial"/>
        </w:rPr>
        <w:t>or tartrate), and 1.22 mg of the hydrochloride.</w:t>
      </w:r>
    </w:p>
    <w:p w14:paraId="4CF53660">
      <w:pPr>
        <w:pStyle w:val="5"/>
        <w:rPr>
          <w:rFonts w:ascii="Arial" w:hAnsi="Arial" w:cs="Arial"/>
        </w:rPr>
      </w:pPr>
      <w:r>
        <w:rPr>
          <w:rFonts w:hint="eastAsia" w:ascii="Arial" w:hAnsi="Arial" w:cs="Arial" w:eastAsiaTheme="minorEastAsia"/>
          <w:position w:val="6"/>
          <w:lang w:eastAsia="zh-CN"/>
        </w:rPr>
        <w:t>j</w:t>
      </w:r>
      <w:r>
        <w:rPr>
          <w:rFonts w:ascii="Arial" w:hAnsi="Arial" w:cs="Arial"/>
          <w:spacing w:val="-6"/>
          <w:position w:val="6"/>
        </w:rPr>
        <w:t xml:space="preserve"> </w:t>
      </w:r>
      <w:r>
        <w:rPr>
          <w:rFonts w:ascii="Arial" w:hAnsi="Arial" w:cs="Arial"/>
        </w:rPr>
        <w:t>If</w:t>
      </w:r>
      <w:r>
        <w:rPr>
          <w:rFonts w:ascii="Arial" w:hAnsi="Arial" w:cs="Arial"/>
          <w:spacing w:val="-10"/>
        </w:rPr>
        <w:t xml:space="preserve"> </w:t>
      </w:r>
      <w:r>
        <w:rPr>
          <w:rFonts w:ascii="Arial" w:hAnsi="Arial" w:cs="Arial"/>
        </w:rPr>
        <w:t>dopamine</w:t>
      </w:r>
      <w:r>
        <w:rPr>
          <w:rFonts w:ascii="Arial" w:hAnsi="Arial" w:cs="Arial"/>
          <w:spacing w:val="-10"/>
        </w:rPr>
        <w:t xml:space="preserve"> </w:t>
      </w:r>
      <w:r>
        <w:rPr>
          <w:rFonts w:ascii="Arial" w:hAnsi="Arial" w:cs="Arial"/>
        </w:rPr>
        <w:t>is</w:t>
      </w:r>
      <w:r>
        <w:rPr>
          <w:rFonts w:ascii="Arial" w:hAnsi="Arial" w:cs="Arial"/>
          <w:spacing w:val="-10"/>
        </w:rPr>
        <w:t xml:space="preserve"> </w:t>
      </w:r>
      <w:r>
        <w:rPr>
          <w:rFonts w:ascii="Arial" w:hAnsi="Arial" w:cs="Arial"/>
        </w:rPr>
        <w:t>used</w:t>
      </w:r>
      <w:r>
        <w:rPr>
          <w:rFonts w:ascii="Arial" w:hAnsi="Arial" w:cs="Arial"/>
          <w:spacing w:val="-10"/>
        </w:rPr>
        <w:t xml:space="preserve"> </w:t>
      </w:r>
      <w:r>
        <w:rPr>
          <w:rFonts w:ascii="Arial" w:hAnsi="Arial" w:cs="Arial"/>
        </w:rPr>
        <w:t>as</w:t>
      </w:r>
      <w:r>
        <w:rPr>
          <w:rFonts w:ascii="Arial" w:hAnsi="Arial" w:cs="Arial"/>
          <w:spacing w:val="-10"/>
        </w:rPr>
        <w:t xml:space="preserve"> </w:t>
      </w:r>
      <w:r>
        <w:rPr>
          <w:rFonts w:ascii="Arial" w:hAnsi="Arial" w:cs="Arial"/>
        </w:rPr>
        <w:t>a</w:t>
      </w:r>
      <w:r>
        <w:rPr>
          <w:rFonts w:ascii="Arial" w:hAnsi="Arial" w:cs="Arial"/>
          <w:spacing w:val="-10"/>
        </w:rPr>
        <w:t xml:space="preserve"> </w:t>
      </w:r>
      <w:r>
        <w:rPr>
          <w:rFonts w:ascii="Arial" w:hAnsi="Arial" w:cs="Arial"/>
        </w:rPr>
        <w:t>single</w:t>
      </w:r>
      <w:r>
        <w:rPr>
          <w:rFonts w:ascii="Arial" w:hAnsi="Arial" w:cs="Arial"/>
          <w:spacing w:val="-10"/>
        </w:rPr>
        <w:t xml:space="preserve"> </w:t>
      </w:r>
      <w:r>
        <w:rPr>
          <w:rFonts w:ascii="Arial" w:hAnsi="Arial" w:cs="Arial"/>
        </w:rPr>
        <w:t>vasopressor,</w:t>
      </w:r>
      <w:r>
        <w:rPr>
          <w:rFonts w:ascii="Arial" w:hAnsi="Arial" w:cs="Arial"/>
          <w:spacing w:val="-9"/>
        </w:rPr>
        <w:t xml:space="preserve"> </w:t>
      </w:r>
      <w:r>
        <w:rPr>
          <w:rFonts w:ascii="Arial" w:hAnsi="Arial" w:cs="Arial"/>
        </w:rPr>
        <w:t>scoring</w:t>
      </w:r>
      <w:r>
        <w:rPr>
          <w:rFonts w:ascii="Arial" w:hAnsi="Arial" w:cs="Arial"/>
          <w:spacing w:val="-10"/>
        </w:rPr>
        <w:t xml:space="preserve"> </w:t>
      </w:r>
      <w:r>
        <w:rPr>
          <w:rFonts w:ascii="Arial" w:hAnsi="Arial" w:cs="Arial"/>
        </w:rPr>
        <w:t>is</w:t>
      </w:r>
      <w:r>
        <w:rPr>
          <w:rFonts w:ascii="Arial" w:hAnsi="Arial" w:cs="Arial"/>
          <w:spacing w:val="-10"/>
        </w:rPr>
        <w:t xml:space="preserve"> </w:t>
      </w:r>
      <w:r>
        <w:rPr>
          <w:rFonts w:ascii="Arial" w:hAnsi="Arial" w:cs="Arial"/>
        </w:rPr>
        <w:t>based</w:t>
      </w:r>
      <w:r>
        <w:rPr>
          <w:rFonts w:ascii="Arial" w:hAnsi="Arial" w:cs="Arial"/>
          <w:spacing w:val="-10"/>
        </w:rPr>
        <w:t xml:space="preserve"> </w:t>
      </w:r>
      <w:r>
        <w:rPr>
          <w:rFonts w:ascii="Arial" w:hAnsi="Arial" w:cs="Arial"/>
        </w:rPr>
        <w:t>on</w:t>
      </w:r>
      <w:r>
        <w:rPr>
          <w:rFonts w:ascii="Arial" w:hAnsi="Arial" w:cs="Arial"/>
          <w:spacing w:val="-10"/>
        </w:rPr>
        <w:t xml:space="preserve"> </w:t>
      </w:r>
      <w:r>
        <w:rPr>
          <w:rFonts w:ascii="Arial" w:hAnsi="Arial" w:cs="Arial"/>
        </w:rPr>
        <w:t>the</w:t>
      </w:r>
      <w:r>
        <w:rPr>
          <w:rFonts w:ascii="Arial" w:hAnsi="Arial" w:cs="Arial"/>
          <w:spacing w:val="-10"/>
        </w:rPr>
        <w:t xml:space="preserve"> </w:t>
      </w:r>
      <w:r>
        <w:rPr>
          <w:rFonts w:ascii="Arial" w:hAnsi="Arial" w:cs="Arial"/>
        </w:rPr>
        <w:t>following</w:t>
      </w:r>
      <w:r>
        <w:rPr>
          <w:rFonts w:ascii="Arial" w:hAnsi="Arial" w:cs="Arial"/>
          <w:spacing w:val="-10"/>
        </w:rPr>
        <w:t xml:space="preserve"> </w:t>
      </w:r>
      <w:r>
        <w:rPr>
          <w:rFonts w:ascii="Arial" w:hAnsi="Arial" w:cs="Arial"/>
        </w:rPr>
        <w:t>cutoffs:</w:t>
      </w:r>
      <w:r>
        <w:rPr>
          <w:rFonts w:ascii="Arial" w:hAnsi="Arial" w:cs="Arial"/>
          <w:spacing w:val="1"/>
        </w:rPr>
        <w:t xml:space="preserve"> </w:t>
      </w:r>
      <w:r>
        <w:rPr>
          <w:rFonts w:ascii="Arial" w:hAnsi="Arial" w:cs="Arial"/>
        </w:rPr>
        <w:t>2</w:t>
      </w:r>
      <w:r>
        <w:rPr>
          <w:rFonts w:ascii="Arial" w:hAnsi="Arial" w:cs="Arial"/>
          <w:spacing w:val="-10"/>
        </w:rPr>
        <w:t xml:space="preserve"> </w:t>
      </w:r>
      <w:r>
        <w:rPr>
          <w:rFonts w:ascii="Arial" w:hAnsi="Arial" w:cs="Arial"/>
        </w:rPr>
        <w:t>points</w:t>
      </w:r>
      <w:r>
        <w:rPr>
          <w:rFonts w:ascii="Arial" w:hAnsi="Arial" w:cs="Arial"/>
          <w:spacing w:val="-10"/>
        </w:rPr>
        <w:t xml:space="preserve"> </w:t>
      </w:r>
      <w:r>
        <w:rPr>
          <w:rFonts w:ascii="Arial" w:hAnsi="Arial" w:cs="Arial"/>
        </w:rPr>
        <w:t>(</w:t>
      </w:r>
      <w:r>
        <w:rPr>
          <w:rFonts w:ascii="Arial" w:hAnsi="Arial" w:cs="Arial"/>
          <w:i/>
        </w:rPr>
        <w:t>≤</w:t>
      </w:r>
      <w:r>
        <w:rPr>
          <w:rFonts w:ascii="Arial" w:hAnsi="Arial" w:cs="Arial"/>
        </w:rPr>
        <w:t>20</w:t>
      </w:r>
      <w:r>
        <w:rPr>
          <w:rFonts w:ascii="Arial" w:hAnsi="Arial" w:cs="Arial"/>
          <w:spacing w:val="-10"/>
        </w:rPr>
        <w:t xml:space="preserve"> </w:t>
      </w:r>
      <w:r>
        <w:rPr>
          <w:rFonts w:ascii="Arial" w:hAnsi="Arial" w:cs="Arial"/>
          <w:i/>
        </w:rPr>
        <w:t>µ</w:t>
      </w:r>
      <w:r>
        <w:rPr>
          <w:rFonts w:ascii="Arial" w:hAnsi="Arial" w:cs="Arial"/>
        </w:rPr>
        <w:t>g/kg/min);</w:t>
      </w:r>
      <w:r>
        <w:rPr>
          <w:rFonts w:ascii="Arial" w:hAnsi="Arial" w:cs="Arial"/>
          <w:spacing w:val="-9"/>
        </w:rPr>
        <w:t xml:space="preserve"> </w:t>
      </w:r>
      <w:r>
        <w:rPr>
          <w:rFonts w:ascii="Arial" w:hAnsi="Arial" w:cs="Arial"/>
        </w:rPr>
        <w:t>3</w:t>
      </w:r>
      <w:r>
        <w:rPr>
          <w:rFonts w:ascii="Arial" w:hAnsi="Arial" w:cs="Arial"/>
          <w:spacing w:val="-10"/>
        </w:rPr>
        <w:t xml:space="preserve"> </w:t>
      </w:r>
      <w:r>
        <w:rPr>
          <w:rFonts w:ascii="Arial" w:hAnsi="Arial" w:cs="Arial"/>
        </w:rPr>
        <w:t>points</w:t>
      </w:r>
      <w:r>
        <w:rPr>
          <w:rFonts w:ascii="Arial" w:hAnsi="Arial" w:cs="Arial"/>
          <w:spacing w:val="-10"/>
        </w:rPr>
        <w:t xml:space="preserve"> </w:t>
      </w:r>
      <w:r>
        <w:rPr>
          <w:rFonts w:ascii="Arial" w:hAnsi="Arial" w:cs="Arial"/>
        </w:rPr>
        <w:t>(</w:t>
      </w:r>
      <w:r>
        <w:rPr>
          <w:rFonts w:ascii="Arial" w:hAnsi="Arial" w:cs="Arial"/>
          <w:i/>
        </w:rPr>
        <w:t>&gt;</w:t>
      </w:r>
      <w:r>
        <w:rPr>
          <w:rFonts w:ascii="Arial" w:hAnsi="Arial" w:cs="Arial"/>
        </w:rPr>
        <w:t>20</w:t>
      </w:r>
      <w:r>
        <w:rPr>
          <w:rFonts w:ascii="Arial" w:hAnsi="Arial" w:cs="Arial"/>
          <w:spacing w:val="-10"/>
        </w:rPr>
        <w:t xml:space="preserve"> </w:t>
      </w:r>
      <w:r>
        <w:rPr>
          <w:rFonts w:ascii="Arial" w:hAnsi="Arial" w:cs="Arial"/>
        </w:rPr>
        <w:t>to</w:t>
      </w:r>
      <w:r>
        <w:rPr>
          <w:rFonts w:ascii="Arial" w:hAnsi="Arial" w:cs="Arial"/>
          <w:spacing w:val="-10"/>
        </w:rPr>
        <w:t xml:space="preserve"> </w:t>
      </w:r>
      <w:r>
        <w:rPr>
          <w:rFonts w:ascii="Arial" w:hAnsi="Arial" w:cs="Arial"/>
          <w:i/>
        </w:rPr>
        <w:t>≤</w:t>
      </w:r>
      <w:r>
        <w:rPr>
          <w:rFonts w:ascii="Arial" w:hAnsi="Arial" w:cs="Arial"/>
        </w:rPr>
        <w:t>40</w:t>
      </w:r>
      <w:r>
        <w:rPr>
          <w:rFonts w:ascii="Arial" w:hAnsi="Arial" w:cs="Arial"/>
          <w:spacing w:val="-10"/>
        </w:rPr>
        <w:t xml:space="preserve"> </w:t>
      </w:r>
      <w:r>
        <w:rPr>
          <w:rFonts w:ascii="Arial" w:hAnsi="Arial" w:cs="Arial"/>
          <w:i/>
        </w:rPr>
        <w:t>µ</w:t>
      </w:r>
      <w:r>
        <w:rPr>
          <w:rFonts w:ascii="Arial" w:hAnsi="Arial" w:cs="Arial"/>
        </w:rPr>
        <w:t>g/kg/min);</w:t>
      </w:r>
      <w:r>
        <w:rPr>
          <w:rFonts w:ascii="Arial" w:hAnsi="Arial" w:cs="Arial"/>
          <w:spacing w:val="40"/>
        </w:rPr>
        <w:t xml:space="preserve"> </w:t>
      </w:r>
      <w:r>
        <w:rPr>
          <w:rFonts w:ascii="Arial" w:hAnsi="Arial" w:cs="Arial"/>
        </w:rPr>
        <w:t>4 points (</w:t>
      </w:r>
      <w:r>
        <w:rPr>
          <w:rFonts w:ascii="Arial" w:hAnsi="Arial" w:cs="Arial"/>
          <w:i/>
        </w:rPr>
        <w:t>&gt;</w:t>
      </w:r>
      <w:r>
        <w:rPr>
          <w:rFonts w:ascii="Arial" w:hAnsi="Arial" w:cs="Arial"/>
        </w:rPr>
        <w:t xml:space="preserve">40 </w:t>
      </w:r>
      <w:r>
        <w:rPr>
          <w:rFonts w:ascii="Arial" w:hAnsi="Arial" w:cs="Arial"/>
          <w:i/>
        </w:rPr>
        <w:t>µ</w:t>
      </w:r>
      <w:r>
        <w:rPr>
          <w:rFonts w:ascii="Arial" w:hAnsi="Arial" w:cs="Arial"/>
        </w:rPr>
        <w:t>g/kg/min). These cutoffs are based on norepinephrine equipotency studies.</w:t>
      </w:r>
    </w:p>
    <w:p w14:paraId="34F09ABC">
      <w:pPr>
        <w:pStyle w:val="5"/>
        <w:rPr>
          <w:rFonts w:ascii="Arial" w:hAnsi="Arial" w:cs="Arial"/>
        </w:rPr>
      </w:pPr>
      <w:r>
        <w:rPr>
          <w:rFonts w:hint="eastAsia" w:ascii="Arial" w:hAnsi="Arial" w:cs="Arial" w:eastAsiaTheme="minorEastAsia"/>
          <w:position w:val="6"/>
          <w:lang w:eastAsia="zh-CN"/>
        </w:rPr>
        <w:t>k</w:t>
      </w:r>
      <w:r>
        <w:rPr>
          <w:rFonts w:ascii="Arial" w:hAnsi="Arial" w:cs="Arial"/>
          <w:spacing w:val="14"/>
          <w:position w:val="6"/>
        </w:rPr>
        <w:t xml:space="preserve"> </w:t>
      </w:r>
      <w:r>
        <w:rPr>
          <w:rFonts w:ascii="Arial" w:hAnsi="Arial" w:cs="Arial"/>
        </w:rPr>
        <w:t>When</w:t>
      </w:r>
      <w:r>
        <w:rPr>
          <w:rFonts w:ascii="Arial" w:hAnsi="Arial" w:cs="Arial"/>
          <w:spacing w:val="-5"/>
        </w:rPr>
        <w:t xml:space="preserve"> </w:t>
      </w:r>
      <w:r>
        <w:rPr>
          <w:rFonts w:ascii="Arial" w:hAnsi="Arial" w:cs="Arial"/>
        </w:rPr>
        <w:t>vasoactive</w:t>
      </w:r>
      <w:r>
        <w:rPr>
          <w:rFonts w:ascii="Arial" w:hAnsi="Arial" w:cs="Arial"/>
          <w:spacing w:val="-5"/>
        </w:rPr>
        <w:t xml:space="preserve"> </w:t>
      </w:r>
      <w:r>
        <w:rPr>
          <w:rFonts w:ascii="Arial" w:hAnsi="Arial" w:cs="Arial"/>
        </w:rPr>
        <w:t>drugs</w:t>
      </w:r>
      <w:r>
        <w:rPr>
          <w:rFonts w:ascii="Arial" w:hAnsi="Arial" w:cs="Arial"/>
          <w:spacing w:val="-5"/>
        </w:rPr>
        <w:t xml:space="preserve"> </w:t>
      </w:r>
      <w:r>
        <w:rPr>
          <w:rFonts w:ascii="Arial" w:hAnsi="Arial" w:cs="Arial"/>
        </w:rPr>
        <w:t>are</w:t>
      </w:r>
      <w:r>
        <w:rPr>
          <w:rFonts w:ascii="Arial" w:hAnsi="Arial" w:cs="Arial"/>
          <w:spacing w:val="-5"/>
        </w:rPr>
        <w:t xml:space="preserve"> </w:t>
      </w:r>
      <w:r>
        <w:rPr>
          <w:rFonts w:ascii="Arial" w:hAnsi="Arial" w:cs="Arial"/>
        </w:rPr>
        <w:t>unavailable</w:t>
      </w:r>
      <w:r>
        <w:rPr>
          <w:rFonts w:ascii="Arial" w:hAnsi="Arial" w:cs="Arial"/>
          <w:spacing w:val="-5"/>
        </w:rPr>
        <w:t xml:space="preserve"> </w:t>
      </w:r>
      <w:r>
        <w:rPr>
          <w:rFonts w:ascii="Arial" w:hAnsi="Arial" w:cs="Arial"/>
        </w:rPr>
        <w:t>or</w:t>
      </w:r>
      <w:r>
        <w:rPr>
          <w:rFonts w:ascii="Arial" w:hAnsi="Arial" w:cs="Arial"/>
          <w:spacing w:val="-6"/>
        </w:rPr>
        <w:t xml:space="preserve"> </w:t>
      </w:r>
      <w:r>
        <w:rPr>
          <w:rFonts w:ascii="Arial" w:hAnsi="Arial" w:cs="Arial"/>
        </w:rPr>
        <w:t>precluded</w:t>
      </w:r>
      <w:r>
        <w:rPr>
          <w:rFonts w:ascii="Arial" w:hAnsi="Arial" w:cs="Arial"/>
          <w:spacing w:val="-5"/>
        </w:rPr>
        <w:t xml:space="preserve"> </w:t>
      </w:r>
      <w:r>
        <w:rPr>
          <w:rFonts w:ascii="Arial" w:hAnsi="Arial" w:cs="Arial"/>
        </w:rPr>
        <w:t>due</w:t>
      </w:r>
      <w:r>
        <w:rPr>
          <w:rFonts w:ascii="Arial" w:hAnsi="Arial" w:cs="Arial"/>
          <w:spacing w:val="-5"/>
        </w:rPr>
        <w:t xml:space="preserve"> </w:t>
      </w:r>
      <w:r>
        <w:rPr>
          <w:rFonts w:ascii="Arial" w:hAnsi="Arial" w:cs="Arial"/>
        </w:rPr>
        <w:t>to</w:t>
      </w:r>
      <w:r>
        <w:rPr>
          <w:rFonts w:ascii="Arial" w:hAnsi="Arial" w:cs="Arial"/>
          <w:spacing w:val="-5"/>
        </w:rPr>
        <w:t xml:space="preserve"> </w:t>
      </w:r>
      <w:r>
        <w:rPr>
          <w:rFonts w:ascii="Arial" w:hAnsi="Arial" w:cs="Arial"/>
        </w:rPr>
        <w:t>a</w:t>
      </w:r>
      <w:r>
        <w:rPr>
          <w:rFonts w:ascii="Arial" w:hAnsi="Arial" w:cs="Arial"/>
          <w:spacing w:val="-5"/>
        </w:rPr>
        <w:t xml:space="preserve"> </w:t>
      </w:r>
      <w:r>
        <w:rPr>
          <w:rFonts w:ascii="Arial" w:hAnsi="Arial" w:cs="Arial"/>
        </w:rPr>
        <w:t>ceiling</w:t>
      </w:r>
      <w:r>
        <w:rPr>
          <w:rFonts w:ascii="Arial" w:hAnsi="Arial" w:cs="Arial"/>
          <w:spacing w:val="-5"/>
        </w:rPr>
        <w:t xml:space="preserve"> </w:t>
      </w:r>
      <w:r>
        <w:rPr>
          <w:rFonts w:ascii="Arial" w:hAnsi="Arial" w:cs="Arial"/>
        </w:rPr>
        <w:t>of</w:t>
      </w:r>
      <w:r>
        <w:rPr>
          <w:rFonts w:ascii="Arial" w:hAnsi="Arial" w:cs="Arial"/>
          <w:spacing w:val="-5"/>
        </w:rPr>
        <w:t xml:space="preserve"> </w:t>
      </w:r>
      <w:r>
        <w:rPr>
          <w:rFonts w:ascii="Arial" w:hAnsi="Arial" w:cs="Arial"/>
        </w:rPr>
        <w:t>treatment,</w:t>
      </w:r>
      <w:r>
        <w:rPr>
          <w:rFonts w:ascii="Arial" w:hAnsi="Arial" w:cs="Arial"/>
          <w:spacing w:val="-5"/>
        </w:rPr>
        <w:t xml:space="preserve"> </w:t>
      </w:r>
      <w:r>
        <w:rPr>
          <w:rFonts w:ascii="Arial" w:hAnsi="Arial" w:cs="Arial"/>
        </w:rPr>
        <w:t>use</w:t>
      </w:r>
      <w:r>
        <w:rPr>
          <w:rFonts w:ascii="Arial" w:hAnsi="Arial" w:cs="Arial"/>
          <w:spacing w:val="-5"/>
        </w:rPr>
        <w:t xml:space="preserve"> </w:t>
      </w:r>
      <w:r>
        <w:rPr>
          <w:rFonts w:ascii="Arial" w:hAnsi="Arial" w:cs="Arial"/>
        </w:rPr>
        <w:t>the</w:t>
      </w:r>
      <w:r>
        <w:rPr>
          <w:rFonts w:ascii="Arial" w:hAnsi="Arial" w:cs="Arial"/>
          <w:spacing w:val="-5"/>
        </w:rPr>
        <w:t xml:space="preserve"> </w:t>
      </w:r>
      <w:r>
        <w:rPr>
          <w:rFonts w:ascii="Arial" w:hAnsi="Arial" w:cs="Arial"/>
        </w:rPr>
        <w:t>following</w:t>
      </w:r>
      <w:r>
        <w:rPr>
          <w:rFonts w:ascii="Arial" w:hAnsi="Arial" w:cs="Arial"/>
          <w:spacing w:val="-5"/>
        </w:rPr>
        <w:t xml:space="preserve"> </w:t>
      </w:r>
      <w:r>
        <w:rPr>
          <w:rFonts w:ascii="Arial" w:hAnsi="Arial" w:cs="Arial"/>
        </w:rPr>
        <w:t>MAP</w:t>
      </w:r>
      <w:r>
        <w:rPr>
          <w:rFonts w:ascii="Arial" w:hAnsi="Arial" w:cs="Arial"/>
          <w:spacing w:val="-5"/>
        </w:rPr>
        <w:t xml:space="preserve"> </w:t>
      </w:r>
      <w:r>
        <w:rPr>
          <w:rFonts w:ascii="Arial" w:hAnsi="Arial" w:cs="Arial"/>
        </w:rPr>
        <w:t>cutoffs</w:t>
      </w:r>
      <w:r>
        <w:rPr>
          <w:rFonts w:ascii="Arial" w:hAnsi="Arial" w:cs="Arial"/>
          <w:spacing w:val="-6"/>
        </w:rPr>
        <w:t xml:space="preserve"> </w:t>
      </w:r>
      <w:r>
        <w:rPr>
          <w:rFonts w:ascii="Arial" w:hAnsi="Arial" w:cs="Arial"/>
        </w:rPr>
        <w:t>for</w:t>
      </w:r>
      <w:r>
        <w:rPr>
          <w:rFonts w:ascii="Arial" w:hAnsi="Arial" w:cs="Arial"/>
          <w:spacing w:val="-5"/>
        </w:rPr>
        <w:t xml:space="preserve"> </w:t>
      </w:r>
      <w:r>
        <w:rPr>
          <w:rFonts w:ascii="Arial" w:hAnsi="Arial" w:cs="Arial"/>
        </w:rPr>
        <w:t>scoring: 0</w:t>
      </w:r>
      <w:r>
        <w:rPr>
          <w:rFonts w:ascii="Arial" w:hAnsi="Arial" w:cs="Arial"/>
          <w:spacing w:val="-5"/>
        </w:rPr>
        <w:t xml:space="preserve"> </w:t>
      </w:r>
      <w:r>
        <w:rPr>
          <w:rFonts w:ascii="Arial" w:hAnsi="Arial" w:cs="Arial"/>
        </w:rPr>
        <w:t>point,</w:t>
      </w:r>
      <w:r>
        <w:rPr>
          <w:rFonts w:ascii="Arial" w:hAnsi="Arial" w:cs="Arial"/>
          <w:spacing w:val="-5"/>
        </w:rPr>
        <w:t xml:space="preserve"> </w:t>
      </w:r>
      <w:r>
        <w:rPr>
          <w:rFonts w:ascii="Arial" w:hAnsi="Arial" w:cs="Arial"/>
        </w:rPr>
        <w:t>70</w:t>
      </w:r>
      <w:r>
        <w:rPr>
          <w:rFonts w:ascii="Arial" w:hAnsi="Arial" w:cs="Arial"/>
          <w:spacing w:val="-5"/>
        </w:rPr>
        <w:t xml:space="preserve"> </w:t>
      </w:r>
      <w:r>
        <w:rPr>
          <w:rFonts w:ascii="Arial" w:hAnsi="Arial" w:cs="Arial"/>
        </w:rPr>
        <w:t>mm</w:t>
      </w:r>
      <w:r>
        <w:rPr>
          <w:rFonts w:ascii="Arial" w:hAnsi="Arial" w:cs="Arial"/>
          <w:spacing w:val="-5"/>
        </w:rPr>
        <w:t xml:space="preserve"> </w:t>
      </w:r>
      <w:r>
        <w:rPr>
          <w:rFonts w:ascii="Arial" w:hAnsi="Arial" w:cs="Arial"/>
        </w:rPr>
        <w:t>Hg</w:t>
      </w:r>
      <w:r>
        <w:rPr>
          <w:rFonts w:ascii="Arial" w:hAnsi="Arial" w:cs="Arial"/>
          <w:spacing w:val="40"/>
        </w:rPr>
        <w:t xml:space="preserve"> </w:t>
      </w:r>
      <w:r>
        <w:rPr>
          <w:rFonts w:ascii="Arial" w:hAnsi="Arial" w:cs="Arial"/>
        </w:rPr>
        <w:t>or higher; 1 point, 60 to 69 mm Hg; 2 points, 50 to 59 mm Hg; 3 points, 40 to 49 mm Hg; 4 points, less than 40 mm Hg.</w:t>
      </w:r>
    </w:p>
    <w:p w14:paraId="215C0E17">
      <w:pPr>
        <w:pStyle w:val="5"/>
        <w:rPr>
          <w:rFonts w:ascii="Arial" w:hAnsi="Arial" w:cs="Arial"/>
        </w:rPr>
      </w:pPr>
      <w:r>
        <w:rPr>
          <w:rFonts w:hint="eastAsia" w:ascii="Arial" w:hAnsi="Arial" w:cs="Arial" w:eastAsiaTheme="minorEastAsia"/>
          <w:position w:val="6"/>
          <w:lang w:eastAsia="zh-CN"/>
        </w:rPr>
        <w:t>l</w:t>
      </w:r>
      <w:r>
        <w:rPr>
          <w:rFonts w:ascii="Arial" w:hAnsi="Arial" w:cs="Arial"/>
          <w:spacing w:val="14"/>
          <w:position w:val="6"/>
        </w:rPr>
        <w:t xml:space="preserve"> </w:t>
      </w:r>
      <w:r>
        <w:rPr>
          <w:rFonts w:ascii="Arial" w:hAnsi="Arial" w:cs="Arial"/>
        </w:rPr>
        <w:t>Any</w:t>
      </w:r>
      <w:r>
        <w:rPr>
          <w:rFonts w:ascii="Arial" w:hAnsi="Arial" w:cs="Arial"/>
          <w:spacing w:val="-5"/>
        </w:rPr>
        <w:t xml:space="preserve"> </w:t>
      </w:r>
      <w:r>
        <w:rPr>
          <w:rFonts w:ascii="Arial" w:hAnsi="Arial" w:cs="Arial"/>
        </w:rPr>
        <w:t>type</w:t>
      </w:r>
      <w:r>
        <w:rPr>
          <w:rFonts w:ascii="Arial" w:hAnsi="Arial" w:cs="Arial"/>
          <w:spacing w:val="-5"/>
        </w:rPr>
        <w:t xml:space="preserve"> </w:t>
      </w:r>
      <w:r>
        <w:rPr>
          <w:rFonts w:ascii="Arial" w:hAnsi="Arial" w:cs="Arial"/>
        </w:rPr>
        <w:t>of</w:t>
      </w:r>
      <w:r>
        <w:rPr>
          <w:rFonts w:ascii="Arial" w:hAnsi="Arial" w:cs="Arial"/>
          <w:spacing w:val="-5"/>
        </w:rPr>
        <w:t xml:space="preserve"> </w:t>
      </w:r>
      <w:r>
        <w:rPr>
          <w:rFonts w:ascii="Arial" w:hAnsi="Arial" w:cs="Arial"/>
        </w:rPr>
        <w:t>mechanical</w:t>
      </w:r>
      <w:r>
        <w:rPr>
          <w:rFonts w:ascii="Arial" w:hAnsi="Arial" w:cs="Arial"/>
          <w:spacing w:val="-5"/>
        </w:rPr>
        <w:t xml:space="preserve"> </w:t>
      </w:r>
      <w:r>
        <w:rPr>
          <w:rFonts w:ascii="Arial" w:hAnsi="Arial" w:cs="Arial"/>
        </w:rPr>
        <w:t>cardiovascular</w:t>
      </w:r>
      <w:r>
        <w:rPr>
          <w:rFonts w:ascii="Arial" w:hAnsi="Arial" w:cs="Arial"/>
          <w:spacing w:val="-5"/>
        </w:rPr>
        <w:t xml:space="preserve"> </w:t>
      </w:r>
      <w:r>
        <w:rPr>
          <w:rFonts w:ascii="Arial" w:hAnsi="Arial" w:cs="Arial"/>
        </w:rPr>
        <w:t>support: eg,</w:t>
      </w:r>
      <w:r>
        <w:rPr>
          <w:rFonts w:ascii="Arial" w:hAnsi="Arial" w:cs="Arial"/>
          <w:spacing w:val="-5"/>
        </w:rPr>
        <w:t xml:space="preserve"> </w:t>
      </w:r>
      <w:r>
        <w:rPr>
          <w:rFonts w:ascii="Arial" w:hAnsi="Arial" w:cs="Arial"/>
        </w:rPr>
        <w:t>venoarterial</w:t>
      </w:r>
      <w:r>
        <w:rPr>
          <w:rFonts w:ascii="Arial" w:hAnsi="Arial" w:cs="Arial"/>
          <w:spacing w:val="-5"/>
        </w:rPr>
        <w:t xml:space="preserve"> </w:t>
      </w:r>
      <w:r>
        <w:rPr>
          <w:rFonts w:ascii="Arial" w:hAnsi="Arial" w:cs="Arial"/>
        </w:rPr>
        <w:t>ECMO,</w:t>
      </w:r>
      <w:r>
        <w:rPr>
          <w:rFonts w:ascii="Arial" w:hAnsi="Arial" w:cs="Arial"/>
          <w:spacing w:val="-5"/>
        </w:rPr>
        <w:t xml:space="preserve"> </w:t>
      </w:r>
      <w:r>
        <w:rPr>
          <w:rFonts w:ascii="Arial" w:hAnsi="Arial" w:cs="Arial"/>
        </w:rPr>
        <w:t>intra-aortic</w:t>
      </w:r>
      <w:r>
        <w:rPr>
          <w:rFonts w:ascii="Arial" w:hAnsi="Arial" w:cs="Arial"/>
          <w:spacing w:val="-5"/>
        </w:rPr>
        <w:t xml:space="preserve"> </w:t>
      </w:r>
      <w:r>
        <w:rPr>
          <w:rFonts w:ascii="Arial" w:hAnsi="Arial" w:cs="Arial"/>
        </w:rPr>
        <w:t>balloon</w:t>
      </w:r>
      <w:r>
        <w:rPr>
          <w:rFonts w:ascii="Arial" w:hAnsi="Arial" w:cs="Arial"/>
          <w:spacing w:val="-5"/>
        </w:rPr>
        <w:t xml:space="preserve"> </w:t>
      </w:r>
      <w:r>
        <w:rPr>
          <w:rFonts w:ascii="Arial" w:hAnsi="Arial" w:cs="Arial"/>
        </w:rPr>
        <w:t>pump,</w:t>
      </w:r>
      <w:r>
        <w:rPr>
          <w:rFonts w:ascii="Arial" w:hAnsi="Arial" w:cs="Arial"/>
          <w:spacing w:val="-5"/>
        </w:rPr>
        <w:t xml:space="preserve"> </w:t>
      </w:r>
      <w:r>
        <w:rPr>
          <w:rFonts w:ascii="Arial" w:hAnsi="Arial" w:cs="Arial"/>
        </w:rPr>
        <w:t>left</w:t>
      </w:r>
      <w:r>
        <w:rPr>
          <w:rFonts w:ascii="Arial" w:hAnsi="Arial" w:cs="Arial"/>
          <w:spacing w:val="-5"/>
        </w:rPr>
        <w:t xml:space="preserve"> </w:t>
      </w:r>
      <w:r>
        <w:rPr>
          <w:rFonts w:ascii="Arial" w:hAnsi="Arial" w:cs="Arial"/>
        </w:rPr>
        <w:t>ventricular</w:t>
      </w:r>
      <w:r>
        <w:rPr>
          <w:rFonts w:ascii="Arial" w:hAnsi="Arial" w:cs="Arial"/>
          <w:spacing w:val="-5"/>
        </w:rPr>
        <w:t xml:space="preserve"> </w:t>
      </w:r>
      <w:r>
        <w:rPr>
          <w:rFonts w:ascii="Arial" w:hAnsi="Arial" w:cs="Arial"/>
        </w:rPr>
        <w:t>assist</w:t>
      </w:r>
      <w:r>
        <w:rPr>
          <w:rFonts w:ascii="Arial" w:hAnsi="Arial" w:cs="Arial"/>
          <w:spacing w:val="-5"/>
        </w:rPr>
        <w:t xml:space="preserve"> </w:t>
      </w:r>
      <w:r>
        <w:rPr>
          <w:rFonts w:ascii="Arial" w:hAnsi="Arial" w:cs="Arial"/>
        </w:rPr>
        <w:t>device,</w:t>
      </w:r>
      <w:r>
        <w:rPr>
          <w:rFonts w:ascii="Arial" w:hAnsi="Arial" w:cs="Arial"/>
          <w:spacing w:val="-5"/>
        </w:rPr>
        <w:t xml:space="preserve"> </w:t>
      </w:r>
      <w:r>
        <w:rPr>
          <w:rFonts w:ascii="Arial" w:hAnsi="Arial" w:cs="Arial"/>
        </w:rPr>
        <w:t>microaxial</w:t>
      </w:r>
      <w:r>
        <w:rPr>
          <w:rFonts w:ascii="Arial" w:hAnsi="Arial" w:cs="Arial"/>
          <w:spacing w:val="-5"/>
        </w:rPr>
        <w:t xml:space="preserve"> </w:t>
      </w:r>
      <w:r>
        <w:rPr>
          <w:rFonts w:ascii="Arial" w:hAnsi="Arial" w:cs="Arial"/>
        </w:rPr>
        <w:t>flow</w:t>
      </w:r>
      <w:r>
        <w:rPr>
          <w:rFonts w:ascii="Arial" w:hAnsi="Arial" w:cs="Arial"/>
          <w:spacing w:val="40"/>
        </w:rPr>
        <w:t xml:space="preserve"> </w:t>
      </w:r>
      <w:r>
        <w:rPr>
          <w:rFonts w:ascii="Arial" w:hAnsi="Arial" w:cs="Arial"/>
          <w:spacing w:val="-2"/>
        </w:rPr>
        <w:t>pump.</w:t>
      </w:r>
    </w:p>
    <w:p w14:paraId="3B9C345E">
      <w:pPr>
        <w:pStyle w:val="5"/>
        <w:rPr>
          <w:rFonts w:ascii="Arial" w:hAnsi="Arial" w:cs="Arial"/>
        </w:rPr>
      </w:pPr>
      <w:r>
        <w:rPr>
          <w:rFonts w:hint="eastAsia" w:ascii="Arial" w:hAnsi="Arial" w:cs="Arial" w:eastAsiaTheme="minorEastAsia"/>
          <w:position w:val="6"/>
          <w:lang w:eastAsia="zh-CN"/>
        </w:rPr>
        <w:t>m</w:t>
      </w:r>
      <w:r>
        <w:rPr>
          <w:rFonts w:ascii="Arial" w:hAnsi="Arial" w:cs="Arial"/>
          <w:spacing w:val="11"/>
          <w:position w:val="6"/>
        </w:rPr>
        <w:t xml:space="preserve"> </w:t>
      </w:r>
      <w:r>
        <w:rPr>
          <w:rFonts w:ascii="Arial" w:hAnsi="Arial" w:cs="Arial"/>
        </w:rPr>
        <w:t>Excludes</w:t>
      </w:r>
      <w:r>
        <w:rPr>
          <w:rFonts w:ascii="Arial" w:hAnsi="Arial" w:cs="Arial"/>
          <w:spacing w:val="-8"/>
        </w:rPr>
        <w:t xml:space="preserve"> </w:t>
      </w:r>
      <w:r>
        <w:rPr>
          <w:rFonts w:ascii="Arial" w:hAnsi="Arial" w:cs="Arial"/>
        </w:rPr>
        <w:t>patients</w:t>
      </w:r>
      <w:r>
        <w:rPr>
          <w:rFonts w:ascii="Arial" w:hAnsi="Arial" w:cs="Arial"/>
          <w:spacing w:val="-7"/>
        </w:rPr>
        <w:t xml:space="preserve"> </w:t>
      </w:r>
      <w:r>
        <w:rPr>
          <w:rFonts w:ascii="Arial" w:hAnsi="Arial" w:cs="Arial"/>
        </w:rPr>
        <w:t>receiving</w:t>
      </w:r>
      <w:r>
        <w:rPr>
          <w:rFonts w:ascii="Arial" w:hAnsi="Arial" w:cs="Arial"/>
          <w:spacing w:val="-7"/>
        </w:rPr>
        <w:t xml:space="preserve"> </w:t>
      </w:r>
      <w:r>
        <w:rPr>
          <w:rFonts w:ascii="Arial" w:hAnsi="Arial" w:cs="Arial"/>
        </w:rPr>
        <w:t>RRT</w:t>
      </w:r>
      <w:r>
        <w:rPr>
          <w:rFonts w:ascii="Arial" w:hAnsi="Arial" w:cs="Arial"/>
          <w:spacing w:val="-7"/>
        </w:rPr>
        <w:t xml:space="preserve"> </w:t>
      </w:r>
      <w:r>
        <w:rPr>
          <w:rFonts w:ascii="Arial" w:hAnsi="Arial" w:cs="Arial"/>
        </w:rPr>
        <w:t>exclusively</w:t>
      </w:r>
      <w:r>
        <w:rPr>
          <w:rFonts w:ascii="Arial" w:hAnsi="Arial" w:cs="Arial"/>
          <w:spacing w:val="-8"/>
        </w:rPr>
        <w:t xml:space="preserve"> </w:t>
      </w:r>
      <w:r>
        <w:rPr>
          <w:rFonts w:ascii="Arial" w:hAnsi="Arial" w:cs="Arial"/>
        </w:rPr>
        <w:t>for</w:t>
      </w:r>
      <w:r>
        <w:rPr>
          <w:rFonts w:ascii="Arial" w:hAnsi="Arial" w:cs="Arial"/>
          <w:spacing w:val="-7"/>
        </w:rPr>
        <w:t xml:space="preserve"> </w:t>
      </w:r>
      <w:r>
        <w:rPr>
          <w:rFonts w:ascii="Arial" w:hAnsi="Arial" w:cs="Arial"/>
        </w:rPr>
        <w:t>nonrenal</w:t>
      </w:r>
      <w:r>
        <w:rPr>
          <w:rFonts w:ascii="Arial" w:hAnsi="Arial" w:cs="Arial"/>
          <w:spacing w:val="-7"/>
        </w:rPr>
        <w:t xml:space="preserve"> </w:t>
      </w:r>
      <w:r>
        <w:rPr>
          <w:rFonts w:ascii="Arial" w:hAnsi="Arial" w:cs="Arial"/>
        </w:rPr>
        <w:t>causes</w:t>
      </w:r>
      <w:r>
        <w:rPr>
          <w:rFonts w:ascii="Arial" w:hAnsi="Arial" w:cs="Arial"/>
          <w:spacing w:val="-7"/>
        </w:rPr>
        <w:t xml:space="preserve"> </w:t>
      </w:r>
      <w:r>
        <w:rPr>
          <w:rFonts w:ascii="Arial" w:hAnsi="Arial" w:cs="Arial"/>
        </w:rPr>
        <w:t>(eg,</w:t>
      </w:r>
      <w:r>
        <w:rPr>
          <w:rFonts w:ascii="Arial" w:hAnsi="Arial" w:cs="Arial"/>
          <w:spacing w:val="-7"/>
        </w:rPr>
        <w:t xml:space="preserve"> </w:t>
      </w:r>
      <w:r>
        <w:rPr>
          <w:rFonts w:ascii="Arial" w:hAnsi="Arial" w:cs="Arial"/>
        </w:rPr>
        <w:t>removal</w:t>
      </w:r>
      <w:r>
        <w:rPr>
          <w:rFonts w:ascii="Arial" w:hAnsi="Arial" w:cs="Arial"/>
          <w:spacing w:val="-8"/>
        </w:rPr>
        <w:t xml:space="preserve"> </w:t>
      </w:r>
      <w:r>
        <w:rPr>
          <w:rFonts w:ascii="Arial" w:hAnsi="Arial" w:cs="Arial"/>
        </w:rPr>
        <w:t>of</w:t>
      </w:r>
      <w:r>
        <w:rPr>
          <w:rFonts w:ascii="Arial" w:hAnsi="Arial" w:cs="Arial"/>
          <w:spacing w:val="-7"/>
        </w:rPr>
        <w:t xml:space="preserve"> </w:t>
      </w:r>
      <w:r>
        <w:rPr>
          <w:rFonts w:ascii="Arial" w:hAnsi="Arial" w:cs="Arial"/>
        </w:rPr>
        <w:t>toxic</w:t>
      </w:r>
      <w:r>
        <w:rPr>
          <w:rFonts w:ascii="Arial" w:hAnsi="Arial" w:cs="Arial"/>
          <w:spacing w:val="-7"/>
        </w:rPr>
        <w:t xml:space="preserve"> </w:t>
      </w:r>
      <w:r>
        <w:rPr>
          <w:rFonts w:ascii="Arial" w:hAnsi="Arial" w:cs="Arial"/>
        </w:rPr>
        <w:t>products,</w:t>
      </w:r>
      <w:r>
        <w:rPr>
          <w:rFonts w:ascii="Arial" w:hAnsi="Arial" w:cs="Arial"/>
          <w:spacing w:val="-7"/>
        </w:rPr>
        <w:t xml:space="preserve"> </w:t>
      </w:r>
      <w:r>
        <w:rPr>
          <w:rFonts w:ascii="Arial" w:hAnsi="Arial" w:cs="Arial"/>
        </w:rPr>
        <w:t>bacterial</w:t>
      </w:r>
      <w:r>
        <w:rPr>
          <w:rFonts w:ascii="Arial" w:hAnsi="Arial" w:cs="Arial"/>
          <w:spacing w:val="-8"/>
        </w:rPr>
        <w:t xml:space="preserve"> </w:t>
      </w:r>
      <w:r>
        <w:rPr>
          <w:rFonts w:ascii="Arial" w:hAnsi="Arial" w:cs="Arial"/>
        </w:rPr>
        <w:t>toxins,</w:t>
      </w:r>
      <w:r>
        <w:rPr>
          <w:rFonts w:ascii="Arial" w:hAnsi="Arial" w:cs="Arial"/>
          <w:spacing w:val="-7"/>
        </w:rPr>
        <w:t xml:space="preserve"> </w:t>
      </w:r>
      <w:r>
        <w:rPr>
          <w:rFonts w:ascii="Arial" w:hAnsi="Arial" w:cs="Arial"/>
          <w:spacing w:val="-2"/>
        </w:rPr>
        <w:t>cytokines).</w:t>
      </w:r>
    </w:p>
    <w:p w14:paraId="5C1593BD">
      <w:pPr>
        <w:pStyle w:val="5"/>
        <w:rPr>
          <w:rFonts w:ascii="Arial" w:hAnsi="Arial" w:cs="Arial"/>
        </w:rPr>
      </w:pPr>
      <w:r>
        <w:rPr>
          <w:rFonts w:hint="eastAsia" w:ascii="Arial" w:hAnsi="Arial" w:cs="Arial" w:eastAsiaTheme="minorEastAsia"/>
          <w:position w:val="6"/>
          <w:lang w:eastAsia="zh-CN"/>
        </w:rPr>
        <w:t>n</w:t>
      </w:r>
      <w:r>
        <w:rPr>
          <w:rFonts w:ascii="Arial" w:hAnsi="Arial" w:cs="Arial"/>
          <w:spacing w:val="29"/>
          <w:position w:val="6"/>
        </w:rPr>
        <w:t xml:space="preserve"> </w:t>
      </w:r>
      <w:r>
        <w:rPr>
          <w:rFonts w:ascii="Arial" w:hAnsi="Arial" w:cs="Arial"/>
        </w:rPr>
        <w:t>For patients not receiving RRT (eg, ceiling of treatment, machine unavailability, or decision to delay commencement), score 4 points if they</w:t>
      </w:r>
      <w:r>
        <w:rPr>
          <w:rFonts w:ascii="Arial" w:hAnsi="Arial" w:cs="Arial"/>
          <w:spacing w:val="40"/>
        </w:rPr>
        <w:t xml:space="preserve"> </w:t>
      </w:r>
      <w:r>
        <w:rPr>
          <w:rFonts w:ascii="Arial" w:hAnsi="Arial" w:cs="Arial"/>
        </w:rPr>
        <w:t>otherwise</w:t>
      </w:r>
      <w:r>
        <w:rPr>
          <w:rFonts w:ascii="Arial" w:hAnsi="Arial" w:cs="Arial"/>
          <w:spacing w:val="-3"/>
        </w:rPr>
        <w:t xml:space="preserve"> </w:t>
      </w:r>
      <w:r>
        <w:rPr>
          <w:rFonts w:ascii="Arial" w:hAnsi="Arial" w:cs="Arial"/>
        </w:rPr>
        <w:t>meet</w:t>
      </w:r>
      <w:r>
        <w:rPr>
          <w:rFonts w:ascii="Arial" w:hAnsi="Arial" w:cs="Arial"/>
          <w:spacing w:val="-3"/>
        </w:rPr>
        <w:t xml:space="preserve"> </w:t>
      </w:r>
      <w:r>
        <w:rPr>
          <w:rFonts w:ascii="Arial" w:hAnsi="Arial" w:cs="Arial"/>
        </w:rPr>
        <w:t>criteria</w:t>
      </w:r>
      <w:r>
        <w:rPr>
          <w:rFonts w:ascii="Arial" w:hAnsi="Arial" w:cs="Arial"/>
          <w:spacing w:val="-3"/>
        </w:rPr>
        <w:t xml:space="preserve"> </w:t>
      </w:r>
      <w:r>
        <w:rPr>
          <w:rFonts w:ascii="Arial" w:hAnsi="Arial" w:cs="Arial"/>
        </w:rPr>
        <w:t>for</w:t>
      </w:r>
      <w:r>
        <w:rPr>
          <w:rFonts w:ascii="Arial" w:hAnsi="Arial" w:cs="Arial"/>
          <w:spacing w:val="-3"/>
        </w:rPr>
        <w:t xml:space="preserve"> </w:t>
      </w:r>
      <w:r>
        <w:rPr>
          <w:rFonts w:ascii="Arial" w:hAnsi="Arial" w:cs="Arial"/>
        </w:rPr>
        <w:t>RRT,</w:t>
      </w:r>
      <w:r>
        <w:rPr>
          <w:rFonts w:ascii="Arial" w:hAnsi="Arial" w:cs="Arial"/>
          <w:spacing w:val="-3"/>
        </w:rPr>
        <w:t xml:space="preserve"> </w:t>
      </w:r>
      <w:r>
        <w:rPr>
          <w:rFonts w:ascii="Arial" w:hAnsi="Arial" w:cs="Arial"/>
        </w:rPr>
        <w:t>ie,</w:t>
      </w:r>
      <w:r>
        <w:rPr>
          <w:rFonts w:ascii="Arial" w:hAnsi="Arial" w:cs="Arial"/>
          <w:spacing w:val="-2"/>
        </w:rPr>
        <w:t xml:space="preserve"> </w:t>
      </w:r>
      <w:r>
        <w:rPr>
          <w:rFonts w:ascii="Arial" w:hAnsi="Arial" w:cs="Arial"/>
        </w:rPr>
        <w:t>creatinine</w:t>
      </w:r>
      <w:r>
        <w:rPr>
          <w:rFonts w:ascii="Arial" w:hAnsi="Arial" w:cs="Arial"/>
          <w:spacing w:val="-3"/>
        </w:rPr>
        <w:t xml:space="preserve"> </w:t>
      </w:r>
      <w:r>
        <w:rPr>
          <w:rFonts w:ascii="Arial" w:hAnsi="Arial" w:cs="Arial"/>
        </w:rPr>
        <w:t>level</w:t>
      </w:r>
      <w:r>
        <w:rPr>
          <w:rFonts w:ascii="Arial" w:hAnsi="Arial" w:cs="Arial"/>
          <w:spacing w:val="-3"/>
        </w:rPr>
        <w:t xml:space="preserve"> </w:t>
      </w:r>
      <w:r>
        <w:rPr>
          <w:rFonts w:ascii="Arial" w:hAnsi="Arial" w:cs="Arial"/>
        </w:rPr>
        <w:t>greater</w:t>
      </w:r>
      <w:r>
        <w:rPr>
          <w:rFonts w:ascii="Arial" w:hAnsi="Arial" w:cs="Arial"/>
          <w:spacing w:val="-3"/>
        </w:rPr>
        <w:t xml:space="preserve"> </w:t>
      </w:r>
      <w:r>
        <w:rPr>
          <w:rFonts w:ascii="Arial" w:hAnsi="Arial" w:cs="Arial"/>
        </w:rPr>
        <w:t>than</w:t>
      </w:r>
      <w:r>
        <w:rPr>
          <w:rFonts w:ascii="Arial" w:hAnsi="Arial" w:cs="Arial"/>
          <w:spacing w:val="-3"/>
        </w:rPr>
        <w:t xml:space="preserve"> </w:t>
      </w:r>
      <w:r>
        <w:rPr>
          <w:rFonts w:ascii="Arial" w:hAnsi="Arial" w:cs="Arial"/>
        </w:rPr>
        <w:t>1.2</w:t>
      </w:r>
      <w:r>
        <w:rPr>
          <w:rFonts w:ascii="Arial" w:hAnsi="Arial" w:cs="Arial"/>
          <w:spacing w:val="-3"/>
        </w:rPr>
        <w:t xml:space="preserve"> </w:t>
      </w:r>
      <w:r>
        <w:rPr>
          <w:rFonts w:ascii="Arial" w:hAnsi="Arial" w:cs="Arial"/>
        </w:rPr>
        <w:t>mg/dL</w:t>
      </w:r>
      <w:r>
        <w:rPr>
          <w:rFonts w:ascii="Arial" w:hAnsi="Arial" w:cs="Arial"/>
          <w:spacing w:val="-3"/>
        </w:rPr>
        <w:t xml:space="preserve"> </w:t>
      </w:r>
      <w:r>
        <w:rPr>
          <w:rFonts w:ascii="Arial" w:hAnsi="Arial" w:cs="Arial"/>
        </w:rPr>
        <w:t>(</w:t>
      </w:r>
      <w:r>
        <w:rPr>
          <w:rFonts w:ascii="Arial" w:hAnsi="Arial" w:cs="Arial"/>
          <w:i/>
        </w:rPr>
        <w:t>&gt;</w:t>
      </w:r>
      <w:r>
        <w:rPr>
          <w:rFonts w:ascii="Arial" w:hAnsi="Arial" w:cs="Arial"/>
        </w:rPr>
        <w:t>110</w:t>
      </w:r>
      <w:r>
        <w:rPr>
          <w:rFonts w:ascii="Arial" w:hAnsi="Arial" w:cs="Arial"/>
          <w:spacing w:val="-3"/>
        </w:rPr>
        <w:t xml:space="preserve"> </w:t>
      </w:r>
      <w:r>
        <w:rPr>
          <w:rFonts w:ascii="Arial" w:hAnsi="Arial" w:cs="Arial"/>
          <w:i/>
        </w:rPr>
        <w:t>µ</w:t>
      </w:r>
      <w:r>
        <w:rPr>
          <w:rFonts w:ascii="Arial" w:hAnsi="Arial" w:cs="Arial"/>
        </w:rPr>
        <w:t>mol/L)</w:t>
      </w:r>
      <w:r>
        <w:rPr>
          <w:rFonts w:ascii="Arial" w:hAnsi="Arial" w:cs="Arial"/>
          <w:spacing w:val="-2"/>
        </w:rPr>
        <w:t xml:space="preserve"> </w:t>
      </w:r>
      <w:r>
        <w:rPr>
          <w:rFonts w:ascii="Arial" w:hAnsi="Arial" w:cs="Arial"/>
        </w:rPr>
        <w:t>or</w:t>
      </w:r>
      <w:r>
        <w:rPr>
          <w:rFonts w:ascii="Arial" w:hAnsi="Arial" w:cs="Arial"/>
          <w:spacing w:val="-3"/>
        </w:rPr>
        <w:t xml:space="preserve"> </w:t>
      </w:r>
      <w:r>
        <w:rPr>
          <w:rFonts w:ascii="Arial" w:hAnsi="Arial" w:cs="Arial"/>
        </w:rPr>
        <w:t>oliguria</w:t>
      </w:r>
      <w:r>
        <w:rPr>
          <w:rFonts w:ascii="Arial" w:hAnsi="Arial" w:cs="Arial"/>
          <w:spacing w:val="-3"/>
        </w:rPr>
        <w:t xml:space="preserve"> </w:t>
      </w:r>
      <w:r>
        <w:rPr>
          <w:rFonts w:ascii="Arial" w:hAnsi="Arial" w:cs="Arial"/>
        </w:rPr>
        <w:t>(</w:t>
      </w:r>
      <w:r>
        <w:rPr>
          <w:rFonts w:ascii="Arial" w:hAnsi="Arial" w:cs="Arial"/>
          <w:i/>
        </w:rPr>
        <w:t>&lt;</w:t>
      </w:r>
      <w:r>
        <w:rPr>
          <w:rFonts w:ascii="Arial" w:hAnsi="Arial" w:cs="Arial"/>
        </w:rPr>
        <w:t>0.3</w:t>
      </w:r>
      <w:r>
        <w:rPr>
          <w:rFonts w:ascii="Arial" w:hAnsi="Arial" w:cs="Arial"/>
          <w:spacing w:val="-3"/>
        </w:rPr>
        <w:t xml:space="preserve"> </w:t>
      </w:r>
      <w:r>
        <w:rPr>
          <w:rFonts w:ascii="Arial" w:hAnsi="Arial" w:cs="Arial"/>
        </w:rPr>
        <w:t>mL/kg/h)</w:t>
      </w:r>
      <w:r>
        <w:rPr>
          <w:rFonts w:ascii="Arial" w:hAnsi="Arial" w:cs="Arial"/>
          <w:spacing w:val="-3"/>
        </w:rPr>
        <w:t xml:space="preserve"> </w:t>
      </w:r>
      <w:r>
        <w:rPr>
          <w:rFonts w:ascii="Arial" w:hAnsi="Arial" w:cs="Arial"/>
        </w:rPr>
        <w:t>for</w:t>
      </w:r>
      <w:r>
        <w:rPr>
          <w:rFonts w:ascii="Arial" w:hAnsi="Arial" w:cs="Arial"/>
          <w:spacing w:val="-3"/>
        </w:rPr>
        <w:t xml:space="preserve"> </w:t>
      </w:r>
      <w:r>
        <w:rPr>
          <w:rFonts w:ascii="Arial" w:hAnsi="Arial" w:cs="Arial"/>
        </w:rPr>
        <w:t>more</w:t>
      </w:r>
      <w:r>
        <w:rPr>
          <w:rFonts w:ascii="Arial" w:hAnsi="Arial" w:cs="Arial"/>
          <w:spacing w:val="-3"/>
        </w:rPr>
        <w:t xml:space="preserve"> </w:t>
      </w:r>
      <w:r>
        <w:rPr>
          <w:rFonts w:ascii="Arial" w:hAnsi="Arial" w:cs="Arial"/>
        </w:rPr>
        <w:t>than</w:t>
      </w:r>
      <w:r>
        <w:rPr>
          <w:rFonts w:ascii="Arial" w:hAnsi="Arial" w:cs="Arial"/>
          <w:spacing w:val="-3"/>
        </w:rPr>
        <w:t xml:space="preserve"> </w:t>
      </w:r>
      <w:r>
        <w:rPr>
          <w:rFonts w:ascii="Arial" w:hAnsi="Arial" w:cs="Arial"/>
        </w:rPr>
        <w:t>6</w:t>
      </w:r>
      <w:r>
        <w:rPr>
          <w:rFonts w:ascii="Arial" w:hAnsi="Arial" w:cs="Arial"/>
          <w:spacing w:val="-3"/>
        </w:rPr>
        <w:t xml:space="preserve"> </w:t>
      </w:r>
      <w:r>
        <w:rPr>
          <w:rFonts w:ascii="Arial" w:hAnsi="Arial" w:cs="Arial"/>
        </w:rPr>
        <w:t>hours</w:t>
      </w:r>
      <w:r>
        <w:rPr>
          <w:rFonts w:ascii="Arial" w:hAnsi="Arial" w:cs="Arial"/>
          <w:spacing w:val="-3"/>
        </w:rPr>
        <w:t xml:space="preserve"> </w:t>
      </w:r>
      <w:r>
        <w:rPr>
          <w:rFonts w:ascii="Arial" w:hAnsi="Arial" w:cs="Arial"/>
        </w:rPr>
        <w:t>plus</w:t>
      </w:r>
      <w:r>
        <w:rPr>
          <w:rFonts w:ascii="Arial" w:hAnsi="Arial" w:cs="Arial"/>
          <w:spacing w:val="40"/>
        </w:rPr>
        <w:t xml:space="preserve"> </w:t>
      </w:r>
      <w:r>
        <w:rPr>
          <w:rFonts w:ascii="Arial" w:hAnsi="Arial" w:cs="Arial"/>
        </w:rPr>
        <w:t>at</w:t>
      </w:r>
      <w:r>
        <w:rPr>
          <w:rFonts w:ascii="Arial" w:hAnsi="Arial" w:cs="Arial"/>
          <w:spacing w:val="-3"/>
        </w:rPr>
        <w:t xml:space="preserve"> </w:t>
      </w:r>
      <w:r>
        <w:rPr>
          <w:rFonts w:ascii="Arial" w:hAnsi="Arial" w:cs="Arial"/>
        </w:rPr>
        <w:t>least</w:t>
      </w:r>
      <w:r>
        <w:rPr>
          <w:rFonts w:ascii="Arial" w:hAnsi="Arial" w:cs="Arial"/>
          <w:spacing w:val="-3"/>
        </w:rPr>
        <w:t xml:space="preserve"> </w:t>
      </w:r>
      <w:r>
        <w:rPr>
          <w:rFonts w:ascii="Arial" w:hAnsi="Arial" w:cs="Arial"/>
        </w:rPr>
        <w:t>1</w:t>
      </w:r>
      <w:r>
        <w:rPr>
          <w:rFonts w:ascii="Arial" w:hAnsi="Arial" w:cs="Arial"/>
          <w:spacing w:val="-3"/>
        </w:rPr>
        <w:t xml:space="preserve"> </w:t>
      </w:r>
      <w:r>
        <w:rPr>
          <w:rFonts w:ascii="Arial" w:hAnsi="Arial" w:cs="Arial"/>
        </w:rPr>
        <w:t>of</w:t>
      </w:r>
      <w:r>
        <w:rPr>
          <w:rFonts w:ascii="Arial" w:hAnsi="Arial" w:cs="Arial"/>
          <w:spacing w:val="-3"/>
        </w:rPr>
        <w:t xml:space="preserve"> </w:t>
      </w:r>
      <w:r>
        <w:rPr>
          <w:rFonts w:ascii="Arial" w:hAnsi="Arial" w:cs="Arial"/>
        </w:rPr>
        <w:t>either</w:t>
      </w:r>
      <w:r>
        <w:rPr>
          <w:rFonts w:ascii="Arial" w:hAnsi="Arial" w:cs="Arial"/>
          <w:spacing w:val="-3"/>
        </w:rPr>
        <w:t xml:space="preserve"> </w:t>
      </w:r>
      <w:r>
        <w:rPr>
          <w:rFonts w:ascii="Arial" w:hAnsi="Arial" w:cs="Arial"/>
        </w:rPr>
        <w:t>serum</w:t>
      </w:r>
      <w:r>
        <w:rPr>
          <w:rFonts w:ascii="Arial" w:hAnsi="Arial" w:cs="Arial"/>
          <w:spacing w:val="-3"/>
        </w:rPr>
        <w:t xml:space="preserve"> </w:t>
      </w:r>
      <w:r>
        <w:rPr>
          <w:rFonts w:ascii="Arial" w:hAnsi="Arial" w:cs="Arial"/>
        </w:rPr>
        <w:t>potassium</w:t>
      </w:r>
      <w:r>
        <w:rPr>
          <w:rFonts w:ascii="Arial" w:hAnsi="Arial" w:cs="Arial"/>
          <w:spacing w:val="-3"/>
        </w:rPr>
        <w:t xml:space="preserve"> </w:t>
      </w:r>
      <w:r>
        <w:rPr>
          <w:rFonts w:ascii="Arial" w:hAnsi="Arial" w:cs="Arial"/>
        </w:rPr>
        <w:t>of</w:t>
      </w:r>
      <w:r>
        <w:rPr>
          <w:rFonts w:ascii="Arial" w:hAnsi="Arial" w:cs="Arial"/>
          <w:spacing w:val="-3"/>
        </w:rPr>
        <w:t xml:space="preserve"> </w:t>
      </w:r>
      <w:r>
        <w:rPr>
          <w:rFonts w:ascii="Arial" w:hAnsi="Arial" w:cs="Arial"/>
        </w:rPr>
        <w:t>6.0</w:t>
      </w:r>
      <w:r>
        <w:rPr>
          <w:rFonts w:ascii="Arial" w:hAnsi="Arial" w:cs="Arial"/>
          <w:spacing w:val="-3"/>
        </w:rPr>
        <w:t xml:space="preserve"> </w:t>
      </w:r>
      <w:r>
        <w:rPr>
          <w:rFonts w:ascii="Arial" w:hAnsi="Arial" w:cs="Arial"/>
        </w:rPr>
        <w:t>mmol/L</w:t>
      </w:r>
      <w:r>
        <w:rPr>
          <w:rFonts w:ascii="Arial" w:hAnsi="Arial" w:cs="Arial"/>
          <w:spacing w:val="-3"/>
        </w:rPr>
        <w:t xml:space="preserve"> </w:t>
      </w:r>
      <w:r>
        <w:rPr>
          <w:rFonts w:ascii="Arial" w:hAnsi="Arial" w:cs="Arial"/>
        </w:rPr>
        <w:t>or</w:t>
      </w:r>
      <w:r>
        <w:rPr>
          <w:rFonts w:ascii="Arial" w:hAnsi="Arial" w:cs="Arial"/>
          <w:spacing w:val="-3"/>
        </w:rPr>
        <w:t xml:space="preserve"> </w:t>
      </w:r>
      <w:r>
        <w:rPr>
          <w:rFonts w:ascii="Arial" w:hAnsi="Arial" w:cs="Arial"/>
        </w:rPr>
        <w:t>greater</w:t>
      </w:r>
      <w:r>
        <w:rPr>
          <w:rFonts w:ascii="Arial" w:hAnsi="Arial" w:cs="Arial"/>
          <w:spacing w:val="-3"/>
        </w:rPr>
        <w:t xml:space="preserve"> </w:t>
      </w:r>
      <w:r>
        <w:rPr>
          <w:rFonts w:ascii="Arial" w:hAnsi="Arial" w:cs="Arial"/>
        </w:rPr>
        <w:t>or</w:t>
      </w:r>
      <w:r>
        <w:rPr>
          <w:rFonts w:ascii="Arial" w:hAnsi="Arial" w:cs="Arial"/>
          <w:spacing w:val="-3"/>
        </w:rPr>
        <w:t xml:space="preserve"> </w:t>
      </w:r>
      <w:r>
        <w:rPr>
          <w:rFonts w:ascii="Arial" w:hAnsi="Arial" w:cs="Arial"/>
        </w:rPr>
        <w:t>metabolic</w:t>
      </w:r>
      <w:r>
        <w:rPr>
          <w:rFonts w:ascii="Arial" w:hAnsi="Arial" w:cs="Arial"/>
          <w:spacing w:val="-3"/>
        </w:rPr>
        <w:t xml:space="preserve"> </w:t>
      </w:r>
      <w:r>
        <w:rPr>
          <w:rFonts w:ascii="Arial" w:hAnsi="Arial" w:cs="Arial"/>
        </w:rPr>
        <w:t>acidosis</w:t>
      </w:r>
      <w:r>
        <w:rPr>
          <w:rFonts w:ascii="Arial" w:hAnsi="Arial" w:cs="Arial"/>
          <w:spacing w:val="-3"/>
        </w:rPr>
        <w:t xml:space="preserve"> </w:t>
      </w:r>
      <w:r>
        <w:rPr>
          <w:rFonts w:ascii="Arial" w:hAnsi="Arial" w:cs="Arial"/>
        </w:rPr>
        <w:t>with</w:t>
      </w:r>
      <w:r>
        <w:rPr>
          <w:rFonts w:ascii="Arial" w:hAnsi="Arial" w:cs="Arial"/>
          <w:spacing w:val="-3"/>
        </w:rPr>
        <w:t xml:space="preserve"> </w:t>
      </w:r>
      <w:r>
        <w:rPr>
          <w:rFonts w:ascii="Arial" w:hAnsi="Arial" w:cs="Arial"/>
        </w:rPr>
        <w:t>pH</w:t>
      </w:r>
      <w:r>
        <w:rPr>
          <w:rFonts w:ascii="Arial" w:hAnsi="Arial" w:cs="Arial"/>
          <w:spacing w:val="-3"/>
        </w:rPr>
        <w:t xml:space="preserve"> </w:t>
      </w:r>
      <w:r>
        <w:rPr>
          <w:rFonts w:ascii="Arial" w:hAnsi="Arial" w:cs="Arial"/>
        </w:rPr>
        <w:t>of</w:t>
      </w:r>
      <w:r>
        <w:rPr>
          <w:rFonts w:ascii="Arial" w:hAnsi="Arial" w:cs="Arial"/>
          <w:spacing w:val="-3"/>
        </w:rPr>
        <w:t xml:space="preserve"> </w:t>
      </w:r>
      <w:r>
        <w:rPr>
          <w:rFonts w:ascii="Arial" w:hAnsi="Arial" w:cs="Arial"/>
        </w:rPr>
        <w:t>7.20</w:t>
      </w:r>
      <w:r>
        <w:rPr>
          <w:rFonts w:ascii="Arial" w:hAnsi="Arial" w:cs="Arial"/>
          <w:spacing w:val="-3"/>
        </w:rPr>
        <w:t xml:space="preserve"> </w:t>
      </w:r>
      <w:r>
        <w:rPr>
          <w:rFonts w:ascii="Arial" w:hAnsi="Arial" w:cs="Arial"/>
        </w:rPr>
        <w:t>or</w:t>
      </w:r>
      <w:r>
        <w:rPr>
          <w:rFonts w:ascii="Arial" w:hAnsi="Arial" w:cs="Arial"/>
          <w:spacing w:val="-3"/>
        </w:rPr>
        <w:t xml:space="preserve"> </w:t>
      </w:r>
      <w:r>
        <w:rPr>
          <w:rFonts w:ascii="Arial" w:hAnsi="Arial" w:cs="Arial"/>
        </w:rPr>
        <w:t>less</w:t>
      </w:r>
      <w:r>
        <w:rPr>
          <w:rFonts w:ascii="Arial" w:hAnsi="Arial" w:cs="Arial"/>
          <w:spacing w:val="-3"/>
        </w:rPr>
        <w:t xml:space="preserve"> </w:t>
      </w:r>
      <w:r>
        <w:rPr>
          <w:rFonts w:ascii="Arial" w:hAnsi="Arial" w:cs="Arial"/>
        </w:rPr>
        <w:t>and</w:t>
      </w:r>
      <w:r>
        <w:rPr>
          <w:rFonts w:ascii="Arial" w:hAnsi="Arial" w:cs="Arial"/>
          <w:spacing w:val="-3"/>
        </w:rPr>
        <w:t xml:space="preserve"> </w:t>
      </w:r>
      <w:r>
        <w:rPr>
          <w:rFonts w:ascii="Arial" w:hAnsi="Arial" w:cs="Arial"/>
        </w:rPr>
        <w:t>serum</w:t>
      </w:r>
      <w:r>
        <w:rPr>
          <w:rFonts w:ascii="Arial" w:hAnsi="Arial" w:cs="Arial"/>
          <w:spacing w:val="-3"/>
        </w:rPr>
        <w:t xml:space="preserve"> </w:t>
      </w:r>
      <w:r>
        <w:rPr>
          <w:rFonts w:ascii="Arial" w:hAnsi="Arial" w:cs="Arial"/>
        </w:rPr>
        <w:t>bicarbonate</w:t>
      </w:r>
      <w:r>
        <w:rPr>
          <w:rFonts w:ascii="Arial" w:hAnsi="Arial" w:cs="Arial"/>
          <w:spacing w:val="-3"/>
        </w:rPr>
        <w:t xml:space="preserve"> </w:t>
      </w:r>
      <w:r>
        <w:rPr>
          <w:rFonts w:ascii="Arial" w:hAnsi="Arial" w:cs="Arial"/>
        </w:rPr>
        <w:t>of</w:t>
      </w:r>
      <w:r>
        <w:rPr>
          <w:rFonts w:ascii="Arial" w:hAnsi="Arial" w:cs="Arial"/>
          <w:spacing w:val="-3"/>
        </w:rPr>
        <w:t xml:space="preserve"> </w:t>
      </w:r>
      <w:r>
        <w:rPr>
          <w:rFonts w:ascii="Arial" w:hAnsi="Arial" w:cs="Arial"/>
        </w:rPr>
        <w:t>12</w:t>
      </w:r>
      <w:r>
        <w:rPr>
          <w:rFonts w:ascii="Arial" w:hAnsi="Arial" w:cs="Arial"/>
          <w:spacing w:val="-3"/>
        </w:rPr>
        <w:t xml:space="preserve"> </w:t>
      </w:r>
      <w:r>
        <w:rPr>
          <w:rFonts w:ascii="Arial" w:hAnsi="Arial" w:cs="Arial"/>
        </w:rPr>
        <w:t>mmol/L</w:t>
      </w:r>
      <w:r>
        <w:rPr>
          <w:rFonts w:ascii="Arial" w:hAnsi="Arial" w:cs="Arial"/>
          <w:spacing w:val="-3"/>
        </w:rPr>
        <w:t xml:space="preserve"> </w:t>
      </w:r>
      <w:r>
        <w:rPr>
          <w:rFonts w:ascii="Arial" w:hAnsi="Arial" w:cs="Arial"/>
        </w:rPr>
        <w:t>or</w:t>
      </w:r>
      <w:r>
        <w:rPr>
          <w:rFonts w:ascii="Arial" w:hAnsi="Arial" w:cs="Arial"/>
          <w:spacing w:val="40"/>
        </w:rPr>
        <w:t xml:space="preserve"> </w:t>
      </w:r>
      <w:r>
        <w:rPr>
          <w:rFonts w:ascii="Arial" w:hAnsi="Arial" w:cs="Arial"/>
          <w:spacing w:val="-2"/>
        </w:rPr>
        <w:t>less.</w:t>
      </w:r>
    </w:p>
    <w:p w14:paraId="6D92E37C">
      <w:pPr>
        <w:pStyle w:val="5"/>
        <w:rPr>
          <w:rFonts w:ascii="Arial" w:hAnsi="Arial" w:cs="Arial"/>
        </w:rPr>
      </w:pPr>
      <w:r>
        <w:rPr>
          <w:rFonts w:hint="eastAsia" w:ascii="Arial" w:hAnsi="Arial" w:cs="Arial" w:eastAsiaTheme="minorEastAsia"/>
          <w:position w:val="6"/>
          <w:lang w:eastAsia="zh-CN"/>
        </w:rPr>
        <w:t>o</w:t>
      </w:r>
      <w:r>
        <w:rPr>
          <w:rFonts w:ascii="Arial" w:hAnsi="Arial" w:cs="Arial"/>
          <w:spacing w:val="11"/>
          <w:position w:val="6"/>
        </w:rPr>
        <w:t xml:space="preserve"> </w:t>
      </w:r>
      <w:r>
        <w:rPr>
          <w:rFonts w:ascii="Arial" w:hAnsi="Arial" w:cs="Arial"/>
        </w:rPr>
        <w:t>For</w:t>
      </w:r>
      <w:r>
        <w:rPr>
          <w:rFonts w:ascii="Arial" w:hAnsi="Arial" w:cs="Arial"/>
          <w:spacing w:val="-7"/>
        </w:rPr>
        <w:t xml:space="preserve"> </w:t>
      </w:r>
      <w:r>
        <w:rPr>
          <w:rFonts w:ascii="Arial" w:hAnsi="Arial" w:cs="Arial"/>
        </w:rPr>
        <w:t>patients</w:t>
      </w:r>
      <w:r>
        <w:rPr>
          <w:rFonts w:ascii="Arial" w:hAnsi="Arial" w:cs="Arial"/>
          <w:spacing w:val="-7"/>
        </w:rPr>
        <w:t xml:space="preserve"> </w:t>
      </w:r>
      <w:r>
        <w:rPr>
          <w:rFonts w:ascii="Arial" w:hAnsi="Arial" w:cs="Arial"/>
        </w:rPr>
        <w:t>receiving</w:t>
      </w:r>
      <w:r>
        <w:rPr>
          <w:rFonts w:ascii="Arial" w:hAnsi="Arial" w:cs="Arial"/>
          <w:spacing w:val="-7"/>
        </w:rPr>
        <w:t xml:space="preserve"> </w:t>
      </w:r>
      <w:r>
        <w:rPr>
          <w:rFonts w:ascii="Arial" w:hAnsi="Arial" w:cs="Arial"/>
        </w:rPr>
        <w:t>intermittent</w:t>
      </w:r>
      <w:r>
        <w:rPr>
          <w:rFonts w:ascii="Arial" w:hAnsi="Arial" w:cs="Arial"/>
          <w:spacing w:val="-7"/>
        </w:rPr>
        <w:t xml:space="preserve"> </w:t>
      </w:r>
      <w:r>
        <w:rPr>
          <w:rFonts w:ascii="Arial" w:hAnsi="Arial" w:cs="Arial"/>
        </w:rPr>
        <w:t>RRT,</w:t>
      </w:r>
      <w:r>
        <w:rPr>
          <w:rFonts w:ascii="Arial" w:hAnsi="Arial" w:cs="Arial"/>
          <w:spacing w:val="-7"/>
        </w:rPr>
        <w:t xml:space="preserve"> </w:t>
      </w:r>
      <w:r>
        <w:rPr>
          <w:rFonts w:ascii="Arial" w:hAnsi="Arial" w:cs="Arial"/>
        </w:rPr>
        <w:t>score</w:t>
      </w:r>
      <w:r>
        <w:rPr>
          <w:rFonts w:ascii="Arial" w:hAnsi="Arial" w:cs="Arial"/>
          <w:spacing w:val="-7"/>
        </w:rPr>
        <w:t xml:space="preserve"> </w:t>
      </w:r>
      <w:r>
        <w:rPr>
          <w:rFonts w:ascii="Arial" w:hAnsi="Arial" w:cs="Arial"/>
        </w:rPr>
        <w:t>4</w:t>
      </w:r>
      <w:r>
        <w:rPr>
          <w:rFonts w:ascii="Arial" w:hAnsi="Arial" w:cs="Arial"/>
          <w:spacing w:val="-8"/>
        </w:rPr>
        <w:t xml:space="preserve"> </w:t>
      </w:r>
      <w:r>
        <w:rPr>
          <w:rFonts w:ascii="Arial" w:hAnsi="Arial" w:cs="Arial"/>
        </w:rPr>
        <w:t>points</w:t>
      </w:r>
      <w:r>
        <w:rPr>
          <w:rFonts w:ascii="Arial" w:hAnsi="Arial" w:cs="Arial"/>
          <w:spacing w:val="-7"/>
        </w:rPr>
        <w:t xml:space="preserve"> </w:t>
      </w:r>
      <w:r>
        <w:rPr>
          <w:rFonts w:ascii="Arial" w:hAnsi="Arial" w:cs="Arial"/>
        </w:rPr>
        <w:t>on</w:t>
      </w:r>
      <w:r>
        <w:rPr>
          <w:rFonts w:ascii="Arial" w:hAnsi="Arial" w:cs="Arial"/>
          <w:spacing w:val="-7"/>
        </w:rPr>
        <w:t xml:space="preserve"> </w:t>
      </w:r>
      <w:r>
        <w:rPr>
          <w:rFonts w:ascii="Arial" w:hAnsi="Arial" w:cs="Arial"/>
        </w:rPr>
        <w:t>days</w:t>
      </w:r>
      <w:r>
        <w:rPr>
          <w:rFonts w:ascii="Arial" w:hAnsi="Arial" w:cs="Arial"/>
          <w:spacing w:val="-7"/>
        </w:rPr>
        <w:t xml:space="preserve"> </w:t>
      </w:r>
      <w:r>
        <w:rPr>
          <w:rFonts w:ascii="Arial" w:hAnsi="Arial" w:cs="Arial"/>
        </w:rPr>
        <w:t>not</w:t>
      </w:r>
      <w:r>
        <w:rPr>
          <w:rFonts w:ascii="Arial" w:hAnsi="Arial" w:cs="Arial"/>
          <w:spacing w:val="-7"/>
        </w:rPr>
        <w:t xml:space="preserve"> </w:t>
      </w:r>
      <w:r>
        <w:rPr>
          <w:rFonts w:ascii="Arial" w:hAnsi="Arial" w:cs="Arial"/>
        </w:rPr>
        <w:t>receiving</w:t>
      </w:r>
      <w:r>
        <w:rPr>
          <w:rFonts w:ascii="Arial" w:hAnsi="Arial" w:cs="Arial"/>
          <w:spacing w:val="-7"/>
        </w:rPr>
        <w:t xml:space="preserve"> </w:t>
      </w:r>
      <w:r>
        <w:rPr>
          <w:rFonts w:ascii="Arial" w:hAnsi="Arial" w:cs="Arial"/>
        </w:rPr>
        <w:t>RRT</w:t>
      </w:r>
      <w:r>
        <w:rPr>
          <w:rFonts w:ascii="Arial" w:hAnsi="Arial" w:cs="Arial"/>
          <w:spacing w:val="-7"/>
        </w:rPr>
        <w:t xml:space="preserve"> </w:t>
      </w:r>
      <w:r>
        <w:rPr>
          <w:rFonts w:ascii="Arial" w:hAnsi="Arial" w:cs="Arial"/>
        </w:rPr>
        <w:t>until</w:t>
      </w:r>
      <w:r>
        <w:rPr>
          <w:rFonts w:ascii="Arial" w:hAnsi="Arial" w:cs="Arial"/>
          <w:spacing w:val="-7"/>
        </w:rPr>
        <w:t xml:space="preserve"> </w:t>
      </w:r>
      <w:r>
        <w:rPr>
          <w:rFonts w:ascii="Arial" w:hAnsi="Arial" w:cs="Arial"/>
        </w:rPr>
        <w:t>RRT</w:t>
      </w:r>
      <w:r>
        <w:rPr>
          <w:rFonts w:ascii="Arial" w:hAnsi="Arial" w:cs="Arial"/>
          <w:spacing w:val="-7"/>
        </w:rPr>
        <w:t xml:space="preserve"> </w:t>
      </w:r>
      <w:r>
        <w:rPr>
          <w:rFonts w:ascii="Arial" w:hAnsi="Arial" w:cs="Arial"/>
        </w:rPr>
        <w:t>use</w:t>
      </w:r>
      <w:r>
        <w:rPr>
          <w:rFonts w:ascii="Arial" w:hAnsi="Arial" w:cs="Arial"/>
          <w:spacing w:val="-7"/>
        </w:rPr>
        <w:t xml:space="preserve"> </w:t>
      </w:r>
      <w:r>
        <w:rPr>
          <w:rFonts w:ascii="Arial" w:hAnsi="Arial" w:cs="Arial"/>
        </w:rPr>
        <w:t>is</w:t>
      </w:r>
      <w:r>
        <w:rPr>
          <w:rFonts w:ascii="Arial" w:hAnsi="Arial" w:cs="Arial"/>
          <w:spacing w:val="-7"/>
        </w:rPr>
        <w:t xml:space="preserve"> </w:t>
      </w:r>
      <w:r>
        <w:rPr>
          <w:rFonts w:ascii="Arial" w:hAnsi="Arial" w:cs="Arial"/>
          <w:spacing w:val="-2"/>
        </w:rPr>
        <w:t>terminated.</w:t>
      </w:r>
    </w:p>
    <w:p w14:paraId="7492EEDE">
      <w:pPr>
        <w:pStyle w:val="5"/>
        <w:jc w:val="both"/>
        <w:sectPr>
          <w:pgSz w:w="12240" w:h="15840"/>
          <w:pgMar w:top="1440" w:right="1080" w:bottom="1040" w:left="1440" w:header="0" w:footer="844" w:gutter="0"/>
          <w:lnNumType w:countBy="1" w:restart="continuous"/>
          <w:cols w:space="720" w:num="1"/>
        </w:sectPr>
      </w:pPr>
    </w:p>
    <w:p w14:paraId="466C15AF">
      <w:pPr>
        <w:pStyle w:val="28"/>
        <w:rPr>
          <w:rFonts w:eastAsiaTheme="minorEastAsia"/>
          <w:lang w:eastAsia="zh-CN"/>
        </w:rPr>
      </w:pPr>
      <w:bookmarkStart w:id="8" w:name="_Toc218072620"/>
      <w:bookmarkStart w:id="9" w:name="_Tocxpv9ju"/>
      <w:r>
        <w:t>eTable</w:t>
      </w:r>
      <w:r>
        <w:rPr>
          <w:spacing w:val="-11"/>
        </w:rPr>
        <w:t xml:space="preserve"> </w:t>
      </w:r>
      <w:r>
        <w:t>3.</w:t>
      </w:r>
      <w:r>
        <w:rPr>
          <w:spacing w:val="-1"/>
        </w:rPr>
        <w:t xml:space="preserve"> </w:t>
      </w:r>
      <w:r>
        <w:t>Detailed</w:t>
      </w:r>
      <w:r>
        <w:rPr>
          <w:spacing w:val="-10"/>
        </w:rPr>
        <w:t xml:space="preserve"> </w:t>
      </w:r>
      <w:r>
        <w:t>Baseline</w:t>
      </w:r>
      <w:r>
        <w:rPr>
          <w:spacing w:val="-10"/>
        </w:rPr>
        <w:t xml:space="preserve"> </w:t>
      </w:r>
      <w:r>
        <w:t>Characteristics</w:t>
      </w:r>
      <w:r>
        <w:rPr>
          <w:spacing w:val="-10"/>
        </w:rPr>
        <w:t xml:space="preserve"> </w:t>
      </w:r>
      <w:r>
        <w:t>by</w:t>
      </w:r>
      <w:r>
        <w:rPr>
          <w:spacing w:val="-10"/>
        </w:rPr>
        <w:t xml:space="preserve"> </w:t>
      </w:r>
      <w:r>
        <w:t>Diagnostic</w:t>
      </w:r>
      <w:r>
        <w:rPr>
          <w:spacing w:val="-10"/>
        </w:rPr>
        <w:t xml:space="preserve"> </w:t>
      </w:r>
      <w:r>
        <w:t>Group</w:t>
      </w:r>
      <w:r>
        <w:rPr>
          <w:spacing w:val="-10"/>
        </w:rPr>
        <w:t xml:space="preserve"> </w:t>
      </w:r>
      <w:r>
        <w:t>(MIMIC-</w:t>
      </w:r>
      <w:r>
        <w:rPr>
          <w:spacing w:val="-5"/>
        </w:rPr>
        <w:t>IV)</w:t>
      </w:r>
      <w:bookmarkEnd w:id="8"/>
      <w:r>
        <w:tab/>
      </w:r>
      <w:bookmarkEnd w:id="9"/>
    </w:p>
    <w:tbl>
      <w:tblPr>
        <w:tblStyle w:val="17"/>
        <w:tblW w:w="0" w:type="auto"/>
        <w:tblInd w:w="0" w:type="dxa"/>
        <w:tblLayout w:type="fixed"/>
        <w:tblCellMar>
          <w:top w:w="15" w:type="dxa"/>
          <w:left w:w="15" w:type="dxa"/>
          <w:bottom w:w="15" w:type="dxa"/>
          <w:right w:w="15" w:type="dxa"/>
        </w:tblCellMar>
      </w:tblPr>
      <w:tblGrid>
        <w:gridCol w:w="2666"/>
        <w:gridCol w:w="2356"/>
        <w:gridCol w:w="1527"/>
        <w:gridCol w:w="1310"/>
        <w:gridCol w:w="1238"/>
        <w:gridCol w:w="623"/>
      </w:tblGrid>
      <w:tr w14:paraId="02EBBB14">
        <w:trPr>
          <w:cantSplit/>
        </w:trPr>
        <w:tc>
          <w:tcPr>
            <w:tcW w:w="2666" w:type="dxa"/>
            <w:tcBorders>
              <w:top w:val="single" w:color="auto" w:sz="12" w:space="0"/>
              <w:bottom w:val="single" w:color="auto" w:sz="12" w:space="0"/>
            </w:tcBorders>
            <w:vAlign w:val="center"/>
          </w:tcPr>
          <w:p w14:paraId="51D649CB">
            <w:pPr>
              <w:pStyle w:val="35"/>
              <w:spacing w:before="0"/>
              <w:rPr>
                <w:rFonts w:ascii="Arial" w:hAnsi="Arial" w:cs="Arial" w:eastAsiaTheme="minorEastAsia"/>
                <w:b/>
                <w:bCs/>
                <w:sz w:val="20"/>
                <w:szCs w:val="20"/>
                <w:lang w:eastAsia="zh-CN"/>
              </w:rPr>
            </w:pPr>
            <w:r>
              <w:rPr>
                <w:rFonts w:ascii="Arial" w:hAnsi="Arial" w:cs="Arial" w:eastAsiaTheme="minorEastAsia"/>
                <w:b/>
                <w:bCs/>
                <w:sz w:val="20"/>
                <w:szCs w:val="20"/>
                <w:lang w:eastAsia="zh-CN"/>
              </w:rPr>
              <w:t>Characteristic</w:t>
            </w:r>
          </w:p>
        </w:tc>
        <w:tc>
          <w:tcPr>
            <w:tcW w:w="2356" w:type="dxa"/>
            <w:tcBorders>
              <w:top w:val="single" w:color="auto" w:sz="12" w:space="0"/>
              <w:bottom w:val="single" w:color="auto" w:sz="12" w:space="0"/>
            </w:tcBorders>
            <w:vAlign w:val="center"/>
          </w:tcPr>
          <w:p w14:paraId="3332CD69">
            <w:pPr>
              <w:pStyle w:val="35"/>
              <w:spacing w:before="0"/>
              <w:rPr>
                <w:rFonts w:ascii="Arial" w:hAnsi="Arial" w:cs="Arial" w:eastAsiaTheme="minorEastAsia"/>
                <w:b/>
                <w:bCs/>
                <w:sz w:val="20"/>
                <w:szCs w:val="20"/>
                <w:lang w:eastAsia="zh-CN"/>
              </w:rPr>
            </w:pPr>
            <w:r>
              <w:rPr>
                <w:rFonts w:ascii="Arial" w:hAnsi="Arial" w:cs="Arial" w:eastAsiaTheme="minorEastAsia"/>
                <w:b/>
                <w:bCs/>
                <w:sz w:val="20"/>
                <w:szCs w:val="20"/>
                <w:lang w:eastAsia="zh-CN"/>
              </w:rPr>
              <w:t>Category</w:t>
            </w:r>
          </w:p>
        </w:tc>
        <w:tc>
          <w:tcPr>
            <w:tcW w:w="1527" w:type="dxa"/>
            <w:tcBorders>
              <w:top w:val="single" w:color="auto" w:sz="12" w:space="0"/>
              <w:bottom w:val="single" w:color="auto" w:sz="12" w:space="0"/>
            </w:tcBorders>
            <w:vAlign w:val="center"/>
          </w:tcPr>
          <w:p w14:paraId="474CD5C3">
            <w:pPr>
              <w:pStyle w:val="35"/>
              <w:spacing w:before="0"/>
              <w:rPr>
                <w:rFonts w:ascii="Arial" w:hAnsi="Arial" w:cs="Arial" w:eastAsiaTheme="minorEastAsia"/>
                <w:b/>
                <w:bCs/>
                <w:sz w:val="20"/>
                <w:szCs w:val="20"/>
                <w:lang w:eastAsia="zh-CN"/>
              </w:rPr>
            </w:pPr>
            <w:r>
              <w:rPr>
                <w:rFonts w:ascii="Arial" w:hAnsi="Arial" w:cs="Arial" w:eastAsiaTheme="minorEastAsia"/>
                <w:b/>
                <w:bCs/>
                <w:sz w:val="20"/>
                <w:szCs w:val="20"/>
                <w:lang w:eastAsia="zh-CN"/>
              </w:rPr>
              <w:t>Concordant Positive</w:t>
            </w:r>
          </w:p>
        </w:tc>
        <w:tc>
          <w:tcPr>
            <w:tcW w:w="1310" w:type="dxa"/>
            <w:tcBorders>
              <w:top w:val="single" w:color="auto" w:sz="12" w:space="0"/>
              <w:bottom w:val="single" w:color="auto" w:sz="12" w:space="0"/>
            </w:tcBorders>
            <w:vAlign w:val="center"/>
          </w:tcPr>
          <w:p w14:paraId="77CE438D">
            <w:pPr>
              <w:pStyle w:val="35"/>
              <w:spacing w:before="0"/>
              <w:rPr>
                <w:rFonts w:ascii="Arial" w:hAnsi="Arial" w:cs="Arial" w:eastAsiaTheme="minorEastAsia"/>
                <w:b/>
                <w:bCs/>
                <w:sz w:val="20"/>
                <w:szCs w:val="20"/>
                <w:lang w:eastAsia="zh-CN"/>
              </w:rPr>
            </w:pPr>
            <w:r>
              <w:rPr>
                <w:rFonts w:ascii="Arial" w:hAnsi="Arial" w:cs="Arial" w:eastAsiaTheme="minorEastAsia"/>
                <w:b/>
                <w:bCs/>
                <w:sz w:val="20"/>
                <w:szCs w:val="20"/>
                <w:lang w:eastAsia="zh-CN"/>
              </w:rPr>
              <w:t>SOFA-2 Only</w:t>
            </w:r>
          </w:p>
        </w:tc>
        <w:tc>
          <w:tcPr>
            <w:tcW w:w="1238" w:type="dxa"/>
            <w:tcBorders>
              <w:top w:val="single" w:color="auto" w:sz="12" w:space="0"/>
              <w:bottom w:val="single" w:color="auto" w:sz="12" w:space="0"/>
            </w:tcBorders>
            <w:vAlign w:val="center"/>
          </w:tcPr>
          <w:p w14:paraId="083A03B4">
            <w:pPr>
              <w:pStyle w:val="35"/>
              <w:spacing w:before="0"/>
              <w:rPr>
                <w:rFonts w:ascii="Arial" w:hAnsi="Arial" w:cs="Arial" w:eastAsiaTheme="minorEastAsia"/>
                <w:b/>
                <w:bCs/>
                <w:sz w:val="20"/>
                <w:szCs w:val="20"/>
                <w:lang w:eastAsia="zh-CN"/>
              </w:rPr>
            </w:pPr>
            <w:r>
              <w:rPr>
                <w:rFonts w:ascii="Arial" w:hAnsi="Arial" w:cs="Arial" w:eastAsiaTheme="minorEastAsia"/>
                <w:b/>
                <w:bCs/>
                <w:sz w:val="20"/>
                <w:szCs w:val="20"/>
                <w:lang w:eastAsia="zh-CN"/>
              </w:rPr>
              <w:t>SOFA-1 Only</w:t>
            </w:r>
          </w:p>
        </w:tc>
        <w:tc>
          <w:tcPr>
            <w:tcW w:w="623" w:type="dxa"/>
            <w:tcBorders>
              <w:top w:val="single" w:color="auto" w:sz="12" w:space="0"/>
              <w:bottom w:val="single" w:color="auto" w:sz="12" w:space="0"/>
            </w:tcBorders>
            <w:vAlign w:val="center"/>
          </w:tcPr>
          <w:p w14:paraId="33AB7480">
            <w:pPr>
              <w:pStyle w:val="35"/>
              <w:spacing w:before="0"/>
              <w:rPr>
                <w:rFonts w:ascii="Arial" w:hAnsi="Arial" w:cs="Arial" w:eastAsiaTheme="minorEastAsia"/>
                <w:b/>
                <w:bCs/>
                <w:sz w:val="20"/>
                <w:szCs w:val="20"/>
                <w:lang w:eastAsia="zh-CN"/>
              </w:rPr>
            </w:pPr>
            <w:r>
              <w:rPr>
                <w:rFonts w:ascii="Arial" w:hAnsi="Arial" w:cs="Arial" w:eastAsiaTheme="minorEastAsia"/>
                <w:b/>
                <w:bCs/>
                <w:sz w:val="20"/>
                <w:szCs w:val="20"/>
                <w:lang w:eastAsia="zh-CN"/>
              </w:rPr>
              <w:t>P value</w:t>
            </w:r>
          </w:p>
        </w:tc>
      </w:tr>
      <w:tr w14:paraId="096541B5">
        <w:trPr>
          <w:cantSplit/>
        </w:trPr>
        <w:tc>
          <w:tcPr>
            <w:tcW w:w="2666" w:type="dxa"/>
            <w:vAlign w:val="center"/>
          </w:tcPr>
          <w:p w14:paraId="5FDE7A94">
            <w:pPr>
              <w:pStyle w:val="35"/>
              <w:spacing w:before="0"/>
              <w:rPr>
                <w:rFonts w:ascii="Arial" w:hAnsi="Arial" w:cs="Arial" w:eastAsiaTheme="minorEastAsia"/>
                <w:sz w:val="20"/>
                <w:szCs w:val="20"/>
                <w:lang w:eastAsia="zh-CN"/>
              </w:rPr>
            </w:pPr>
            <w:r>
              <w:rPr>
                <w:rFonts w:ascii="Arial" w:hAnsi="Arial" w:cs="Arial" w:eastAsiaTheme="minorEastAsia"/>
                <w:sz w:val="20"/>
                <w:szCs w:val="20"/>
                <w:lang w:eastAsia="zh-CN"/>
              </w:rPr>
              <w:t>No. of patients</w:t>
            </w:r>
          </w:p>
        </w:tc>
        <w:tc>
          <w:tcPr>
            <w:tcW w:w="2356" w:type="dxa"/>
            <w:vAlign w:val="center"/>
          </w:tcPr>
          <w:p w14:paraId="37D64486">
            <w:pPr>
              <w:pStyle w:val="35"/>
              <w:spacing w:before="0"/>
              <w:rPr>
                <w:rFonts w:ascii="Arial" w:hAnsi="Arial" w:cs="Arial" w:eastAsiaTheme="minorEastAsia"/>
                <w:sz w:val="20"/>
                <w:szCs w:val="20"/>
                <w:lang w:eastAsia="zh-CN"/>
              </w:rPr>
            </w:pPr>
            <w:r>
              <w:rPr>
                <w:rFonts w:ascii="Arial" w:hAnsi="Arial" w:cs="Arial" w:eastAsiaTheme="minorEastAsia"/>
                <w:sz w:val="20"/>
                <w:szCs w:val="20"/>
                <w:lang w:eastAsia="zh-CN"/>
              </w:rPr>
              <w:t>Sample size</w:t>
            </w:r>
          </w:p>
        </w:tc>
        <w:tc>
          <w:tcPr>
            <w:tcW w:w="1527" w:type="dxa"/>
            <w:vAlign w:val="center"/>
          </w:tcPr>
          <w:p w14:paraId="25C2F385">
            <w:pPr>
              <w:pStyle w:val="35"/>
              <w:spacing w:before="0"/>
              <w:rPr>
                <w:rFonts w:ascii="Arial" w:hAnsi="Arial" w:cs="Arial" w:eastAsiaTheme="minorEastAsia"/>
                <w:sz w:val="20"/>
                <w:szCs w:val="20"/>
                <w:lang w:eastAsia="zh-CN"/>
              </w:rPr>
            </w:pPr>
            <w:r>
              <w:rPr>
                <w:rFonts w:ascii="Arial" w:hAnsi="Arial" w:cs="Arial" w:eastAsiaTheme="minorEastAsia"/>
                <w:sz w:val="20"/>
                <w:szCs w:val="20"/>
                <w:lang w:eastAsia="zh-CN"/>
              </w:rPr>
              <w:t>20,635</w:t>
            </w:r>
          </w:p>
        </w:tc>
        <w:tc>
          <w:tcPr>
            <w:tcW w:w="1310" w:type="dxa"/>
            <w:vAlign w:val="center"/>
          </w:tcPr>
          <w:p w14:paraId="728F4ED6">
            <w:pPr>
              <w:pStyle w:val="35"/>
              <w:spacing w:before="0"/>
              <w:rPr>
                <w:rFonts w:ascii="Arial" w:hAnsi="Arial" w:cs="Arial" w:eastAsiaTheme="minorEastAsia"/>
                <w:sz w:val="20"/>
                <w:szCs w:val="20"/>
                <w:lang w:eastAsia="zh-CN"/>
              </w:rPr>
            </w:pPr>
            <w:r>
              <w:rPr>
                <w:rFonts w:ascii="Arial" w:hAnsi="Arial" w:cs="Arial" w:eastAsiaTheme="minorEastAsia"/>
                <w:sz w:val="20"/>
                <w:szCs w:val="20"/>
                <w:lang w:eastAsia="zh-CN"/>
              </w:rPr>
              <w:t>2,724</w:t>
            </w:r>
          </w:p>
        </w:tc>
        <w:tc>
          <w:tcPr>
            <w:tcW w:w="1238" w:type="dxa"/>
            <w:vAlign w:val="center"/>
          </w:tcPr>
          <w:p w14:paraId="7E5CA9D5">
            <w:pPr>
              <w:pStyle w:val="35"/>
              <w:spacing w:before="0"/>
              <w:rPr>
                <w:rFonts w:ascii="Arial" w:hAnsi="Arial" w:cs="Arial" w:eastAsiaTheme="minorEastAsia"/>
                <w:sz w:val="20"/>
                <w:szCs w:val="20"/>
                <w:lang w:eastAsia="zh-CN"/>
              </w:rPr>
            </w:pPr>
            <w:r>
              <w:rPr>
                <w:rFonts w:ascii="Arial" w:hAnsi="Arial" w:cs="Arial" w:eastAsiaTheme="minorEastAsia"/>
                <w:sz w:val="20"/>
                <w:szCs w:val="20"/>
                <w:lang w:eastAsia="zh-CN"/>
              </w:rPr>
              <w:t>1,162</w:t>
            </w:r>
          </w:p>
        </w:tc>
        <w:tc>
          <w:tcPr>
            <w:tcW w:w="623" w:type="dxa"/>
            <w:vAlign w:val="center"/>
          </w:tcPr>
          <w:p w14:paraId="21033FD6">
            <w:pPr>
              <w:pStyle w:val="35"/>
              <w:spacing w:before="0"/>
              <w:rPr>
                <w:rFonts w:ascii="Arial" w:hAnsi="Arial" w:cs="Arial" w:eastAsiaTheme="minorEastAsia"/>
                <w:sz w:val="20"/>
                <w:szCs w:val="20"/>
                <w:lang w:eastAsia="zh-CN"/>
              </w:rPr>
            </w:pPr>
          </w:p>
        </w:tc>
      </w:tr>
      <w:tr w14:paraId="23D5BE6D">
        <w:trPr>
          <w:cantSplit/>
        </w:trPr>
        <w:tc>
          <w:tcPr>
            <w:tcW w:w="2666" w:type="dxa"/>
            <w:vAlign w:val="center"/>
          </w:tcPr>
          <w:p w14:paraId="3C7E9DC8">
            <w:pPr>
              <w:pStyle w:val="35"/>
              <w:spacing w:before="0"/>
              <w:rPr>
                <w:rFonts w:ascii="Arial" w:hAnsi="Arial" w:cs="Arial" w:eastAsiaTheme="minorEastAsia"/>
                <w:sz w:val="20"/>
                <w:szCs w:val="20"/>
                <w:lang w:eastAsia="zh-CN"/>
              </w:rPr>
            </w:pPr>
            <w:r>
              <w:rPr>
                <w:rFonts w:ascii="Arial" w:hAnsi="Arial" w:cs="Arial" w:eastAsiaTheme="minorEastAsia"/>
                <w:sz w:val="20"/>
                <w:szCs w:val="20"/>
                <w:lang w:eastAsia="zh-CN"/>
              </w:rPr>
              <w:t>Age, y</w:t>
            </w:r>
          </w:p>
        </w:tc>
        <w:tc>
          <w:tcPr>
            <w:tcW w:w="2356" w:type="dxa"/>
            <w:vAlign w:val="center"/>
          </w:tcPr>
          <w:p w14:paraId="666EC699">
            <w:pPr>
              <w:pStyle w:val="35"/>
              <w:spacing w:before="0"/>
              <w:rPr>
                <w:rFonts w:ascii="Arial" w:hAnsi="Arial" w:cs="Arial" w:eastAsiaTheme="minorEastAsia"/>
                <w:sz w:val="20"/>
                <w:szCs w:val="20"/>
                <w:lang w:eastAsia="zh-CN"/>
              </w:rPr>
            </w:pPr>
            <w:r>
              <w:rPr>
                <w:rFonts w:ascii="Arial" w:hAnsi="Arial" w:cs="Arial" w:eastAsiaTheme="minorEastAsia"/>
                <w:sz w:val="20"/>
                <w:szCs w:val="20"/>
                <w:lang w:eastAsia="zh-CN"/>
              </w:rPr>
              <w:t>Demographics</w:t>
            </w:r>
          </w:p>
        </w:tc>
        <w:tc>
          <w:tcPr>
            <w:tcW w:w="1527" w:type="dxa"/>
            <w:vAlign w:val="center"/>
          </w:tcPr>
          <w:p w14:paraId="735A5B4C">
            <w:pPr>
              <w:pStyle w:val="35"/>
              <w:spacing w:before="0"/>
              <w:rPr>
                <w:rFonts w:ascii="Arial" w:hAnsi="Arial" w:cs="Arial" w:eastAsiaTheme="minorEastAsia"/>
                <w:sz w:val="20"/>
                <w:szCs w:val="20"/>
                <w:lang w:eastAsia="zh-CN"/>
              </w:rPr>
            </w:pPr>
            <w:r>
              <w:rPr>
                <w:rFonts w:ascii="Arial" w:hAnsi="Arial" w:cs="Arial" w:eastAsiaTheme="minorEastAsia"/>
                <w:sz w:val="20"/>
                <w:szCs w:val="20"/>
                <w:lang w:eastAsia="zh-CN"/>
              </w:rPr>
              <w:t>63.65 ± 16.03</w:t>
            </w:r>
          </w:p>
        </w:tc>
        <w:tc>
          <w:tcPr>
            <w:tcW w:w="1310" w:type="dxa"/>
            <w:vAlign w:val="center"/>
          </w:tcPr>
          <w:p w14:paraId="111DBC1A">
            <w:pPr>
              <w:pStyle w:val="35"/>
              <w:spacing w:before="0"/>
              <w:rPr>
                <w:rFonts w:ascii="Arial" w:hAnsi="Arial" w:cs="Arial" w:eastAsiaTheme="minorEastAsia"/>
                <w:sz w:val="20"/>
                <w:szCs w:val="20"/>
                <w:lang w:eastAsia="zh-CN"/>
              </w:rPr>
            </w:pPr>
            <w:r>
              <w:rPr>
                <w:rFonts w:ascii="Arial" w:hAnsi="Arial" w:cs="Arial" w:eastAsiaTheme="minorEastAsia"/>
                <w:sz w:val="20"/>
                <w:szCs w:val="20"/>
                <w:lang w:eastAsia="zh-CN"/>
              </w:rPr>
              <w:t>62.47 ± 16.67</w:t>
            </w:r>
          </w:p>
        </w:tc>
        <w:tc>
          <w:tcPr>
            <w:tcW w:w="1238" w:type="dxa"/>
            <w:vAlign w:val="center"/>
          </w:tcPr>
          <w:p w14:paraId="460F0A4F">
            <w:pPr>
              <w:pStyle w:val="35"/>
              <w:spacing w:before="0"/>
              <w:rPr>
                <w:rFonts w:ascii="Arial" w:hAnsi="Arial" w:cs="Arial" w:eastAsiaTheme="minorEastAsia"/>
                <w:sz w:val="20"/>
                <w:szCs w:val="20"/>
                <w:lang w:eastAsia="zh-CN"/>
              </w:rPr>
            </w:pPr>
            <w:r>
              <w:rPr>
                <w:rFonts w:ascii="Arial" w:hAnsi="Arial" w:cs="Arial" w:eastAsiaTheme="minorEastAsia"/>
                <w:sz w:val="20"/>
                <w:szCs w:val="20"/>
                <w:lang w:eastAsia="zh-CN"/>
              </w:rPr>
              <w:t>62.90 ± 16.78</w:t>
            </w:r>
          </w:p>
        </w:tc>
        <w:tc>
          <w:tcPr>
            <w:tcW w:w="623" w:type="dxa"/>
            <w:vAlign w:val="center"/>
          </w:tcPr>
          <w:p w14:paraId="6BCA79A0">
            <w:pPr>
              <w:pStyle w:val="35"/>
              <w:spacing w:before="0"/>
              <w:rPr>
                <w:rFonts w:ascii="Arial" w:hAnsi="Arial" w:cs="Arial" w:eastAsiaTheme="minorEastAsia"/>
                <w:sz w:val="20"/>
                <w:szCs w:val="20"/>
                <w:lang w:eastAsia="zh-CN"/>
              </w:rPr>
            </w:pPr>
            <w:r>
              <w:rPr>
                <w:rFonts w:ascii="Arial" w:hAnsi="Arial" w:cs="Arial" w:eastAsiaTheme="minorEastAsia"/>
                <w:sz w:val="20"/>
                <w:szCs w:val="20"/>
                <w:lang w:eastAsia="zh-CN"/>
              </w:rPr>
              <w:t>.004</w:t>
            </w:r>
          </w:p>
        </w:tc>
      </w:tr>
      <w:tr w14:paraId="4371F385">
        <w:trPr>
          <w:cantSplit/>
        </w:trPr>
        <w:tc>
          <w:tcPr>
            <w:tcW w:w="2666" w:type="dxa"/>
            <w:vAlign w:val="center"/>
          </w:tcPr>
          <w:p w14:paraId="684B9310">
            <w:pPr>
              <w:pStyle w:val="35"/>
              <w:spacing w:before="0"/>
              <w:rPr>
                <w:rFonts w:ascii="Arial" w:hAnsi="Arial" w:cs="Arial" w:eastAsiaTheme="minorEastAsia"/>
                <w:sz w:val="20"/>
                <w:szCs w:val="20"/>
                <w:lang w:eastAsia="zh-CN"/>
              </w:rPr>
            </w:pPr>
            <w:r>
              <w:rPr>
                <w:rFonts w:ascii="Arial" w:hAnsi="Arial" w:cs="Arial" w:eastAsiaTheme="minorEastAsia"/>
                <w:sz w:val="20"/>
                <w:szCs w:val="20"/>
                <w:lang w:eastAsia="zh-CN"/>
              </w:rPr>
              <w:t>Male sex</w:t>
            </w:r>
          </w:p>
        </w:tc>
        <w:tc>
          <w:tcPr>
            <w:tcW w:w="2356" w:type="dxa"/>
            <w:vAlign w:val="center"/>
          </w:tcPr>
          <w:p w14:paraId="592E03D8">
            <w:pPr>
              <w:pStyle w:val="35"/>
              <w:spacing w:before="0"/>
              <w:rPr>
                <w:rFonts w:ascii="Arial" w:hAnsi="Arial" w:cs="Arial" w:eastAsiaTheme="minorEastAsia"/>
                <w:sz w:val="20"/>
                <w:szCs w:val="20"/>
                <w:lang w:eastAsia="zh-CN"/>
              </w:rPr>
            </w:pPr>
            <w:r>
              <w:rPr>
                <w:rFonts w:ascii="Arial" w:hAnsi="Arial" w:cs="Arial" w:eastAsiaTheme="minorEastAsia"/>
                <w:sz w:val="20"/>
                <w:szCs w:val="20"/>
                <w:lang w:eastAsia="zh-CN"/>
              </w:rPr>
              <w:t>Demographics</w:t>
            </w:r>
          </w:p>
        </w:tc>
        <w:tc>
          <w:tcPr>
            <w:tcW w:w="1527" w:type="dxa"/>
            <w:vAlign w:val="center"/>
          </w:tcPr>
          <w:p w14:paraId="28B9613A">
            <w:pPr>
              <w:pStyle w:val="35"/>
              <w:spacing w:before="0"/>
              <w:rPr>
                <w:rFonts w:ascii="Arial" w:hAnsi="Arial" w:cs="Arial" w:eastAsiaTheme="minorEastAsia"/>
                <w:sz w:val="20"/>
                <w:szCs w:val="20"/>
                <w:lang w:eastAsia="zh-CN"/>
              </w:rPr>
            </w:pPr>
            <w:r>
              <w:rPr>
                <w:rFonts w:ascii="Arial" w:hAnsi="Arial" w:cs="Arial" w:eastAsiaTheme="minorEastAsia"/>
                <w:sz w:val="20"/>
                <w:szCs w:val="20"/>
                <w:lang w:eastAsia="zh-CN"/>
              </w:rPr>
              <w:t>11,829 (57.3%)</w:t>
            </w:r>
          </w:p>
        </w:tc>
        <w:tc>
          <w:tcPr>
            <w:tcW w:w="1310" w:type="dxa"/>
            <w:vAlign w:val="center"/>
          </w:tcPr>
          <w:p w14:paraId="2E68BCE8">
            <w:pPr>
              <w:pStyle w:val="35"/>
              <w:spacing w:before="0"/>
              <w:rPr>
                <w:rFonts w:ascii="Arial" w:hAnsi="Arial" w:cs="Arial" w:eastAsiaTheme="minorEastAsia"/>
                <w:sz w:val="20"/>
                <w:szCs w:val="20"/>
                <w:lang w:eastAsia="zh-CN"/>
              </w:rPr>
            </w:pPr>
            <w:r>
              <w:rPr>
                <w:rFonts w:ascii="Arial" w:hAnsi="Arial" w:cs="Arial" w:eastAsiaTheme="minorEastAsia"/>
                <w:sz w:val="20"/>
                <w:szCs w:val="20"/>
                <w:lang w:eastAsia="zh-CN"/>
              </w:rPr>
              <w:t>1,461 (53.6%)</w:t>
            </w:r>
          </w:p>
        </w:tc>
        <w:tc>
          <w:tcPr>
            <w:tcW w:w="1238" w:type="dxa"/>
            <w:vAlign w:val="center"/>
          </w:tcPr>
          <w:p w14:paraId="44CCCC22">
            <w:pPr>
              <w:pStyle w:val="35"/>
              <w:spacing w:before="0"/>
              <w:rPr>
                <w:rFonts w:ascii="Arial" w:hAnsi="Arial" w:cs="Arial" w:eastAsiaTheme="minorEastAsia"/>
                <w:sz w:val="20"/>
                <w:szCs w:val="20"/>
                <w:lang w:eastAsia="zh-CN"/>
              </w:rPr>
            </w:pPr>
            <w:r>
              <w:rPr>
                <w:rFonts w:ascii="Arial" w:hAnsi="Arial" w:cs="Arial" w:eastAsiaTheme="minorEastAsia"/>
                <w:sz w:val="20"/>
                <w:szCs w:val="20"/>
                <w:lang w:eastAsia="zh-CN"/>
              </w:rPr>
              <w:t>621 (53.4%)</w:t>
            </w:r>
          </w:p>
        </w:tc>
        <w:tc>
          <w:tcPr>
            <w:tcW w:w="623" w:type="dxa"/>
            <w:vAlign w:val="center"/>
          </w:tcPr>
          <w:p w14:paraId="41D6174D">
            <w:pPr>
              <w:pStyle w:val="35"/>
              <w:spacing w:before="0"/>
              <w:rPr>
                <w:rFonts w:ascii="Arial" w:hAnsi="Arial" w:cs="Arial" w:eastAsiaTheme="minorEastAsia"/>
                <w:sz w:val="20"/>
                <w:szCs w:val="20"/>
                <w:lang w:eastAsia="zh-CN"/>
              </w:rPr>
            </w:pPr>
            <w:r>
              <w:rPr>
                <w:rFonts w:ascii="Arial" w:hAnsi="Arial" w:cs="Arial" w:eastAsiaTheme="minorEastAsia"/>
                <w:sz w:val="20"/>
                <w:szCs w:val="20"/>
                <w:lang w:eastAsia="zh-CN"/>
              </w:rPr>
              <w:t>&lt;.001</w:t>
            </w:r>
          </w:p>
        </w:tc>
      </w:tr>
      <w:tr w14:paraId="395E57E6">
        <w:trPr>
          <w:cantSplit/>
          <w:trHeight w:val="0" w:hRule="atLeast"/>
        </w:trPr>
        <w:tc>
          <w:tcPr>
            <w:tcW w:w="2666" w:type="dxa"/>
            <w:vAlign w:val="center"/>
          </w:tcPr>
          <w:p w14:paraId="3447C016">
            <w:pPr>
              <w:pStyle w:val="35"/>
              <w:spacing w:before="0"/>
              <w:rPr>
                <w:rFonts w:ascii="Arial" w:hAnsi="Arial" w:cs="Arial" w:eastAsiaTheme="minorEastAsia"/>
                <w:sz w:val="20"/>
                <w:szCs w:val="20"/>
                <w:lang w:eastAsia="zh-CN"/>
              </w:rPr>
            </w:pPr>
            <w:r>
              <w:rPr>
                <w:rFonts w:ascii="Arial" w:hAnsi="Arial" w:cs="Arial" w:eastAsiaTheme="minorEastAsia"/>
                <w:sz w:val="20"/>
                <w:szCs w:val="20"/>
                <w:lang w:eastAsia="zh-CN"/>
              </w:rPr>
              <w:t>ICU length of stay, d (median)</w:t>
            </w:r>
          </w:p>
        </w:tc>
        <w:tc>
          <w:tcPr>
            <w:tcW w:w="2356" w:type="dxa"/>
            <w:vAlign w:val="center"/>
          </w:tcPr>
          <w:p w14:paraId="3099E038">
            <w:pPr>
              <w:pStyle w:val="35"/>
              <w:spacing w:before="0"/>
              <w:rPr>
                <w:rFonts w:ascii="Arial" w:hAnsi="Arial" w:cs="Arial" w:eastAsiaTheme="minorEastAsia"/>
                <w:sz w:val="20"/>
                <w:szCs w:val="20"/>
                <w:lang w:eastAsia="zh-CN"/>
              </w:rPr>
            </w:pPr>
            <w:r>
              <w:rPr>
                <w:rFonts w:ascii="Arial" w:hAnsi="Arial" w:cs="Arial" w:eastAsiaTheme="minorEastAsia"/>
                <w:sz w:val="20"/>
                <w:szCs w:val="20"/>
                <w:lang w:eastAsia="zh-CN"/>
              </w:rPr>
              <w:t>Demographics</w:t>
            </w:r>
          </w:p>
        </w:tc>
        <w:tc>
          <w:tcPr>
            <w:tcW w:w="1527" w:type="dxa"/>
            <w:vAlign w:val="center"/>
          </w:tcPr>
          <w:p w14:paraId="795FE477">
            <w:pPr>
              <w:pStyle w:val="35"/>
              <w:spacing w:before="0"/>
              <w:rPr>
                <w:rFonts w:ascii="Arial" w:hAnsi="Arial" w:cs="Arial" w:eastAsiaTheme="minorEastAsia"/>
                <w:sz w:val="20"/>
                <w:szCs w:val="20"/>
                <w:lang w:eastAsia="zh-CN"/>
              </w:rPr>
            </w:pPr>
            <w:r>
              <w:rPr>
                <w:rFonts w:ascii="Arial" w:hAnsi="Arial" w:cs="Arial" w:eastAsiaTheme="minorEastAsia"/>
                <w:sz w:val="20"/>
                <w:szCs w:val="20"/>
                <w:lang w:eastAsia="zh-CN"/>
              </w:rPr>
              <w:t>4.00 (2.19–7.90)</w:t>
            </w:r>
          </w:p>
        </w:tc>
        <w:tc>
          <w:tcPr>
            <w:tcW w:w="1310" w:type="dxa"/>
            <w:vAlign w:val="center"/>
          </w:tcPr>
          <w:p w14:paraId="02762B51">
            <w:pPr>
              <w:pStyle w:val="35"/>
              <w:spacing w:before="0"/>
              <w:rPr>
                <w:rFonts w:ascii="Arial" w:hAnsi="Arial" w:cs="Arial" w:eastAsiaTheme="minorEastAsia"/>
                <w:sz w:val="20"/>
                <w:szCs w:val="20"/>
                <w:lang w:eastAsia="zh-CN"/>
              </w:rPr>
            </w:pPr>
            <w:r>
              <w:rPr>
                <w:rFonts w:ascii="Arial" w:hAnsi="Arial" w:cs="Arial" w:eastAsiaTheme="minorEastAsia"/>
                <w:sz w:val="20"/>
                <w:szCs w:val="20"/>
                <w:lang w:eastAsia="zh-CN"/>
              </w:rPr>
              <w:t xml:space="preserve"> 3.43 (2.01–6.54)</w:t>
            </w:r>
          </w:p>
        </w:tc>
        <w:tc>
          <w:tcPr>
            <w:tcW w:w="1238" w:type="dxa"/>
            <w:vAlign w:val="center"/>
          </w:tcPr>
          <w:p w14:paraId="21FFE21C">
            <w:pPr>
              <w:pStyle w:val="35"/>
              <w:spacing w:before="0"/>
              <w:rPr>
                <w:rFonts w:ascii="Arial" w:hAnsi="Arial" w:cs="Arial" w:eastAsiaTheme="minorEastAsia"/>
                <w:sz w:val="20"/>
                <w:szCs w:val="20"/>
                <w:lang w:eastAsia="zh-CN"/>
              </w:rPr>
            </w:pPr>
            <w:r>
              <w:rPr>
                <w:rFonts w:ascii="Arial" w:hAnsi="Arial" w:cs="Arial" w:eastAsiaTheme="minorEastAsia"/>
                <w:sz w:val="20"/>
                <w:szCs w:val="20"/>
                <w:lang w:eastAsia="zh-CN"/>
              </w:rPr>
              <w:t xml:space="preserve"> 3.46 (2.01–6.38)</w:t>
            </w:r>
          </w:p>
        </w:tc>
        <w:tc>
          <w:tcPr>
            <w:tcW w:w="623" w:type="dxa"/>
            <w:vAlign w:val="center"/>
          </w:tcPr>
          <w:p w14:paraId="06F3A54C">
            <w:pPr>
              <w:pStyle w:val="35"/>
              <w:spacing w:before="0"/>
              <w:rPr>
                <w:rFonts w:ascii="Arial" w:hAnsi="Arial" w:cs="Arial" w:eastAsiaTheme="minorEastAsia"/>
                <w:sz w:val="20"/>
                <w:szCs w:val="20"/>
                <w:lang w:eastAsia="zh-CN"/>
              </w:rPr>
            </w:pPr>
            <w:r>
              <w:rPr>
                <w:rFonts w:ascii="Arial" w:hAnsi="Arial" w:cs="Arial" w:eastAsiaTheme="minorEastAsia"/>
                <w:sz w:val="20"/>
                <w:szCs w:val="20"/>
                <w:lang w:eastAsia="zh-CN"/>
              </w:rPr>
              <w:t>&lt;.001</w:t>
            </w:r>
          </w:p>
        </w:tc>
      </w:tr>
      <w:tr w14:paraId="6F9BF5CF">
        <w:trPr>
          <w:cantSplit/>
        </w:trPr>
        <w:tc>
          <w:tcPr>
            <w:tcW w:w="2666" w:type="dxa"/>
            <w:vAlign w:val="center"/>
          </w:tcPr>
          <w:p w14:paraId="334BA11E">
            <w:pPr>
              <w:pStyle w:val="35"/>
              <w:spacing w:before="0"/>
              <w:rPr>
                <w:rFonts w:ascii="Arial" w:hAnsi="Arial" w:cs="Arial" w:eastAsiaTheme="minorEastAsia"/>
                <w:sz w:val="20"/>
                <w:szCs w:val="20"/>
                <w:lang w:eastAsia="zh-CN"/>
              </w:rPr>
            </w:pPr>
            <w:r>
              <w:rPr>
                <w:rFonts w:ascii="Arial" w:hAnsi="Arial" w:cs="Arial" w:eastAsiaTheme="minorEastAsia"/>
                <w:sz w:val="20"/>
                <w:szCs w:val="20"/>
                <w:lang w:eastAsia="zh-CN"/>
              </w:rPr>
              <w:t>PaO</w:t>
            </w:r>
            <w:r>
              <w:rPr>
                <w:rFonts w:ascii="Arial" w:hAnsi="Arial" w:eastAsia="宋体" w:cs="Arial"/>
                <w:sz w:val="20"/>
                <w:szCs w:val="20"/>
                <w:vertAlign w:val="subscript"/>
                <w:lang w:eastAsia="zh-CN"/>
              </w:rPr>
              <w:t>2</w:t>
            </w:r>
            <w:r>
              <w:rPr>
                <w:rFonts w:ascii="Arial" w:hAnsi="Arial" w:cs="Arial" w:eastAsiaTheme="minorEastAsia"/>
                <w:sz w:val="20"/>
                <w:szCs w:val="20"/>
                <w:lang w:eastAsia="zh-CN"/>
              </w:rPr>
              <w:t>, mm Hg (mean)</w:t>
            </w:r>
          </w:p>
        </w:tc>
        <w:tc>
          <w:tcPr>
            <w:tcW w:w="2356" w:type="dxa"/>
            <w:vAlign w:val="center"/>
          </w:tcPr>
          <w:p w14:paraId="7C4B4CD0">
            <w:pPr>
              <w:pStyle w:val="35"/>
              <w:spacing w:before="0"/>
              <w:rPr>
                <w:rFonts w:ascii="Arial" w:hAnsi="Arial" w:cs="Arial" w:eastAsiaTheme="minorEastAsia"/>
                <w:sz w:val="20"/>
                <w:szCs w:val="20"/>
                <w:lang w:eastAsia="zh-CN"/>
              </w:rPr>
            </w:pPr>
            <w:r>
              <w:rPr>
                <w:rFonts w:ascii="Arial" w:hAnsi="Arial" w:cs="Arial" w:eastAsiaTheme="minorEastAsia"/>
                <w:sz w:val="20"/>
                <w:szCs w:val="20"/>
                <w:lang w:eastAsia="zh-CN"/>
              </w:rPr>
              <w:t>SOFA-1 Respiratory</w:t>
            </w:r>
          </w:p>
        </w:tc>
        <w:tc>
          <w:tcPr>
            <w:tcW w:w="1527" w:type="dxa"/>
            <w:vAlign w:val="center"/>
          </w:tcPr>
          <w:p w14:paraId="3DE22886">
            <w:pPr>
              <w:pStyle w:val="35"/>
              <w:spacing w:before="0"/>
              <w:rPr>
                <w:rFonts w:ascii="Arial" w:hAnsi="Arial" w:cs="Arial" w:eastAsiaTheme="minorEastAsia"/>
                <w:sz w:val="20"/>
                <w:szCs w:val="20"/>
                <w:lang w:eastAsia="zh-CN"/>
              </w:rPr>
            </w:pPr>
            <w:r>
              <w:rPr>
                <w:rFonts w:ascii="Arial" w:hAnsi="Arial" w:cs="Arial" w:eastAsiaTheme="minorEastAsia"/>
                <w:sz w:val="20"/>
                <w:szCs w:val="20"/>
                <w:lang w:eastAsia="zh-CN"/>
              </w:rPr>
              <w:t>111.66 ± 54.80</w:t>
            </w:r>
          </w:p>
        </w:tc>
        <w:tc>
          <w:tcPr>
            <w:tcW w:w="1310" w:type="dxa"/>
            <w:vAlign w:val="center"/>
          </w:tcPr>
          <w:p w14:paraId="2FCEA1FE">
            <w:pPr>
              <w:pStyle w:val="35"/>
              <w:spacing w:before="0"/>
              <w:rPr>
                <w:rFonts w:ascii="Arial" w:hAnsi="Arial" w:cs="Arial" w:eastAsiaTheme="minorEastAsia"/>
                <w:sz w:val="20"/>
                <w:szCs w:val="20"/>
                <w:lang w:eastAsia="zh-CN"/>
              </w:rPr>
            </w:pPr>
            <w:r>
              <w:rPr>
                <w:rFonts w:ascii="Arial" w:hAnsi="Arial" w:cs="Arial" w:eastAsiaTheme="minorEastAsia"/>
                <w:sz w:val="20"/>
                <w:szCs w:val="20"/>
                <w:lang w:eastAsia="zh-CN"/>
              </w:rPr>
              <w:t>118.04 ± 58.25</w:t>
            </w:r>
          </w:p>
        </w:tc>
        <w:tc>
          <w:tcPr>
            <w:tcW w:w="1238" w:type="dxa"/>
            <w:vAlign w:val="center"/>
          </w:tcPr>
          <w:p w14:paraId="5ADBF8E2">
            <w:pPr>
              <w:pStyle w:val="35"/>
              <w:spacing w:before="0"/>
              <w:rPr>
                <w:rFonts w:ascii="Arial" w:hAnsi="Arial" w:cs="Arial" w:eastAsiaTheme="minorEastAsia"/>
                <w:sz w:val="20"/>
                <w:szCs w:val="20"/>
                <w:lang w:eastAsia="zh-CN"/>
              </w:rPr>
            </w:pPr>
            <w:r>
              <w:rPr>
                <w:rFonts w:ascii="Arial" w:hAnsi="Arial" w:cs="Arial" w:eastAsiaTheme="minorEastAsia"/>
                <w:sz w:val="20"/>
                <w:szCs w:val="20"/>
                <w:lang w:eastAsia="zh-CN"/>
              </w:rPr>
              <w:t>95.44 ± 44.06</w:t>
            </w:r>
          </w:p>
        </w:tc>
        <w:tc>
          <w:tcPr>
            <w:tcW w:w="623" w:type="dxa"/>
            <w:vAlign w:val="center"/>
          </w:tcPr>
          <w:p w14:paraId="7D8880BD">
            <w:pPr>
              <w:pStyle w:val="35"/>
              <w:spacing w:before="0"/>
              <w:rPr>
                <w:rFonts w:ascii="Arial" w:hAnsi="Arial" w:cs="Arial" w:eastAsiaTheme="minorEastAsia"/>
                <w:sz w:val="20"/>
                <w:szCs w:val="20"/>
                <w:lang w:eastAsia="zh-CN"/>
              </w:rPr>
            </w:pPr>
            <w:r>
              <w:rPr>
                <w:rFonts w:ascii="Arial" w:hAnsi="Arial" w:cs="Arial" w:eastAsiaTheme="minorEastAsia"/>
                <w:sz w:val="20"/>
                <w:szCs w:val="20"/>
                <w:lang w:eastAsia="zh-CN"/>
              </w:rPr>
              <w:t>&lt;.001</w:t>
            </w:r>
          </w:p>
        </w:tc>
      </w:tr>
      <w:tr w14:paraId="6EBE3149">
        <w:trPr>
          <w:cantSplit/>
        </w:trPr>
        <w:tc>
          <w:tcPr>
            <w:tcW w:w="2666" w:type="dxa"/>
            <w:vAlign w:val="center"/>
          </w:tcPr>
          <w:p w14:paraId="525682F5">
            <w:pPr>
              <w:pStyle w:val="35"/>
              <w:spacing w:before="0"/>
              <w:rPr>
                <w:rFonts w:ascii="Arial" w:hAnsi="Arial" w:cs="Arial" w:eastAsiaTheme="minorEastAsia"/>
                <w:sz w:val="20"/>
                <w:szCs w:val="20"/>
                <w:lang w:eastAsia="zh-CN"/>
              </w:rPr>
            </w:pPr>
            <w:r>
              <w:rPr>
                <w:rFonts w:ascii="Arial" w:hAnsi="Arial" w:cs="Arial" w:eastAsiaTheme="minorEastAsia"/>
                <w:sz w:val="20"/>
                <w:szCs w:val="20"/>
                <w:lang w:eastAsia="zh-CN"/>
              </w:rPr>
              <w:t>FiO</w:t>
            </w:r>
            <w:r>
              <w:rPr>
                <w:rFonts w:ascii="Arial" w:hAnsi="Arial" w:eastAsia="宋体" w:cs="Arial"/>
                <w:sz w:val="20"/>
                <w:szCs w:val="20"/>
                <w:vertAlign w:val="subscript"/>
                <w:lang w:eastAsia="zh-CN"/>
              </w:rPr>
              <w:t>2</w:t>
            </w:r>
            <w:r>
              <w:rPr>
                <w:rFonts w:ascii="Arial" w:hAnsi="Arial" w:cs="Arial" w:eastAsiaTheme="minorEastAsia"/>
                <w:sz w:val="20"/>
                <w:szCs w:val="20"/>
                <w:lang w:eastAsia="zh-CN"/>
              </w:rPr>
              <w:t>, % (mean)</w:t>
            </w:r>
          </w:p>
        </w:tc>
        <w:tc>
          <w:tcPr>
            <w:tcW w:w="2356" w:type="dxa"/>
            <w:vAlign w:val="center"/>
          </w:tcPr>
          <w:p w14:paraId="7EC0E81E">
            <w:pPr>
              <w:pStyle w:val="35"/>
              <w:spacing w:before="0"/>
              <w:rPr>
                <w:rFonts w:ascii="Arial" w:hAnsi="Arial" w:cs="Arial" w:eastAsiaTheme="minorEastAsia"/>
                <w:sz w:val="20"/>
                <w:szCs w:val="20"/>
                <w:lang w:eastAsia="zh-CN"/>
              </w:rPr>
            </w:pPr>
            <w:r>
              <w:rPr>
                <w:rFonts w:ascii="Arial" w:hAnsi="Arial" w:cs="Arial" w:eastAsiaTheme="minorEastAsia"/>
                <w:sz w:val="20"/>
                <w:szCs w:val="20"/>
                <w:lang w:eastAsia="zh-CN"/>
              </w:rPr>
              <w:t>SOFA-1 Respiratory</w:t>
            </w:r>
          </w:p>
        </w:tc>
        <w:tc>
          <w:tcPr>
            <w:tcW w:w="1527" w:type="dxa"/>
            <w:vAlign w:val="center"/>
          </w:tcPr>
          <w:p w14:paraId="044299D6">
            <w:pPr>
              <w:pStyle w:val="35"/>
              <w:spacing w:before="0"/>
              <w:rPr>
                <w:rFonts w:ascii="Arial" w:hAnsi="Arial" w:cs="Arial" w:eastAsiaTheme="minorEastAsia"/>
                <w:sz w:val="20"/>
                <w:szCs w:val="20"/>
                <w:lang w:eastAsia="zh-CN"/>
              </w:rPr>
            </w:pPr>
            <w:r>
              <w:rPr>
                <w:rFonts w:ascii="Arial" w:hAnsi="Arial" w:cs="Arial" w:eastAsiaTheme="minorEastAsia"/>
                <w:sz w:val="20"/>
                <w:szCs w:val="20"/>
                <w:lang w:eastAsia="zh-CN"/>
              </w:rPr>
              <w:t>53.02 ± 15.01</w:t>
            </w:r>
          </w:p>
        </w:tc>
        <w:tc>
          <w:tcPr>
            <w:tcW w:w="1310" w:type="dxa"/>
            <w:vAlign w:val="center"/>
          </w:tcPr>
          <w:p w14:paraId="292B5B3C">
            <w:pPr>
              <w:pStyle w:val="35"/>
              <w:spacing w:before="0"/>
              <w:rPr>
                <w:rFonts w:ascii="Arial" w:hAnsi="Arial" w:cs="Arial" w:eastAsiaTheme="minorEastAsia"/>
                <w:sz w:val="20"/>
                <w:szCs w:val="20"/>
                <w:lang w:eastAsia="zh-CN"/>
              </w:rPr>
            </w:pPr>
            <w:r>
              <w:rPr>
                <w:rFonts w:ascii="Arial" w:hAnsi="Arial" w:cs="Arial" w:eastAsiaTheme="minorEastAsia"/>
                <w:sz w:val="20"/>
                <w:szCs w:val="20"/>
                <w:lang w:eastAsia="zh-CN"/>
              </w:rPr>
              <w:t>49.84 ± 16.07</w:t>
            </w:r>
          </w:p>
        </w:tc>
        <w:tc>
          <w:tcPr>
            <w:tcW w:w="1238" w:type="dxa"/>
            <w:vAlign w:val="center"/>
          </w:tcPr>
          <w:p w14:paraId="12BA9E4E">
            <w:pPr>
              <w:pStyle w:val="35"/>
              <w:spacing w:before="0"/>
              <w:rPr>
                <w:rFonts w:ascii="Arial" w:hAnsi="Arial" w:cs="Arial" w:eastAsiaTheme="minorEastAsia"/>
                <w:sz w:val="20"/>
                <w:szCs w:val="20"/>
                <w:lang w:eastAsia="zh-CN"/>
              </w:rPr>
            </w:pPr>
            <w:r>
              <w:rPr>
                <w:rFonts w:ascii="Arial" w:hAnsi="Arial" w:cs="Arial" w:eastAsiaTheme="minorEastAsia"/>
                <w:sz w:val="20"/>
                <w:szCs w:val="20"/>
                <w:lang w:eastAsia="zh-CN"/>
              </w:rPr>
              <w:t>50.00 ± 14.31</w:t>
            </w:r>
          </w:p>
        </w:tc>
        <w:tc>
          <w:tcPr>
            <w:tcW w:w="623" w:type="dxa"/>
            <w:vAlign w:val="center"/>
          </w:tcPr>
          <w:p w14:paraId="7E1EED33">
            <w:pPr>
              <w:pStyle w:val="35"/>
              <w:spacing w:before="0"/>
              <w:rPr>
                <w:rFonts w:ascii="Arial" w:hAnsi="Arial" w:cs="Arial" w:eastAsiaTheme="minorEastAsia"/>
                <w:sz w:val="20"/>
                <w:szCs w:val="20"/>
                <w:lang w:eastAsia="zh-CN"/>
              </w:rPr>
            </w:pPr>
            <w:r>
              <w:rPr>
                <w:rFonts w:ascii="Arial" w:hAnsi="Arial" w:cs="Arial" w:eastAsiaTheme="minorEastAsia"/>
                <w:sz w:val="20"/>
                <w:szCs w:val="20"/>
                <w:lang w:eastAsia="zh-CN"/>
              </w:rPr>
              <w:t>&lt;.001</w:t>
            </w:r>
          </w:p>
        </w:tc>
      </w:tr>
      <w:tr w14:paraId="5A3DFDBB">
        <w:trPr>
          <w:cantSplit/>
        </w:trPr>
        <w:tc>
          <w:tcPr>
            <w:tcW w:w="2666" w:type="dxa"/>
            <w:vAlign w:val="center"/>
          </w:tcPr>
          <w:p w14:paraId="5B5D8392">
            <w:pPr>
              <w:pStyle w:val="35"/>
              <w:spacing w:before="0"/>
              <w:rPr>
                <w:rFonts w:ascii="Arial" w:hAnsi="Arial" w:cs="Arial" w:eastAsiaTheme="minorEastAsia"/>
                <w:sz w:val="20"/>
                <w:szCs w:val="20"/>
                <w:lang w:eastAsia="zh-CN"/>
              </w:rPr>
            </w:pPr>
            <w:r>
              <w:rPr>
                <w:rFonts w:ascii="Arial" w:hAnsi="Arial" w:cs="Arial" w:eastAsiaTheme="minorEastAsia"/>
                <w:sz w:val="20"/>
                <w:szCs w:val="20"/>
                <w:lang w:eastAsia="zh-CN"/>
              </w:rPr>
              <w:t>PaO</w:t>
            </w:r>
            <w:r>
              <w:rPr>
                <w:rFonts w:ascii="Arial" w:hAnsi="Arial" w:eastAsia="宋体" w:cs="Arial"/>
                <w:sz w:val="20"/>
                <w:szCs w:val="20"/>
                <w:vertAlign w:val="subscript"/>
                <w:lang w:eastAsia="zh-CN"/>
              </w:rPr>
              <w:t>2</w:t>
            </w:r>
            <w:r>
              <w:rPr>
                <w:rFonts w:ascii="Arial" w:hAnsi="Arial" w:cs="Arial" w:eastAsiaTheme="minorEastAsia"/>
                <w:sz w:val="20"/>
                <w:szCs w:val="20"/>
                <w:lang w:eastAsia="zh-CN"/>
              </w:rPr>
              <w:t>/FiO</w:t>
            </w:r>
            <w:r>
              <w:rPr>
                <w:rFonts w:ascii="Arial" w:hAnsi="Arial" w:eastAsia="宋体" w:cs="Arial"/>
                <w:sz w:val="20"/>
                <w:szCs w:val="20"/>
                <w:vertAlign w:val="subscript"/>
                <w:lang w:eastAsia="zh-CN"/>
              </w:rPr>
              <w:t>2</w:t>
            </w:r>
            <w:r>
              <w:rPr>
                <w:rFonts w:ascii="Arial" w:hAnsi="Arial" w:cs="Arial" w:eastAsiaTheme="minorEastAsia"/>
                <w:sz w:val="20"/>
                <w:szCs w:val="20"/>
                <w:lang w:eastAsia="zh-CN"/>
              </w:rPr>
              <w:t xml:space="preserve"> ratio (mean)</w:t>
            </w:r>
          </w:p>
        </w:tc>
        <w:tc>
          <w:tcPr>
            <w:tcW w:w="2356" w:type="dxa"/>
            <w:vAlign w:val="center"/>
          </w:tcPr>
          <w:p w14:paraId="31273D51">
            <w:pPr>
              <w:pStyle w:val="35"/>
              <w:spacing w:before="0"/>
              <w:rPr>
                <w:rFonts w:ascii="Arial" w:hAnsi="Arial" w:cs="Arial" w:eastAsiaTheme="minorEastAsia"/>
                <w:sz w:val="20"/>
                <w:szCs w:val="20"/>
                <w:lang w:eastAsia="zh-CN"/>
              </w:rPr>
            </w:pPr>
            <w:r>
              <w:rPr>
                <w:rFonts w:ascii="Arial" w:hAnsi="Arial" w:cs="Arial" w:eastAsiaTheme="minorEastAsia"/>
                <w:sz w:val="20"/>
                <w:szCs w:val="20"/>
                <w:lang w:eastAsia="zh-CN"/>
              </w:rPr>
              <w:t>SOFA-1 Respiratory</w:t>
            </w:r>
          </w:p>
        </w:tc>
        <w:tc>
          <w:tcPr>
            <w:tcW w:w="1527" w:type="dxa"/>
            <w:vAlign w:val="center"/>
          </w:tcPr>
          <w:p w14:paraId="5A8A3414">
            <w:pPr>
              <w:pStyle w:val="35"/>
              <w:spacing w:before="0"/>
              <w:rPr>
                <w:rFonts w:ascii="Arial" w:hAnsi="Arial" w:cs="Arial" w:eastAsiaTheme="minorEastAsia"/>
                <w:sz w:val="20"/>
                <w:szCs w:val="20"/>
                <w:lang w:eastAsia="zh-CN"/>
              </w:rPr>
            </w:pPr>
            <w:r>
              <w:rPr>
                <w:rFonts w:ascii="Arial" w:hAnsi="Arial" w:cs="Arial" w:eastAsiaTheme="minorEastAsia"/>
                <w:sz w:val="20"/>
                <w:szCs w:val="20"/>
                <w:lang w:eastAsia="zh-CN"/>
              </w:rPr>
              <w:t>289.24 ± 157.44</w:t>
            </w:r>
          </w:p>
        </w:tc>
        <w:tc>
          <w:tcPr>
            <w:tcW w:w="1310" w:type="dxa"/>
            <w:vAlign w:val="center"/>
          </w:tcPr>
          <w:p w14:paraId="478A31FA">
            <w:pPr>
              <w:pStyle w:val="35"/>
              <w:spacing w:before="0"/>
              <w:rPr>
                <w:rFonts w:ascii="Arial" w:hAnsi="Arial" w:cs="Arial" w:eastAsiaTheme="minorEastAsia"/>
                <w:sz w:val="20"/>
                <w:szCs w:val="20"/>
                <w:lang w:eastAsia="zh-CN"/>
              </w:rPr>
            </w:pPr>
            <w:r>
              <w:rPr>
                <w:rFonts w:ascii="Arial" w:hAnsi="Arial" w:cs="Arial" w:eastAsiaTheme="minorEastAsia"/>
                <w:sz w:val="20"/>
                <w:szCs w:val="20"/>
                <w:lang w:eastAsia="zh-CN"/>
              </w:rPr>
              <w:t>330.01 ± 195.84</w:t>
            </w:r>
          </w:p>
        </w:tc>
        <w:tc>
          <w:tcPr>
            <w:tcW w:w="1238" w:type="dxa"/>
            <w:vAlign w:val="center"/>
          </w:tcPr>
          <w:p w14:paraId="53674146">
            <w:pPr>
              <w:pStyle w:val="35"/>
              <w:spacing w:before="0"/>
              <w:rPr>
                <w:rFonts w:ascii="Arial" w:hAnsi="Arial" w:cs="Arial" w:eastAsiaTheme="minorEastAsia"/>
                <w:sz w:val="20"/>
                <w:szCs w:val="20"/>
                <w:lang w:eastAsia="zh-CN"/>
              </w:rPr>
            </w:pPr>
            <w:r>
              <w:rPr>
                <w:rFonts w:ascii="Arial" w:hAnsi="Arial" w:cs="Arial" w:eastAsiaTheme="minorEastAsia"/>
                <w:sz w:val="20"/>
                <w:szCs w:val="20"/>
                <w:lang w:eastAsia="zh-CN"/>
              </w:rPr>
              <w:t>281.89 ± 169.65</w:t>
            </w:r>
          </w:p>
        </w:tc>
        <w:tc>
          <w:tcPr>
            <w:tcW w:w="623" w:type="dxa"/>
            <w:vAlign w:val="center"/>
          </w:tcPr>
          <w:p w14:paraId="2EF38061">
            <w:pPr>
              <w:pStyle w:val="35"/>
              <w:spacing w:before="0"/>
              <w:rPr>
                <w:rFonts w:ascii="Arial" w:hAnsi="Arial" w:cs="Arial" w:eastAsiaTheme="minorEastAsia"/>
                <w:sz w:val="20"/>
                <w:szCs w:val="20"/>
                <w:lang w:eastAsia="zh-CN"/>
              </w:rPr>
            </w:pPr>
            <w:r>
              <w:rPr>
                <w:rFonts w:ascii="Arial" w:hAnsi="Arial" w:cs="Arial" w:eastAsiaTheme="minorEastAsia"/>
                <w:sz w:val="20"/>
                <w:szCs w:val="20"/>
                <w:lang w:eastAsia="zh-CN"/>
              </w:rPr>
              <w:t>&lt;.001</w:t>
            </w:r>
          </w:p>
        </w:tc>
      </w:tr>
      <w:tr w14:paraId="2AFCE7DD">
        <w:trPr>
          <w:cantSplit/>
        </w:trPr>
        <w:tc>
          <w:tcPr>
            <w:tcW w:w="2666" w:type="dxa"/>
            <w:vAlign w:val="center"/>
          </w:tcPr>
          <w:p w14:paraId="4D646CEA">
            <w:pPr>
              <w:pStyle w:val="35"/>
              <w:spacing w:before="0"/>
              <w:rPr>
                <w:rFonts w:ascii="Arial" w:hAnsi="Arial" w:cs="Arial" w:eastAsiaTheme="minorEastAsia"/>
                <w:sz w:val="20"/>
                <w:szCs w:val="20"/>
                <w:lang w:eastAsia="zh-CN"/>
              </w:rPr>
            </w:pPr>
            <w:r>
              <w:rPr>
                <w:rFonts w:ascii="Arial" w:hAnsi="Arial" w:cs="Arial" w:eastAsiaTheme="minorEastAsia"/>
                <w:sz w:val="20"/>
                <w:szCs w:val="20"/>
                <w:lang w:eastAsia="zh-CN"/>
              </w:rPr>
              <w:t>Mechanical ventilation, any</w:t>
            </w:r>
          </w:p>
        </w:tc>
        <w:tc>
          <w:tcPr>
            <w:tcW w:w="2356" w:type="dxa"/>
            <w:vAlign w:val="center"/>
          </w:tcPr>
          <w:p w14:paraId="017164CE">
            <w:pPr>
              <w:pStyle w:val="35"/>
              <w:spacing w:before="0"/>
              <w:rPr>
                <w:rFonts w:ascii="Arial" w:hAnsi="Arial" w:cs="Arial" w:eastAsiaTheme="minorEastAsia"/>
                <w:sz w:val="20"/>
                <w:szCs w:val="20"/>
                <w:lang w:eastAsia="zh-CN"/>
              </w:rPr>
            </w:pPr>
            <w:r>
              <w:rPr>
                <w:rFonts w:ascii="Arial" w:hAnsi="Arial" w:cs="Arial" w:eastAsiaTheme="minorEastAsia"/>
                <w:sz w:val="20"/>
                <w:szCs w:val="20"/>
                <w:lang w:eastAsia="zh-CN"/>
              </w:rPr>
              <w:t>SOFA-1 Respiratory</w:t>
            </w:r>
          </w:p>
        </w:tc>
        <w:tc>
          <w:tcPr>
            <w:tcW w:w="1527" w:type="dxa"/>
            <w:vAlign w:val="center"/>
          </w:tcPr>
          <w:p w14:paraId="5000A394">
            <w:pPr>
              <w:pStyle w:val="35"/>
              <w:spacing w:before="0"/>
              <w:rPr>
                <w:rFonts w:ascii="Arial" w:hAnsi="Arial" w:cs="Arial" w:eastAsiaTheme="minorEastAsia"/>
                <w:sz w:val="20"/>
                <w:szCs w:val="20"/>
                <w:lang w:eastAsia="zh-CN"/>
              </w:rPr>
            </w:pPr>
            <w:r>
              <w:rPr>
                <w:rFonts w:ascii="Arial" w:hAnsi="Arial" w:cs="Arial" w:eastAsiaTheme="minorEastAsia"/>
                <w:sz w:val="20"/>
                <w:szCs w:val="20"/>
                <w:lang w:eastAsia="zh-CN"/>
              </w:rPr>
              <w:t>11,442 (55.4%)</w:t>
            </w:r>
          </w:p>
        </w:tc>
        <w:tc>
          <w:tcPr>
            <w:tcW w:w="1310" w:type="dxa"/>
            <w:vAlign w:val="center"/>
          </w:tcPr>
          <w:p w14:paraId="4D4A670A">
            <w:pPr>
              <w:pStyle w:val="35"/>
              <w:spacing w:before="0"/>
              <w:rPr>
                <w:rFonts w:ascii="Arial" w:hAnsi="Arial" w:cs="Arial" w:eastAsiaTheme="minorEastAsia"/>
                <w:sz w:val="20"/>
                <w:szCs w:val="20"/>
                <w:lang w:eastAsia="zh-CN"/>
              </w:rPr>
            </w:pPr>
            <w:r>
              <w:rPr>
                <w:rFonts w:ascii="Arial" w:hAnsi="Arial" w:cs="Arial" w:eastAsiaTheme="minorEastAsia"/>
                <w:sz w:val="20"/>
                <w:szCs w:val="20"/>
                <w:lang w:eastAsia="zh-CN"/>
              </w:rPr>
              <w:t>1,052 (38.6%)</w:t>
            </w:r>
          </w:p>
        </w:tc>
        <w:tc>
          <w:tcPr>
            <w:tcW w:w="1238" w:type="dxa"/>
            <w:vAlign w:val="center"/>
          </w:tcPr>
          <w:p w14:paraId="3B444A7A">
            <w:pPr>
              <w:pStyle w:val="35"/>
              <w:spacing w:before="0"/>
              <w:rPr>
                <w:rFonts w:ascii="Arial" w:hAnsi="Arial" w:cs="Arial" w:eastAsiaTheme="minorEastAsia"/>
                <w:sz w:val="20"/>
                <w:szCs w:val="20"/>
                <w:lang w:eastAsia="zh-CN"/>
              </w:rPr>
            </w:pPr>
            <w:r>
              <w:rPr>
                <w:rFonts w:ascii="Arial" w:hAnsi="Arial" w:cs="Arial" w:eastAsiaTheme="minorEastAsia"/>
                <w:sz w:val="20"/>
                <w:szCs w:val="20"/>
                <w:lang w:eastAsia="zh-CN"/>
              </w:rPr>
              <w:t>376 (32.4%)</w:t>
            </w:r>
          </w:p>
        </w:tc>
        <w:tc>
          <w:tcPr>
            <w:tcW w:w="623" w:type="dxa"/>
            <w:vAlign w:val="center"/>
          </w:tcPr>
          <w:p w14:paraId="339EBA85">
            <w:pPr>
              <w:pStyle w:val="35"/>
              <w:spacing w:before="0"/>
              <w:rPr>
                <w:rFonts w:ascii="Arial" w:hAnsi="Arial" w:cs="Arial" w:eastAsiaTheme="minorEastAsia"/>
                <w:sz w:val="20"/>
                <w:szCs w:val="20"/>
                <w:lang w:eastAsia="zh-CN"/>
              </w:rPr>
            </w:pPr>
            <w:r>
              <w:rPr>
                <w:rFonts w:ascii="Arial" w:hAnsi="Arial" w:cs="Arial" w:eastAsiaTheme="minorEastAsia"/>
                <w:sz w:val="20"/>
                <w:szCs w:val="20"/>
                <w:lang w:eastAsia="zh-CN"/>
              </w:rPr>
              <w:t>&lt;.001</w:t>
            </w:r>
          </w:p>
        </w:tc>
      </w:tr>
      <w:tr w14:paraId="7F9BFC16">
        <w:trPr>
          <w:cantSplit/>
        </w:trPr>
        <w:tc>
          <w:tcPr>
            <w:tcW w:w="2666" w:type="dxa"/>
            <w:vAlign w:val="center"/>
          </w:tcPr>
          <w:p w14:paraId="77E8478A">
            <w:pPr>
              <w:pStyle w:val="35"/>
              <w:spacing w:before="0"/>
              <w:rPr>
                <w:rFonts w:ascii="Arial" w:hAnsi="Arial" w:cs="Arial" w:eastAsiaTheme="minorEastAsia"/>
                <w:sz w:val="20"/>
                <w:szCs w:val="20"/>
                <w:lang w:eastAsia="zh-CN"/>
              </w:rPr>
            </w:pPr>
            <w:r>
              <w:rPr>
                <w:rFonts w:ascii="Arial" w:hAnsi="Arial" w:cs="Arial" w:eastAsiaTheme="minorEastAsia"/>
                <w:sz w:val="20"/>
                <w:szCs w:val="20"/>
                <w:lang w:eastAsia="zh-CN"/>
              </w:rPr>
              <w:t>SpO</w:t>
            </w:r>
            <w:r>
              <w:rPr>
                <w:rFonts w:ascii="Arial" w:hAnsi="Arial" w:eastAsia="宋体" w:cs="Arial"/>
                <w:sz w:val="20"/>
                <w:szCs w:val="20"/>
                <w:vertAlign w:val="subscript"/>
                <w:lang w:eastAsia="zh-CN"/>
              </w:rPr>
              <w:t>2</w:t>
            </w:r>
            <w:r>
              <w:rPr>
                <w:rFonts w:ascii="Arial" w:hAnsi="Arial" w:cs="Arial" w:eastAsiaTheme="minorEastAsia"/>
                <w:sz w:val="20"/>
                <w:szCs w:val="20"/>
                <w:lang w:eastAsia="zh-CN"/>
              </w:rPr>
              <w:t>, % (mean)</w:t>
            </w:r>
          </w:p>
        </w:tc>
        <w:tc>
          <w:tcPr>
            <w:tcW w:w="2356" w:type="dxa"/>
            <w:vAlign w:val="center"/>
          </w:tcPr>
          <w:p w14:paraId="4E08D186">
            <w:pPr>
              <w:pStyle w:val="35"/>
              <w:spacing w:before="0"/>
              <w:rPr>
                <w:rFonts w:ascii="Arial" w:hAnsi="Arial" w:cs="Arial" w:eastAsiaTheme="minorEastAsia"/>
                <w:sz w:val="20"/>
                <w:szCs w:val="20"/>
                <w:lang w:eastAsia="zh-CN"/>
              </w:rPr>
            </w:pPr>
            <w:r>
              <w:rPr>
                <w:rFonts w:ascii="Arial" w:hAnsi="Arial" w:cs="Arial" w:eastAsiaTheme="minorEastAsia"/>
                <w:sz w:val="20"/>
                <w:szCs w:val="20"/>
                <w:lang w:eastAsia="zh-CN"/>
              </w:rPr>
              <w:t>SOFA-2 Respiratory (updated)</w:t>
            </w:r>
          </w:p>
        </w:tc>
        <w:tc>
          <w:tcPr>
            <w:tcW w:w="1527" w:type="dxa"/>
            <w:vAlign w:val="center"/>
          </w:tcPr>
          <w:p w14:paraId="4377D933">
            <w:pPr>
              <w:pStyle w:val="35"/>
              <w:spacing w:before="0"/>
              <w:rPr>
                <w:rFonts w:ascii="Arial" w:hAnsi="Arial" w:cs="Arial" w:eastAsiaTheme="minorEastAsia"/>
                <w:sz w:val="20"/>
                <w:szCs w:val="20"/>
                <w:lang w:eastAsia="zh-CN"/>
              </w:rPr>
            </w:pPr>
            <w:r>
              <w:rPr>
                <w:rFonts w:ascii="Arial" w:hAnsi="Arial" w:cs="Arial" w:eastAsiaTheme="minorEastAsia"/>
                <w:sz w:val="20"/>
                <w:szCs w:val="20"/>
                <w:lang w:eastAsia="zh-CN"/>
              </w:rPr>
              <w:t>96.42 ± 2.10</w:t>
            </w:r>
          </w:p>
        </w:tc>
        <w:tc>
          <w:tcPr>
            <w:tcW w:w="1310" w:type="dxa"/>
            <w:vAlign w:val="center"/>
          </w:tcPr>
          <w:p w14:paraId="6E672A26">
            <w:pPr>
              <w:pStyle w:val="35"/>
              <w:spacing w:before="0"/>
              <w:rPr>
                <w:rFonts w:ascii="Arial" w:hAnsi="Arial" w:cs="Arial" w:eastAsiaTheme="minorEastAsia"/>
                <w:sz w:val="20"/>
                <w:szCs w:val="20"/>
                <w:lang w:eastAsia="zh-CN"/>
              </w:rPr>
            </w:pPr>
            <w:r>
              <w:rPr>
                <w:rFonts w:ascii="Arial" w:hAnsi="Arial" w:cs="Arial" w:eastAsiaTheme="minorEastAsia"/>
                <w:sz w:val="20"/>
                <w:szCs w:val="20"/>
                <w:lang w:eastAsia="zh-CN"/>
              </w:rPr>
              <w:t>96.13 ± 2.03</w:t>
            </w:r>
          </w:p>
        </w:tc>
        <w:tc>
          <w:tcPr>
            <w:tcW w:w="1238" w:type="dxa"/>
            <w:vAlign w:val="center"/>
          </w:tcPr>
          <w:p w14:paraId="15F4BCBA">
            <w:pPr>
              <w:pStyle w:val="35"/>
              <w:spacing w:before="0"/>
              <w:rPr>
                <w:rFonts w:ascii="Arial" w:hAnsi="Arial" w:cs="Arial" w:eastAsiaTheme="minorEastAsia"/>
                <w:sz w:val="20"/>
                <w:szCs w:val="20"/>
                <w:lang w:eastAsia="zh-CN"/>
              </w:rPr>
            </w:pPr>
            <w:r>
              <w:rPr>
                <w:rFonts w:ascii="Arial" w:hAnsi="Arial" w:cs="Arial" w:eastAsiaTheme="minorEastAsia"/>
                <w:sz w:val="20"/>
                <w:szCs w:val="20"/>
                <w:lang w:eastAsia="zh-CN"/>
              </w:rPr>
              <w:t>95.99 ± 2.02</w:t>
            </w:r>
          </w:p>
        </w:tc>
        <w:tc>
          <w:tcPr>
            <w:tcW w:w="623" w:type="dxa"/>
            <w:vAlign w:val="center"/>
          </w:tcPr>
          <w:p w14:paraId="5A559EEC">
            <w:pPr>
              <w:pStyle w:val="35"/>
              <w:spacing w:before="0"/>
              <w:rPr>
                <w:rFonts w:ascii="Arial" w:hAnsi="Arial" w:cs="Arial" w:eastAsiaTheme="minorEastAsia"/>
                <w:sz w:val="20"/>
                <w:szCs w:val="20"/>
                <w:lang w:eastAsia="zh-CN"/>
              </w:rPr>
            </w:pPr>
            <w:r>
              <w:rPr>
                <w:rFonts w:ascii="Arial" w:hAnsi="Arial" w:cs="Arial" w:eastAsiaTheme="minorEastAsia"/>
                <w:sz w:val="20"/>
                <w:szCs w:val="20"/>
                <w:lang w:eastAsia="zh-CN"/>
              </w:rPr>
              <w:t>&lt;.001</w:t>
            </w:r>
          </w:p>
        </w:tc>
      </w:tr>
      <w:tr w14:paraId="012BA2CD">
        <w:trPr>
          <w:cantSplit/>
        </w:trPr>
        <w:tc>
          <w:tcPr>
            <w:tcW w:w="2666" w:type="dxa"/>
            <w:vAlign w:val="center"/>
          </w:tcPr>
          <w:p w14:paraId="106CC81C">
            <w:pPr>
              <w:pStyle w:val="35"/>
              <w:spacing w:before="0"/>
              <w:rPr>
                <w:rFonts w:ascii="Arial" w:hAnsi="Arial" w:cs="Arial" w:eastAsiaTheme="minorEastAsia"/>
                <w:sz w:val="20"/>
                <w:szCs w:val="20"/>
                <w:lang w:eastAsia="zh-CN"/>
              </w:rPr>
            </w:pPr>
            <w:r>
              <w:rPr>
                <w:rFonts w:ascii="Arial" w:hAnsi="Arial" w:cs="Arial" w:eastAsiaTheme="minorEastAsia"/>
                <w:sz w:val="20"/>
                <w:szCs w:val="20"/>
                <w:lang w:eastAsia="zh-CN"/>
              </w:rPr>
              <w:t>SpO</w:t>
            </w:r>
            <w:r>
              <w:rPr>
                <w:rFonts w:ascii="Arial" w:hAnsi="Arial" w:eastAsia="宋体" w:cs="Arial"/>
                <w:sz w:val="20"/>
                <w:szCs w:val="20"/>
                <w:vertAlign w:val="subscript"/>
                <w:lang w:eastAsia="zh-CN"/>
              </w:rPr>
              <w:t>2</w:t>
            </w:r>
            <w:r>
              <w:rPr>
                <w:rFonts w:ascii="Arial" w:hAnsi="Arial" w:cs="Arial" w:eastAsiaTheme="minorEastAsia"/>
                <w:sz w:val="20"/>
                <w:szCs w:val="20"/>
                <w:lang w:eastAsia="zh-CN"/>
              </w:rPr>
              <w:t>/FiO</w:t>
            </w:r>
            <w:r>
              <w:rPr>
                <w:rFonts w:ascii="Arial" w:hAnsi="Arial" w:eastAsia="宋体" w:cs="Arial"/>
                <w:sz w:val="20"/>
                <w:szCs w:val="20"/>
                <w:vertAlign w:val="subscript"/>
                <w:lang w:eastAsia="zh-CN"/>
              </w:rPr>
              <w:t>2</w:t>
            </w:r>
            <w:r>
              <w:rPr>
                <w:rFonts w:ascii="Arial" w:hAnsi="Arial" w:cs="Arial" w:eastAsiaTheme="minorEastAsia"/>
                <w:sz w:val="20"/>
                <w:szCs w:val="20"/>
                <w:lang w:eastAsia="zh-CN"/>
              </w:rPr>
              <w:t xml:space="preserve"> ratio (mean)</w:t>
            </w:r>
          </w:p>
        </w:tc>
        <w:tc>
          <w:tcPr>
            <w:tcW w:w="2356" w:type="dxa"/>
            <w:vAlign w:val="center"/>
          </w:tcPr>
          <w:p w14:paraId="4543895F">
            <w:pPr>
              <w:pStyle w:val="35"/>
              <w:spacing w:before="0"/>
              <w:rPr>
                <w:rFonts w:ascii="Arial" w:hAnsi="Arial" w:cs="Arial" w:eastAsiaTheme="minorEastAsia"/>
                <w:sz w:val="20"/>
                <w:szCs w:val="20"/>
                <w:lang w:eastAsia="zh-CN"/>
              </w:rPr>
            </w:pPr>
            <w:r>
              <w:rPr>
                <w:rFonts w:ascii="Arial" w:hAnsi="Arial" w:cs="Arial" w:eastAsiaTheme="minorEastAsia"/>
                <w:sz w:val="20"/>
                <w:szCs w:val="20"/>
                <w:lang w:eastAsia="zh-CN"/>
              </w:rPr>
              <w:t>SOFA-2 Respiratory (updated)</w:t>
            </w:r>
          </w:p>
        </w:tc>
        <w:tc>
          <w:tcPr>
            <w:tcW w:w="1527" w:type="dxa"/>
            <w:vAlign w:val="center"/>
          </w:tcPr>
          <w:p w14:paraId="5A320B5D">
            <w:pPr>
              <w:pStyle w:val="35"/>
              <w:spacing w:before="0"/>
              <w:rPr>
                <w:rFonts w:ascii="Arial" w:hAnsi="Arial" w:cs="Arial" w:eastAsiaTheme="minorEastAsia"/>
                <w:sz w:val="20"/>
                <w:szCs w:val="20"/>
                <w:lang w:eastAsia="zh-CN"/>
              </w:rPr>
            </w:pPr>
            <w:r>
              <w:rPr>
                <w:rFonts w:ascii="Arial" w:hAnsi="Arial" w:cs="Arial" w:eastAsiaTheme="minorEastAsia"/>
                <w:sz w:val="20"/>
                <w:szCs w:val="20"/>
                <w:lang w:eastAsia="zh-CN"/>
              </w:rPr>
              <w:t>198.79 ± 51.91</w:t>
            </w:r>
          </w:p>
        </w:tc>
        <w:tc>
          <w:tcPr>
            <w:tcW w:w="1310" w:type="dxa"/>
            <w:vAlign w:val="center"/>
          </w:tcPr>
          <w:p w14:paraId="026C34D3">
            <w:pPr>
              <w:pStyle w:val="35"/>
              <w:spacing w:before="0"/>
              <w:rPr>
                <w:rFonts w:ascii="Arial" w:hAnsi="Arial" w:cs="Arial" w:eastAsiaTheme="minorEastAsia"/>
                <w:sz w:val="20"/>
                <w:szCs w:val="20"/>
                <w:lang w:eastAsia="zh-CN"/>
              </w:rPr>
            </w:pPr>
            <w:r>
              <w:rPr>
                <w:rFonts w:ascii="Arial" w:hAnsi="Arial" w:cs="Arial" w:eastAsiaTheme="minorEastAsia"/>
                <w:sz w:val="20"/>
                <w:szCs w:val="20"/>
                <w:lang w:eastAsia="zh-CN"/>
              </w:rPr>
              <w:t>214.50 ± 55.73</w:t>
            </w:r>
          </w:p>
        </w:tc>
        <w:tc>
          <w:tcPr>
            <w:tcW w:w="1238" w:type="dxa"/>
            <w:vAlign w:val="center"/>
          </w:tcPr>
          <w:p w14:paraId="1C30DCD1">
            <w:pPr>
              <w:pStyle w:val="35"/>
              <w:spacing w:before="0"/>
              <w:rPr>
                <w:rFonts w:ascii="Arial" w:hAnsi="Arial" w:cs="Arial" w:eastAsiaTheme="minorEastAsia"/>
                <w:sz w:val="20"/>
                <w:szCs w:val="20"/>
                <w:lang w:eastAsia="zh-CN"/>
              </w:rPr>
            </w:pPr>
            <w:r>
              <w:rPr>
                <w:rFonts w:ascii="Arial" w:hAnsi="Arial" w:cs="Arial" w:eastAsiaTheme="minorEastAsia"/>
                <w:sz w:val="20"/>
                <w:szCs w:val="20"/>
                <w:lang w:eastAsia="zh-CN"/>
              </w:rPr>
              <w:t>210.05 ± 56.61</w:t>
            </w:r>
          </w:p>
        </w:tc>
        <w:tc>
          <w:tcPr>
            <w:tcW w:w="623" w:type="dxa"/>
            <w:vAlign w:val="center"/>
          </w:tcPr>
          <w:p w14:paraId="5BF51066">
            <w:pPr>
              <w:pStyle w:val="35"/>
              <w:spacing w:before="0"/>
              <w:rPr>
                <w:rFonts w:ascii="Arial" w:hAnsi="Arial" w:cs="Arial" w:eastAsiaTheme="minorEastAsia"/>
                <w:sz w:val="20"/>
                <w:szCs w:val="20"/>
                <w:lang w:eastAsia="zh-CN"/>
              </w:rPr>
            </w:pPr>
            <w:r>
              <w:rPr>
                <w:rFonts w:ascii="Arial" w:hAnsi="Arial" w:cs="Arial" w:eastAsiaTheme="minorEastAsia"/>
                <w:sz w:val="20"/>
                <w:szCs w:val="20"/>
                <w:lang w:eastAsia="zh-CN"/>
              </w:rPr>
              <w:t>&lt;.001</w:t>
            </w:r>
          </w:p>
        </w:tc>
      </w:tr>
      <w:tr w14:paraId="0261E274">
        <w:trPr>
          <w:cantSplit/>
        </w:trPr>
        <w:tc>
          <w:tcPr>
            <w:tcW w:w="2666" w:type="dxa"/>
            <w:vAlign w:val="center"/>
          </w:tcPr>
          <w:p w14:paraId="488638F6">
            <w:pPr>
              <w:pStyle w:val="35"/>
              <w:spacing w:before="0"/>
              <w:rPr>
                <w:rFonts w:ascii="Arial" w:hAnsi="Arial" w:cs="Arial" w:eastAsiaTheme="minorEastAsia"/>
                <w:sz w:val="20"/>
                <w:szCs w:val="20"/>
                <w:lang w:eastAsia="zh-CN"/>
              </w:rPr>
            </w:pPr>
            <w:r>
              <w:rPr>
                <w:rFonts w:ascii="Arial" w:hAnsi="Arial" w:cs="Arial" w:eastAsiaTheme="minorEastAsia"/>
                <w:sz w:val="20"/>
                <w:szCs w:val="20"/>
                <w:lang w:eastAsia="zh-CN"/>
              </w:rPr>
              <w:t>Advanced respiratory support, any</w:t>
            </w:r>
          </w:p>
        </w:tc>
        <w:tc>
          <w:tcPr>
            <w:tcW w:w="2356" w:type="dxa"/>
            <w:vAlign w:val="center"/>
          </w:tcPr>
          <w:p w14:paraId="4BFCCE00">
            <w:pPr>
              <w:pStyle w:val="35"/>
              <w:spacing w:before="0"/>
              <w:rPr>
                <w:rFonts w:ascii="Arial" w:hAnsi="Arial" w:cs="Arial" w:eastAsiaTheme="minorEastAsia"/>
                <w:sz w:val="20"/>
                <w:szCs w:val="20"/>
                <w:lang w:eastAsia="zh-CN"/>
              </w:rPr>
            </w:pPr>
            <w:r>
              <w:rPr>
                <w:rFonts w:ascii="Arial" w:hAnsi="Arial" w:cs="Arial" w:eastAsiaTheme="minorEastAsia"/>
                <w:sz w:val="20"/>
                <w:szCs w:val="20"/>
                <w:lang w:eastAsia="zh-CN"/>
              </w:rPr>
              <w:t>SOFA-2 Respiratory (updated)</w:t>
            </w:r>
          </w:p>
        </w:tc>
        <w:tc>
          <w:tcPr>
            <w:tcW w:w="1527" w:type="dxa"/>
            <w:vAlign w:val="center"/>
          </w:tcPr>
          <w:p w14:paraId="1D2F9CBA">
            <w:pPr>
              <w:pStyle w:val="35"/>
              <w:spacing w:before="0"/>
              <w:rPr>
                <w:rFonts w:ascii="Arial" w:hAnsi="Arial" w:cs="Arial" w:eastAsiaTheme="minorEastAsia"/>
                <w:sz w:val="20"/>
                <w:szCs w:val="20"/>
                <w:lang w:eastAsia="zh-CN"/>
              </w:rPr>
            </w:pPr>
            <w:r>
              <w:rPr>
                <w:rFonts w:ascii="Arial" w:hAnsi="Arial" w:cs="Arial" w:eastAsiaTheme="minorEastAsia"/>
                <w:sz w:val="20"/>
                <w:szCs w:val="20"/>
                <w:lang w:eastAsia="zh-CN"/>
              </w:rPr>
              <w:t>13,903 (67.4%)</w:t>
            </w:r>
          </w:p>
        </w:tc>
        <w:tc>
          <w:tcPr>
            <w:tcW w:w="1310" w:type="dxa"/>
            <w:vAlign w:val="center"/>
          </w:tcPr>
          <w:p w14:paraId="18E70761">
            <w:pPr>
              <w:pStyle w:val="35"/>
              <w:spacing w:before="0"/>
              <w:rPr>
                <w:rFonts w:ascii="Arial" w:hAnsi="Arial" w:cs="Arial" w:eastAsiaTheme="minorEastAsia"/>
                <w:sz w:val="20"/>
                <w:szCs w:val="20"/>
                <w:lang w:eastAsia="zh-CN"/>
              </w:rPr>
            </w:pPr>
            <w:r>
              <w:rPr>
                <w:rFonts w:ascii="Arial" w:hAnsi="Arial" w:cs="Arial" w:eastAsiaTheme="minorEastAsia"/>
                <w:sz w:val="20"/>
                <w:szCs w:val="20"/>
                <w:lang w:eastAsia="zh-CN"/>
              </w:rPr>
              <w:t>1,565 (57.5%)</w:t>
            </w:r>
          </w:p>
        </w:tc>
        <w:tc>
          <w:tcPr>
            <w:tcW w:w="1238" w:type="dxa"/>
            <w:vAlign w:val="center"/>
          </w:tcPr>
          <w:p w14:paraId="548F3725">
            <w:pPr>
              <w:pStyle w:val="35"/>
              <w:spacing w:before="0"/>
              <w:rPr>
                <w:rFonts w:ascii="Arial" w:hAnsi="Arial" w:cs="Arial" w:eastAsiaTheme="minorEastAsia"/>
                <w:sz w:val="20"/>
                <w:szCs w:val="20"/>
                <w:lang w:eastAsia="zh-CN"/>
              </w:rPr>
            </w:pPr>
            <w:r>
              <w:rPr>
                <w:rFonts w:ascii="Arial" w:hAnsi="Arial" w:cs="Arial" w:eastAsiaTheme="minorEastAsia"/>
                <w:sz w:val="20"/>
                <w:szCs w:val="20"/>
                <w:lang w:eastAsia="zh-CN"/>
              </w:rPr>
              <w:t>500 (43.0%)</w:t>
            </w:r>
          </w:p>
        </w:tc>
        <w:tc>
          <w:tcPr>
            <w:tcW w:w="623" w:type="dxa"/>
            <w:vAlign w:val="center"/>
          </w:tcPr>
          <w:p w14:paraId="5005B3BB">
            <w:pPr>
              <w:pStyle w:val="35"/>
              <w:spacing w:before="0"/>
              <w:rPr>
                <w:rFonts w:ascii="Arial" w:hAnsi="Arial" w:cs="Arial" w:eastAsiaTheme="minorEastAsia"/>
                <w:sz w:val="20"/>
                <w:szCs w:val="20"/>
                <w:lang w:eastAsia="zh-CN"/>
              </w:rPr>
            </w:pPr>
            <w:r>
              <w:rPr>
                <w:rFonts w:ascii="Arial" w:hAnsi="Arial" w:cs="Arial" w:eastAsiaTheme="minorEastAsia"/>
                <w:sz w:val="20"/>
                <w:szCs w:val="20"/>
                <w:lang w:eastAsia="zh-CN"/>
              </w:rPr>
              <w:t>&lt;.001</w:t>
            </w:r>
          </w:p>
        </w:tc>
      </w:tr>
      <w:tr w14:paraId="0622D673">
        <w:trPr>
          <w:cantSplit/>
        </w:trPr>
        <w:tc>
          <w:tcPr>
            <w:tcW w:w="2666" w:type="dxa"/>
            <w:vAlign w:val="center"/>
          </w:tcPr>
          <w:p w14:paraId="3AEC7E42">
            <w:pPr>
              <w:pStyle w:val="35"/>
              <w:spacing w:before="0"/>
              <w:rPr>
                <w:rFonts w:ascii="Arial" w:hAnsi="Arial" w:cs="Arial" w:eastAsiaTheme="minorEastAsia"/>
                <w:sz w:val="20"/>
                <w:szCs w:val="20"/>
                <w:lang w:eastAsia="zh-CN"/>
              </w:rPr>
            </w:pPr>
            <w:r>
              <w:rPr>
                <w:rFonts w:ascii="Arial" w:hAnsi="Arial" w:cs="Arial" w:eastAsiaTheme="minorEastAsia"/>
                <w:sz w:val="20"/>
                <w:szCs w:val="20"/>
                <w:lang w:eastAsia="zh-CN"/>
              </w:rPr>
              <w:t>ECMO, any</w:t>
            </w:r>
          </w:p>
        </w:tc>
        <w:tc>
          <w:tcPr>
            <w:tcW w:w="2356" w:type="dxa"/>
            <w:vAlign w:val="center"/>
          </w:tcPr>
          <w:p w14:paraId="30FAA8E1">
            <w:pPr>
              <w:pStyle w:val="35"/>
              <w:spacing w:before="0"/>
              <w:rPr>
                <w:rFonts w:ascii="Arial" w:hAnsi="Arial" w:cs="Arial" w:eastAsiaTheme="minorEastAsia"/>
                <w:sz w:val="20"/>
                <w:szCs w:val="20"/>
                <w:lang w:eastAsia="zh-CN"/>
              </w:rPr>
            </w:pPr>
            <w:r>
              <w:rPr>
                <w:rFonts w:ascii="Arial" w:hAnsi="Arial" w:cs="Arial" w:eastAsiaTheme="minorEastAsia"/>
                <w:sz w:val="20"/>
                <w:szCs w:val="20"/>
                <w:lang w:eastAsia="zh-CN"/>
              </w:rPr>
              <w:t>SOFA-2 Respiratory (updated)</w:t>
            </w:r>
          </w:p>
        </w:tc>
        <w:tc>
          <w:tcPr>
            <w:tcW w:w="1527" w:type="dxa"/>
            <w:vAlign w:val="center"/>
          </w:tcPr>
          <w:p w14:paraId="0A00778E">
            <w:pPr>
              <w:pStyle w:val="35"/>
              <w:spacing w:before="0"/>
              <w:rPr>
                <w:rFonts w:ascii="Arial" w:hAnsi="Arial" w:cs="Arial" w:eastAsiaTheme="minorEastAsia"/>
                <w:sz w:val="20"/>
                <w:szCs w:val="20"/>
                <w:lang w:eastAsia="zh-CN"/>
              </w:rPr>
            </w:pPr>
            <w:r>
              <w:rPr>
                <w:rFonts w:ascii="Arial" w:hAnsi="Arial" w:cs="Arial" w:eastAsiaTheme="minorEastAsia"/>
                <w:sz w:val="20"/>
                <w:szCs w:val="20"/>
                <w:lang w:eastAsia="zh-CN"/>
              </w:rPr>
              <w:t>78 (0.4%)</w:t>
            </w:r>
          </w:p>
        </w:tc>
        <w:tc>
          <w:tcPr>
            <w:tcW w:w="1310" w:type="dxa"/>
            <w:vAlign w:val="center"/>
          </w:tcPr>
          <w:p w14:paraId="5A169A25">
            <w:pPr>
              <w:pStyle w:val="35"/>
              <w:spacing w:before="0"/>
              <w:rPr>
                <w:rFonts w:ascii="Arial" w:hAnsi="Arial" w:cs="Arial" w:eastAsiaTheme="minorEastAsia"/>
                <w:sz w:val="20"/>
                <w:szCs w:val="20"/>
                <w:lang w:eastAsia="zh-CN"/>
              </w:rPr>
            </w:pPr>
            <w:r>
              <w:rPr>
                <w:rFonts w:ascii="Arial" w:hAnsi="Arial" w:cs="Arial" w:eastAsiaTheme="minorEastAsia"/>
                <w:sz w:val="20"/>
                <w:szCs w:val="20"/>
                <w:lang w:eastAsia="zh-CN"/>
              </w:rPr>
              <w:t>8 (0.3%)</w:t>
            </w:r>
          </w:p>
        </w:tc>
        <w:tc>
          <w:tcPr>
            <w:tcW w:w="1238" w:type="dxa"/>
            <w:vAlign w:val="center"/>
          </w:tcPr>
          <w:p w14:paraId="39777A03">
            <w:pPr>
              <w:pStyle w:val="35"/>
              <w:spacing w:before="0"/>
              <w:rPr>
                <w:rFonts w:ascii="Arial" w:hAnsi="Arial" w:cs="Arial" w:eastAsiaTheme="minorEastAsia"/>
                <w:sz w:val="20"/>
                <w:szCs w:val="20"/>
                <w:lang w:eastAsia="zh-CN"/>
              </w:rPr>
            </w:pPr>
            <w:r>
              <w:rPr>
                <w:rFonts w:ascii="Arial" w:hAnsi="Arial" w:cs="Arial" w:eastAsiaTheme="minorEastAsia"/>
                <w:sz w:val="20"/>
                <w:szCs w:val="20"/>
                <w:lang w:eastAsia="zh-CN"/>
              </w:rPr>
              <w:t>1 (0.1%)</w:t>
            </w:r>
          </w:p>
        </w:tc>
        <w:tc>
          <w:tcPr>
            <w:tcW w:w="623" w:type="dxa"/>
            <w:vAlign w:val="center"/>
          </w:tcPr>
          <w:p w14:paraId="0E3B44A7">
            <w:pPr>
              <w:pStyle w:val="35"/>
              <w:spacing w:before="0"/>
              <w:rPr>
                <w:rFonts w:ascii="Arial" w:hAnsi="Arial" w:cs="Arial" w:eastAsiaTheme="minorEastAsia"/>
                <w:sz w:val="20"/>
                <w:szCs w:val="20"/>
                <w:lang w:eastAsia="zh-CN"/>
              </w:rPr>
            </w:pPr>
            <w:r>
              <w:rPr>
                <w:rFonts w:ascii="Arial" w:hAnsi="Arial" w:cs="Arial" w:eastAsiaTheme="minorEastAsia"/>
                <w:sz w:val="20"/>
                <w:szCs w:val="20"/>
                <w:lang w:eastAsia="zh-CN"/>
              </w:rPr>
              <w:t>.23</w:t>
            </w:r>
          </w:p>
        </w:tc>
      </w:tr>
      <w:tr w14:paraId="4E67D5A6">
        <w:trPr>
          <w:cantSplit/>
        </w:trPr>
        <w:tc>
          <w:tcPr>
            <w:tcW w:w="2666" w:type="dxa"/>
            <w:vAlign w:val="center"/>
          </w:tcPr>
          <w:p w14:paraId="2CFD547A">
            <w:pPr>
              <w:pStyle w:val="35"/>
              <w:spacing w:before="0"/>
              <w:rPr>
                <w:rFonts w:ascii="Arial" w:hAnsi="Arial" w:cs="Arial" w:eastAsiaTheme="minorEastAsia"/>
                <w:sz w:val="20"/>
                <w:szCs w:val="20"/>
                <w:lang w:eastAsia="zh-CN"/>
              </w:rPr>
            </w:pPr>
            <w:r>
              <w:rPr>
                <w:rFonts w:ascii="Arial" w:hAnsi="Arial" w:cs="Arial" w:eastAsiaTheme="minorEastAsia"/>
                <w:sz w:val="20"/>
                <w:szCs w:val="20"/>
                <w:lang w:eastAsia="zh-CN"/>
              </w:rPr>
              <w:t>Platelets, ×10³/µL (mean)</w:t>
            </w:r>
          </w:p>
        </w:tc>
        <w:tc>
          <w:tcPr>
            <w:tcW w:w="2356" w:type="dxa"/>
            <w:vAlign w:val="center"/>
          </w:tcPr>
          <w:p w14:paraId="252B6170">
            <w:pPr>
              <w:pStyle w:val="35"/>
              <w:spacing w:before="0"/>
              <w:rPr>
                <w:rFonts w:ascii="Arial" w:hAnsi="Arial" w:cs="Arial" w:eastAsiaTheme="minorEastAsia"/>
                <w:sz w:val="20"/>
                <w:szCs w:val="20"/>
                <w:lang w:eastAsia="zh-CN"/>
              </w:rPr>
            </w:pPr>
            <w:r>
              <w:rPr>
                <w:rFonts w:ascii="Arial" w:hAnsi="Arial" w:cs="Arial" w:eastAsiaTheme="minorEastAsia"/>
                <w:sz w:val="20"/>
                <w:szCs w:val="20"/>
                <w:lang w:eastAsia="zh-CN"/>
              </w:rPr>
              <w:t>SOFA-2 Coagulation</w:t>
            </w:r>
          </w:p>
        </w:tc>
        <w:tc>
          <w:tcPr>
            <w:tcW w:w="1527" w:type="dxa"/>
            <w:vAlign w:val="center"/>
          </w:tcPr>
          <w:p w14:paraId="18062B01">
            <w:pPr>
              <w:pStyle w:val="35"/>
              <w:spacing w:before="0"/>
              <w:rPr>
                <w:rFonts w:ascii="Arial" w:hAnsi="Arial" w:cs="Arial" w:eastAsiaTheme="minorEastAsia"/>
                <w:sz w:val="20"/>
                <w:szCs w:val="20"/>
                <w:lang w:eastAsia="zh-CN"/>
              </w:rPr>
            </w:pPr>
            <w:r>
              <w:rPr>
                <w:rFonts w:ascii="Arial" w:hAnsi="Arial" w:cs="Arial" w:eastAsiaTheme="minorEastAsia"/>
                <w:sz w:val="20"/>
                <w:szCs w:val="20"/>
                <w:lang w:eastAsia="zh-CN"/>
              </w:rPr>
              <w:t>193.17 ± 115.46</w:t>
            </w:r>
          </w:p>
        </w:tc>
        <w:tc>
          <w:tcPr>
            <w:tcW w:w="1310" w:type="dxa"/>
            <w:vAlign w:val="center"/>
          </w:tcPr>
          <w:p w14:paraId="2EAB9C6B">
            <w:pPr>
              <w:pStyle w:val="35"/>
              <w:spacing w:before="0"/>
              <w:rPr>
                <w:rFonts w:ascii="Arial" w:hAnsi="Arial" w:cs="Arial" w:eastAsiaTheme="minorEastAsia"/>
                <w:sz w:val="20"/>
                <w:szCs w:val="20"/>
                <w:lang w:eastAsia="zh-CN"/>
              </w:rPr>
            </w:pPr>
            <w:r>
              <w:rPr>
                <w:rFonts w:ascii="Arial" w:hAnsi="Arial" w:cs="Arial" w:eastAsiaTheme="minorEastAsia"/>
                <w:sz w:val="20"/>
                <w:szCs w:val="20"/>
                <w:lang w:eastAsia="zh-CN"/>
              </w:rPr>
              <w:t>227.68 ± 123.74</w:t>
            </w:r>
          </w:p>
        </w:tc>
        <w:tc>
          <w:tcPr>
            <w:tcW w:w="1238" w:type="dxa"/>
            <w:vAlign w:val="center"/>
          </w:tcPr>
          <w:p w14:paraId="79C0106E">
            <w:pPr>
              <w:pStyle w:val="35"/>
              <w:spacing w:before="0"/>
              <w:rPr>
                <w:rFonts w:ascii="Arial" w:hAnsi="Arial" w:cs="Arial" w:eastAsiaTheme="minorEastAsia"/>
                <w:sz w:val="20"/>
                <w:szCs w:val="20"/>
                <w:lang w:eastAsia="zh-CN"/>
              </w:rPr>
            </w:pPr>
            <w:r>
              <w:rPr>
                <w:rFonts w:ascii="Arial" w:hAnsi="Arial" w:cs="Arial" w:eastAsiaTheme="minorEastAsia"/>
                <w:sz w:val="20"/>
                <w:szCs w:val="20"/>
                <w:lang w:eastAsia="zh-CN"/>
              </w:rPr>
              <w:t>227.69 ± 116.94</w:t>
            </w:r>
          </w:p>
        </w:tc>
        <w:tc>
          <w:tcPr>
            <w:tcW w:w="623" w:type="dxa"/>
            <w:vAlign w:val="center"/>
          </w:tcPr>
          <w:p w14:paraId="0E10885D">
            <w:pPr>
              <w:pStyle w:val="35"/>
              <w:spacing w:before="0"/>
              <w:rPr>
                <w:rFonts w:ascii="Arial" w:hAnsi="Arial" w:cs="Arial" w:eastAsiaTheme="minorEastAsia"/>
                <w:sz w:val="20"/>
                <w:szCs w:val="20"/>
                <w:lang w:eastAsia="zh-CN"/>
              </w:rPr>
            </w:pPr>
            <w:r>
              <w:rPr>
                <w:rFonts w:ascii="Arial" w:hAnsi="Arial" w:cs="Arial" w:eastAsiaTheme="minorEastAsia"/>
                <w:sz w:val="20"/>
                <w:szCs w:val="20"/>
                <w:lang w:eastAsia="zh-CN"/>
              </w:rPr>
              <w:t>&lt;.001</w:t>
            </w:r>
          </w:p>
        </w:tc>
      </w:tr>
      <w:tr w14:paraId="17048BFF">
        <w:trPr>
          <w:cantSplit/>
        </w:trPr>
        <w:tc>
          <w:tcPr>
            <w:tcW w:w="2666" w:type="dxa"/>
            <w:vAlign w:val="center"/>
          </w:tcPr>
          <w:p w14:paraId="3C057360">
            <w:pPr>
              <w:pStyle w:val="35"/>
              <w:spacing w:before="0"/>
              <w:rPr>
                <w:rFonts w:ascii="Arial" w:hAnsi="Arial" w:cs="Arial" w:eastAsiaTheme="minorEastAsia"/>
                <w:sz w:val="20"/>
                <w:szCs w:val="20"/>
                <w:lang w:eastAsia="zh-CN"/>
              </w:rPr>
            </w:pPr>
            <w:r>
              <w:rPr>
                <w:rFonts w:ascii="Arial" w:hAnsi="Arial" w:cs="Arial" w:eastAsiaTheme="minorEastAsia"/>
                <w:sz w:val="20"/>
                <w:szCs w:val="20"/>
                <w:lang w:eastAsia="zh-CN"/>
              </w:rPr>
              <w:t>Total bilirubin, mg/dL (mean)</w:t>
            </w:r>
          </w:p>
        </w:tc>
        <w:tc>
          <w:tcPr>
            <w:tcW w:w="2356" w:type="dxa"/>
            <w:vAlign w:val="center"/>
          </w:tcPr>
          <w:p w14:paraId="190E2183">
            <w:pPr>
              <w:pStyle w:val="35"/>
              <w:spacing w:before="0"/>
              <w:rPr>
                <w:rFonts w:ascii="Arial" w:hAnsi="Arial" w:cs="Arial" w:eastAsiaTheme="minorEastAsia"/>
                <w:sz w:val="20"/>
                <w:szCs w:val="20"/>
                <w:lang w:eastAsia="zh-CN"/>
              </w:rPr>
            </w:pPr>
            <w:r>
              <w:rPr>
                <w:rFonts w:ascii="Arial" w:hAnsi="Arial" w:cs="Arial" w:eastAsiaTheme="minorEastAsia"/>
                <w:sz w:val="20"/>
                <w:szCs w:val="20"/>
                <w:lang w:eastAsia="zh-CN"/>
              </w:rPr>
              <w:t>SOFA Liver</w:t>
            </w:r>
          </w:p>
        </w:tc>
        <w:tc>
          <w:tcPr>
            <w:tcW w:w="1527" w:type="dxa"/>
            <w:vAlign w:val="center"/>
          </w:tcPr>
          <w:p w14:paraId="7E219F7B">
            <w:pPr>
              <w:pStyle w:val="35"/>
              <w:spacing w:before="0"/>
              <w:rPr>
                <w:rFonts w:ascii="Arial" w:hAnsi="Arial" w:cs="Arial" w:eastAsiaTheme="minorEastAsia"/>
                <w:sz w:val="20"/>
                <w:szCs w:val="20"/>
                <w:lang w:eastAsia="zh-CN"/>
              </w:rPr>
            </w:pPr>
            <w:r>
              <w:rPr>
                <w:rFonts w:ascii="Arial" w:hAnsi="Arial" w:cs="Arial" w:eastAsiaTheme="minorEastAsia"/>
                <w:sz w:val="20"/>
                <w:szCs w:val="20"/>
                <w:lang w:eastAsia="zh-CN"/>
              </w:rPr>
              <w:t>2.66 ± 5.42</w:t>
            </w:r>
          </w:p>
        </w:tc>
        <w:tc>
          <w:tcPr>
            <w:tcW w:w="1310" w:type="dxa"/>
            <w:vAlign w:val="center"/>
          </w:tcPr>
          <w:p w14:paraId="4861FFFD">
            <w:pPr>
              <w:pStyle w:val="35"/>
              <w:spacing w:before="0"/>
              <w:rPr>
                <w:rFonts w:ascii="Arial" w:hAnsi="Arial" w:cs="Arial" w:eastAsiaTheme="minorEastAsia"/>
                <w:sz w:val="20"/>
                <w:szCs w:val="20"/>
                <w:lang w:eastAsia="zh-CN"/>
              </w:rPr>
            </w:pPr>
            <w:r>
              <w:rPr>
                <w:rFonts w:ascii="Arial" w:hAnsi="Arial" w:cs="Arial" w:eastAsiaTheme="minorEastAsia"/>
                <w:sz w:val="20"/>
                <w:szCs w:val="20"/>
                <w:lang w:eastAsia="zh-CN"/>
              </w:rPr>
              <w:t>2.12 ± 5.10</w:t>
            </w:r>
          </w:p>
        </w:tc>
        <w:tc>
          <w:tcPr>
            <w:tcW w:w="1238" w:type="dxa"/>
            <w:vAlign w:val="center"/>
          </w:tcPr>
          <w:p w14:paraId="0C2BC22A">
            <w:pPr>
              <w:pStyle w:val="35"/>
              <w:spacing w:before="0"/>
              <w:rPr>
                <w:rFonts w:ascii="Arial" w:hAnsi="Arial" w:cs="Arial" w:eastAsiaTheme="minorEastAsia"/>
                <w:sz w:val="20"/>
                <w:szCs w:val="20"/>
                <w:lang w:eastAsia="zh-CN"/>
              </w:rPr>
            </w:pPr>
            <w:r>
              <w:rPr>
                <w:rFonts w:ascii="Arial" w:hAnsi="Arial" w:cs="Arial" w:eastAsiaTheme="minorEastAsia"/>
                <w:sz w:val="20"/>
                <w:szCs w:val="20"/>
                <w:lang w:eastAsia="zh-CN"/>
              </w:rPr>
              <w:t>2.22 ± 6.15</w:t>
            </w:r>
          </w:p>
        </w:tc>
        <w:tc>
          <w:tcPr>
            <w:tcW w:w="623" w:type="dxa"/>
            <w:vAlign w:val="center"/>
          </w:tcPr>
          <w:p w14:paraId="69E505E2">
            <w:pPr>
              <w:pStyle w:val="35"/>
              <w:spacing w:before="0"/>
              <w:rPr>
                <w:rFonts w:ascii="Arial" w:hAnsi="Arial" w:cs="Arial" w:eastAsiaTheme="minorEastAsia"/>
                <w:sz w:val="20"/>
                <w:szCs w:val="20"/>
                <w:lang w:eastAsia="zh-CN"/>
              </w:rPr>
            </w:pPr>
            <w:r>
              <w:rPr>
                <w:rFonts w:ascii="Arial" w:hAnsi="Arial" w:cs="Arial" w:eastAsiaTheme="minorEastAsia"/>
                <w:sz w:val="20"/>
                <w:szCs w:val="20"/>
                <w:lang w:eastAsia="zh-CN"/>
              </w:rPr>
              <w:t>&lt;.001</w:t>
            </w:r>
          </w:p>
        </w:tc>
      </w:tr>
      <w:tr w14:paraId="798580AA">
        <w:trPr>
          <w:cantSplit/>
        </w:trPr>
        <w:tc>
          <w:tcPr>
            <w:tcW w:w="2666" w:type="dxa"/>
            <w:vAlign w:val="center"/>
          </w:tcPr>
          <w:p w14:paraId="39B96658">
            <w:pPr>
              <w:pStyle w:val="35"/>
              <w:spacing w:before="0"/>
              <w:rPr>
                <w:rFonts w:ascii="Arial" w:hAnsi="Arial" w:cs="Arial" w:eastAsiaTheme="minorEastAsia"/>
                <w:sz w:val="20"/>
                <w:szCs w:val="20"/>
                <w:lang w:eastAsia="zh-CN"/>
              </w:rPr>
            </w:pPr>
            <w:r>
              <w:rPr>
                <w:rFonts w:ascii="Arial" w:hAnsi="Arial" w:cs="Arial" w:eastAsiaTheme="minorEastAsia"/>
                <w:sz w:val="20"/>
                <w:szCs w:val="20"/>
                <w:lang w:eastAsia="zh-CN"/>
              </w:rPr>
              <w:t>Mean arterial pressure, mm Hg (mean)</w:t>
            </w:r>
          </w:p>
        </w:tc>
        <w:tc>
          <w:tcPr>
            <w:tcW w:w="2356" w:type="dxa"/>
            <w:vAlign w:val="center"/>
          </w:tcPr>
          <w:p w14:paraId="4516BA1C">
            <w:pPr>
              <w:pStyle w:val="35"/>
              <w:spacing w:before="0"/>
              <w:rPr>
                <w:rFonts w:ascii="Arial" w:hAnsi="Arial" w:cs="Arial" w:eastAsiaTheme="minorEastAsia"/>
                <w:sz w:val="20"/>
                <w:szCs w:val="20"/>
                <w:lang w:eastAsia="zh-CN"/>
              </w:rPr>
            </w:pPr>
            <w:r>
              <w:rPr>
                <w:rFonts w:ascii="Arial" w:hAnsi="Arial" w:cs="Arial" w:eastAsiaTheme="minorEastAsia"/>
                <w:sz w:val="20"/>
                <w:szCs w:val="20"/>
                <w:lang w:eastAsia="zh-CN"/>
              </w:rPr>
              <w:t>SOFA Cardiovascular (baseline)</w:t>
            </w:r>
          </w:p>
        </w:tc>
        <w:tc>
          <w:tcPr>
            <w:tcW w:w="1527" w:type="dxa"/>
            <w:vAlign w:val="center"/>
          </w:tcPr>
          <w:p w14:paraId="7CBCDD62">
            <w:pPr>
              <w:pStyle w:val="35"/>
              <w:spacing w:before="0"/>
              <w:rPr>
                <w:rFonts w:ascii="Arial" w:hAnsi="Arial" w:cs="Arial" w:eastAsiaTheme="minorEastAsia"/>
                <w:sz w:val="20"/>
                <w:szCs w:val="20"/>
                <w:lang w:eastAsia="zh-CN"/>
              </w:rPr>
            </w:pPr>
            <w:r>
              <w:rPr>
                <w:rFonts w:ascii="Arial" w:hAnsi="Arial" w:cs="Arial" w:eastAsiaTheme="minorEastAsia"/>
                <w:sz w:val="20"/>
                <w:szCs w:val="20"/>
                <w:lang w:eastAsia="zh-CN"/>
              </w:rPr>
              <w:t>75.81 ± 9.81</w:t>
            </w:r>
          </w:p>
        </w:tc>
        <w:tc>
          <w:tcPr>
            <w:tcW w:w="1310" w:type="dxa"/>
            <w:vAlign w:val="center"/>
          </w:tcPr>
          <w:p w14:paraId="23E22FBA">
            <w:pPr>
              <w:pStyle w:val="35"/>
              <w:spacing w:before="0"/>
              <w:rPr>
                <w:rFonts w:ascii="Arial" w:hAnsi="Arial" w:cs="Arial" w:eastAsiaTheme="minorEastAsia"/>
                <w:sz w:val="20"/>
                <w:szCs w:val="20"/>
                <w:lang w:eastAsia="zh-CN"/>
              </w:rPr>
            </w:pPr>
            <w:r>
              <w:rPr>
                <w:rFonts w:ascii="Arial" w:hAnsi="Arial" w:cs="Arial" w:eastAsiaTheme="minorEastAsia"/>
                <w:sz w:val="20"/>
                <w:szCs w:val="20"/>
                <w:lang w:eastAsia="zh-CN"/>
              </w:rPr>
              <w:t>77.86 ± 10.80</w:t>
            </w:r>
          </w:p>
        </w:tc>
        <w:tc>
          <w:tcPr>
            <w:tcW w:w="1238" w:type="dxa"/>
            <w:vAlign w:val="center"/>
          </w:tcPr>
          <w:p w14:paraId="33F48843">
            <w:pPr>
              <w:pStyle w:val="35"/>
              <w:spacing w:before="0"/>
              <w:rPr>
                <w:rFonts w:ascii="Arial" w:hAnsi="Arial" w:cs="Arial" w:eastAsiaTheme="minorEastAsia"/>
                <w:sz w:val="20"/>
                <w:szCs w:val="20"/>
                <w:lang w:eastAsia="zh-CN"/>
              </w:rPr>
            </w:pPr>
            <w:r>
              <w:rPr>
                <w:rFonts w:ascii="Arial" w:hAnsi="Arial" w:cs="Arial" w:eastAsiaTheme="minorEastAsia"/>
                <w:sz w:val="20"/>
                <w:szCs w:val="20"/>
                <w:lang w:eastAsia="zh-CN"/>
              </w:rPr>
              <w:t>78.38 ± 11.41</w:t>
            </w:r>
          </w:p>
        </w:tc>
        <w:tc>
          <w:tcPr>
            <w:tcW w:w="623" w:type="dxa"/>
            <w:vAlign w:val="center"/>
          </w:tcPr>
          <w:p w14:paraId="0174E107">
            <w:pPr>
              <w:pStyle w:val="35"/>
              <w:spacing w:before="0"/>
              <w:rPr>
                <w:rFonts w:ascii="Arial" w:hAnsi="Arial" w:cs="Arial" w:eastAsiaTheme="minorEastAsia"/>
                <w:sz w:val="20"/>
                <w:szCs w:val="20"/>
                <w:lang w:eastAsia="zh-CN"/>
              </w:rPr>
            </w:pPr>
            <w:r>
              <w:rPr>
                <w:rFonts w:ascii="Arial" w:hAnsi="Arial" w:cs="Arial" w:eastAsiaTheme="minorEastAsia"/>
                <w:sz w:val="20"/>
                <w:szCs w:val="20"/>
                <w:lang w:eastAsia="zh-CN"/>
              </w:rPr>
              <w:t>&lt;.001</w:t>
            </w:r>
          </w:p>
        </w:tc>
      </w:tr>
      <w:tr w14:paraId="772517BE">
        <w:trPr>
          <w:cantSplit/>
        </w:trPr>
        <w:tc>
          <w:tcPr>
            <w:tcW w:w="2666" w:type="dxa"/>
            <w:vAlign w:val="center"/>
          </w:tcPr>
          <w:p w14:paraId="3429A4C2">
            <w:pPr>
              <w:pStyle w:val="35"/>
              <w:spacing w:before="0"/>
              <w:rPr>
                <w:rFonts w:ascii="Arial" w:hAnsi="Arial" w:cs="Arial" w:eastAsiaTheme="minorEastAsia"/>
                <w:sz w:val="20"/>
                <w:szCs w:val="20"/>
                <w:lang w:eastAsia="zh-CN"/>
              </w:rPr>
            </w:pPr>
            <w:r>
              <w:rPr>
                <w:rFonts w:ascii="Arial" w:hAnsi="Arial" w:cs="Arial" w:eastAsiaTheme="minorEastAsia"/>
                <w:sz w:val="20"/>
                <w:szCs w:val="20"/>
                <w:lang w:eastAsia="zh-CN"/>
              </w:rPr>
              <w:t>Systolic blood pressure, mm Hg (mean)</w:t>
            </w:r>
          </w:p>
        </w:tc>
        <w:tc>
          <w:tcPr>
            <w:tcW w:w="2356" w:type="dxa"/>
            <w:vAlign w:val="center"/>
          </w:tcPr>
          <w:p w14:paraId="16FC06C2">
            <w:pPr>
              <w:pStyle w:val="35"/>
              <w:spacing w:before="0"/>
              <w:rPr>
                <w:rFonts w:ascii="Arial" w:hAnsi="Arial" w:cs="Arial" w:eastAsiaTheme="minorEastAsia"/>
                <w:sz w:val="20"/>
                <w:szCs w:val="20"/>
                <w:lang w:eastAsia="zh-CN"/>
              </w:rPr>
            </w:pPr>
            <w:r>
              <w:rPr>
                <w:rFonts w:ascii="Arial" w:hAnsi="Arial" w:cs="Arial" w:eastAsiaTheme="minorEastAsia"/>
                <w:sz w:val="20"/>
                <w:szCs w:val="20"/>
                <w:lang w:eastAsia="zh-CN"/>
              </w:rPr>
              <w:t>SOFA Cardiovascular (baseline)</w:t>
            </w:r>
          </w:p>
        </w:tc>
        <w:tc>
          <w:tcPr>
            <w:tcW w:w="1527" w:type="dxa"/>
            <w:vAlign w:val="center"/>
          </w:tcPr>
          <w:p w14:paraId="660018B5">
            <w:pPr>
              <w:pStyle w:val="35"/>
              <w:spacing w:before="0"/>
              <w:rPr>
                <w:rFonts w:ascii="Arial" w:hAnsi="Arial" w:cs="Arial" w:eastAsiaTheme="minorEastAsia"/>
                <w:sz w:val="20"/>
                <w:szCs w:val="20"/>
                <w:lang w:eastAsia="zh-CN"/>
              </w:rPr>
            </w:pPr>
            <w:r>
              <w:rPr>
                <w:rFonts w:ascii="Arial" w:hAnsi="Arial" w:cs="Arial" w:eastAsiaTheme="minorEastAsia"/>
                <w:sz w:val="20"/>
                <w:szCs w:val="20"/>
                <w:lang w:eastAsia="zh-CN"/>
              </w:rPr>
              <w:t>114.27 ± 15.19</w:t>
            </w:r>
          </w:p>
        </w:tc>
        <w:tc>
          <w:tcPr>
            <w:tcW w:w="1310" w:type="dxa"/>
            <w:vAlign w:val="center"/>
          </w:tcPr>
          <w:p w14:paraId="4CD9D581">
            <w:pPr>
              <w:pStyle w:val="35"/>
              <w:spacing w:before="0"/>
              <w:rPr>
                <w:rFonts w:ascii="Arial" w:hAnsi="Arial" w:cs="Arial" w:eastAsiaTheme="minorEastAsia"/>
                <w:sz w:val="20"/>
                <w:szCs w:val="20"/>
                <w:lang w:eastAsia="zh-CN"/>
              </w:rPr>
            </w:pPr>
            <w:r>
              <w:rPr>
                <w:rFonts w:ascii="Arial" w:hAnsi="Arial" w:cs="Arial" w:eastAsiaTheme="minorEastAsia"/>
                <w:sz w:val="20"/>
                <w:szCs w:val="20"/>
                <w:lang w:eastAsia="zh-CN"/>
              </w:rPr>
              <w:t>118.20 ± 16.12</w:t>
            </w:r>
          </w:p>
        </w:tc>
        <w:tc>
          <w:tcPr>
            <w:tcW w:w="1238" w:type="dxa"/>
            <w:vAlign w:val="center"/>
          </w:tcPr>
          <w:p w14:paraId="7D4BD63B">
            <w:pPr>
              <w:pStyle w:val="35"/>
              <w:spacing w:before="0"/>
              <w:rPr>
                <w:rFonts w:ascii="Arial" w:hAnsi="Arial" w:cs="Arial" w:eastAsiaTheme="minorEastAsia"/>
                <w:sz w:val="20"/>
                <w:szCs w:val="20"/>
                <w:lang w:eastAsia="zh-CN"/>
              </w:rPr>
            </w:pPr>
            <w:r>
              <w:rPr>
                <w:rFonts w:ascii="Arial" w:hAnsi="Arial" w:cs="Arial" w:eastAsiaTheme="minorEastAsia"/>
                <w:sz w:val="20"/>
                <w:szCs w:val="20"/>
                <w:lang w:eastAsia="zh-CN"/>
              </w:rPr>
              <w:t>116.75 ± 16.31</w:t>
            </w:r>
          </w:p>
        </w:tc>
        <w:tc>
          <w:tcPr>
            <w:tcW w:w="623" w:type="dxa"/>
            <w:vAlign w:val="center"/>
          </w:tcPr>
          <w:p w14:paraId="514F6088">
            <w:pPr>
              <w:pStyle w:val="35"/>
              <w:spacing w:before="0"/>
              <w:rPr>
                <w:rFonts w:ascii="Arial" w:hAnsi="Arial" w:cs="Arial" w:eastAsiaTheme="minorEastAsia"/>
                <w:sz w:val="20"/>
                <w:szCs w:val="20"/>
                <w:lang w:eastAsia="zh-CN"/>
              </w:rPr>
            </w:pPr>
            <w:r>
              <w:rPr>
                <w:rFonts w:ascii="Arial" w:hAnsi="Arial" w:cs="Arial" w:eastAsiaTheme="minorEastAsia"/>
                <w:sz w:val="20"/>
                <w:szCs w:val="20"/>
                <w:lang w:eastAsia="zh-CN"/>
              </w:rPr>
              <w:t>&lt;.001</w:t>
            </w:r>
          </w:p>
        </w:tc>
      </w:tr>
      <w:tr w14:paraId="46578368">
        <w:trPr>
          <w:cantSplit/>
        </w:trPr>
        <w:tc>
          <w:tcPr>
            <w:tcW w:w="2666" w:type="dxa"/>
            <w:vAlign w:val="center"/>
          </w:tcPr>
          <w:p w14:paraId="4E65C9BF">
            <w:pPr>
              <w:pStyle w:val="35"/>
              <w:spacing w:before="0"/>
              <w:rPr>
                <w:rFonts w:ascii="Arial" w:hAnsi="Arial" w:cs="Arial" w:eastAsiaTheme="minorEastAsia"/>
                <w:sz w:val="20"/>
                <w:szCs w:val="20"/>
                <w:lang w:eastAsia="zh-CN"/>
              </w:rPr>
            </w:pPr>
            <w:r>
              <w:rPr>
                <w:rFonts w:ascii="Arial" w:hAnsi="Arial" w:cs="Arial" w:eastAsiaTheme="minorEastAsia"/>
                <w:sz w:val="20"/>
                <w:szCs w:val="20"/>
                <w:lang w:eastAsia="zh-CN"/>
              </w:rPr>
              <w:t>Diastolic blood pressure, mm Hg (mean)</w:t>
            </w:r>
          </w:p>
        </w:tc>
        <w:tc>
          <w:tcPr>
            <w:tcW w:w="2356" w:type="dxa"/>
            <w:vAlign w:val="center"/>
          </w:tcPr>
          <w:p w14:paraId="6ECA1D4A">
            <w:pPr>
              <w:pStyle w:val="35"/>
              <w:spacing w:before="0"/>
              <w:rPr>
                <w:rFonts w:ascii="Arial" w:hAnsi="Arial" w:cs="Arial" w:eastAsiaTheme="minorEastAsia"/>
                <w:sz w:val="20"/>
                <w:szCs w:val="20"/>
                <w:lang w:eastAsia="zh-CN"/>
              </w:rPr>
            </w:pPr>
            <w:r>
              <w:rPr>
                <w:rFonts w:ascii="Arial" w:hAnsi="Arial" w:cs="Arial" w:eastAsiaTheme="minorEastAsia"/>
                <w:sz w:val="20"/>
                <w:szCs w:val="20"/>
                <w:lang w:eastAsia="zh-CN"/>
              </w:rPr>
              <w:t>SOFA Cardiovascular (baseline)</w:t>
            </w:r>
          </w:p>
        </w:tc>
        <w:tc>
          <w:tcPr>
            <w:tcW w:w="1527" w:type="dxa"/>
            <w:vAlign w:val="center"/>
          </w:tcPr>
          <w:p w14:paraId="6BF98E26">
            <w:pPr>
              <w:pStyle w:val="35"/>
              <w:spacing w:before="0"/>
              <w:rPr>
                <w:rFonts w:ascii="Arial" w:hAnsi="Arial" w:cs="Arial" w:eastAsiaTheme="minorEastAsia"/>
                <w:sz w:val="20"/>
                <w:szCs w:val="20"/>
                <w:lang w:eastAsia="zh-CN"/>
              </w:rPr>
            </w:pPr>
            <w:r>
              <w:rPr>
                <w:rFonts w:ascii="Arial" w:hAnsi="Arial" w:cs="Arial" w:eastAsiaTheme="minorEastAsia"/>
                <w:sz w:val="20"/>
                <w:szCs w:val="20"/>
                <w:lang w:eastAsia="zh-CN"/>
              </w:rPr>
              <w:t>60.80 ± 10.16</w:t>
            </w:r>
          </w:p>
        </w:tc>
        <w:tc>
          <w:tcPr>
            <w:tcW w:w="1310" w:type="dxa"/>
            <w:vAlign w:val="center"/>
          </w:tcPr>
          <w:p w14:paraId="62AB6DCD">
            <w:pPr>
              <w:pStyle w:val="35"/>
              <w:spacing w:before="0"/>
              <w:rPr>
                <w:rFonts w:ascii="Arial" w:hAnsi="Arial" w:cs="Arial" w:eastAsiaTheme="minorEastAsia"/>
                <w:sz w:val="20"/>
                <w:szCs w:val="20"/>
                <w:lang w:eastAsia="zh-CN"/>
              </w:rPr>
            </w:pPr>
            <w:r>
              <w:rPr>
                <w:rFonts w:ascii="Arial" w:hAnsi="Arial" w:cs="Arial" w:eastAsiaTheme="minorEastAsia"/>
                <w:sz w:val="20"/>
                <w:szCs w:val="20"/>
                <w:lang w:eastAsia="zh-CN"/>
              </w:rPr>
              <w:t>62.81 ± 10.99</w:t>
            </w:r>
          </w:p>
        </w:tc>
        <w:tc>
          <w:tcPr>
            <w:tcW w:w="1238" w:type="dxa"/>
            <w:vAlign w:val="center"/>
          </w:tcPr>
          <w:p w14:paraId="3407A631">
            <w:pPr>
              <w:pStyle w:val="35"/>
              <w:spacing w:before="0"/>
              <w:rPr>
                <w:rFonts w:ascii="Arial" w:hAnsi="Arial" w:cs="Arial" w:eastAsiaTheme="minorEastAsia"/>
                <w:sz w:val="20"/>
                <w:szCs w:val="20"/>
                <w:lang w:eastAsia="zh-CN"/>
              </w:rPr>
            </w:pPr>
            <w:r>
              <w:rPr>
                <w:rFonts w:ascii="Arial" w:hAnsi="Arial" w:cs="Arial" w:eastAsiaTheme="minorEastAsia"/>
                <w:sz w:val="20"/>
                <w:szCs w:val="20"/>
                <w:lang w:eastAsia="zh-CN"/>
              </w:rPr>
              <w:t>63.98 ± 11.69</w:t>
            </w:r>
          </w:p>
        </w:tc>
        <w:tc>
          <w:tcPr>
            <w:tcW w:w="623" w:type="dxa"/>
            <w:vAlign w:val="center"/>
          </w:tcPr>
          <w:p w14:paraId="33D4F868">
            <w:pPr>
              <w:pStyle w:val="35"/>
              <w:spacing w:before="0"/>
              <w:rPr>
                <w:rFonts w:ascii="Arial" w:hAnsi="Arial" w:cs="Arial" w:eastAsiaTheme="minorEastAsia"/>
                <w:sz w:val="20"/>
                <w:szCs w:val="20"/>
                <w:lang w:eastAsia="zh-CN"/>
              </w:rPr>
            </w:pPr>
            <w:r>
              <w:rPr>
                <w:rFonts w:ascii="Arial" w:hAnsi="Arial" w:cs="Arial" w:eastAsiaTheme="minorEastAsia"/>
                <w:sz w:val="20"/>
                <w:szCs w:val="20"/>
                <w:lang w:eastAsia="zh-CN"/>
              </w:rPr>
              <w:t>&lt;.001</w:t>
            </w:r>
          </w:p>
        </w:tc>
      </w:tr>
      <w:tr w14:paraId="010F51CE">
        <w:trPr>
          <w:cantSplit/>
        </w:trPr>
        <w:tc>
          <w:tcPr>
            <w:tcW w:w="2666" w:type="dxa"/>
            <w:vAlign w:val="center"/>
          </w:tcPr>
          <w:p w14:paraId="21CAAFF4">
            <w:pPr>
              <w:pStyle w:val="35"/>
              <w:spacing w:before="0"/>
              <w:rPr>
                <w:rFonts w:ascii="Arial" w:hAnsi="Arial" w:cs="Arial" w:eastAsiaTheme="minorEastAsia"/>
                <w:sz w:val="20"/>
                <w:szCs w:val="20"/>
                <w:lang w:eastAsia="zh-CN"/>
              </w:rPr>
            </w:pPr>
            <w:r>
              <w:rPr>
                <w:rFonts w:ascii="Arial" w:hAnsi="Arial" w:cs="Arial" w:eastAsiaTheme="minorEastAsia"/>
                <w:sz w:val="20"/>
                <w:szCs w:val="20"/>
                <w:lang w:eastAsia="zh-CN"/>
              </w:rPr>
              <w:t>Heart rate, bpm (mean)</w:t>
            </w:r>
          </w:p>
        </w:tc>
        <w:tc>
          <w:tcPr>
            <w:tcW w:w="2356" w:type="dxa"/>
            <w:vAlign w:val="center"/>
          </w:tcPr>
          <w:p w14:paraId="789DEC24">
            <w:pPr>
              <w:pStyle w:val="35"/>
              <w:spacing w:before="0"/>
              <w:rPr>
                <w:rFonts w:ascii="Arial" w:hAnsi="Arial" w:cs="Arial" w:eastAsiaTheme="minorEastAsia"/>
                <w:sz w:val="20"/>
                <w:szCs w:val="20"/>
                <w:lang w:eastAsia="zh-CN"/>
              </w:rPr>
            </w:pPr>
            <w:r>
              <w:rPr>
                <w:rFonts w:ascii="Arial" w:hAnsi="Arial" w:cs="Arial" w:eastAsiaTheme="minorEastAsia"/>
                <w:sz w:val="20"/>
                <w:szCs w:val="20"/>
                <w:lang w:eastAsia="zh-CN"/>
              </w:rPr>
              <w:t>SOFA Cardiovascular (baseline)</w:t>
            </w:r>
          </w:p>
        </w:tc>
        <w:tc>
          <w:tcPr>
            <w:tcW w:w="1527" w:type="dxa"/>
            <w:vAlign w:val="center"/>
          </w:tcPr>
          <w:p w14:paraId="32FD7457">
            <w:pPr>
              <w:pStyle w:val="35"/>
              <w:spacing w:before="0"/>
              <w:rPr>
                <w:rFonts w:ascii="Arial" w:hAnsi="Arial" w:cs="Arial" w:eastAsiaTheme="minorEastAsia"/>
                <w:sz w:val="20"/>
                <w:szCs w:val="20"/>
                <w:lang w:eastAsia="zh-CN"/>
              </w:rPr>
            </w:pPr>
            <w:r>
              <w:rPr>
                <w:rFonts w:ascii="Arial" w:hAnsi="Arial" w:cs="Arial" w:eastAsiaTheme="minorEastAsia"/>
                <w:sz w:val="20"/>
                <w:szCs w:val="20"/>
                <w:lang w:eastAsia="zh-CN"/>
              </w:rPr>
              <w:t>87.86 ± 16.39</w:t>
            </w:r>
          </w:p>
        </w:tc>
        <w:tc>
          <w:tcPr>
            <w:tcW w:w="1310" w:type="dxa"/>
            <w:vAlign w:val="center"/>
          </w:tcPr>
          <w:p w14:paraId="33D60498">
            <w:pPr>
              <w:pStyle w:val="35"/>
              <w:spacing w:before="0"/>
              <w:rPr>
                <w:rFonts w:ascii="Arial" w:hAnsi="Arial" w:cs="Arial" w:eastAsiaTheme="minorEastAsia"/>
                <w:sz w:val="20"/>
                <w:szCs w:val="20"/>
                <w:lang w:eastAsia="zh-CN"/>
              </w:rPr>
            </w:pPr>
            <w:r>
              <w:rPr>
                <w:rFonts w:ascii="Arial" w:hAnsi="Arial" w:cs="Arial" w:eastAsiaTheme="minorEastAsia"/>
                <w:sz w:val="20"/>
                <w:szCs w:val="20"/>
                <w:lang w:eastAsia="zh-CN"/>
              </w:rPr>
              <w:t>87.75 ± 15.93</w:t>
            </w:r>
          </w:p>
        </w:tc>
        <w:tc>
          <w:tcPr>
            <w:tcW w:w="1238" w:type="dxa"/>
            <w:vAlign w:val="center"/>
          </w:tcPr>
          <w:p w14:paraId="35BF0E88">
            <w:pPr>
              <w:pStyle w:val="35"/>
              <w:spacing w:before="0"/>
              <w:rPr>
                <w:rFonts w:ascii="Arial" w:hAnsi="Arial" w:cs="Arial" w:eastAsiaTheme="minorEastAsia"/>
                <w:sz w:val="20"/>
                <w:szCs w:val="20"/>
                <w:lang w:eastAsia="zh-CN"/>
              </w:rPr>
            </w:pPr>
            <w:r>
              <w:rPr>
                <w:rFonts w:ascii="Arial" w:hAnsi="Arial" w:cs="Arial" w:eastAsiaTheme="minorEastAsia"/>
                <w:sz w:val="20"/>
                <w:szCs w:val="20"/>
                <w:lang w:eastAsia="zh-CN"/>
              </w:rPr>
              <w:t>88.40 ± 16.27</w:t>
            </w:r>
          </w:p>
        </w:tc>
        <w:tc>
          <w:tcPr>
            <w:tcW w:w="623" w:type="dxa"/>
            <w:vAlign w:val="center"/>
          </w:tcPr>
          <w:p w14:paraId="35FFB12B">
            <w:pPr>
              <w:pStyle w:val="35"/>
              <w:spacing w:before="0"/>
              <w:rPr>
                <w:rFonts w:ascii="Arial" w:hAnsi="Arial" w:cs="Arial" w:eastAsiaTheme="minorEastAsia"/>
                <w:sz w:val="20"/>
                <w:szCs w:val="20"/>
                <w:lang w:eastAsia="zh-CN"/>
              </w:rPr>
            </w:pPr>
            <w:r>
              <w:rPr>
                <w:rFonts w:ascii="Arial" w:hAnsi="Arial" w:cs="Arial" w:eastAsiaTheme="minorEastAsia"/>
                <w:sz w:val="20"/>
                <w:szCs w:val="20"/>
                <w:lang w:eastAsia="zh-CN"/>
              </w:rPr>
              <w:t>.24</w:t>
            </w:r>
          </w:p>
        </w:tc>
      </w:tr>
      <w:tr w14:paraId="4EAE68B4">
        <w:trPr>
          <w:cantSplit/>
        </w:trPr>
        <w:tc>
          <w:tcPr>
            <w:tcW w:w="2666" w:type="dxa"/>
            <w:vAlign w:val="center"/>
          </w:tcPr>
          <w:p w14:paraId="130CDAA6">
            <w:pPr>
              <w:pStyle w:val="35"/>
              <w:spacing w:before="0"/>
              <w:rPr>
                <w:rFonts w:ascii="Arial" w:hAnsi="Arial" w:cs="Arial" w:eastAsiaTheme="minorEastAsia"/>
                <w:sz w:val="20"/>
                <w:szCs w:val="20"/>
                <w:lang w:eastAsia="zh-CN"/>
              </w:rPr>
            </w:pPr>
            <w:r>
              <w:rPr>
                <w:rFonts w:ascii="Arial" w:hAnsi="Arial" w:cs="Arial" w:eastAsiaTheme="minorEastAsia"/>
                <w:sz w:val="20"/>
                <w:szCs w:val="20"/>
                <w:lang w:eastAsia="zh-CN"/>
              </w:rPr>
              <w:t>Dopamine, µg/kg/min (mean)</w:t>
            </w:r>
          </w:p>
        </w:tc>
        <w:tc>
          <w:tcPr>
            <w:tcW w:w="2356" w:type="dxa"/>
            <w:vAlign w:val="center"/>
          </w:tcPr>
          <w:p w14:paraId="1777C4C5">
            <w:pPr>
              <w:pStyle w:val="35"/>
              <w:spacing w:before="0"/>
              <w:rPr>
                <w:rFonts w:ascii="Arial" w:hAnsi="Arial" w:cs="Arial" w:eastAsiaTheme="minorEastAsia"/>
                <w:sz w:val="20"/>
                <w:szCs w:val="20"/>
                <w:lang w:eastAsia="zh-CN"/>
              </w:rPr>
            </w:pPr>
            <w:r>
              <w:rPr>
                <w:rFonts w:ascii="Arial" w:hAnsi="Arial" w:cs="Arial" w:eastAsiaTheme="minorEastAsia"/>
                <w:sz w:val="20"/>
                <w:szCs w:val="20"/>
                <w:lang w:eastAsia="zh-CN"/>
              </w:rPr>
              <w:t>SOFA Cardiovascular (vasopressors)</w:t>
            </w:r>
          </w:p>
        </w:tc>
        <w:tc>
          <w:tcPr>
            <w:tcW w:w="1527" w:type="dxa"/>
            <w:vAlign w:val="center"/>
          </w:tcPr>
          <w:p w14:paraId="5E5CF6B5">
            <w:pPr>
              <w:pStyle w:val="35"/>
              <w:spacing w:before="0"/>
              <w:rPr>
                <w:rFonts w:ascii="Arial" w:hAnsi="Arial" w:cs="Arial" w:eastAsiaTheme="minorEastAsia"/>
                <w:sz w:val="20"/>
                <w:szCs w:val="20"/>
                <w:lang w:eastAsia="zh-CN"/>
              </w:rPr>
            </w:pPr>
            <w:r>
              <w:rPr>
                <w:rFonts w:ascii="Arial" w:hAnsi="Arial" w:cs="Arial" w:eastAsiaTheme="minorEastAsia"/>
                <w:sz w:val="20"/>
                <w:szCs w:val="20"/>
                <w:lang w:eastAsia="zh-CN"/>
              </w:rPr>
              <w:t>7.82 ± 4.48</w:t>
            </w:r>
          </w:p>
        </w:tc>
        <w:tc>
          <w:tcPr>
            <w:tcW w:w="1310" w:type="dxa"/>
            <w:vAlign w:val="center"/>
          </w:tcPr>
          <w:p w14:paraId="11A01703">
            <w:pPr>
              <w:pStyle w:val="35"/>
              <w:spacing w:before="0"/>
              <w:rPr>
                <w:rFonts w:ascii="Arial" w:hAnsi="Arial" w:cs="Arial" w:eastAsiaTheme="minorEastAsia"/>
                <w:sz w:val="20"/>
                <w:szCs w:val="20"/>
                <w:lang w:eastAsia="zh-CN"/>
              </w:rPr>
            </w:pPr>
            <w:r>
              <w:rPr>
                <w:rFonts w:ascii="Arial" w:hAnsi="Arial" w:cs="Arial" w:eastAsiaTheme="minorEastAsia"/>
                <w:sz w:val="20"/>
                <w:szCs w:val="20"/>
                <w:lang w:eastAsia="zh-CN"/>
              </w:rPr>
              <w:t>6.45 ± 3.81</w:t>
            </w:r>
          </w:p>
        </w:tc>
        <w:tc>
          <w:tcPr>
            <w:tcW w:w="1238" w:type="dxa"/>
            <w:vAlign w:val="center"/>
          </w:tcPr>
          <w:p w14:paraId="6DEB4105">
            <w:pPr>
              <w:pStyle w:val="35"/>
              <w:spacing w:before="0"/>
              <w:rPr>
                <w:rFonts w:ascii="Arial" w:hAnsi="Arial" w:cs="Arial" w:eastAsiaTheme="minorEastAsia"/>
                <w:sz w:val="20"/>
                <w:szCs w:val="20"/>
                <w:lang w:eastAsia="zh-CN"/>
              </w:rPr>
            </w:pPr>
            <w:r>
              <w:rPr>
                <w:rFonts w:ascii="Arial" w:hAnsi="Arial" w:cs="Arial" w:eastAsiaTheme="minorEastAsia"/>
                <w:sz w:val="20"/>
                <w:szCs w:val="20"/>
                <w:lang w:eastAsia="zh-CN"/>
              </w:rPr>
              <w:t>5.77 ± 3.00</w:t>
            </w:r>
          </w:p>
        </w:tc>
        <w:tc>
          <w:tcPr>
            <w:tcW w:w="623" w:type="dxa"/>
            <w:vAlign w:val="center"/>
          </w:tcPr>
          <w:p w14:paraId="45B6FA5A">
            <w:pPr>
              <w:pStyle w:val="35"/>
              <w:spacing w:before="0"/>
              <w:rPr>
                <w:rFonts w:ascii="Arial" w:hAnsi="Arial" w:cs="Arial" w:eastAsiaTheme="minorEastAsia"/>
                <w:sz w:val="20"/>
                <w:szCs w:val="20"/>
                <w:lang w:eastAsia="zh-CN"/>
              </w:rPr>
            </w:pPr>
            <w:r>
              <w:rPr>
                <w:rFonts w:ascii="Arial" w:hAnsi="Arial" w:cs="Arial" w:eastAsiaTheme="minorEastAsia"/>
                <w:sz w:val="20"/>
                <w:szCs w:val="20"/>
                <w:lang w:eastAsia="zh-CN"/>
              </w:rPr>
              <w:t>.03</w:t>
            </w:r>
          </w:p>
        </w:tc>
      </w:tr>
      <w:tr w14:paraId="34F30A78">
        <w:trPr>
          <w:cantSplit/>
        </w:trPr>
        <w:tc>
          <w:tcPr>
            <w:tcW w:w="2666" w:type="dxa"/>
            <w:vAlign w:val="center"/>
          </w:tcPr>
          <w:p w14:paraId="0E8AEBA4">
            <w:pPr>
              <w:pStyle w:val="35"/>
              <w:spacing w:before="0"/>
              <w:rPr>
                <w:rFonts w:ascii="Arial" w:hAnsi="Arial" w:cs="Arial" w:eastAsiaTheme="minorEastAsia"/>
                <w:sz w:val="20"/>
                <w:szCs w:val="20"/>
                <w:lang w:eastAsia="zh-CN"/>
              </w:rPr>
            </w:pPr>
            <w:r>
              <w:rPr>
                <w:rFonts w:ascii="Arial" w:hAnsi="Arial" w:cs="Arial" w:eastAsiaTheme="minorEastAsia"/>
                <w:sz w:val="20"/>
                <w:szCs w:val="20"/>
                <w:lang w:eastAsia="zh-CN"/>
              </w:rPr>
              <w:t>Norepinephrine, µg/kg/min (mean)</w:t>
            </w:r>
          </w:p>
        </w:tc>
        <w:tc>
          <w:tcPr>
            <w:tcW w:w="2356" w:type="dxa"/>
            <w:vAlign w:val="center"/>
          </w:tcPr>
          <w:p w14:paraId="58E99020">
            <w:pPr>
              <w:pStyle w:val="35"/>
              <w:spacing w:before="0"/>
              <w:rPr>
                <w:rFonts w:ascii="Arial" w:hAnsi="Arial" w:cs="Arial" w:eastAsiaTheme="minorEastAsia"/>
                <w:sz w:val="20"/>
                <w:szCs w:val="20"/>
                <w:lang w:eastAsia="zh-CN"/>
              </w:rPr>
            </w:pPr>
            <w:r>
              <w:rPr>
                <w:rFonts w:ascii="Arial" w:hAnsi="Arial" w:cs="Arial" w:eastAsiaTheme="minorEastAsia"/>
                <w:sz w:val="20"/>
                <w:szCs w:val="20"/>
                <w:lang w:eastAsia="zh-CN"/>
              </w:rPr>
              <w:t>SOFA Cardiovascular (vasopressors)</w:t>
            </w:r>
          </w:p>
        </w:tc>
        <w:tc>
          <w:tcPr>
            <w:tcW w:w="1527" w:type="dxa"/>
            <w:vAlign w:val="center"/>
          </w:tcPr>
          <w:p w14:paraId="1C13085E">
            <w:pPr>
              <w:pStyle w:val="35"/>
              <w:spacing w:before="0"/>
              <w:rPr>
                <w:rFonts w:ascii="Arial" w:hAnsi="Arial" w:cs="Arial" w:eastAsiaTheme="minorEastAsia"/>
                <w:sz w:val="20"/>
                <w:szCs w:val="20"/>
                <w:lang w:eastAsia="zh-CN"/>
              </w:rPr>
            </w:pPr>
            <w:r>
              <w:rPr>
                <w:rFonts w:ascii="Arial" w:hAnsi="Arial" w:cs="Arial" w:eastAsiaTheme="minorEastAsia"/>
                <w:sz w:val="20"/>
                <w:szCs w:val="20"/>
                <w:lang w:eastAsia="zh-CN"/>
              </w:rPr>
              <w:t>0.15 ± 0.12</w:t>
            </w:r>
          </w:p>
        </w:tc>
        <w:tc>
          <w:tcPr>
            <w:tcW w:w="1310" w:type="dxa"/>
            <w:vAlign w:val="center"/>
          </w:tcPr>
          <w:p w14:paraId="2EABB731">
            <w:pPr>
              <w:pStyle w:val="35"/>
              <w:spacing w:before="0"/>
              <w:rPr>
                <w:rFonts w:ascii="Arial" w:hAnsi="Arial" w:cs="Arial" w:eastAsiaTheme="minorEastAsia"/>
                <w:sz w:val="20"/>
                <w:szCs w:val="20"/>
                <w:lang w:eastAsia="zh-CN"/>
              </w:rPr>
            </w:pPr>
            <w:r>
              <w:rPr>
                <w:rFonts w:ascii="Arial" w:hAnsi="Arial" w:cs="Arial" w:eastAsiaTheme="minorEastAsia"/>
                <w:sz w:val="20"/>
                <w:szCs w:val="20"/>
                <w:lang w:eastAsia="zh-CN"/>
              </w:rPr>
              <w:t>0.14 ± 0.13</w:t>
            </w:r>
          </w:p>
        </w:tc>
        <w:tc>
          <w:tcPr>
            <w:tcW w:w="1238" w:type="dxa"/>
            <w:vAlign w:val="center"/>
          </w:tcPr>
          <w:p w14:paraId="3220C57D">
            <w:pPr>
              <w:pStyle w:val="35"/>
              <w:spacing w:before="0"/>
              <w:rPr>
                <w:rFonts w:ascii="Arial" w:hAnsi="Arial" w:cs="Arial" w:eastAsiaTheme="minorEastAsia"/>
                <w:sz w:val="20"/>
                <w:szCs w:val="20"/>
                <w:lang w:eastAsia="zh-CN"/>
              </w:rPr>
            </w:pPr>
            <w:r>
              <w:rPr>
                <w:rFonts w:ascii="Arial" w:hAnsi="Arial" w:cs="Arial" w:eastAsiaTheme="minorEastAsia"/>
                <w:sz w:val="20"/>
                <w:szCs w:val="20"/>
                <w:lang w:eastAsia="zh-CN"/>
              </w:rPr>
              <w:t>0.10 ± 0.09</w:t>
            </w:r>
          </w:p>
        </w:tc>
        <w:tc>
          <w:tcPr>
            <w:tcW w:w="623" w:type="dxa"/>
            <w:vAlign w:val="center"/>
          </w:tcPr>
          <w:p w14:paraId="7D891E6E">
            <w:pPr>
              <w:pStyle w:val="35"/>
              <w:spacing w:before="0"/>
              <w:rPr>
                <w:rFonts w:ascii="Arial" w:hAnsi="Arial" w:cs="Arial" w:eastAsiaTheme="minorEastAsia"/>
                <w:sz w:val="20"/>
                <w:szCs w:val="20"/>
                <w:lang w:eastAsia="zh-CN"/>
              </w:rPr>
            </w:pPr>
            <w:r>
              <w:rPr>
                <w:rFonts w:ascii="Arial" w:hAnsi="Arial" w:cs="Arial" w:eastAsiaTheme="minorEastAsia"/>
                <w:sz w:val="20"/>
                <w:szCs w:val="20"/>
                <w:lang w:eastAsia="zh-CN"/>
              </w:rPr>
              <w:t>&lt;.001</w:t>
            </w:r>
          </w:p>
        </w:tc>
      </w:tr>
      <w:tr w14:paraId="7FD3CC50">
        <w:trPr>
          <w:cantSplit/>
        </w:trPr>
        <w:tc>
          <w:tcPr>
            <w:tcW w:w="2666" w:type="dxa"/>
            <w:vAlign w:val="center"/>
          </w:tcPr>
          <w:p w14:paraId="716DA539">
            <w:pPr>
              <w:pStyle w:val="35"/>
              <w:spacing w:before="0"/>
              <w:rPr>
                <w:rFonts w:ascii="Arial" w:hAnsi="Arial" w:cs="Arial" w:eastAsiaTheme="minorEastAsia"/>
                <w:sz w:val="20"/>
                <w:szCs w:val="20"/>
                <w:lang w:eastAsia="zh-CN"/>
              </w:rPr>
            </w:pPr>
            <w:r>
              <w:rPr>
                <w:rFonts w:ascii="Arial" w:hAnsi="Arial" w:cs="Arial" w:eastAsiaTheme="minorEastAsia"/>
                <w:sz w:val="20"/>
                <w:szCs w:val="20"/>
                <w:lang w:eastAsia="zh-CN"/>
              </w:rPr>
              <w:t>Dobutamine, µg/kg/min (mean)</w:t>
            </w:r>
          </w:p>
        </w:tc>
        <w:tc>
          <w:tcPr>
            <w:tcW w:w="2356" w:type="dxa"/>
            <w:vAlign w:val="center"/>
          </w:tcPr>
          <w:p w14:paraId="743FA7CC">
            <w:pPr>
              <w:pStyle w:val="35"/>
              <w:spacing w:before="0"/>
              <w:rPr>
                <w:rFonts w:ascii="Arial" w:hAnsi="Arial" w:cs="Arial" w:eastAsiaTheme="minorEastAsia"/>
                <w:sz w:val="20"/>
                <w:szCs w:val="20"/>
                <w:lang w:eastAsia="zh-CN"/>
              </w:rPr>
            </w:pPr>
            <w:r>
              <w:rPr>
                <w:rFonts w:ascii="Arial" w:hAnsi="Arial" w:cs="Arial" w:eastAsiaTheme="minorEastAsia"/>
                <w:sz w:val="20"/>
                <w:szCs w:val="20"/>
                <w:lang w:eastAsia="zh-CN"/>
              </w:rPr>
              <w:t>SOFA Cardiovascular (vasopressors)</w:t>
            </w:r>
          </w:p>
        </w:tc>
        <w:tc>
          <w:tcPr>
            <w:tcW w:w="1527" w:type="dxa"/>
            <w:vAlign w:val="center"/>
          </w:tcPr>
          <w:p w14:paraId="43FEC857">
            <w:pPr>
              <w:pStyle w:val="35"/>
              <w:spacing w:before="0"/>
              <w:rPr>
                <w:rFonts w:ascii="Arial" w:hAnsi="Arial" w:cs="Arial" w:eastAsiaTheme="minorEastAsia"/>
                <w:sz w:val="20"/>
                <w:szCs w:val="20"/>
                <w:lang w:eastAsia="zh-CN"/>
              </w:rPr>
            </w:pPr>
            <w:r>
              <w:rPr>
                <w:rFonts w:ascii="Arial" w:hAnsi="Arial" w:cs="Arial" w:eastAsiaTheme="minorEastAsia"/>
                <w:sz w:val="20"/>
                <w:szCs w:val="20"/>
                <w:lang w:eastAsia="zh-CN"/>
              </w:rPr>
              <w:t>4.51 ± 2.81</w:t>
            </w:r>
          </w:p>
        </w:tc>
        <w:tc>
          <w:tcPr>
            <w:tcW w:w="1310" w:type="dxa"/>
            <w:vAlign w:val="center"/>
          </w:tcPr>
          <w:p w14:paraId="7F9ABE68">
            <w:pPr>
              <w:pStyle w:val="35"/>
              <w:spacing w:before="0"/>
              <w:rPr>
                <w:rFonts w:ascii="Arial" w:hAnsi="Arial" w:cs="Arial" w:eastAsiaTheme="minorEastAsia"/>
                <w:sz w:val="20"/>
                <w:szCs w:val="20"/>
                <w:lang w:eastAsia="zh-CN"/>
              </w:rPr>
            </w:pPr>
            <w:r>
              <w:rPr>
                <w:rFonts w:ascii="Arial" w:hAnsi="Arial" w:cs="Arial" w:eastAsiaTheme="minorEastAsia"/>
                <w:sz w:val="20"/>
                <w:szCs w:val="20"/>
                <w:lang w:eastAsia="zh-CN"/>
              </w:rPr>
              <w:t>3.72 ± 1.97</w:t>
            </w:r>
          </w:p>
        </w:tc>
        <w:tc>
          <w:tcPr>
            <w:tcW w:w="1238" w:type="dxa"/>
            <w:vAlign w:val="center"/>
          </w:tcPr>
          <w:p w14:paraId="53D30AB7">
            <w:pPr>
              <w:pStyle w:val="35"/>
              <w:spacing w:before="0"/>
              <w:rPr>
                <w:rFonts w:ascii="Arial" w:hAnsi="Arial" w:cs="Arial" w:eastAsiaTheme="minorEastAsia"/>
                <w:sz w:val="20"/>
                <w:szCs w:val="20"/>
                <w:lang w:eastAsia="zh-CN"/>
              </w:rPr>
            </w:pPr>
            <w:r>
              <w:rPr>
                <w:rFonts w:ascii="Arial" w:hAnsi="Arial" w:cs="Arial" w:eastAsiaTheme="minorEastAsia"/>
                <w:sz w:val="20"/>
                <w:szCs w:val="20"/>
                <w:lang w:eastAsia="zh-CN"/>
              </w:rPr>
              <w:t>4.65 ± 3.18</w:t>
            </w:r>
          </w:p>
        </w:tc>
        <w:tc>
          <w:tcPr>
            <w:tcW w:w="623" w:type="dxa"/>
            <w:vAlign w:val="center"/>
          </w:tcPr>
          <w:p w14:paraId="6B47FDFC">
            <w:pPr>
              <w:pStyle w:val="35"/>
              <w:spacing w:before="0"/>
              <w:rPr>
                <w:rFonts w:ascii="Arial" w:hAnsi="Arial" w:cs="Arial" w:eastAsiaTheme="minorEastAsia"/>
                <w:sz w:val="20"/>
                <w:szCs w:val="20"/>
                <w:lang w:eastAsia="zh-CN"/>
              </w:rPr>
            </w:pPr>
            <w:r>
              <w:rPr>
                <w:rFonts w:ascii="Arial" w:hAnsi="Arial" w:cs="Arial" w:eastAsiaTheme="minorEastAsia"/>
                <w:sz w:val="20"/>
                <w:szCs w:val="20"/>
                <w:lang w:eastAsia="zh-CN"/>
              </w:rPr>
              <w:t>.26</w:t>
            </w:r>
          </w:p>
        </w:tc>
      </w:tr>
      <w:tr w14:paraId="568879AE">
        <w:trPr>
          <w:cantSplit/>
        </w:trPr>
        <w:tc>
          <w:tcPr>
            <w:tcW w:w="2666" w:type="dxa"/>
            <w:vAlign w:val="center"/>
          </w:tcPr>
          <w:p w14:paraId="2F37A94E">
            <w:pPr>
              <w:pStyle w:val="35"/>
              <w:spacing w:before="0"/>
              <w:rPr>
                <w:rFonts w:ascii="Arial" w:hAnsi="Arial" w:cs="Arial" w:eastAsiaTheme="minorEastAsia"/>
                <w:sz w:val="20"/>
                <w:szCs w:val="20"/>
                <w:lang w:eastAsia="zh-CN"/>
              </w:rPr>
            </w:pPr>
            <w:r>
              <w:rPr>
                <w:rFonts w:ascii="Arial" w:hAnsi="Arial" w:cs="Arial" w:eastAsiaTheme="minorEastAsia"/>
                <w:sz w:val="20"/>
                <w:szCs w:val="20"/>
                <w:lang w:eastAsia="zh-CN"/>
              </w:rPr>
              <w:t>Epinephrine, µg/kg/min (mean)</w:t>
            </w:r>
          </w:p>
        </w:tc>
        <w:tc>
          <w:tcPr>
            <w:tcW w:w="2356" w:type="dxa"/>
            <w:vAlign w:val="center"/>
          </w:tcPr>
          <w:p w14:paraId="2EDDA09B">
            <w:pPr>
              <w:pStyle w:val="35"/>
              <w:spacing w:before="0"/>
              <w:rPr>
                <w:rFonts w:ascii="Arial" w:hAnsi="Arial" w:cs="Arial" w:eastAsiaTheme="minorEastAsia"/>
                <w:sz w:val="20"/>
                <w:szCs w:val="20"/>
                <w:lang w:eastAsia="zh-CN"/>
              </w:rPr>
            </w:pPr>
            <w:r>
              <w:rPr>
                <w:rFonts w:ascii="Arial" w:hAnsi="Arial" w:cs="Arial" w:eastAsiaTheme="minorEastAsia"/>
                <w:sz w:val="20"/>
                <w:szCs w:val="20"/>
                <w:lang w:eastAsia="zh-CN"/>
              </w:rPr>
              <w:t>SOFA Cardiovascular (vasopressors)</w:t>
            </w:r>
          </w:p>
        </w:tc>
        <w:tc>
          <w:tcPr>
            <w:tcW w:w="1527" w:type="dxa"/>
            <w:vAlign w:val="center"/>
          </w:tcPr>
          <w:p w14:paraId="6380BD7A">
            <w:pPr>
              <w:pStyle w:val="35"/>
              <w:spacing w:before="0"/>
              <w:rPr>
                <w:rFonts w:ascii="Arial" w:hAnsi="Arial" w:cs="Arial" w:eastAsiaTheme="minorEastAsia"/>
                <w:sz w:val="20"/>
                <w:szCs w:val="20"/>
                <w:lang w:eastAsia="zh-CN"/>
              </w:rPr>
            </w:pPr>
            <w:r>
              <w:rPr>
                <w:rFonts w:ascii="Arial" w:hAnsi="Arial" w:cs="Arial" w:eastAsiaTheme="minorEastAsia"/>
                <w:sz w:val="20"/>
                <w:szCs w:val="20"/>
                <w:lang w:eastAsia="zh-CN"/>
              </w:rPr>
              <w:t>0.08 ± 0.13</w:t>
            </w:r>
          </w:p>
        </w:tc>
        <w:tc>
          <w:tcPr>
            <w:tcW w:w="1310" w:type="dxa"/>
            <w:vAlign w:val="center"/>
          </w:tcPr>
          <w:p w14:paraId="18CF459F">
            <w:pPr>
              <w:pStyle w:val="35"/>
              <w:spacing w:before="0"/>
              <w:rPr>
                <w:rFonts w:ascii="Arial" w:hAnsi="Arial" w:cs="Arial" w:eastAsiaTheme="minorEastAsia"/>
                <w:sz w:val="20"/>
                <w:szCs w:val="20"/>
                <w:lang w:eastAsia="zh-CN"/>
              </w:rPr>
            </w:pPr>
            <w:r>
              <w:rPr>
                <w:rFonts w:ascii="Arial" w:hAnsi="Arial" w:cs="Arial" w:eastAsiaTheme="minorEastAsia"/>
                <w:sz w:val="20"/>
                <w:szCs w:val="20"/>
                <w:lang w:eastAsia="zh-CN"/>
              </w:rPr>
              <w:t>0.07 ± 0.08</w:t>
            </w:r>
          </w:p>
        </w:tc>
        <w:tc>
          <w:tcPr>
            <w:tcW w:w="1238" w:type="dxa"/>
            <w:vAlign w:val="center"/>
          </w:tcPr>
          <w:p w14:paraId="0FB637AD">
            <w:pPr>
              <w:pStyle w:val="35"/>
              <w:spacing w:before="0"/>
              <w:rPr>
                <w:rFonts w:ascii="Arial" w:hAnsi="Arial" w:cs="Arial" w:eastAsiaTheme="minorEastAsia"/>
                <w:sz w:val="20"/>
                <w:szCs w:val="20"/>
                <w:lang w:eastAsia="zh-CN"/>
              </w:rPr>
            </w:pPr>
            <w:r>
              <w:rPr>
                <w:rFonts w:ascii="Arial" w:hAnsi="Arial" w:cs="Arial" w:eastAsiaTheme="minorEastAsia"/>
                <w:sz w:val="20"/>
                <w:szCs w:val="20"/>
                <w:lang w:eastAsia="zh-CN"/>
              </w:rPr>
              <w:t>0.14 ± 0.14</w:t>
            </w:r>
          </w:p>
        </w:tc>
        <w:tc>
          <w:tcPr>
            <w:tcW w:w="623" w:type="dxa"/>
            <w:vAlign w:val="center"/>
          </w:tcPr>
          <w:p w14:paraId="0630FB41">
            <w:pPr>
              <w:pStyle w:val="35"/>
              <w:spacing w:before="0"/>
              <w:rPr>
                <w:rFonts w:ascii="Arial" w:hAnsi="Arial" w:cs="Arial" w:eastAsiaTheme="minorEastAsia"/>
                <w:sz w:val="20"/>
                <w:szCs w:val="20"/>
                <w:lang w:eastAsia="zh-CN"/>
              </w:rPr>
            </w:pPr>
            <w:r>
              <w:rPr>
                <w:rFonts w:ascii="Arial" w:hAnsi="Arial" w:cs="Arial" w:eastAsiaTheme="minorEastAsia"/>
                <w:sz w:val="20"/>
                <w:szCs w:val="20"/>
                <w:lang w:eastAsia="zh-CN"/>
              </w:rPr>
              <w:t>.16</w:t>
            </w:r>
          </w:p>
        </w:tc>
      </w:tr>
      <w:tr w14:paraId="4BC5E111">
        <w:trPr>
          <w:cantSplit/>
        </w:trPr>
        <w:tc>
          <w:tcPr>
            <w:tcW w:w="2666" w:type="dxa"/>
            <w:vAlign w:val="center"/>
          </w:tcPr>
          <w:p w14:paraId="2D34E2E1">
            <w:pPr>
              <w:pStyle w:val="35"/>
              <w:spacing w:before="0"/>
              <w:rPr>
                <w:rFonts w:ascii="Arial" w:hAnsi="Arial" w:cs="Arial" w:eastAsiaTheme="minorEastAsia"/>
                <w:sz w:val="20"/>
                <w:szCs w:val="20"/>
                <w:lang w:eastAsia="zh-CN"/>
              </w:rPr>
            </w:pPr>
            <w:r>
              <w:rPr>
                <w:rFonts w:ascii="Arial" w:hAnsi="Arial" w:cs="Arial" w:eastAsiaTheme="minorEastAsia"/>
                <w:sz w:val="20"/>
                <w:szCs w:val="20"/>
                <w:lang w:eastAsia="zh-CN"/>
              </w:rPr>
              <w:t>Other vasopressor/inotrope, any</w:t>
            </w:r>
          </w:p>
        </w:tc>
        <w:tc>
          <w:tcPr>
            <w:tcW w:w="2356" w:type="dxa"/>
            <w:vAlign w:val="center"/>
          </w:tcPr>
          <w:p w14:paraId="2DF509A5">
            <w:pPr>
              <w:pStyle w:val="35"/>
              <w:spacing w:before="0"/>
              <w:rPr>
                <w:rFonts w:ascii="Arial" w:hAnsi="Arial" w:cs="Arial" w:eastAsiaTheme="minorEastAsia"/>
                <w:sz w:val="20"/>
                <w:szCs w:val="20"/>
                <w:lang w:eastAsia="zh-CN"/>
              </w:rPr>
            </w:pPr>
            <w:r>
              <w:rPr>
                <w:rFonts w:ascii="Arial" w:hAnsi="Arial" w:cs="Arial" w:eastAsiaTheme="minorEastAsia"/>
                <w:sz w:val="20"/>
                <w:szCs w:val="20"/>
                <w:lang w:eastAsia="zh-CN"/>
              </w:rPr>
              <w:t>SOFA Cardiovascular (vasopressors)</w:t>
            </w:r>
          </w:p>
        </w:tc>
        <w:tc>
          <w:tcPr>
            <w:tcW w:w="1527" w:type="dxa"/>
            <w:vAlign w:val="center"/>
          </w:tcPr>
          <w:p w14:paraId="49B95413">
            <w:pPr>
              <w:pStyle w:val="35"/>
              <w:spacing w:before="0"/>
              <w:rPr>
                <w:rFonts w:ascii="Arial" w:hAnsi="Arial" w:cs="Arial" w:eastAsiaTheme="minorEastAsia"/>
                <w:sz w:val="20"/>
                <w:szCs w:val="20"/>
                <w:lang w:eastAsia="zh-CN"/>
              </w:rPr>
            </w:pPr>
            <w:r>
              <w:rPr>
                <w:rFonts w:ascii="Arial" w:hAnsi="Arial" w:cs="Arial" w:eastAsiaTheme="minorEastAsia"/>
                <w:sz w:val="20"/>
                <w:szCs w:val="20"/>
                <w:lang w:eastAsia="zh-CN"/>
              </w:rPr>
              <w:t>5,567 (27.0%)</w:t>
            </w:r>
          </w:p>
        </w:tc>
        <w:tc>
          <w:tcPr>
            <w:tcW w:w="1310" w:type="dxa"/>
            <w:vAlign w:val="center"/>
          </w:tcPr>
          <w:p w14:paraId="739E81EB">
            <w:pPr>
              <w:pStyle w:val="35"/>
              <w:spacing w:before="0"/>
              <w:rPr>
                <w:rFonts w:ascii="Arial" w:hAnsi="Arial" w:cs="Arial" w:eastAsiaTheme="minorEastAsia"/>
                <w:sz w:val="20"/>
                <w:szCs w:val="20"/>
                <w:lang w:eastAsia="zh-CN"/>
              </w:rPr>
            </w:pPr>
            <w:r>
              <w:rPr>
                <w:rFonts w:ascii="Arial" w:hAnsi="Arial" w:cs="Arial" w:eastAsiaTheme="minorEastAsia"/>
                <w:sz w:val="20"/>
                <w:szCs w:val="20"/>
                <w:lang w:eastAsia="zh-CN"/>
              </w:rPr>
              <w:t>402 (14.8%)</w:t>
            </w:r>
          </w:p>
        </w:tc>
        <w:tc>
          <w:tcPr>
            <w:tcW w:w="1238" w:type="dxa"/>
            <w:vAlign w:val="center"/>
          </w:tcPr>
          <w:p w14:paraId="5C7F3885">
            <w:pPr>
              <w:pStyle w:val="35"/>
              <w:spacing w:before="0"/>
              <w:rPr>
                <w:rFonts w:ascii="Arial" w:hAnsi="Arial" w:cs="Arial" w:eastAsiaTheme="minorEastAsia"/>
                <w:sz w:val="20"/>
                <w:szCs w:val="20"/>
                <w:lang w:eastAsia="zh-CN"/>
              </w:rPr>
            </w:pPr>
            <w:r>
              <w:rPr>
                <w:rFonts w:ascii="Arial" w:hAnsi="Arial" w:cs="Arial" w:eastAsiaTheme="minorEastAsia"/>
                <w:sz w:val="20"/>
                <w:szCs w:val="20"/>
                <w:lang w:eastAsia="zh-CN"/>
              </w:rPr>
              <w:t>114 (9.8%)</w:t>
            </w:r>
          </w:p>
        </w:tc>
        <w:tc>
          <w:tcPr>
            <w:tcW w:w="623" w:type="dxa"/>
            <w:vAlign w:val="center"/>
          </w:tcPr>
          <w:p w14:paraId="4238EDFA">
            <w:pPr>
              <w:pStyle w:val="35"/>
              <w:spacing w:before="0"/>
              <w:rPr>
                <w:rFonts w:ascii="Arial" w:hAnsi="Arial" w:cs="Arial" w:eastAsiaTheme="minorEastAsia"/>
                <w:sz w:val="20"/>
                <w:szCs w:val="20"/>
                <w:lang w:eastAsia="zh-CN"/>
              </w:rPr>
            </w:pPr>
            <w:r>
              <w:rPr>
                <w:rFonts w:ascii="Arial" w:hAnsi="Arial" w:cs="Arial" w:eastAsiaTheme="minorEastAsia"/>
                <w:sz w:val="20"/>
                <w:szCs w:val="20"/>
                <w:lang w:eastAsia="zh-CN"/>
              </w:rPr>
              <w:t>&lt;.001</w:t>
            </w:r>
          </w:p>
        </w:tc>
      </w:tr>
      <w:tr w14:paraId="5BC06071">
        <w:trPr>
          <w:cantSplit/>
        </w:trPr>
        <w:tc>
          <w:tcPr>
            <w:tcW w:w="2666" w:type="dxa"/>
            <w:vAlign w:val="center"/>
          </w:tcPr>
          <w:p w14:paraId="312DCACB">
            <w:pPr>
              <w:pStyle w:val="35"/>
              <w:spacing w:before="0"/>
              <w:rPr>
                <w:rFonts w:ascii="Arial" w:hAnsi="Arial" w:cs="Arial" w:eastAsiaTheme="minorEastAsia"/>
                <w:sz w:val="20"/>
                <w:szCs w:val="20"/>
                <w:lang w:eastAsia="zh-CN"/>
              </w:rPr>
            </w:pPr>
            <w:r>
              <w:rPr>
                <w:rFonts w:ascii="Arial" w:hAnsi="Arial" w:cs="Arial" w:eastAsiaTheme="minorEastAsia"/>
                <w:sz w:val="20"/>
                <w:szCs w:val="20"/>
                <w:lang w:eastAsia="zh-CN"/>
              </w:rPr>
              <w:t>Mechanical circulatory support, any</w:t>
            </w:r>
          </w:p>
        </w:tc>
        <w:tc>
          <w:tcPr>
            <w:tcW w:w="2356" w:type="dxa"/>
            <w:vAlign w:val="center"/>
          </w:tcPr>
          <w:p w14:paraId="04BD03F1">
            <w:pPr>
              <w:pStyle w:val="35"/>
              <w:spacing w:before="0"/>
              <w:rPr>
                <w:rFonts w:ascii="Arial" w:hAnsi="Arial" w:cs="Arial" w:eastAsiaTheme="minorEastAsia"/>
                <w:sz w:val="20"/>
                <w:szCs w:val="20"/>
                <w:lang w:eastAsia="zh-CN"/>
              </w:rPr>
            </w:pPr>
            <w:r>
              <w:rPr>
                <w:rFonts w:ascii="Arial" w:hAnsi="Arial" w:cs="Arial" w:eastAsiaTheme="minorEastAsia"/>
                <w:sz w:val="20"/>
                <w:szCs w:val="20"/>
                <w:lang w:eastAsia="zh-CN"/>
              </w:rPr>
              <w:t>SOFA Cardiovascular (mechanical support)</w:t>
            </w:r>
          </w:p>
        </w:tc>
        <w:tc>
          <w:tcPr>
            <w:tcW w:w="1527" w:type="dxa"/>
            <w:vAlign w:val="center"/>
          </w:tcPr>
          <w:p w14:paraId="1A35AF25">
            <w:pPr>
              <w:pStyle w:val="35"/>
              <w:spacing w:before="0"/>
              <w:rPr>
                <w:rFonts w:ascii="Arial" w:hAnsi="Arial" w:cs="Arial" w:eastAsiaTheme="minorEastAsia"/>
                <w:sz w:val="20"/>
                <w:szCs w:val="20"/>
                <w:lang w:eastAsia="zh-CN"/>
              </w:rPr>
            </w:pPr>
            <w:r>
              <w:rPr>
                <w:rFonts w:ascii="Arial" w:hAnsi="Arial" w:cs="Arial" w:eastAsiaTheme="minorEastAsia"/>
                <w:sz w:val="20"/>
                <w:szCs w:val="20"/>
                <w:lang w:eastAsia="zh-CN"/>
              </w:rPr>
              <w:t>459 (2.2%)</w:t>
            </w:r>
          </w:p>
        </w:tc>
        <w:tc>
          <w:tcPr>
            <w:tcW w:w="1310" w:type="dxa"/>
            <w:vAlign w:val="center"/>
          </w:tcPr>
          <w:p w14:paraId="14C2E48C">
            <w:pPr>
              <w:pStyle w:val="35"/>
              <w:spacing w:before="0"/>
              <w:rPr>
                <w:rFonts w:ascii="Arial" w:hAnsi="Arial" w:cs="Arial" w:eastAsiaTheme="minorEastAsia"/>
                <w:sz w:val="20"/>
                <w:szCs w:val="20"/>
                <w:lang w:eastAsia="zh-CN"/>
              </w:rPr>
            </w:pPr>
            <w:r>
              <w:rPr>
                <w:rFonts w:ascii="Arial" w:hAnsi="Arial" w:cs="Arial" w:eastAsiaTheme="minorEastAsia"/>
                <w:sz w:val="20"/>
                <w:szCs w:val="20"/>
                <w:lang w:eastAsia="zh-CN"/>
              </w:rPr>
              <w:t>33 (1.2%)</w:t>
            </w:r>
          </w:p>
        </w:tc>
        <w:tc>
          <w:tcPr>
            <w:tcW w:w="1238" w:type="dxa"/>
            <w:vAlign w:val="center"/>
          </w:tcPr>
          <w:p w14:paraId="6BA02DC1">
            <w:pPr>
              <w:pStyle w:val="35"/>
              <w:spacing w:before="0"/>
              <w:rPr>
                <w:rFonts w:ascii="Arial" w:hAnsi="Arial" w:cs="Arial" w:eastAsiaTheme="minorEastAsia"/>
                <w:sz w:val="20"/>
                <w:szCs w:val="20"/>
                <w:lang w:eastAsia="zh-CN"/>
              </w:rPr>
            </w:pPr>
            <w:r>
              <w:rPr>
                <w:rFonts w:ascii="Arial" w:hAnsi="Arial" w:cs="Arial" w:eastAsiaTheme="minorEastAsia"/>
                <w:sz w:val="20"/>
                <w:szCs w:val="20"/>
                <w:lang w:eastAsia="zh-CN"/>
              </w:rPr>
              <w:t>15 (1.3%)</w:t>
            </w:r>
          </w:p>
        </w:tc>
        <w:tc>
          <w:tcPr>
            <w:tcW w:w="623" w:type="dxa"/>
            <w:vAlign w:val="center"/>
          </w:tcPr>
          <w:p w14:paraId="627D802B">
            <w:pPr>
              <w:pStyle w:val="35"/>
              <w:spacing w:before="0"/>
              <w:rPr>
                <w:rFonts w:ascii="Arial" w:hAnsi="Arial" w:cs="Arial" w:eastAsiaTheme="minorEastAsia"/>
                <w:sz w:val="20"/>
                <w:szCs w:val="20"/>
                <w:lang w:eastAsia="zh-CN"/>
              </w:rPr>
            </w:pPr>
            <w:r>
              <w:rPr>
                <w:rFonts w:ascii="Arial" w:hAnsi="Arial" w:cs="Arial" w:eastAsiaTheme="minorEastAsia"/>
                <w:sz w:val="20"/>
                <w:szCs w:val="20"/>
                <w:lang w:eastAsia="zh-CN"/>
              </w:rPr>
              <w:t>&lt;.001</w:t>
            </w:r>
          </w:p>
        </w:tc>
      </w:tr>
      <w:tr w14:paraId="5A86D95F">
        <w:trPr>
          <w:cantSplit/>
        </w:trPr>
        <w:tc>
          <w:tcPr>
            <w:tcW w:w="2666" w:type="dxa"/>
            <w:vAlign w:val="center"/>
          </w:tcPr>
          <w:p w14:paraId="0B9AE0DF">
            <w:pPr>
              <w:pStyle w:val="35"/>
              <w:spacing w:before="0"/>
              <w:rPr>
                <w:rFonts w:ascii="Arial" w:hAnsi="Arial" w:cs="Arial" w:eastAsiaTheme="minorEastAsia"/>
                <w:sz w:val="20"/>
                <w:szCs w:val="20"/>
                <w:lang w:eastAsia="zh-CN"/>
              </w:rPr>
            </w:pPr>
            <w:r>
              <w:rPr>
                <w:rFonts w:ascii="Arial" w:hAnsi="Arial" w:cs="Arial" w:eastAsiaTheme="minorEastAsia"/>
                <w:sz w:val="20"/>
                <w:szCs w:val="20"/>
                <w:lang w:eastAsia="zh-CN"/>
              </w:rPr>
              <w:t>Glasgow Coma Scale score (mean)</w:t>
            </w:r>
          </w:p>
        </w:tc>
        <w:tc>
          <w:tcPr>
            <w:tcW w:w="2356" w:type="dxa"/>
            <w:vAlign w:val="center"/>
          </w:tcPr>
          <w:p w14:paraId="189FD937">
            <w:pPr>
              <w:pStyle w:val="35"/>
              <w:spacing w:before="0"/>
              <w:rPr>
                <w:rFonts w:ascii="Arial" w:hAnsi="Arial" w:cs="Arial" w:eastAsiaTheme="minorEastAsia"/>
                <w:sz w:val="20"/>
                <w:szCs w:val="20"/>
                <w:lang w:eastAsia="zh-CN"/>
              </w:rPr>
            </w:pPr>
            <w:r>
              <w:rPr>
                <w:rFonts w:ascii="Arial" w:hAnsi="Arial" w:cs="Arial" w:eastAsiaTheme="minorEastAsia"/>
                <w:sz w:val="20"/>
                <w:szCs w:val="20"/>
                <w:lang w:eastAsia="zh-CN"/>
              </w:rPr>
              <w:t>SOFA CNS (baseline)</w:t>
            </w:r>
          </w:p>
        </w:tc>
        <w:tc>
          <w:tcPr>
            <w:tcW w:w="1527" w:type="dxa"/>
            <w:vAlign w:val="center"/>
          </w:tcPr>
          <w:p w14:paraId="2E73B8EB">
            <w:pPr>
              <w:pStyle w:val="35"/>
              <w:spacing w:before="0"/>
              <w:rPr>
                <w:rFonts w:ascii="Arial" w:hAnsi="Arial" w:cs="Arial" w:eastAsiaTheme="minorEastAsia"/>
                <w:sz w:val="20"/>
                <w:szCs w:val="20"/>
                <w:lang w:eastAsia="zh-CN"/>
              </w:rPr>
            </w:pPr>
            <w:r>
              <w:rPr>
                <w:rFonts w:ascii="Arial" w:hAnsi="Arial" w:cs="Arial" w:eastAsiaTheme="minorEastAsia"/>
                <w:sz w:val="20"/>
                <w:szCs w:val="20"/>
                <w:lang w:eastAsia="zh-CN"/>
              </w:rPr>
              <w:t>14.26 ± 1.40</w:t>
            </w:r>
          </w:p>
        </w:tc>
        <w:tc>
          <w:tcPr>
            <w:tcW w:w="1310" w:type="dxa"/>
            <w:vAlign w:val="center"/>
          </w:tcPr>
          <w:p w14:paraId="58BD166D">
            <w:pPr>
              <w:pStyle w:val="35"/>
              <w:spacing w:before="0"/>
              <w:rPr>
                <w:rFonts w:ascii="Arial" w:hAnsi="Arial" w:cs="Arial" w:eastAsiaTheme="minorEastAsia"/>
                <w:sz w:val="20"/>
                <w:szCs w:val="20"/>
                <w:lang w:eastAsia="zh-CN"/>
              </w:rPr>
            </w:pPr>
            <w:r>
              <w:rPr>
                <w:rFonts w:ascii="Arial" w:hAnsi="Arial" w:cs="Arial" w:eastAsiaTheme="minorEastAsia"/>
                <w:sz w:val="20"/>
                <w:szCs w:val="20"/>
                <w:lang w:eastAsia="zh-CN"/>
              </w:rPr>
              <w:t>14.59 ± 1.15</w:t>
            </w:r>
          </w:p>
        </w:tc>
        <w:tc>
          <w:tcPr>
            <w:tcW w:w="1238" w:type="dxa"/>
            <w:vAlign w:val="center"/>
          </w:tcPr>
          <w:p w14:paraId="1D7CCCB7">
            <w:pPr>
              <w:pStyle w:val="35"/>
              <w:spacing w:before="0"/>
              <w:rPr>
                <w:rFonts w:ascii="Arial" w:hAnsi="Arial" w:cs="Arial" w:eastAsiaTheme="minorEastAsia"/>
                <w:sz w:val="20"/>
                <w:szCs w:val="20"/>
                <w:lang w:eastAsia="zh-CN"/>
              </w:rPr>
            </w:pPr>
            <w:r>
              <w:rPr>
                <w:rFonts w:ascii="Arial" w:hAnsi="Arial" w:cs="Arial" w:eastAsiaTheme="minorEastAsia"/>
                <w:sz w:val="20"/>
                <w:szCs w:val="20"/>
                <w:lang w:eastAsia="zh-CN"/>
              </w:rPr>
              <w:t>14.52 ± 1.13</w:t>
            </w:r>
          </w:p>
        </w:tc>
        <w:tc>
          <w:tcPr>
            <w:tcW w:w="623" w:type="dxa"/>
            <w:vAlign w:val="center"/>
          </w:tcPr>
          <w:p w14:paraId="659B0456">
            <w:pPr>
              <w:pStyle w:val="35"/>
              <w:spacing w:before="0"/>
              <w:rPr>
                <w:rFonts w:ascii="Arial" w:hAnsi="Arial" w:cs="Arial" w:eastAsiaTheme="minorEastAsia"/>
                <w:sz w:val="20"/>
                <w:szCs w:val="20"/>
                <w:lang w:eastAsia="zh-CN"/>
              </w:rPr>
            </w:pPr>
            <w:r>
              <w:rPr>
                <w:rFonts w:ascii="Arial" w:hAnsi="Arial" w:cs="Arial" w:eastAsiaTheme="minorEastAsia"/>
                <w:sz w:val="20"/>
                <w:szCs w:val="20"/>
                <w:lang w:eastAsia="zh-CN"/>
              </w:rPr>
              <w:t>&lt;.001</w:t>
            </w:r>
          </w:p>
        </w:tc>
      </w:tr>
      <w:tr w14:paraId="13C6D793">
        <w:trPr>
          <w:cantSplit/>
        </w:trPr>
        <w:tc>
          <w:tcPr>
            <w:tcW w:w="2666" w:type="dxa"/>
            <w:vAlign w:val="center"/>
          </w:tcPr>
          <w:p w14:paraId="5BDD4AD6">
            <w:pPr>
              <w:pStyle w:val="35"/>
              <w:spacing w:before="0"/>
              <w:rPr>
                <w:rFonts w:ascii="Arial" w:hAnsi="Arial" w:cs="Arial" w:eastAsiaTheme="minorEastAsia"/>
                <w:sz w:val="20"/>
                <w:szCs w:val="20"/>
                <w:lang w:eastAsia="zh-CN"/>
              </w:rPr>
            </w:pPr>
            <w:r>
              <w:rPr>
                <w:rFonts w:ascii="Arial" w:hAnsi="Arial" w:cs="Arial" w:eastAsiaTheme="minorEastAsia"/>
                <w:sz w:val="20"/>
                <w:szCs w:val="20"/>
                <w:lang w:eastAsia="zh-CN"/>
              </w:rPr>
              <w:t>Delirium treatment, any</w:t>
            </w:r>
          </w:p>
        </w:tc>
        <w:tc>
          <w:tcPr>
            <w:tcW w:w="2356" w:type="dxa"/>
            <w:vAlign w:val="center"/>
          </w:tcPr>
          <w:p w14:paraId="53DF028A">
            <w:pPr>
              <w:pStyle w:val="35"/>
              <w:spacing w:before="0"/>
              <w:rPr>
                <w:rFonts w:ascii="Arial" w:hAnsi="Arial" w:cs="Arial" w:eastAsiaTheme="minorEastAsia"/>
                <w:sz w:val="20"/>
                <w:szCs w:val="20"/>
                <w:lang w:eastAsia="zh-CN"/>
              </w:rPr>
            </w:pPr>
            <w:r>
              <w:rPr>
                <w:rFonts w:ascii="Arial" w:hAnsi="Arial" w:cs="Arial" w:eastAsiaTheme="minorEastAsia"/>
                <w:sz w:val="20"/>
                <w:szCs w:val="20"/>
                <w:lang w:eastAsia="zh-CN"/>
              </w:rPr>
              <w:t>SOFA CNS (updated)</w:t>
            </w:r>
          </w:p>
        </w:tc>
        <w:tc>
          <w:tcPr>
            <w:tcW w:w="1527" w:type="dxa"/>
            <w:vAlign w:val="center"/>
          </w:tcPr>
          <w:p w14:paraId="68B06FE6">
            <w:pPr>
              <w:pStyle w:val="35"/>
              <w:spacing w:before="0"/>
              <w:rPr>
                <w:rFonts w:ascii="Arial" w:hAnsi="Arial" w:cs="Arial" w:eastAsiaTheme="minorEastAsia"/>
                <w:sz w:val="20"/>
                <w:szCs w:val="20"/>
                <w:lang w:eastAsia="zh-CN"/>
              </w:rPr>
            </w:pPr>
            <w:r>
              <w:rPr>
                <w:rFonts w:ascii="Arial" w:hAnsi="Arial" w:cs="Arial" w:eastAsiaTheme="minorEastAsia"/>
                <w:sz w:val="20"/>
                <w:szCs w:val="20"/>
                <w:lang w:eastAsia="zh-CN"/>
              </w:rPr>
              <w:t>2,169 (10.5%)</w:t>
            </w:r>
          </w:p>
        </w:tc>
        <w:tc>
          <w:tcPr>
            <w:tcW w:w="1310" w:type="dxa"/>
            <w:vAlign w:val="center"/>
          </w:tcPr>
          <w:p w14:paraId="4D327335">
            <w:pPr>
              <w:pStyle w:val="35"/>
              <w:spacing w:before="0"/>
              <w:rPr>
                <w:rFonts w:ascii="Arial" w:hAnsi="Arial" w:cs="Arial" w:eastAsiaTheme="minorEastAsia"/>
                <w:sz w:val="20"/>
                <w:szCs w:val="20"/>
                <w:lang w:eastAsia="zh-CN"/>
              </w:rPr>
            </w:pPr>
            <w:r>
              <w:rPr>
                <w:rFonts w:ascii="Arial" w:hAnsi="Arial" w:cs="Arial" w:eastAsiaTheme="minorEastAsia"/>
                <w:sz w:val="20"/>
                <w:szCs w:val="20"/>
                <w:lang w:eastAsia="zh-CN"/>
              </w:rPr>
              <w:t>314 (11.5%)</w:t>
            </w:r>
          </w:p>
        </w:tc>
        <w:tc>
          <w:tcPr>
            <w:tcW w:w="1238" w:type="dxa"/>
            <w:vAlign w:val="center"/>
          </w:tcPr>
          <w:p w14:paraId="1BB95545">
            <w:pPr>
              <w:pStyle w:val="35"/>
              <w:spacing w:before="0"/>
              <w:rPr>
                <w:rFonts w:ascii="Arial" w:hAnsi="Arial" w:cs="Arial" w:eastAsiaTheme="minorEastAsia"/>
                <w:sz w:val="20"/>
                <w:szCs w:val="20"/>
                <w:lang w:eastAsia="zh-CN"/>
              </w:rPr>
            </w:pPr>
            <w:r>
              <w:rPr>
                <w:rFonts w:ascii="Arial" w:hAnsi="Arial" w:cs="Arial" w:eastAsiaTheme="minorEastAsia"/>
                <w:sz w:val="20"/>
                <w:szCs w:val="20"/>
                <w:lang w:eastAsia="zh-CN"/>
              </w:rPr>
              <w:t>124 (10.7%)</w:t>
            </w:r>
          </w:p>
        </w:tc>
        <w:tc>
          <w:tcPr>
            <w:tcW w:w="623" w:type="dxa"/>
            <w:vAlign w:val="center"/>
          </w:tcPr>
          <w:p w14:paraId="711BEA2B">
            <w:pPr>
              <w:pStyle w:val="35"/>
              <w:spacing w:before="0"/>
              <w:rPr>
                <w:rFonts w:ascii="Arial" w:hAnsi="Arial" w:cs="Arial" w:eastAsiaTheme="minorEastAsia"/>
                <w:sz w:val="20"/>
                <w:szCs w:val="20"/>
                <w:lang w:eastAsia="zh-CN"/>
              </w:rPr>
            </w:pPr>
            <w:r>
              <w:rPr>
                <w:rFonts w:ascii="Arial" w:hAnsi="Arial" w:cs="Arial" w:eastAsiaTheme="minorEastAsia"/>
                <w:sz w:val="20"/>
                <w:szCs w:val="20"/>
                <w:lang w:eastAsia="zh-CN"/>
              </w:rPr>
              <w:t>.27</w:t>
            </w:r>
          </w:p>
        </w:tc>
      </w:tr>
      <w:tr w14:paraId="40E9F8C2">
        <w:trPr>
          <w:cantSplit/>
        </w:trPr>
        <w:tc>
          <w:tcPr>
            <w:tcW w:w="2666" w:type="dxa"/>
            <w:vAlign w:val="center"/>
          </w:tcPr>
          <w:p w14:paraId="4834FCB4">
            <w:pPr>
              <w:pStyle w:val="35"/>
              <w:spacing w:before="0"/>
              <w:rPr>
                <w:rFonts w:ascii="Arial" w:hAnsi="Arial" w:cs="Arial" w:eastAsiaTheme="minorEastAsia"/>
                <w:sz w:val="20"/>
                <w:szCs w:val="20"/>
                <w:lang w:eastAsia="zh-CN"/>
              </w:rPr>
            </w:pPr>
            <w:r>
              <w:rPr>
                <w:rFonts w:ascii="Arial" w:hAnsi="Arial" w:cs="Arial" w:eastAsiaTheme="minorEastAsia"/>
                <w:sz w:val="20"/>
                <w:szCs w:val="20"/>
                <w:lang w:eastAsia="zh-CN"/>
              </w:rPr>
              <w:t>GCS motor score (mean)</w:t>
            </w:r>
          </w:p>
        </w:tc>
        <w:tc>
          <w:tcPr>
            <w:tcW w:w="2356" w:type="dxa"/>
            <w:vAlign w:val="center"/>
          </w:tcPr>
          <w:p w14:paraId="209DB461">
            <w:pPr>
              <w:pStyle w:val="35"/>
              <w:spacing w:before="0"/>
              <w:rPr>
                <w:rFonts w:ascii="Arial" w:hAnsi="Arial" w:cs="Arial" w:eastAsiaTheme="minorEastAsia"/>
                <w:sz w:val="20"/>
                <w:szCs w:val="20"/>
                <w:lang w:eastAsia="zh-CN"/>
              </w:rPr>
            </w:pPr>
            <w:r>
              <w:rPr>
                <w:rFonts w:ascii="Arial" w:hAnsi="Arial" w:cs="Arial" w:eastAsiaTheme="minorEastAsia"/>
                <w:sz w:val="20"/>
                <w:szCs w:val="20"/>
                <w:lang w:eastAsia="zh-CN"/>
              </w:rPr>
              <w:t>SOFA CNS (updated)</w:t>
            </w:r>
          </w:p>
        </w:tc>
        <w:tc>
          <w:tcPr>
            <w:tcW w:w="1527" w:type="dxa"/>
            <w:vAlign w:val="center"/>
          </w:tcPr>
          <w:p w14:paraId="3F693CE8">
            <w:pPr>
              <w:pStyle w:val="35"/>
              <w:spacing w:before="0"/>
              <w:rPr>
                <w:rFonts w:ascii="Arial" w:hAnsi="Arial" w:cs="Arial" w:eastAsiaTheme="minorEastAsia"/>
                <w:sz w:val="20"/>
                <w:szCs w:val="20"/>
                <w:lang w:eastAsia="zh-CN"/>
              </w:rPr>
            </w:pPr>
            <w:r>
              <w:rPr>
                <w:rFonts w:ascii="Arial" w:hAnsi="Arial" w:cs="Arial" w:eastAsiaTheme="minorEastAsia"/>
                <w:sz w:val="20"/>
                <w:szCs w:val="20"/>
                <w:lang w:eastAsia="zh-CN"/>
              </w:rPr>
              <w:t>4.90 ± 1.48</w:t>
            </w:r>
          </w:p>
        </w:tc>
        <w:tc>
          <w:tcPr>
            <w:tcW w:w="1310" w:type="dxa"/>
            <w:vAlign w:val="center"/>
          </w:tcPr>
          <w:p w14:paraId="53148335">
            <w:pPr>
              <w:pStyle w:val="35"/>
              <w:spacing w:before="0"/>
              <w:rPr>
                <w:rFonts w:ascii="Arial" w:hAnsi="Arial" w:cs="Arial" w:eastAsiaTheme="minorEastAsia"/>
                <w:sz w:val="20"/>
                <w:szCs w:val="20"/>
                <w:lang w:eastAsia="zh-CN"/>
              </w:rPr>
            </w:pPr>
            <w:r>
              <w:rPr>
                <w:rFonts w:ascii="Arial" w:hAnsi="Arial" w:cs="Arial" w:eastAsiaTheme="minorEastAsia"/>
                <w:sz w:val="20"/>
                <w:szCs w:val="20"/>
                <w:lang w:eastAsia="zh-CN"/>
              </w:rPr>
              <w:t>5.39 ± 1.17</w:t>
            </w:r>
          </w:p>
        </w:tc>
        <w:tc>
          <w:tcPr>
            <w:tcW w:w="1238" w:type="dxa"/>
            <w:vAlign w:val="center"/>
          </w:tcPr>
          <w:p w14:paraId="0BFB41B5">
            <w:pPr>
              <w:pStyle w:val="35"/>
              <w:spacing w:before="0"/>
              <w:rPr>
                <w:rFonts w:ascii="Arial" w:hAnsi="Arial" w:cs="Arial" w:eastAsiaTheme="minorEastAsia"/>
                <w:sz w:val="20"/>
                <w:szCs w:val="20"/>
                <w:lang w:eastAsia="zh-CN"/>
              </w:rPr>
            </w:pPr>
            <w:r>
              <w:rPr>
                <w:rFonts w:ascii="Arial" w:hAnsi="Arial" w:cs="Arial" w:eastAsiaTheme="minorEastAsia"/>
                <w:sz w:val="20"/>
                <w:szCs w:val="20"/>
                <w:lang w:eastAsia="zh-CN"/>
              </w:rPr>
              <w:t>5.41 ± 1.21</w:t>
            </w:r>
          </w:p>
        </w:tc>
        <w:tc>
          <w:tcPr>
            <w:tcW w:w="623" w:type="dxa"/>
            <w:vAlign w:val="center"/>
          </w:tcPr>
          <w:p w14:paraId="3685FAC4">
            <w:pPr>
              <w:pStyle w:val="35"/>
              <w:spacing w:before="0"/>
              <w:rPr>
                <w:rFonts w:ascii="Arial" w:hAnsi="Arial" w:cs="Arial" w:eastAsiaTheme="minorEastAsia"/>
                <w:sz w:val="20"/>
                <w:szCs w:val="20"/>
                <w:lang w:eastAsia="zh-CN"/>
              </w:rPr>
            </w:pPr>
            <w:r>
              <w:rPr>
                <w:rFonts w:ascii="Arial" w:hAnsi="Arial" w:cs="Arial" w:eastAsiaTheme="minorEastAsia"/>
                <w:sz w:val="20"/>
                <w:szCs w:val="20"/>
                <w:lang w:eastAsia="zh-CN"/>
              </w:rPr>
              <w:t>&lt;.001</w:t>
            </w:r>
          </w:p>
        </w:tc>
      </w:tr>
      <w:tr w14:paraId="0BD672DB">
        <w:trPr>
          <w:cantSplit/>
          <w:trHeight w:val="0" w:hRule="atLeast"/>
        </w:trPr>
        <w:tc>
          <w:tcPr>
            <w:tcW w:w="2666" w:type="dxa"/>
            <w:tcBorders>
              <w:bottom w:val="single" w:color="auto" w:sz="12" w:space="0"/>
            </w:tcBorders>
            <w:vAlign w:val="center"/>
          </w:tcPr>
          <w:p w14:paraId="02A653D4">
            <w:pPr>
              <w:pStyle w:val="35"/>
              <w:spacing w:before="0"/>
              <w:rPr>
                <w:rFonts w:ascii="Arial" w:hAnsi="Arial" w:cs="Arial" w:eastAsiaTheme="minorEastAsia"/>
                <w:sz w:val="20"/>
                <w:szCs w:val="20"/>
                <w:lang w:eastAsia="zh-CN"/>
              </w:rPr>
            </w:pPr>
            <w:r>
              <w:rPr>
                <w:rFonts w:ascii="Arial" w:hAnsi="Arial" w:cs="Arial" w:eastAsiaTheme="minorEastAsia"/>
                <w:sz w:val="20"/>
                <w:szCs w:val="20"/>
                <w:lang w:eastAsia="zh-CN"/>
              </w:rPr>
              <w:t>Creatinine, mg/dL (mean)</w:t>
            </w:r>
          </w:p>
        </w:tc>
        <w:tc>
          <w:tcPr>
            <w:tcW w:w="2356" w:type="dxa"/>
            <w:tcBorders>
              <w:bottom w:val="single" w:color="auto" w:sz="12" w:space="0"/>
            </w:tcBorders>
            <w:vAlign w:val="center"/>
          </w:tcPr>
          <w:p w14:paraId="64CEE1E0">
            <w:pPr>
              <w:pStyle w:val="35"/>
              <w:spacing w:before="0"/>
              <w:rPr>
                <w:rFonts w:ascii="Arial" w:hAnsi="Arial" w:cs="Arial" w:eastAsiaTheme="minorEastAsia"/>
                <w:sz w:val="20"/>
                <w:szCs w:val="20"/>
                <w:lang w:eastAsia="zh-CN"/>
              </w:rPr>
            </w:pPr>
            <w:r>
              <w:rPr>
                <w:rFonts w:ascii="Arial" w:hAnsi="Arial" w:cs="Arial" w:eastAsiaTheme="minorEastAsia"/>
                <w:sz w:val="20"/>
                <w:szCs w:val="20"/>
                <w:lang w:eastAsia="zh-CN"/>
              </w:rPr>
              <w:t>SOFA Renal (baseline)</w:t>
            </w:r>
          </w:p>
        </w:tc>
        <w:tc>
          <w:tcPr>
            <w:tcW w:w="1527" w:type="dxa"/>
            <w:tcBorders>
              <w:bottom w:val="single" w:color="auto" w:sz="12" w:space="0"/>
            </w:tcBorders>
            <w:vAlign w:val="center"/>
          </w:tcPr>
          <w:p w14:paraId="336DADE0">
            <w:pPr>
              <w:pStyle w:val="35"/>
              <w:spacing w:before="0"/>
              <w:rPr>
                <w:rFonts w:ascii="Arial" w:hAnsi="Arial" w:cs="Arial" w:eastAsiaTheme="minorEastAsia"/>
                <w:sz w:val="20"/>
                <w:szCs w:val="20"/>
                <w:lang w:eastAsia="zh-CN"/>
              </w:rPr>
            </w:pPr>
            <w:r>
              <w:rPr>
                <w:rFonts w:ascii="Arial" w:hAnsi="Arial" w:cs="Arial" w:eastAsiaTheme="minorEastAsia"/>
                <w:sz w:val="20"/>
                <w:szCs w:val="20"/>
                <w:lang w:eastAsia="zh-CN"/>
              </w:rPr>
              <w:t>1.72 ± 1.62</w:t>
            </w:r>
          </w:p>
        </w:tc>
        <w:tc>
          <w:tcPr>
            <w:tcW w:w="1310" w:type="dxa"/>
            <w:tcBorders>
              <w:bottom w:val="single" w:color="auto" w:sz="12" w:space="0"/>
            </w:tcBorders>
            <w:vAlign w:val="center"/>
          </w:tcPr>
          <w:p w14:paraId="08868686">
            <w:pPr>
              <w:pStyle w:val="35"/>
              <w:spacing w:before="0"/>
              <w:rPr>
                <w:rFonts w:ascii="Arial" w:hAnsi="Arial" w:cs="Arial" w:eastAsiaTheme="minorEastAsia"/>
                <w:sz w:val="20"/>
                <w:szCs w:val="20"/>
                <w:lang w:eastAsia="zh-CN"/>
              </w:rPr>
            </w:pPr>
            <w:r>
              <w:rPr>
                <w:rFonts w:ascii="Arial" w:hAnsi="Arial" w:cs="Arial" w:eastAsiaTheme="minorEastAsia"/>
                <w:sz w:val="20"/>
                <w:szCs w:val="20"/>
                <w:lang w:eastAsia="zh-CN"/>
              </w:rPr>
              <w:t>1.28 ± 1.26</w:t>
            </w:r>
          </w:p>
        </w:tc>
        <w:tc>
          <w:tcPr>
            <w:tcW w:w="1238" w:type="dxa"/>
            <w:tcBorders>
              <w:bottom w:val="single" w:color="auto" w:sz="12" w:space="0"/>
            </w:tcBorders>
            <w:vAlign w:val="center"/>
          </w:tcPr>
          <w:p w14:paraId="5A08C8C8">
            <w:pPr>
              <w:pStyle w:val="35"/>
              <w:spacing w:before="0"/>
              <w:rPr>
                <w:rFonts w:ascii="Arial" w:hAnsi="Arial" w:cs="Arial" w:eastAsiaTheme="minorEastAsia"/>
                <w:sz w:val="20"/>
                <w:szCs w:val="20"/>
                <w:lang w:eastAsia="zh-CN"/>
              </w:rPr>
            </w:pPr>
            <w:r>
              <w:rPr>
                <w:rFonts w:ascii="Arial" w:hAnsi="Arial" w:cs="Arial" w:eastAsiaTheme="minorEastAsia"/>
                <w:sz w:val="20"/>
                <w:szCs w:val="20"/>
                <w:lang w:eastAsia="zh-CN"/>
              </w:rPr>
              <w:t>1.46 ± 1.30</w:t>
            </w:r>
          </w:p>
        </w:tc>
        <w:tc>
          <w:tcPr>
            <w:tcW w:w="623" w:type="dxa"/>
            <w:tcBorders>
              <w:bottom w:val="single" w:color="auto" w:sz="12" w:space="0"/>
            </w:tcBorders>
            <w:vAlign w:val="center"/>
          </w:tcPr>
          <w:p w14:paraId="5EC97761">
            <w:pPr>
              <w:pStyle w:val="35"/>
              <w:spacing w:before="0"/>
              <w:rPr>
                <w:rFonts w:ascii="Arial" w:hAnsi="Arial" w:cs="Arial" w:eastAsiaTheme="minorEastAsia"/>
                <w:sz w:val="20"/>
                <w:szCs w:val="20"/>
                <w:lang w:eastAsia="zh-CN"/>
              </w:rPr>
            </w:pPr>
            <w:r>
              <w:rPr>
                <w:rFonts w:ascii="Arial" w:hAnsi="Arial" w:cs="Arial" w:eastAsiaTheme="minorEastAsia"/>
                <w:sz w:val="20"/>
                <w:szCs w:val="20"/>
                <w:lang w:eastAsia="zh-CN"/>
              </w:rPr>
              <w:t>&lt;.001</w:t>
            </w:r>
          </w:p>
        </w:tc>
      </w:tr>
      <w:tr w14:paraId="43A28149">
        <w:trPr>
          <w:cantSplit/>
          <w:trHeight w:val="20" w:hRule="exact"/>
        </w:trPr>
        <w:tc>
          <w:tcPr>
            <w:tcW w:w="2666" w:type="dxa"/>
            <w:tcBorders>
              <w:top w:val="single" w:color="auto" w:sz="12" w:space="0"/>
            </w:tcBorders>
            <w:vAlign w:val="center"/>
          </w:tcPr>
          <w:p w14:paraId="0F12F8ED">
            <w:pPr>
              <w:pStyle w:val="35"/>
              <w:spacing w:before="0"/>
              <w:rPr>
                <w:rFonts w:ascii="Arial" w:hAnsi="Arial" w:cs="Arial" w:eastAsiaTheme="minorEastAsia"/>
                <w:sz w:val="20"/>
                <w:szCs w:val="20"/>
                <w:lang w:eastAsia="zh-CN"/>
              </w:rPr>
            </w:pPr>
          </w:p>
        </w:tc>
        <w:tc>
          <w:tcPr>
            <w:tcW w:w="2356" w:type="dxa"/>
            <w:tcBorders>
              <w:top w:val="single" w:color="auto" w:sz="12" w:space="0"/>
            </w:tcBorders>
            <w:vAlign w:val="center"/>
          </w:tcPr>
          <w:p w14:paraId="1FB9E5E1">
            <w:pPr>
              <w:pStyle w:val="35"/>
              <w:spacing w:before="0"/>
              <w:rPr>
                <w:rFonts w:ascii="Arial" w:hAnsi="Arial" w:cs="Arial" w:eastAsiaTheme="minorEastAsia"/>
                <w:sz w:val="20"/>
                <w:szCs w:val="20"/>
                <w:lang w:eastAsia="zh-CN"/>
              </w:rPr>
            </w:pPr>
          </w:p>
        </w:tc>
        <w:tc>
          <w:tcPr>
            <w:tcW w:w="1527" w:type="dxa"/>
            <w:tcBorders>
              <w:top w:val="single" w:color="auto" w:sz="12" w:space="0"/>
            </w:tcBorders>
            <w:vAlign w:val="center"/>
          </w:tcPr>
          <w:p w14:paraId="36CC5354">
            <w:pPr>
              <w:pStyle w:val="35"/>
              <w:spacing w:before="0"/>
              <w:rPr>
                <w:rFonts w:ascii="Arial" w:hAnsi="Arial" w:cs="Arial" w:eastAsiaTheme="minorEastAsia"/>
                <w:sz w:val="20"/>
                <w:szCs w:val="20"/>
                <w:lang w:eastAsia="zh-CN"/>
              </w:rPr>
            </w:pPr>
          </w:p>
        </w:tc>
        <w:tc>
          <w:tcPr>
            <w:tcW w:w="1310" w:type="dxa"/>
            <w:tcBorders>
              <w:top w:val="single" w:color="auto" w:sz="12" w:space="0"/>
            </w:tcBorders>
            <w:vAlign w:val="center"/>
          </w:tcPr>
          <w:p w14:paraId="4AB5F2FA">
            <w:pPr>
              <w:pStyle w:val="35"/>
              <w:spacing w:before="0"/>
              <w:rPr>
                <w:rFonts w:ascii="Arial" w:hAnsi="Arial" w:cs="Arial" w:eastAsiaTheme="minorEastAsia"/>
                <w:sz w:val="20"/>
                <w:szCs w:val="20"/>
                <w:lang w:eastAsia="zh-CN"/>
              </w:rPr>
            </w:pPr>
          </w:p>
        </w:tc>
        <w:tc>
          <w:tcPr>
            <w:tcW w:w="1238" w:type="dxa"/>
            <w:tcBorders>
              <w:top w:val="single" w:color="auto" w:sz="12" w:space="0"/>
            </w:tcBorders>
            <w:vAlign w:val="center"/>
          </w:tcPr>
          <w:p w14:paraId="67A9DD76">
            <w:pPr>
              <w:pStyle w:val="35"/>
              <w:spacing w:before="0"/>
              <w:rPr>
                <w:rFonts w:ascii="Arial" w:hAnsi="Arial" w:cs="Arial" w:eastAsiaTheme="minorEastAsia"/>
                <w:sz w:val="20"/>
                <w:szCs w:val="20"/>
                <w:lang w:eastAsia="zh-CN"/>
              </w:rPr>
            </w:pPr>
          </w:p>
        </w:tc>
        <w:tc>
          <w:tcPr>
            <w:tcW w:w="623" w:type="dxa"/>
            <w:tcBorders>
              <w:top w:val="single" w:color="auto" w:sz="12" w:space="0"/>
            </w:tcBorders>
            <w:vAlign w:val="center"/>
          </w:tcPr>
          <w:p w14:paraId="1D2099DB">
            <w:pPr>
              <w:pStyle w:val="35"/>
              <w:spacing w:before="0"/>
              <w:rPr>
                <w:rFonts w:ascii="Arial" w:hAnsi="Arial" w:cs="Arial" w:eastAsiaTheme="minorEastAsia"/>
                <w:sz w:val="20"/>
                <w:szCs w:val="20"/>
                <w:lang w:eastAsia="zh-CN"/>
              </w:rPr>
            </w:pPr>
          </w:p>
        </w:tc>
      </w:tr>
      <w:tr w14:paraId="381C019A">
        <w:trPr>
          <w:cantSplit/>
          <w:trHeight w:val="0" w:hRule="atLeast"/>
        </w:trPr>
        <w:tc>
          <w:tcPr>
            <w:tcW w:w="9720" w:type="dxa"/>
            <w:gridSpan w:val="6"/>
            <w:tcBorders>
              <w:bottom w:val="single" w:color="auto" w:sz="12" w:space="0"/>
            </w:tcBorders>
            <w:vAlign w:val="center"/>
          </w:tcPr>
          <w:p w14:paraId="41D9E5E1">
            <w:pPr>
              <w:pStyle w:val="35"/>
              <w:spacing w:before="0"/>
              <w:jc w:val="center"/>
              <w:rPr>
                <w:rFonts w:ascii="Arial" w:hAnsi="Arial" w:cs="Arial" w:eastAsiaTheme="minorEastAsia"/>
                <w:sz w:val="20"/>
                <w:szCs w:val="20"/>
                <w:lang w:eastAsia="zh-CN"/>
              </w:rPr>
            </w:pPr>
            <w:r>
              <w:rPr>
                <w:rFonts w:hint="eastAsia" w:ascii="Arial" w:hAnsi="Arial" w:cs="Arial" w:eastAsiaTheme="minorEastAsia"/>
                <w:i/>
                <w:iCs/>
                <w:sz w:val="20"/>
                <w:szCs w:val="20"/>
                <w:lang w:eastAsia="zh-CN"/>
              </w:rPr>
              <w:t>(</w:t>
            </w:r>
            <w:r>
              <w:rPr>
                <w:rFonts w:ascii="Arial" w:hAnsi="Arial" w:cs="Arial" w:eastAsiaTheme="minorEastAsia"/>
                <w:i/>
                <w:iCs/>
                <w:sz w:val="20"/>
                <w:szCs w:val="20"/>
                <w:lang w:eastAsia="zh-CN"/>
              </w:rPr>
              <w:t>continue</w:t>
            </w:r>
            <w:r>
              <w:rPr>
                <w:rFonts w:hint="eastAsia" w:ascii="Arial" w:hAnsi="Arial" w:cs="Arial" w:eastAsiaTheme="minorEastAsia"/>
                <w:i/>
                <w:iCs/>
                <w:sz w:val="20"/>
                <w:szCs w:val="20"/>
                <w:lang w:eastAsia="zh-CN"/>
              </w:rPr>
              <w:t>)</w:t>
            </w:r>
          </w:p>
        </w:tc>
      </w:tr>
      <w:tr w14:paraId="42014131">
        <w:trPr>
          <w:cantSplit/>
        </w:trPr>
        <w:tc>
          <w:tcPr>
            <w:tcW w:w="2666" w:type="dxa"/>
            <w:tcBorders>
              <w:top w:val="single" w:color="auto" w:sz="12" w:space="0"/>
              <w:bottom w:val="single" w:color="auto" w:sz="12" w:space="0"/>
            </w:tcBorders>
            <w:vAlign w:val="center"/>
          </w:tcPr>
          <w:p w14:paraId="678EFCFF">
            <w:pPr>
              <w:pStyle w:val="35"/>
              <w:spacing w:before="0"/>
              <w:rPr>
                <w:rFonts w:ascii="Arial" w:hAnsi="Arial" w:cs="Arial" w:eastAsiaTheme="minorEastAsia"/>
                <w:sz w:val="20"/>
                <w:szCs w:val="20"/>
                <w:lang w:eastAsia="zh-CN"/>
              </w:rPr>
            </w:pPr>
            <w:r>
              <w:rPr>
                <w:rFonts w:ascii="Arial" w:hAnsi="Arial" w:cs="Arial"/>
                <w:b/>
                <w:bCs/>
                <w:sz w:val="20"/>
                <w:szCs w:val="20"/>
              </w:rPr>
              <w:t>Characteristic</w:t>
            </w:r>
          </w:p>
        </w:tc>
        <w:tc>
          <w:tcPr>
            <w:tcW w:w="2356" w:type="dxa"/>
            <w:tcBorders>
              <w:top w:val="single" w:color="auto" w:sz="12" w:space="0"/>
              <w:bottom w:val="single" w:color="auto" w:sz="12" w:space="0"/>
            </w:tcBorders>
            <w:vAlign w:val="center"/>
          </w:tcPr>
          <w:p w14:paraId="41489304">
            <w:pPr>
              <w:pStyle w:val="35"/>
              <w:spacing w:before="0"/>
              <w:rPr>
                <w:rFonts w:ascii="Arial" w:hAnsi="Arial" w:cs="Arial" w:eastAsiaTheme="minorEastAsia"/>
                <w:sz w:val="20"/>
                <w:szCs w:val="20"/>
                <w:lang w:eastAsia="zh-CN"/>
              </w:rPr>
            </w:pPr>
            <w:r>
              <w:rPr>
                <w:rFonts w:ascii="Arial" w:hAnsi="Arial" w:cs="Arial"/>
                <w:b/>
                <w:bCs/>
                <w:sz w:val="20"/>
                <w:szCs w:val="20"/>
              </w:rPr>
              <w:t>Category</w:t>
            </w:r>
          </w:p>
        </w:tc>
        <w:tc>
          <w:tcPr>
            <w:tcW w:w="1527" w:type="dxa"/>
            <w:tcBorders>
              <w:top w:val="single" w:color="auto" w:sz="12" w:space="0"/>
              <w:bottom w:val="single" w:color="auto" w:sz="12" w:space="0"/>
            </w:tcBorders>
            <w:vAlign w:val="center"/>
          </w:tcPr>
          <w:p w14:paraId="02D7DCA7">
            <w:pPr>
              <w:pStyle w:val="35"/>
              <w:spacing w:before="0"/>
              <w:rPr>
                <w:rFonts w:ascii="Arial" w:hAnsi="Arial" w:cs="Arial" w:eastAsiaTheme="minorEastAsia"/>
                <w:sz w:val="20"/>
                <w:szCs w:val="20"/>
                <w:lang w:eastAsia="zh-CN"/>
              </w:rPr>
            </w:pPr>
            <w:r>
              <w:rPr>
                <w:rFonts w:ascii="Arial" w:hAnsi="Arial" w:cs="Arial"/>
                <w:b/>
                <w:bCs/>
                <w:sz w:val="20"/>
                <w:szCs w:val="20"/>
              </w:rPr>
              <w:t>Concordant Positive</w:t>
            </w:r>
          </w:p>
        </w:tc>
        <w:tc>
          <w:tcPr>
            <w:tcW w:w="1310" w:type="dxa"/>
            <w:tcBorders>
              <w:top w:val="single" w:color="auto" w:sz="12" w:space="0"/>
              <w:bottom w:val="single" w:color="auto" w:sz="12" w:space="0"/>
            </w:tcBorders>
            <w:vAlign w:val="center"/>
          </w:tcPr>
          <w:p w14:paraId="7F4C5556">
            <w:pPr>
              <w:pStyle w:val="35"/>
              <w:spacing w:before="0"/>
              <w:rPr>
                <w:rFonts w:ascii="Arial" w:hAnsi="Arial" w:cs="Arial" w:eastAsiaTheme="minorEastAsia"/>
                <w:sz w:val="20"/>
                <w:szCs w:val="20"/>
                <w:lang w:eastAsia="zh-CN"/>
              </w:rPr>
            </w:pPr>
            <w:r>
              <w:rPr>
                <w:rFonts w:ascii="Arial" w:hAnsi="Arial" w:cs="Arial"/>
                <w:b/>
                <w:bCs/>
                <w:sz w:val="20"/>
                <w:szCs w:val="20"/>
              </w:rPr>
              <w:t>SOFA-2 Only</w:t>
            </w:r>
          </w:p>
        </w:tc>
        <w:tc>
          <w:tcPr>
            <w:tcW w:w="1238" w:type="dxa"/>
            <w:tcBorders>
              <w:top w:val="single" w:color="auto" w:sz="12" w:space="0"/>
              <w:bottom w:val="single" w:color="auto" w:sz="12" w:space="0"/>
            </w:tcBorders>
            <w:vAlign w:val="center"/>
          </w:tcPr>
          <w:p w14:paraId="3DCF8519">
            <w:pPr>
              <w:pStyle w:val="35"/>
              <w:spacing w:before="0"/>
              <w:rPr>
                <w:rFonts w:ascii="Arial" w:hAnsi="Arial" w:cs="Arial" w:eastAsiaTheme="minorEastAsia"/>
                <w:sz w:val="20"/>
                <w:szCs w:val="20"/>
                <w:lang w:eastAsia="zh-CN"/>
              </w:rPr>
            </w:pPr>
            <w:r>
              <w:rPr>
                <w:rFonts w:ascii="Arial" w:hAnsi="Arial" w:cs="Arial"/>
                <w:b/>
                <w:bCs/>
                <w:sz w:val="20"/>
                <w:szCs w:val="20"/>
              </w:rPr>
              <w:t>SOFA-1 Only</w:t>
            </w:r>
          </w:p>
        </w:tc>
        <w:tc>
          <w:tcPr>
            <w:tcW w:w="623" w:type="dxa"/>
            <w:tcBorders>
              <w:top w:val="single" w:color="auto" w:sz="12" w:space="0"/>
              <w:bottom w:val="single" w:color="auto" w:sz="12" w:space="0"/>
            </w:tcBorders>
            <w:vAlign w:val="center"/>
          </w:tcPr>
          <w:p w14:paraId="0E2D28E7">
            <w:pPr>
              <w:pStyle w:val="35"/>
              <w:spacing w:before="0"/>
              <w:rPr>
                <w:rFonts w:ascii="Arial" w:hAnsi="Arial" w:cs="Arial" w:eastAsiaTheme="minorEastAsia"/>
                <w:sz w:val="20"/>
                <w:szCs w:val="20"/>
                <w:lang w:eastAsia="zh-CN"/>
              </w:rPr>
            </w:pPr>
            <w:r>
              <w:rPr>
                <w:rFonts w:ascii="Arial" w:hAnsi="Arial" w:cs="Arial"/>
                <w:b/>
                <w:bCs/>
                <w:sz w:val="20"/>
                <w:szCs w:val="20"/>
              </w:rPr>
              <w:t>P value</w:t>
            </w:r>
          </w:p>
        </w:tc>
      </w:tr>
      <w:tr w14:paraId="6532EABF">
        <w:trPr>
          <w:cantSplit/>
        </w:trPr>
        <w:tc>
          <w:tcPr>
            <w:tcW w:w="2666" w:type="dxa"/>
            <w:tcBorders>
              <w:top w:val="single" w:color="auto" w:sz="12" w:space="0"/>
            </w:tcBorders>
            <w:vAlign w:val="center"/>
          </w:tcPr>
          <w:p w14:paraId="1C0BA380">
            <w:pPr>
              <w:pStyle w:val="35"/>
              <w:spacing w:before="0"/>
              <w:rPr>
                <w:rFonts w:ascii="Arial" w:hAnsi="Arial" w:cs="Arial" w:eastAsiaTheme="minorEastAsia"/>
                <w:sz w:val="20"/>
                <w:szCs w:val="20"/>
                <w:lang w:eastAsia="zh-CN"/>
              </w:rPr>
            </w:pPr>
            <w:r>
              <w:rPr>
                <w:rFonts w:ascii="Arial" w:hAnsi="Arial" w:cs="Arial" w:eastAsiaTheme="minorEastAsia"/>
                <w:sz w:val="20"/>
                <w:szCs w:val="20"/>
                <w:lang w:eastAsia="zh-CN"/>
              </w:rPr>
              <w:t>24-h urine output, mL (mean)</w:t>
            </w:r>
          </w:p>
        </w:tc>
        <w:tc>
          <w:tcPr>
            <w:tcW w:w="2356" w:type="dxa"/>
            <w:tcBorders>
              <w:top w:val="single" w:color="auto" w:sz="12" w:space="0"/>
            </w:tcBorders>
            <w:vAlign w:val="center"/>
          </w:tcPr>
          <w:p w14:paraId="1CFEF0C3">
            <w:pPr>
              <w:pStyle w:val="35"/>
              <w:spacing w:before="0"/>
              <w:rPr>
                <w:rFonts w:ascii="Arial" w:hAnsi="Arial" w:cs="Arial" w:eastAsiaTheme="minorEastAsia"/>
                <w:sz w:val="20"/>
                <w:szCs w:val="20"/>
                <w:lang w:eastAsia="zh-CN"/>
              </w:rPr>
            </w:pPr>
            <w:r>
              <w:rPr>
                <w:rFonts w:ascii="Arial" w:hAnsi="Arial" w:cs="Arial" w:eastAsiaTheme="minorEastAsia"/>
                <w:sz w:val="20"/>
                <w:szCs w:val="20"/>
                <w:lang w:eastAsia="zh-CN"/>
              </w:rPr>
              <w:t>SOFA Renal (baseline)</w:t>
            </w:r>
          </w:p>
        </w:tc>
        <w:tc>
          <w:tcPr>
            <w:tcW w:w="1527" w:type="dxa"/>
            <w:tcBorders>
              <w:top w:val="single" w:color="auto" w:sz="12" w:space="0"/>
            </w:tcBorders>
            <w:vAlign w:val="center"/>
          </w:tcPr>
          <w:p w14:paraId="6C7945B8">
            <w:pPr>
              <w:pStyle w:val="35"/>
              <w:spacing w:before="0"/>
              <w:rPr>
                <w:rFonts w:ascii="Arial" w:hAnsi="Arial" w:cs="Arial" w:eastAsiaTheme="minorEastAsia"/>
                <w:sz w:val="20"/>
                <w:szCs w:val="20"/>
                <w:lang w:eastAsia="zh-CN"/>
              </w:rPr>
            </w:pPr>
            <w:r>
              <w:rPr>
                <w:rFonts w:ascii="Arial" w:hAnsi="Arial" w:cs="Arial" w:eastAsiaTheme="minorEastAsia"/>
                <w:sz w:val="20"/>
                <w:szCs w:val="20"/>
                <w:lang w:eastAsia="zh-CN"/>
              </w:rPr>
              <w:t>1,809.66 ± 1,345.94</w:t>
            </w:r>
          </w:p>
        </w:tc>
        <w:tc>
          <w:tcPr>
            <w:tcW w:w="1310" w:type="dxa"/>
            <w:tcBorders>
              <w:top w:val="single" w:color="auto" w:sz="12" w:space="0"/>
            </w:tcBorders>
            <w:vAlign w:val="center"/>
          </w:tcPr>
          <w:p w14:paraId="270DCE87">
            <w:pPr>
              <w:pStyle w:val="35"/>
              <w:spacing w:before="0"/>
              <w:rPr>
                <w:rFonts w:ascii="Arial" w:hAnsi="Arial" w:cs="Arial" w:eastAsiaTheme="minorEastAsia"/>
                <w:sz w:val="20"/>
                <w:szCs w:val="20"/>
                <w:lang w:eastAsia="zh-CN"/>
              </w:rPr>
            </w:pPr>
            <w:r>
              <w:rPr>
                <w:rFonts w:ascii="Arial" w:hAnsi="Arial" w:cs="Arial" w:eastAsiaTheme="minorEastAsia"/>
                <w:sz w:val="20"/>
                <w:szCs w:val="20"/>
                <w:lang w:eastAsia="zh-CN"/>
              </w:rPr>
              <w:t>1,946.06 ± 1,198.68</w:t>
            </w:r>
          </w:p>
        </w:tc>
        <w:tc>
          <w:tcPr>
            <w:tcW w:w="1238" w:type="dxa"/>
            <w:tcBorders>
              <w:top w:val="single" w:color="auto" w:sz="12" w:space="0"/>
            </w:tcBorders>
            <w:vAlign w:val="center"/>
          </w:tcPr>
          <w:p w14:paraId="7D3D641B">
            <w:pPr>
              <w:pStyle w:val="35"/>
              <w:spacing w:before="0"/>
              <w:rPr>
                <w:rFonts w:ascii="Arial" w:hAnsi="Arial" w:cs="Arial" w:eastAsiaTheme="minorEastAsia"/>
                <w:sz w:val="20"/>
                <w:szCs w:val="20"/>
                <w:lang w:eastAsia="zh-CN"/>
              </w:rPr>
            </w:pPr>
            <w:r>
              <w:rPr>
                <w:rFonts w:ascii="Arial" w:hAnsi="Arial" w:cs="Arial" w:eastAsiaTheme="minorEastAsia"/>
                <w:sz w:val="20"/>
                <w:szCs w:val="20"/>
                <w:lang w:eastAsia="zh-CN"/>
              </w:rPr>
              <w:t>1,899.77 ± 1,618.79</w:t>
            </w:r>
          </w:p>
        </w:tc>
        <w:tc>
          <w:tcPr>
            <w:tcW w:w="623" w:type="dxa"/>
            <w:tcBorders>
              <w:top w:val="single" w:color="auto" w:sz="12" w:space="0"/>
            </w:tcBorders>
            <w:vAlign w:val="center"/>
          </w:tcPr>
          <w:p w14:paraId="1319CF9D">
            <w:pPr>
              <w:pStyle w:val="35"/>
              <w:spacing w:before="0"/>
              <w:rPr>
                <w:rFonts w:ascii="Arial" w:hAnsi="Arial" w:cs="Arial" w:eastAsiaTheme="minorEastAsia"/>
                <w:sz w:val="20"/>
                <w:szCs w:val="20"/>
                <w:lang w:eastAsia="zh-CN"/>
              </w:rPr>
            </w:pPr>
            <w:r>
              <w:rPr>
                <w:rFonts w:ascii="Arial" w:hAnsi="Arial" w:cs="Arial" w:eastAsiaTheme="minorEastAsia"/>
                <w:sz w:val="20"/>
                <w:szCs w:val="20"/>
                <w:lang w:eastAsia="zh-CN"/>
              </w:rPr>
              <w:t>&lt;.001</w:t>
            </w:r>
          </w:p>
        </w:tc>
      </w:tr>
      <w:tr w14:paraId="5885DBF0">
        <w:trPr>
          <w:cantSplit/>
        </w:trPr>
        <w:tc>
          <w:tcPr>
            <w:tcW w:w="2666" w:type="dxa"/>
            <w:vAlign w:val="center"/>
          </w:tcPr>
          <w:p w14:paraId="42D67F7C">
            <w:pPr>
              <w:pStyle w:val="35"/>
              <w:spacing w:before="0"/>
              <w:rPr>
                <w:rFonts w:ascii="Arial" w:hAnsi="Arial" w:cs="Arial" w:eastAsiaTheme="minorEastAsia"/>
                <w:sz w:val="20"/>
                <w:szCs w:val="20"/>
                <w:lang w:eastAsia="zh-CN"/>
              </w:rPr>
            </w:pPr>
            <w:r>
              <w:rPr>
                <w:rFonts w:ascii="Arial" w:hAnsi="Arial" w:cs="Arial" w:eastAsiaTheme="minorEastAsia"/>
                <w:sz w:val="20"/>
                <w:szCs w:val="20"/>
                <w:lang w:eastAsia="zh-CN"/>
              </w:rPr>
              <w:t>6-h urine output, mL/kg/h (mean)</w:t>
            </w:r>
          </w:p>
        </w:tc>
        <w:tc>
          <w:tcPr>
            <w:tcW w:w="2356" w:type="dxa"/>
            <w:vAlign w:val="center"/>
          </w:tcPr>
          <w:p w14:paraId="720F1139">
            <w:pPr>
              <w:pStyle w:val="35"/>
              <w:spacing w:before="0"/>
              <w:rPr>
                <w:rFonts w:ascii="Arial" w:hAnsi="Arial" w:cs="Arial" w:eastAsiaTheme="minorEastAsia"/>
                <w:sz w:val="20"/>
                <w:szCs w:val="20"/>
                <w:lang w:eastAsia="zh-CN"/>
              </w:rPr>
            </w:pPr>
            <w:r>
              <w:rPr>
                <w:rFonts w:ascii="Arial" w:hAnsi="Arial" w:cs="Arial" w:eastAsiaTheme="minorEastAsia"/>
                <w:sz w:val="20"/>
                <w:szCs w:val="20"/>
                <w:lang w:eastAsia="zh-CN"/>
              </w:rPr>
              <w:t>SOFA Renal (updated)</w:t>
            </w:r>
          </w:p>
        </w:tc>
        <w:tc>
          <w:tcPr>
            <w:tcW w:w="1527" w:type="dxa"/>
            <w:vAlign w:val="center"/>
          </w:tcPr>
          <w:p w14:paraId="16BDF2B6">
            <w:pPr>
              <w:pStyle w:val="35"/>
              <w:spacing w:before="0"/>
              <w:rPr>
                <w:rFonts w:ascii="Arial" w:hAnsi="Arial" w:cs="Arial" w:eastAsiaTheme="minorEastAsia"/>
                <w:sz w:val="20"/>
                <w:szCs w:val="20"/>
                <w:lang w:eastAsia="zh-CN"/>
              </w:rPr>
            </w:pPr>
            <w:r>
              <w:rPr>
                <w:rFonts w:ascii="Arial" w:hAnsi="Arial" w:cs="Arial" w:eastAsiaTheme="minorEastAsia"/>
                <w:sz w:val="20"/>
                <w:szCs w:val="20"/>
                <w:lang w:eastAsia="zh-CN"/>
              </w:rPr>
              <w:t>1.58 ± 4.23</w:t>
            </w:r>
          </w:p>
        </w:tc>
        <w:tc>
          <w:tcPr>
            <w:tcW w:w="1310" w:type="dxa"/>
            <w:vAlign w:val="center"/>
          </w:tcPr>
          <w:p w14:paraId="3C34D318">
            <w:pPr>
              <w:pStyle w:val="35"/>
              <w:spacing w:before="0"/>
              <w:rPr>
                <w:rFonts w:ascii="Arial" w:hAnsi="Arial" w:cs="Arial" w:eastAsiaTheme="minorEastAsia"/>
                <w:sz w:val="20"/>
                <w:szCs w:val="20"/>
                <w:lang w:eastAsia="zh-CN"/>
              </w:rPr>
            </w:pPr>
            <w:r>
              <w:rPr>
                <w:rFonts w:ascii="Arial" w:hAnsi="Arial" w:cs="Arial" w:eastAsiaTheme="minorEastAsia"/>
                <w:sz w:val="20"/>
                <w:szCs w:val="20"/>
                <w:lang w:eastAsia="zh-CN"/>
              </w:rPr>
              <w:t>1.77 ± 1.92</w:t>
            </w:r>
          </w:p>
        </w:tc>
        <w:tc>
          <w:tcPr>
            <w:tcW w:w="1238" w:type="dxa"/>
            <w:vAlign w:val="center"/>
          </w:tcPr>
          <w:p w14:paraId="799648A2">
            <w:pPr>
              <w:pStyle w:val="35"/>
              <w:spacing w:before="0"/>
              <w:rPr>
                <w:rFonts w:ascii="Arial" w:hAnsi="Arial" w:cs="Arial" w:eastAsiaTheme="minorEastAsia"/>
                <w:sz w:val="20"/>
                <w:szCs w:val="20"/>
                <w:lang w:eastAsia="zh-CN"/>
              </w:rPr>
            </w:pPr>
            <w:r>
              <w:rPr>
                <w:rFonts w:ascii="Arial" w:hAnsi="Arial" w:cs="Arial" w:eastAsiaTheme="minorEastAsia"/>
                <w:sz w:val="20"/>
                <w:szCs w:val="20"/>
                <w:lang w:eastAsia="zh-CN"/>
              </w:rPr>
              <w:t>2.37 ± 4.53</w:t>
            </w:r>
          </w:p>
        </w:tc>
        <w:tc>
          <w:tcPr>
            <w:tcW w:w="623" w:type="dxa"/>
            <w:vAlign w:val="center"/>
          </w:tcPr>
          <w:p w14:paraId="0FCDCF0A">
            <w:pPr>
              <w:pStyle w:val="35"/>
              <w:spacing w:before="0"/>
              <w:rPr>
                <w:rFonts w:ascii="Arial" w:hAnsi="Arial" w:cs="Arial" w:eastAsiaTheme="minorEastAsia"/>
                <w:sz w:val="20"/>
                <w:szCs w:val="20"/>
                <w:lang w:eastAsia="zh-CN"/>
              </w:rPr>
            </w:pPr>
            <w:r>
              <w:rPr>
                <w:rFonts w:ascii="Arial" w:hAnsi="Arial" w:cs="Arial" w:eastAsiaTheme="minorEastAsia"/>
                <w:sz w:val="20"/>
                <w:szCs w:val="20"/>
                <w:lang w:eastAsia="zh-CN"/>
              </w:rPr>
              <w:t>&lt;.001</w:t>
            </w:r>
          </w:p>
        </w:tc>
      </w:tr>
      <w:tr w14:paraId="5FB7D1A5">
        <w:trPr>
          <w:cantSplit/>
        </w:trPr>
        <w:tc>
          <w:tcPr>
            <w:tcW w:w="2666" w:type="dxa"/>
            <w:vAlign w:val="center"/>
          </w:tcPr>
          <w:p w14:paraId="0044A667">
            <w:pPr>
              <w:pStyle w:val="35"/>
              <w:spacing w:before="0"/>
              <w:rPr>
                <w:rFonts w:ascii="Arial" w:hAnsi="Arial" w:cs="Arial" w:eastAsiaTheme="minorEastAsia"/>
                <w:sz w:val="20"/>
                <w:szCs w:val="20"/>
                <w:lang w:eastAsia="zh-CN"/>
              </w:rPr>
            </w:pPr>
            <w:r>
              <w:rPr>
                <w:rFonts w:ascii="Arial" w:hAnsi="Arial" w:cs="Arial" w:eastAsiaTheme="minorEastAsia"/>
                <w:sz w:val="20"/>
                <w:szCs w:val="20"/>
                <w:lang w:eastAsia="zh-CN"/>
              </w:rPr>
              <w:t>12-h urine output, mL/kg/h (mean)</w:t>
            </w:r>
          </w:p>
        </w:tc>
        <w:tc>
          <w:tcPr>
            <w:tcW w:w="2356" w:type="dxa"/>
            <w:vAlign w:val="center"/>
          </w:tcPr>
          <w:p w14:paraId="5C8B19D6">
            <w:pPr>
              <w:pStyle w:val="35"/>
              <w:spacing w:before="0"/>
              <w:rPr>
                <w:rFonts w:ascii="Arial" w:hAnsi="Arial" w:cs="Arial" w:eastAsiaTheme="minorEastAsia"/>
                <w:sz w:val="20"/>
                <w:szCs w:val="20"/>
                <w:lang w:eastAsia="zh-CN"/>
              </w:rPr>
            </w:pPr>
            <w:r>
              <w:rPr>
                <w:rFonts w:ascii="Arial" w:hAnsi="Arial" w:cs="Arial" w:eastAsiaTheme="minorEastAsia"/>
                <w:sz w:val="20"/>
                <w:szCs w:val="20"/>
                <w:lang w:eastAsia="zh-CN"/>
              </w:rPr>
              <w:t>SOFA Renal (updated)</w:t>
            </w:r>
          </w:p>
        </w:tc>
        <w:tc>
          <w:tcPr>
            <w:tcW w:w="1527" w:type="dxa"/>
            <w:vAlign w:val="center"/>
          </w:tcPr>
          <w:p w14:paraId="2827B328">
            <w:pPr>
              <w:pStyle w:val="35"/>
              <w:spacing w:before="0"/>
              <w:rPr>
                <w:rFonts w:ascii="Arial" w:hAnsi="Arial" w:cs="Arial" w:eastAsiaTheme="minorEastAsia"/>
                <w:sz w:val="20"/>
                <w:szCs w:val="20"/>
                <w:lang w:eastAsia="zh-CN"/>
              </w:rPr>
            </w:pPr>
            <w:r>
              <w:rPr>
                <w:rFonts w:ascii="Arial" w:hAnsi="Arial" w:cs="Arial" w:eastAsiaTheme="minorEastAsia"/>
                <w:sz w:val="20"/>
                <w:szCs w:val="20"/>
                <w:lang w:eastAsia="zh-CN"/>
              </w:rPr>
              <w:t>1.33 ± 3.06</w:t>
            </w:r>
          </w:p>
        </w:tc>
        <w:tc>
          <w:tcPr>
            <w:tcW w:w="1310" w:type="dxa"/>
            <w:vAlign w:val="center"/>
          </w:tcPr>
          <w:p w14:paraId="7CC64E1A">
            <w:pPr>
              <w:pStyle w:val="35"/>
              <w:spacing w:before="0"/>
              <w:rPr>
                <w:rFonts w:ascii="Arial" w:hAnsi="Arial" w:cs="Arial" w:eastAsiaTheme="minorEastAsia"/>
                <w:sz w:val="20"/>
                <w:szCs w:val="20"/>
                <w:lang w:eastAsia="zh-CN"/>
              </w:rPr>
            </w:pPr>
            <w:r>
              <w:rPr>
                <w:rFonts w:ascii="Arial" w:hAnsi="Arial" w:cs="Arial" w:eastAsiaTheme="minorEastAsia"/>
                <w:sz w:val="20"/>
                <w:szCs w:val="20"/>
                <w:lang w:eastAsia="zh-CN"/>
              </w:rPr>
              <w:t>1.47 ± 1.66</w:t>
            </w:r>
          </w:p>
        </w:tc>
        <w:tc>
          <w:tcPr>
            <w:tcW w:w="1238" w:type="dxa"/>
            <w:vAlign w:val="center"/>
          </w:tcPr>
          <w:p w14:paraId="6E525D13">
            <w:pPr>
              <w:pStyle w:val="35"/>
              <w:spacing w:before="0"/>
              <w:rPr>
                <w:rFonts w:ascii="Arial" w:hAnsi="Arial" w:cs="Arial" w:eastAsiaTheme="minorEastAsia"/>
                <w:sz w:val="20"/>
                <w:szCs w:val="20"/>
                <w:lang w:eastAsia="zh-CN"/>
              </w:rPr>
            </w:pPr>
            <w:r>
              <w:rPr>
                <w:rFonts w:ascii="Arial" w:hAnsi="Arial" w:cs="Arial" w:eastAsiaTheme="minorEastAsia"/>
                <w:sz w:val="20"/>
                <w:szCs w:val="20"/>
                <w:lang w:eastAsia="zh-CN"/>
              </w:rPr>
              <w:t>1.99 ± 4.67</w:t>
            </w:r>
          </w:p>
        </w:tc>
        <w:tc>
          <w:tcPr>
            <w:tcW w:w="623" w:type="dxa"/>
            <w:vAlign w:val="center"/>
          </w:tcPr>
          <w:p w14:paraId="7830C99E">
            <w:pPr>
              <w:pStyle w:val="35"/>
              <w:spacing w:before="0"/>
              <w:rPr>
                <w:rFonts w:ascii="Arial" w:hAnsi="Arial" w:cs="Arial" w:eastAsiaTheme="minorEastAsia"/>
                <w:sz w:val="20"/>
                <w:szCs w:val="20"/>
                <w:lang w:eastAsia="zh-CN"/>
              </w:rPr>
            </w:pPr>
            <w:r>
              <w:rPr>
                <w:rFonts w:ascii="Arial" w:hAnsi="Arial" w:cs="Arial" w:eastAsiaTheme="minorEastAsia"/>
                <w:sz w:val="20"/>
                <w:szCs w:val="20"/>
                <w:lang w:eastAsia="zh-CN"/>
              </w:rPr>
              <w:t>&lt;.001</w:t>
            </w:r>
          </w:p>
        </w:tc>
      </w:tr>
      <w:tr w14:paraId="4962D5B9">
        <w:trPr>
          <w:cantSplit/>
        </w:trPr>
        <w:tc>
          <w:tcPr>
            <w:tcW w:w="2666" w:type="dxa"/>
            <w:vAlign w:val="center"/>
          </w:tcPr>
          <w:p w14:paraId="6362B514">
            <w:pPr>
              <w:pStyle w:val="35"/>
              <w:spacing w:before="0"/>
              <w:rPr>
                <w:rFonts w:ascii="Arial" w:hAnsi="Arial" w:cs="Arial" w:eastAsiaTheme="minorEastAsia"/>
                <w:sz w:val="20"/>
                <w:szCs w:val="20"/>
                <w:lang w:eastAsia="zh-CN"/>
              </w:rPr>
            </w:pPr>
            <w:r>
              <w:rPr>
                <w:rFonts w:ascii="Arial" w:hAnsi="Arial" w:cs="Arial" w:eastAsiaTheme="minorEastAsia"/>
                <w:sz w:val="20"/>
                <w:szCs w:val="20"/>
                <w:lang w:eastAsia="zh-CN"/>
              </w:rPr>
              <w:t>24-h urine output, mL/kg/h (mean)</w:t>
            </w:r>
          </w:p>
        </w:tc>
        <w:tc>
          <w:tcPr>
            <w:tcW w:w="2356" w:type="dxa"/>
            <w:vAlign w:val="center"/>
          </w:tcPr>
          <w:p w14:paraId="65E0FF2B">
            <w:pPr>
              <w:pStyle w:val="35"/>
              <w:spacing w:before="0"/>
              <w:rPr>
                <w:rFonts w:ascii="Arial" w:hAnsi="Arial" w:cs="Arial" w:eastAsiaTheme="minorEastAsia"/>
                <w:sz w:val="20"/>
                <w:szCs w:val="20"/>
                <w:lang w:eastAsia="zh-CN"/>
              </w:rPr>
            </w:pPr>
            <w:r>
              <w:rPr>
                <w:rFonts w:ascii="Arial" w:hAnsi="Arial" w:cs="Arial" w:eastAsiaTheme="minorEastAsia"/>
                <w:sz w:val="20"/>
                <w:szCs w:val="20"/>
                <w:lang w:eastAsia="zh-CN"/>
              </w:rPr>
              <w:t>SOFA Renal (updated)</w:t>
            </w:r>
          </w:p>
        </w:tc>
        <w:tc>
          <w:tcPr>
            <w:tcW w:w="1527" w:type="dxa"/>
            <w:vAlign w:val="center"/>
          </w:tcPr>
          <w:p w14:paraId="6EED6201">
            <w:pPr>
              <w:pStyle w:val="35"/>
              <w:spacing w:before="0"/>
              <w:rPr>
                <w:rFonts w:ascii="Arial" w:hAnsi="Arial" w:cs="Arial" w:eastAsiaTheme="minorEastAsia"/>
                <w:sz w:val="20"/>
                <w:szCs w:val="20"/>
                <w:lang w:eastAsia="zh-CN"/>
              </w:rPr>
            </w:pPr>
            <w:r>
              <w:rPr>
                <w:rFonts w:ascii="Arial" w:hAnsi="Arial" w:cs="Arial" w:eastAsiaTheme="minorEastAsia"/>
                <w:sz w:val="20"/>
                <w:szCs w:val="20"/>
                <w:lang w:eastAsia="zh-CN"/>
              </w:rPr>
              <w:t>0.99 ± 2.24</w:t>
            </w:r>
          </w:p>
        </w:tc>
        <w:tc>
          <w:tcPr>
            <w:tcW w:w="1310" w:type="dxa"/>
            <w:vAlign w:val="center"/>
          </w:tcPr>
          <w:p w14:paraId="7F632E94">
            <w:pPr>
              <w:pStyle w:val="35"/>
              <w:spacing w:before="0"/>
              <w:rPr>
                <w:rFonts w:ascii="Arial" w:hAnsi="Arial" w:cs="Arial" w:eastAsiaTheme="minorEastAsia"/>
                <w:sz w:val="20"/>
                <w:szCs w:val="20"/>
                <w:lang w:eastAsia="zh-CN"/>
              </w:rPr>
            </w:pPr>
            <w:r>
              <w:rPr>
                <w:rFonts w:ascii="Arial" w:hAnsi="Arial" w:cs="Arial" w:eastAsiaTheme="minorEastAsia"/>
                <w:sz w:val="20"/>
                <w:szCs w:val="20"/>
                <w:lang w:eastAsia="zh-CN"/>
              </w:rPr>
              <w:t>1.10 ± 1.39</w:t>
            </w:r>
          </w:p>
        </w:tc>
        <w:tc>
          <w:tcPr>
            <w:tcW w:w="1238" w:type="dxa"/>
            <w:vAlign w:val="center"/>
          </w:tcPr>
          <w:p w14:paraId="3A9C8DF0">
            <w:pPr>
              <w:pStyle w:val="35"/>
              <w:spacing w:before="0"/>
              <w:rPr>
                <w:rFonts w:ascii="Arial" w:hAnsi="Arial" w:cs="Arial" w:eastAsiaTheme="minorEastAsia"/>
                <w:sz w:val="20"/>
                <w:szCs w:val="20"/>
                <w:lang w:eastAsia="zh-CN"/>
              </w:rPr>
            </w:pPr>
            <w:r>
              <w:rPr>
                <w:rFonts w:ascii="Arial" w:hAnsi="Arial" w:cs="Arial" w:eastAsiaTheme="minorEastAsia"/>
                <w:sz w:val="20"/>
                <w:szCs w:val="20"/>
                <w:lang w:eastAsia="zh-CN"/>
              </w:rPr>
              <w:t>1.58 ± 3.97</w:t>
            </w:r>
          </w:p>
        </w:tc>
        <w:tc>
          <w:tcPr>
            <w:tcW w:w="623" w:type="dxa"/>
            <w:vAlign w:val="center"/>
          </w:tcPr>
          <w:p w14:paraId="1E511592">
            <w:pPr>
              <w:pStyle w:val="35"/>
              <w:spacing w:before="0"/>
              <w:rPr>
                <w:rFonts w:ascii="Arial" w:hAnsi="Arial" w:cs="Arial" w:eastAsiaTheme="minorEastAsia"/>
                <w:sz w:val="20"/>
                <w:szCs w:val="20"/>
                <w:lang w:eastAsia="zh-CN"/>
              </w:rPr>
            </w:pPr>
            <w:r>
              <w:rPr>
                <w:rFonts w:ascii="Arial" w:hAnsi="Arial" w:cs="Arial" w:eastAsiaTheme="minorEastAsia"/>
                <w:sz w:val="20"/>
                <w:szCs w:val="20"/>
                <w:lang w:eastAsia="zh-CN"/>
              </w:rPr>
              <w:t>&lt;.001</w:t>
            </w:r>
          </w:p>
        </w:tc>
      </w:tr>
      <w:tr w14:paraId="79F48065">
        <w:trPr>
          <w:cantSplit/>
        </w:trPr>
        <w:tc>
          <w:tcPr>
            <w:tcW w:w="2666" w:type="dxa"/>
            <w:vAlign w:val="center"/>
          </w:tcPr>
          <w:p w14:paraId="2C130178">
            <w:pPr>
              <w:pStyle w:val="35"/>
              <w:spacing w:before="0"/>
              <w:rPr>
                <w:rFonts w:ascii="Arial" w:hAnsi="Arial" w:cs="Arial" w:eastAsiaTheme="minorEastAsia"/>
                <w:sz w:val="20"/>
                <w:szCs w:val="20"/>
                <w:lang w:eastAsia="zh-CN"/>
              </w:rPr>
            </w:pPr>
            <w:r>
              <w:rPr>
                <w:rFonts w:ascii="Arial" w:hAnsi="Arial" w:cs="Arial" w:eastAsiaTheme="minorEastAsia"/>
                <w:sz w:val="20"/>
                <w:szCs w:val="20"/>
                <w:lang w:eastAsia="zh-CN"/>
              </w:rPr>
              <w:t>Met criteria for RRT, any</w:t>
            </w:r>
          </w:p>
        </w:tc>
        <w:tc>
          <w:tcPr>
            <w:tcW w:w="2356" w:type="dxa"/>
            <w:vAlign w:val="center"/>
          </w:tcPr>
          <w:p w14:paraId="145E24FE">
            <w:pPr>
              <w:pStyle w:val="35"/>
              <w:spacing w:before="0"/>
              <w:rPr>
                <w:rFonts w:ascii="Arial" w:hAnsi="Arial" w:cs="Arial" w:eastAsiaTheme="minorEastAsia"/>
                <w:sz w:val="20"/>
                <w:szCs w:val="20"/>
                <w:lang w:eastAsia="zh-CN"/>
              </w:rPr>
            </w:pPr>
            <w:r>
              <w:rPr>
                <w:rFonts w:ascii="Arial" w:hAnsi="Arial" w:cs="Arial" w:eastAsiaTheme="minorEastAsia"/>
                <w:sz w:val="20"/>
                <w:szCs w:val="20"/>
                <w:lang w:eastAsia="zh-CN"/>
              </w:rPr>
              <w:t>SOFA Renal (updated)</w:t>
            </w:r>
          </w:p>
        </w:tc>
        <w:tc>
          <w:tcPr>
            <w:tcW w:w="1527" w:type="dxa"/>
            <w:vAlign w:val="center"/>
          </w:tcPr>
          <w:p w14:paraId="6EB5E497">
            <w:pPr>
              <w:pStyle w:val="35"/>
              <w:spacing w:before="0"/>
              <w:rPr>
                <w:rFonts w:ascii="Arial" w:hAnsi="Arial" w:cs="Arial" w:eastAsiaTheme="minorEastAsia"/>
                <w:sz w:val="20"/>
                <w:szCs w:val="20"/>
                <w:lang w:eastAsia="zh-CN"/>
              </w:rPr>
            </w:pPr>
            <w:r>
              <w:rPr>
                <w:rFonts w:ascii="Arial" w:hAnsi="Arial" w:cs="Arial" w:eastAsiaTheme="minorEastAsia"/>
                <w:sz w:val="20"/>
                <w:szCs w:val="20"/>
                <w:lang w:eastAsia="zh-CN"/>
              </w:rPr>
              <w:t>1,056 (5.1%)</w:t>
            </w:r>
          </w:p>
        </w:tc>
        <w:tc>
          <w:tcPr>
            <w:tcW w:w="1310" w:type="dxa"/>
            <w:vAlign w:val="center"/>
          </w:tcPr>
          <w:p w14:paraId="7FF1EE1D">
            <w:pPr>
              <w:pStyle w:val="35"/>
              <w:spacing w:before="0"/>
              <w:rPr>
                <w:rFonts w:ascii="Arial" w:hAnsi="Arial" w:cs="Arial" w:eastAsiaTheme="minorEastAsia"/>
                <w:sz w:val="20"/>
                <w:szCs w:val="20"/>
                <w:lang w:eastAsia="zh-CN"/>
              </w:rPr>
            </w:pPr>
            <w:r>
              <w:rPr>
                <w:rFonts w:ascii="Arial" w:hAnsi="Arial" w:cs="Arial" w:eastAsiaTheme="minorEastAsia"/>
                <w:sz w:val="20"/>
                <w:szCs w:val="20"/>
                <w:lang w:eastAsia="zh-CN"/>
              </w:rPr>
              <w:t>58 (2.1%)</w:t>
            </w:r>
          </w:p>
        </w:tc>
        <w:tc>
          <w:tcPr>
            <w:tcW w:w="1238" w:type="dxa"/>
            <w:vAlign w:val="center"/>
          </w:tcPr>
          <w:p w14:paraId="74A07E37">
            <w:pPr>
              <w:pStyle w:val="35"/>
              <w:spacing w:before="0"/>
              <w:rPr>
                <w:rFonts w:ascii="Arial" w:hAnsi="Arial" w:cs="Arial" w:eastAsiaTheme="minorEastAsia"/>
                <w:sz w:val="20"/>
                <w:szCs w:val="20"/>
                <w:lang w:eastAsia="zh-CN"/>
              </w:rPr>
            </w:pPr>
            <w:r>
              <w:rPr>
                <w:rFonts w:ascii="Arial" w:hAnsi="Arial" w:cs="Arial" w:eastAsiaTheme="minorEastAsia"/>
                <w:sz w:val="20"/>
                <w:szCs w:val="20"/>
                <w:lang w:eastAsia="zh-CN"/>
              </w:rPr>
              <w:t>10 (0.9%)</w:t>
            </w:r>
          </w:p>
        </w:tc>
        <w:tc>
          <w:tcPr>
            <w:tcW w:w="623" w:type="dxa"/>
            <w:vAlign w:val="center"/>
          </w:tcPr>
          <w:p w14:paraId="1EC3EE0A">
            <w:pPr>
              <w:pStyle w:val="35"/>
              <w:spacing w:before="0"/>
              <w:rPr>
                <w:rFonts w:ascii="Arial" w:hAnsi="Arial" w:cs="Arial" w:eastAsiaTheme="minorEastAsia"/>
                <w:sz w:val="20"/>
                <w:szCs w:val="20"/>
                <w:lang w:eastAsia="zh-CN"/>
              </w:rPr>
            </w:pPr>
            <w:r>
              <w:rPr>
                <w:rFonts w:ascii="Arial" w:hAnsi="Arial" w:cs="Arial" w:eastAsiaTheme="minorEastAsia"/>
                <w:sz w:val="20"/>
                <w:szCs w:val="20"/>
                <w:lang w:eastAsia="zh-CN"/>
              </w:rPr>
              <w:t>&lt;.001</w:t>
            </w:r>
          </w:p>
        </w:tc>
      </w:tr>
      <w:tr w14:paraId="544D97CF">
        <w:trPr>
          <w:cantSplit/>
        </w:trPr>
        <w:tc>
          <w:tcPr>
            <w:tcW w:w="2666" w:type="dxa"/>
            <w:vAlign w:val="center"/>
          </w:tcPr>
          <w:p w14:paraId="67BAA7A5">
            <w:pPr>
              <w:pStyle w:val="35"/>
              <w:spacing w:before="0"/>
              <w:rPr>
                <w:rFonts w:ascii="Arial" w:hAnsi="Arial" w:cs="Arial" w:eastAsiaTheme="minorEastAsia"/>
                <w:sz w:val="20"/>
                <w:szCs w:val="20"/>
                <w:lang w:eastAsia="zh-CN"/>
              </w:rPr>
            </w:pPr>
            <w:r>
              <w:rPr>
                <w:rFonts w:ascii="Arial" w:hAnsi="Arial" w:cs="Arial" w:eastAsiaTheme="minorEastAsia"/>
                <w:sz w:val="20"/>
                <w:szCs w:val="20"/>
                <w:lang w:eastAsia="zh-CN"/>
              </w:rPr>
              <w:t>Potassium, mmol/L (mean)</w:t>
            </w:r>
          </w:p>
        </w:tc>
        <w:tc>
          <w:tcPr>
            <w:tcW w:w="2356" w:type="dxa"/>
            <w:vAlign w:val="center"/>
          </w:tcPr>
          <w:p w14:paraId="3DF96DDA">
            <w:pPr>
              <w:pStyle w:val="35"/>
              <w:spacing w:before="0"/>
              <w:rPr>
                <w:rFonts w:ascii="Arial" w:hAnsi="Arial" w:cs="Arial" w:eastAsiaTheme="minorEastAsia"/>
                <w:sz w:val="20"/>
                <w:szCs w:val="20"/>
                <w:lang w:eastAsia="zh-CN"/>
              </w:rPr>
            </w:pPr>
            <w:r>
              <w:rPr>
                <w:rFonts w:ascii="Arial" w:hAnsi="Arial" w:cs="Arial" w:eastAsiaTheme="minorEastAsia"/>
                <w:sz w:val="20"/>
                <w:szCs w:val="20"/>
                <w:lang w:eastAsia="zh-CN"/>
              </w:rPr>
              <w:t>SOFA Renal (updated)</w:t>
            </w:r>
          </w:p>
        </w:tc>
        <w:tc>
          <w:tcPr>
            <w:tcW w:w="1527" w:type="dxa"/>
            <w:vAlign w:val="center"/>
          </w:tcPr>
          <w:p w14:paraId="40E08E7E">
            <w:pPr>
              <w:pStyle w:val="35"/>
              <w:spacing w:before="0"/>
              <w:rPr>
                <w:rFonts w:ascii="Arial" w:hAnsi="Arial" w:cs="Arial" w:eastAsiaTheme="minorEastAsia"/>
                <w:sz w:val="20"/>
                <w:szCs w:val="20"/>
                <w:lang w:eastAsia="zh-CN"/>
              </w:rPr>
            </w:pPr>
            <w:r>
              <w:rPr>
                <w:rFonts w:ascii="Arial" w:hAnsi="Arial" w:cs="Arial" w:eastAsiaTheme="minorEastAsia"/>
                <w:sz w:val="20"/>
                <w:szCs w:val="20"/>
                <w:lang w:eastAsia="zh-CN"/>
              </w:rPr>
              <w:t>4.18 ± 0.58</w:t>
            </w:r>
          </w:p>
        </w:tc>
        <w:tc>
          <w:tcPr>
            <w:tcW w:w="1310" w:type="dxa"/>
            <w:vAlign w:val="center"/>
          </w:tcPr>
          <w:p w14:paraId="1C249C22">
            <w:pPr>
              <w:pStyle w:val="35"/>
              <w:spacing w:before="0"/>
              <w:rPr>
                <w:rFonts w:ascii="Arial" w:hAnsi="Arial" w:cs="Arial" w:eastAsiaTheme="minorEastAsia"/>
                <w:sz w:val="20"/>
                <w:szCs w:val="20"/>
                <w:lang w:eastAsia="zh-CN"/>
              </w:rPr>
            </w:pPr>
            <w:r>
              <w:rPr>
                <w:rFonts w:ascii="Arial" w:hAnsi="Arial" w:cs="Arial" w:eastAsiaTheme="minorEastAsia"/>
                <w:sz w:val="20"/>
                <w:szCs w:val="20"/>
                <w:lang w:eastAsia="zh-CN"/>
              </w:rPr>
              <w:t>4.04 ± 0.52</w:t>
            </w:r>
          </w:p>
        </w:tc>
        <w:tc>
          <w:tcPr>
            <w:tcW w:w="1238" w:type="dxa"/>
            <w:vAlign w:val="center"/>
          </w:tcPr>
          <w:p w14:paraId="4A32C6F9">
            <w:pPr>
              <w:pStyle w:val="35"/>
              <w:spacing w:before="0"/>
              <w:rPr>
                <w:rFonts w:ascii="Arial" w:hAnsi="Arial" w:cs="Arial" w:eastAsiaTheme="minorEastAsia"/>
                <w:sz w:val="20"/>
                <w:szCs w:val="20"/>
                <w:lang w:eastAsia="zh-CN"/>
              </w:rPr>
            </w:pPr>
            <w:r>
              <w:rPr>
                <w:rFonts w:ascii="Arial" w:hAnsi="Arial" w:cs="Arial" w:eastAsiaTheme="minorEastAsia"/>
                <w:sz w:val="20"/>
                <w:szCs w:val="20"/>
                <w:lang w:eastAsia="zh-CN"/>
              </w:rPr>
              <w:t>4.09 ± 0.53</w:t>
            </w:r>
          </w:p>
        </w:tc>
        <w:tc>
          <w:tcPr>
            <w:tcW w:w="623" w:type="dxa"/>
            <w:vAlign w:val="center"/>
          </w:tcPr>
          <w:p w14:paraId="37A13C53">
            <w:pPr>
              <w:pStyle w:val="35"/>
              <w:spacing w:before="0"/>
              <w:rPr>
                <w:rFonts w:ascii="Arial" w:hAnsi="Arial" w:cs="Arial" w:eastAsiaTheme="minorEastAsia"/>
                <w:sz w:val="20"/>
                <w:szCs w:val="20"/>
                <w:lang w:eastAsia="zh-CN"/>
              </w:rPr>
            </w:pPr>
            <w:r>
              <w:rPr>
                <w:rFonts w:ascii="Arial" w:hAnsi="Arial" w:cs="Arial" w:eastAsiaTheme="minorEastAsia"/>
                <w:sz w:val="20"/>
                <w:szCs w:val="20"/>
                <w:lang w:eastAsia="zh-CN"/>
              </w:rPr>
              <w:t>&lt;.001</w:t>
            </w:r>
          </w:p>
        </w:tc>
      </w:tr>
      <w:tr w14:paraId="39BC9495">
        <w:trPr>
          <w:cantSplit/>
        </w:trPr>
        <w:tc>
          <w:tcPr>
            <w:tcW w:w="2666" w:type="dxa"/>
            <w:vAlign w:val="center"/>
          </w:tcPr>
          <w:p w14:paraId="4D3F4495">
            <w:pPr>
              <w:pStyle w:val="35"/>
              <w:spacing w:before="0"/>
              <w:rPr>
                <w:rFonts w:ascii="Arial" w:hAnsi="Arial" w:cs="Arial" w:eastAsiaTheme="minorEastAsia"/>
                <w:sz w:val="20"/>
                <w:szCs w:val="20"/>
                <w:lang w:eastAsia="zh-CN"/>
              </w:rPr>
            </w:pPr>
            <w:r>
              <w:rPr>
                <w:rFonts w:ascii="Arial" w:hAnsi="Arial" w:cs="Arial" w:eastAsiaTheme="minorEastAsia"/>
                <w:sz w:val="20"/>
                <w:szCs w:val="20"/>
                <w:lang w:eastAsia="zh-CN"/>
              </w:rPr>
              <w:t>Bicarbonate, mmol/L (mean)</w:t>
            </w:r>
          </w:p>
        </w:tc>
        <w:tc>
          <w:tcPr>
            <w:tcW w:w="2356" w:type="dxa"/>
            <w:vAlign w:val="center"/>
          </w:tcPr>
          <w:p w14:paraId="4C7516B4">
            <w:pPr>
              <w:pStyle w:val="35"/>
              <w:spacing w:before="0"/>
              <w:rPr>
                <w:rFonts w:ascii="Arial" w:hAnsi="Arial" w:cs="Arial" w:eastAsiaTheme="minorEastAsia"/>
                <w:sz w:val="20"/>
                <w:szCs w:val="20"/>
                <w:lang w:eastAsia="zh-CN"/>
              </w:rPr>
            </w:pPr>
            <w:r>
              <w:rPr>
                <w:rFonts w:ascii="Arial" w:hAnsi="Arial" w:cs="Arial" w:eastAsiaTheme="minorEastAsia"/>
                <w:sz w:val="20"/>
                <w:szCs w:val="20"/>
                <w:lang w:eastAsia="zh-CN"/>
              </w:rPr>
              <w:t>SOFA Renal (updated)</w:t>
            </w:r>
          </w:p>
        </w:tc>
        <w:tc>
          <w:tcPr>
            <w:tcW w:w="1527" w:type="dxa"/>
            <w:vAlign w:val="center"/>
          </w:tcPr>
          <w:p w14:paraId="3FE68B3A">
            <w:pPr>
              <w:pStyle w:val="35"/>
              <w:spacing w:before="0"/>
              <w:rPr>
                <w:rFonts w:ascii="Arial" w:hAnsi="Arial" w:cs="Arial" w:eastAsiaTheme="minorEastAsia"/>
                <w:sz w:val="20"/>
                <w:szCs w:val="20"/>
                <w:lang w:eastAsia="zh-CN"/>
              </w:rPr>
            </w:pPr>
            <w:r>
              <w:rPr>
                <w:rFonts w:ascii="Arial" w:hAnsi="Arial" w:cs="Arial" w:eastAsiaTheme="minorEastAsia"/>
                <w:sz w:val="20"/>
                <w:szCs w:val="20"/>
                <w:lang w:eastAsia="zh-CN"/>
              </w:rPr>
              <w:t>22.63 ± 4.87</w:t>
            </w:r>
          </w:p>
        </w:tc>
        <w:tc>
          <w:tcPr>
            <w:tcW w:w="1310" w:type="dxa"/>
            <w:vAlign w:val="center"/>
          </w:tcPr>
          <w:p w14:paraId="11C1F6A4">
            <w:pPr>
              <w:pStyle w:val="35"/>
              <w:spacing w:before="0"/>
              <w:rPr>
                <w:rFonts w:ascii="Arial" w:hAnsi="Arial" w:cs="Arial" w:eastAsiaTheme="minorEastAsia"/>
                <w:sz w:val="20"/>
                <w:szCs w:val="20"/>
                <w:lang w:eastAsia="zh-CN"/>
              </w:rPr>
            </w:pPr>
            <w:r>
              <w:rPr>
                <w:rFonts w:ascii="Arial" w:hAnsi="Arial" w:cs="Arial" w:eastAsiaTheme="minorEastAsia"/>
                <w:sz w:val="20"/>
                <w:szCs w:val="20"/>
                <w:lang w:eastAsia="zh-CN"/>
              </w:rPr>
              <w:t>24.19 ± 4.64</w:t>
            </w:r>
          </w:p>
        </w:tc>
        <w:tc>
          <w:tcPr>
            <w:tcW w:w="1238" w:type="dxa"/>
            <w:vAlign w:val="center"/>
          </w:tcPr>
          <w:p w14:paraId="114263BB">
            <w:pPr>
              <w:pStyle w:val="35"/>
              <w:spacing w:before="0"/>
              <w:rPr>
                <w:rFonts w:ascii="Arial" w:hAnsi="Arial" w:cs="Arial" w:eastAsiaTheme="minorEastAsia"/>
                <w:sz w:val="20"/>
                <w:szCs w:val="20"/>
                <w:lang w:eastAsia="zh-CN"/>
              </w:rPr>
            </w:pPr>
            <w:r>
              <w:rPr>
                <w:rFonts w:ascii="Arial" w:hAnsi="Arial" w:cs="Arial" w:eastAsiaTheme="minorEastAsia"/>
                <w:sz w:val="20"/>
                <w:szCs w:val="20"/>
                <w:lang w:eastAsia="zh-CN"/>
              </w:rPr>
              <w:t>23.66 ± 4.80</w:t>
            </w:r>
          </w:p>
        </w:tc>
        <w:tc>
          <w:tcPr>
            <w:tcW w:w="623" w:type="dxa"/>
            <w:vAlign w:val="center"/>
          </w:tcPr>
          <w:p w14:paraId="348E761E">
            <w:pPr>
              <w:pStyle w:val="35"/>
              <w:spacing w:before="0"/>
              <w:rPr>
                <w:rFonts w:ascii="Arial" w:hAnsi="Arial" w:cs="Arial" w:eastAsiaTheme="minorEastAsia"/>
                <w:sz w:val="20"/>
                <w:szCs w:val="20"/>
                <w:lang w:eastAsia="zh-CN"/>
              </w:rPr>
            </w:pPr>
            <w:r>
              <w:rPr>
                <w:rFonts w:ascii="Arial" w:hAnsi="Arial" w:cs="Arial" w:eastAsiaTheme="minorEastAsia"/>
                <w:sz w:val="20"/>
                <w:szCs w:val="20"/>
                <w:lang w:eastAsia="zh-CN"/>
              </w:rPr>
              <w:t>&lt;.001</w:t>
            </w:r>
          </w:p>
        </w:tc>
      </w:tr>
      <w:tr w14:paraId="69B1587E">
        <w:trPr>
          <w:cantSplit/>
        </w:trPr>
        <w:tc>
          <w:tcPr>
            <w:tcW w:w="2666" w:type="dxa"/>
            <w:vAlign w:val="center"/>
          </w:tcPr>
          <w:p w14:paraId="518A44A9">
            <w:pPr>
              <w:pStyle w:val="35"/>
              <w:spacing w:before="0"/>
              <w:rPr>
                <w:rFonts w:ascii="Arial" w:hAnsi="Arial" w:cs="Arial" w:eastAsiaTheme="minorEastAsia"/>
                <w:sz w:val="20"/>
                <w:szCs w:val="20"/>
                <w:lang w:eastAsia="zh-CN"/>
              </w:rPr>
            </w:pPr>
            <w:r>
              <w:rPr>
                <w:rFonts w:ascii="Arial" w:hAnsi="Arial" w:cs="Arial" w:eastAsiaTheme="minorEastAsia"/>
                <w:sz w:val="20"/>
                <w:szCs w:val="20"/>
                <w:lang w:eastAsia="zh-CN"/>
              </w:rPr>
              <w:t>Respiratory rate, breaths/min (mean)</w:t>
            </w:r>
          </w:p>
        </w:tc>
        <w:tc>
          <w:tcPr>
            <w:tcW w:w="2356" w:type="dxa"/>
            <w:vAlign w:val="center"/>
          </w:tcPr>
          <w:p w14:paraId="2D345EFA">
            <w:pPr>
              <w:pStyle w:val="35"/>
              <w:spacing w:before="0"/>
              <w:rPr>
                <w:rFonts w:ascii="Arial" w:hAnsi="Arial" w:cs="Arial" w:eastAsiaTheme="minorEastAsia"/>
                <w:sz w:val="20"/>
                <w:szCs w:val="20"/>
                <w:lang w:eastAsia="zh-CN"/>
              </w:rPr>
            </w:pPr>
            <w:r>
              <w:rPr>
                <w:rFonts w:ascii="Arial" w:hAnsi="Arial" w:cs="Arial" w:eastAsiaTheme="minorEastAsia"/>
                <w:sz w:val="20"/>
                <w:szCs w:val="20"/>
                <w:lang w:eastAsia="zh-CN"/>
              </w:rPr>
              <w:t>Others</w:t>
            </w:r>
          </w:p>
        </w:tc>
        <w:tc>
          <w:tcPr>
            <w:tcW w:w="1527" w:type="dxa"/>
            <w:vAlign w:val="center"/>
          </w:tcPr>
          <w:p w14:paraId="38A5C79C">
            <w:pPr>
              <w:pStyle w:val="35"/>
              <w:spacing w:before="0"/>
              <w:rPr>
                <w:rFonts w:ascii="Arial" w:hAnsi="Arial" w:cs="Arial" w:eastAsiaTheme="minorEastAsia"/>
                <w:sz w:val="20"/>
                <w:szCs w:val="20"/>
                <w:lang w:eastAsia="zh-CN"/>
              </w:rPr>
            </w:pPr>
            <w:r>
              <w:rPr>
                <w:rFonts w:ascii="Arial" w:hAnsi="Arial" w:cs="Arial" w:eastAsiaTheme="minorEastAsia"/>
                <w:sz w:val="20"/>
                <w:szCs w:val="20"/>
                <w:lang w:eastAsia="zh-CN"/>
              </w:rPr>
              <w:t>20.10 ± 4.32</w:t>
            </w:r>
          </w:p>
        </w:tc>
        <w:tc>
          <w:tcPr>
            <w:tcW w:w="1310" w:type="dxa"/>
            <w:vAlign w:val="center"/>
          </w:tcPr>
          <w:p w14:paraId="3D427253">
            <w:pPr>
              <w:pStyle w:val="35"/>
              <w:spacing w:before="0"/>
              <w:rPr>
                <w:rFonts w:ascii="Arial" w:hAnsi="Arial" w:cs="Arial" w:eastAsiaTheme="minorEastAsia"/>
                <w:sz w:val="20"/>
                <w:szCs w:val="20"/>
                <w:lang w:eastAsia="zh-CN"/>
              </w:rPr>
            </w:pPr>
            <w:r>
              <w:rPr>
                <w:rFonts w:ascii="Arial" w:hAnsi="Arial" w:cs="Arial" w:eastAsiaTheme="minorEastAsia"/>
                <w:sz w:val="20"/>
                <w:szCs w:val="20"/>
                <w:lang w:eastAsia="zh-CN"/>
              </w:rPr>
              <w:t>20.21 ± 4.42</w:t>
            </w:r>
          </w:p>
        </w:tc>
        <w:tc>
          <w:tcPr>
            <w:tcW w:w="1238" w:type="dxa"/>
            <w:vAlign w:val="center"/>
          </w:tcPr>
          <w:p w14:paraId="3A21F6F2">
            <w:pPr>
              <w:pStyle w:val="35"/>
              <w:spacing w:before="0"/>
              <w:rPr>
                <w:rFonts w:ascii="Arial" w:hAnsi="Arial" w:cs="Arial" w:eastAsiaTheme="minorEastAsia"/>
                <w:sz w:val="20"/>
                <w:szCs w:val="20"/>
                <w:lang w:eastAsia="zh-CN"/>
              </w:rPr>
            </w:pPr>
            <w:r>
              <w:rPr>
                <w:rFonts w:ascii="Arial" w:hAnsi="Arial" w:cs="Arial" w:eastAsiaTheme="minorEastAsia"/>
                <w:sz w:val="20"/>
                <w:szCs w:val="20"/>
                <w:lang w:eastAsia="zh-CN"/>
              </w:rPr>
              <w:t>20.49 ± 4.20</w:t>
            </w:r>
          </w:p>
        </w:tc>
        <w:tc>
          <w:tcPr>
            <w:tcW w:w="623" w:type="dxa"/>
            <w:vAlign w:val="center"/>
          </w:tcPr>
          <w:p w14:paraId="2A12ECB8">
            <w:pPr>
              <w:pStyle w:val="35"/>
              <w:spacing w:before="0"/>
              <w:rPr>
                <w:rFonts w:ascii="Arial" w:hAnsi="Arial" w:cs="Arial" w:eastAsiaTheme="minorEastAsia"/>
                <w:sz w:val="20"/>
                <w:szCs w:val="20"/>
                <w:lang w:eastAsia="zh-CN"/>
              </w:rPr>
            </w:pPr>
            <w:r>
              <w:rPr>
                <w:rFonts w:ascii="Arial" w:hAnsi="Arial" w:cs="Arial" w:eastAsiaTheme="minorEastAsia"/>
                <w:sz w:val="20"/>
                <w:szCs w:val="20"/>
                <w:lang w:eastAsia="zh-CN"/>
              </w:rPr>
              <w:t>.004</w:t>
            </w:r>
          </w:p>
        </w:tc>
      </w:tr>
      <w:tr w14:paraId="355B485C">
        <w:trPr>
          <w:cantSplit/>
        </w:trPr>
        <w:tc>
          <w:tcPr>
            <w:tcW w:w="2666" w:type="dxa"/>
            <w:vAlign w:val="center"/>
          </w:tcPr>
          <w:p w14:paraId="3C80B02B">
            <w:pPr>
              <w:pStyle w:val="35"/>
              <w:spacing w:before="0"/>
              <w:rPr>
                <w:rFonts w:ascii="Arial" w:hAnsi="Arial" w:cs="Arial" w:eastAsiaTheme="minorEastAsia"/>
                <w:sz w:val="20"/>
                <w:szCs w:val="20"/>
                <w:lang w:eastAsia="zh-CN"/>
              </w:rPr>
            </w:pPr>
            <w:r>
              <w:rPr>
                <w:rFonts w:ascii="Arial" w:hAnsi="Arial" w:cs="Arial" w:eastAsiaTheme="minorEastAsia"/>
                <w:sz w:val="20"/>
                <w:szCs w:val="20"/>
                <w:lang w:eastAsia="zh-CN"/>
              </w:rPr>
              <w:t>Temperature, °C (mean)</w:t>
            </w:r>
          </w:p>
        </w:tc>
        <w:tc>
          <w:tcPr>
            <w:tcW w:w="2356" w:type="dxa"/>
            <w:vAlign w:val="center"/>
          </w:tcPr>
          <w:p w14:paraId="0C35FF85">
            <w:pPr>
              <w:pStyle w:val="35"/>
              <w:spacing w:before="0"/>
              <w:rPr>
                <w:rFonts w:ascii="Arial" w:hAnsi="Arial" w:cs="Arial" w:eastAsiaTheme="minorEastAsia"/>
                <w:sz w:val="20"/>
                <w:szCs w:val="20"/>
                <w:lang w:eastAsia="zh-CN"/>
              </w:rPr>
            </w:pPr>
            <w:r>
              <w:rPr>
                <w:rFonts w:ascii="Arial" w:hAnsi="Arial" w:cs="Arial" w:eastAsiaTheme="minorEastAsia"/>
                <w:sz w:val="20"/>
                <w:szCs w:val="20"/>
                <w:lang w:eastAsia="zh-CN"/>
              </w:rPr>
              <w:t>Others</w:t>
            </w:r>
          </w:p>
        </w:tc>
        <w:tc>
          <w:tcPr>
            <w:tcW w:w="1527" w:type="dxa"/>
            <w:vAlign w:val="center"/>
          </w:tcPr>
          <w:p w14:paraId="2EA23A3E">
            <w:pPr>
              <w:pStyle w:val="35"/>
              <w:spacing w:before="0"/>
              <w:rPr>
                <w:rFonts w:ascii="Arial" w:hAnsi="Arial" w:cs="Arial" w:eastAsiaTheme="minorEastAsia"/>
                <w:sz w:val="20"/>
                <w:szCs w:val="20"/>
                <w:lang w:eastAsia="zh-CN"/>
              </w:rPr>
            </w:pPr>
            <w:r>
              <w:rPr>
                <w:rFonts w:ascii="Arial" w:hAnsi="Arial" w:cs="Arial" w:eastAsiaTheme="minorEastAsia"/>
                <w:sz w:val="20"/>
                <w:szCs w:val="20"/>
                <w:lang w:eastAsia="zh-CN"/>
              </w:rPr>
              <w:t>36.96 ± 0.60</w:t>
            </w:r>
          </w:p>
        </w:tc>
        <w:tc>
          <w:tcPr>
            <w:tcW w:w="1310" w:type="dxa"/>
            <w:vAlign w:val="center"/>
          </w:tcPr>
          <w:p w14:paraId="3BCB1A0A">
            <w:pPr>
              <w:pStyle w:val="35"/>
              <w:spacing w:before="0"/>
              <w:rPr>
                <w:rFonts w:ascii="Arial" w:hAnsi="Arial" w:cs="Arial" w:eastAsiaTheme="minorEastAsia"/>
                <w:sz w:val="20"/>
                <w:szCs w:val="20"/>
                <w:lang w:eastAsia="zh-CN"/>
              </w:rPr>
            </w:pPr>
            <w:r>
              <w:rPr>
                <w:rFonts w:ascii="Arial" w:hAnsi="Arial" w:cs="Arial" w:eastAsiaTheme="minorEastAsia"/>
                <w:sz w:val="20"/>
                <w:szCs w:val="20"/>
                <w:lang w:eastAsia="zh-CN"/>
              </w:rPr>
              <w:t>37.00 ± 0.53</w:t>
            </w:r>
          </w:p>
        </w:tc>
        <w:tc>
          <w:tcPr>
            <w:tcW w:w="1238" w:type="dxa"/>
            <w:vAlign w:val="center"/>
          </w:tcPr>
          <w:p w14:paraId="0D9E5B82">
            <w:pPr>
              <w:pStyle w:val="35"/>
              <w:spacing w:before="0"/>
              <w:rPr>
                <w:rFonts w:ascii="Arial" w:hAnsi="Arial" w:cs="Arial" w:eastAsiaTheme="minorEastAsia"/>
                <w:sz w:val="20"/>
                <w:szCs w:val="20"/>
                <w:lang w:eastAsia="zh-CN"/>
              </w:rPr>
            </w:pPr>
            <w:r>
              <w:rPr>
                <w:rFonts w:ascii="Arial" w:hAnsi="Arial" w:cs="Arial" w:eastAsiaTheme="minorEastAsia"/>
                <w:sz w:val="20"/>
                <w:szCs w:val="20"/>
                <w:lang w:eastAsia="zh-CN"/>
              </w:rPr>
              <w:t>36.95 ± 0.53</w:t>
            </w:r>
          </w:p>
        </w:tc>
        <w:tc>
          <w:tcPr>
            <w:tcW w:w="623" w:type="dxa"/>
            <w:vAlign w:val="center"/>
          </w:tcPr>
          <w:p w14:paraId="231C18F7">
            <w:pPr>
              <w:pStyle w:val="35"/>
              <w:spacing w:before="0"/>
              <w:rPr>
                <w:rFonts w:ascii="Arial" w:hAnsi="Arial" w:cs="Arial" w:eastAsiaTheme="minorEastAsia"/>
                <w:sz w:val="20"/>
                <w:szCs w:val="20"/>
                <w:lang w:eastAsia="zh-CN"/>
              </w:rPr>
            </w:pPr>
            <w:r>
              <w:rPr>
                <w:rFonts w:ascii="Arial" w:hAnsi="Arial" w:cs="Arial" w:eastAsiaTheme="minorEastAsia"/>
                <w:sz w:val="20"/>
                <w:szCs w:val="20"/>
                <w:lang w:eastAsia="zh-CN"/>
              </w:rPr>
              <w:t>.002</w:t>
            </w:r>
          </w:p>
        </w:tc>
      </w:tr>
      <w:tr w14:paraId="23858737">
        <w:trPr>
          <w:cantSplit/>
        </w:trPr>
        <w:tc>
          <w:tcPr>
            <w:tcW w:w="2666" w:type="dxa"/>
            <w:vAlign w:val="center"/>
          </w:tcPr>
          <w:p w14:paraId="512A72A5">
            <w:pPr>
              <w:pStyle w:val="35"/>
              <w:spacing w:before="0"/>
              <w:rPr>
                <w:rFonts w:ascii="Arial" w:hAnsi="Arial" w:cs="Arial" w:eastAsiaTheme="minorEastAsia"/>
                <w:sz w:val="20"/>
                <w:szCs w:val="20"/>
                <w:lang w:eastAsia="zh-CN"/>
              </w:rPr>
            </w:pPr>
            <w:r>
              <w:rPr>
                <w:rFonts w:ascii="Arial" w:hAnsi="Arial" w:cs="Arial" w:eastAsiaTheme="minorEastAsia"/>
                <w:sz w:val="20"/>
                <w:szCs w:val="20"/>
                <w:lang w:eastAsia="zh-CN"/>
              </w:rPr>
              <w:t>Weight, kg (mean)</w:t>
            </w:r>
          </w:p>
        </w:tc>
        <w:tc>
          <w:tcPr>
            <w:tcW w:w="2356" w:type="dxa"/>
            <w:vAlign w:val="center"/>
          </w:tcPr>
          <w:p w14:paraId="683A1F85">
            <w:pPr>
              <w:pStyle w:val="35"/>
              <w:spacing w:before="0"/>
              <w:rPr>
                <w:rFonts w:ascii="Arial" w:hAnsi="Arial" w:cs="Arial" w:eastAsiaTheme="minorEastAsia"/>
                <w:sz w:val="20"/>
                <w:szCs w:val="20"/>
                <w:lang w:eastAsia="zh-CN"/>
              </w:rPr>
            </w:pPr>
            <w:r>
              <w:rPr>
                <w:rFonts w:ascii="Arial" w:hAnsi="Arial" w:cs="Arial" w:eastAsiaTheme="minorEastAsia"/>
                <w:sz w:val="20"/>
                <w:szCs w:val="20"/>
                <w:lang w:eastAsia="zh-CN"/>
              </w:rPr>
              <w:t>Others</w:t>
            </w:r>
          </w:p>
        </w:tc>
        <w:tc>
          <w:tcPr>
            <w:tcW w:w="1527" w:type="dxa"/>
            <w:vAlign w:val="center"/>
          </w:tcPr>
          <w:p w14:paraId="5122508F">
            <w:pPr>
              <w:pStyle w:val="35"/>
              <w:spacing w:before="0"/>
              <w:rPr>
                <w:rFonts w:ascii="Arial" w:hAnsi="Arial" w:cs="Arial" w:eastAsiaTheme="minorEastAsia"/>
                <w:sz w:val="20"/>
                <w:szCs w:val="20"/>
                <w:lang w:eastAsia="zh-CN"/>
              </w:rPr>
            </w:pPr>
            <w:r>
              <w:rPr>
                <w:rFonts w:ascii="Arial" w:hAnsi="Arial" w:cs="Arial" w:eastAsiaTheme="minorEastAsia"/>
                <w:sz w:val="20"/>
                <w:szCs w:val="20"/>
                <w:lang w:eastAsia="zh-CN"/>
              </w:rPr>
              <w:t>82.47 ± 24.63</w:t>
            </w:r>
          </w:p>
        </w:tc>
        <w:tc>
          <w:tcPr>
            <w:tcW w:w="1310" w:type="dxa"/>
            <w:vAlign w:val="center"/>
          </w:tcPr>
          <w:p w14:paraId="7CA97953">
            <w:pPr>
              <w:pStyle w:val="35"/>
              <w:spacing w:before="0"/>
              <w:rPr>
                <w:rFonts w:ascii="Arial" w:hAnsi="Arial" w:cs="Arial" w:eastAsiaTheme="minorEastAsia"/>
                <w:sz w:val="20"/>
                <w:szCs w:val="20"/>
                <w:lang w:eastAsia="zh-CN"/>
              </w:rPr>
            </w:pPr>
            <w:r>
              <w:rPr>
                <w:rFonts w:ascii="Arial" w:hAnsi="Arial" w:cs="Arial" w:eastAsiaTheme="minorEastAsia"/>
                <w:sz w:val="20"/>
                <w:szCs w:val="20"/>
                <w:lang w:eastAsia="zh-CN"/>
              </w:rPr>
              <w:t>83.04 ± 26.54</w:t>
            </w:r>
          </w:p>
        </w:tc>
        <w:tc>
          <w:tcPr>
            <w:tcW w:w="1238" w:type="dxa"/>
            <w:vAlign w:val="center"/>
          </w:tcPr>
          <w:p w14:paraId="6EA4D775">
            <w:pPr>
              <w:pStyle w:val="35"/>
              <w:spacing w:before="0"/>
              <w:rPr>
                <w:rFonts w:ascii="Arial" w:hAnsi="Arial" w:cs="Arial" w:eastAsiaTheme="minorEastAsia"/>
                <w:sz w:val="20"/>
                <w:szCs w:val="20"/>
                <w:lang w:eastAsia="zh-CN"/>
              </w:rPr>
            </w:pPr>
            <w:r>
              <w:rPr>
                <w:rFonts w:ascii="Arial" w:hAnsi="Arial" w:cs="Arial" w:eastAsiaTheme="minorEastAsia"/>
                <w:sz w:val="20"/>
                <w:szCs w:val="20"/>
                <w:lang w:eastAsia="zh-CN"/>
              </w:rPr>
              <w:t>79.39 ± 24.38</w:t>
            </w:r>
          </w:p>
        </w:tc>
        <w:tc>
          <w:tcPr>
            <w:tcW w:w="623" w:type="dxa"/>
            <w:vAlign w:val="center"/>
          </w:tcPr>
          <w:p w14:paraId="7968EFFA">
            <w:pPr>
              <w:pStyle w:val="35"/>
              <w:spacing w:before="0"/>
              <w:rPr>
                <w:rFonts w:ascii="Arial" w:hAnsi="Arial" w:cs="Arial" w:eastAsiaTheme="minorEastAsia"/>
                <w:sz w:val="20"/>
                <w:szCs w:val="20"/>
                <w:lang w:eastAsia="zh-CN"/>
              </w:rPr>
            </w:pPr>
            <w:r>
              <w:rPr>
                <w:rFonts w:ascii="Arial" w:hAnsi="Arial" w:cs="Arial" w:eastAsiaTheme="minorEastAsia"/>
                <w:sz w:val="20"/>
                <w:szCs w:val="20"/>
                <w:lang w:eastAsia="zh-CN"/>
              </w:rPr>
              <w:t>&lt;.001</w:t>
            </w:r>
          </w:p>
        </w:tc>
      </w:tr>
      <w:tr w14:paraId="237D97DA">
        <w:trPr>
          <w:cantSplit/>
        </w:trPr>
        <w:tc>
          <w:tcPr>
            <w:tcW w:w="2666" w:type="dxa"/>
            <w:vAlign w:val="center"/>
          </w:tcPr>
          <w:p w14:paraId="2171F9B5">
            <w:pPr>
              <w:pStyle w:val="35"/>
              <w:spacing w:before="0"/>
              <w:rPr>
                <w:rFonts w:ascii="Arial" w:hAnsi="Arial" w:cs="Arial" w:eastAsiaTheme="minorEastAsia"/>
                <w:sz w:val="20"/>
                <w:szCs w:val="20"/>
                <w:lang w:eastAsia="zh-CN"/>
              </w:rPr>
            </w:pPr>
            <w:r>
              <w:rPr>
                <w:rFonts w:ascii="Arial" w:hAnsi="Arial" w:cs="Arial" w:eastAsiaTheme="minorEastAsia"/>
                <w:sz w:val="20"/>
                <w:szCs w:val="20"/>
                <w:lang w:eastAsia="zh-CN"/>
              </w:rPr>
              <w:t>White blood cell count (mean)</w:t>
            </w:r>
          </w:p>
        </w:tc>
        <w:tc>
          <w:tcPr>
            <w:tcW w:w="2356" w:type="dxa"/>
            <w:vAlign w:val="center"/>
          </w:tcPr>
          <w:p w14:paraId="21541859">
            <w:pPr>
              <w:pStyle w:val="35"/>
              <w:spacing w:before="0"/>
              <w:rPr>
                <w:rFonts w:ascii="Arial" w:hAnsi="Arial" w:cs="Arial" w:eastAsiaTheme="minorEastAsia"/>
                <w:sz w:val="20"/>
                <w:szCs w:val="20"/>
                <w:lang w:eastAsia="zh-CN"/>
              </w:rPr>
            </w:pPr>
            <w:r>
              <w:rPr>
                <w:rFonts w:ascii="Arial" w:hAnsi="Arial" w:cs="Arial" w:eastAsiaTheme="minorEastAsia"/>
                <w:sz w:val="20"/>
                <w:szCs w:val="20"/>
                <w:lang w:eastAsia="zh-CN"/>
              </w:rPr>
              <w:t>Others</w:t>
            </w:r>
          </w:p>
        </w:tc>
        <w:tc>
          <w:tcPr>
            <w:tcW w:w="1527" w:type="dxa"/>
            <w:vAlign w:val="center"/>
          </w:tcPr>
          <w:p w14:paraId="11B69F3B">
            <w:pPr>
              <w:pStyle w:val="35"/>
              <w:spacing w:before="0"/>
              <w:rPr>
                <w:rFonts w:ascii="Arial" w:hAnsi="Arial" w:cs="Arial" w:eastAsiaTheme="minorEastAsia"/>
                <w:sz w:val="20"/>
                <w:szCs w:val="20"/>
                <w:lang w:eastAsia="zh-CN"/>
              </w:rPr>
            </w:pPr>
            <w:r>
              <w:rPr>
                <w:rFonts w:ascii="Arial" w:hAnsi="Arial" w:cs="Arial" w:eastAsiaTheme="minorEastAsia"/>
                <w:sz w:val="20"/>
                <w:szCs w:val="20"/>
                <w:lang w:eastAsia="zh-CN"/>
              </w:rPr>
              <w:t>13.62 ± 10.58</w:t>
            </w:r>
          </w:p>
        </w:tc>
        <w:tc>
          <w:tcPr>
            <w:tcW w:w="1310" w:type="dxa"/>
            <w:vAlign w:val="center"/>
          </w:tcPr>
          <w:p w14:paraId="07110F18">
            <w:pPr>
              <w:pStyle w:val="35"/>
              <w:spacing w:before="0"/>
              <w:rPr>
                <w:rFonts w:ascii="Arial" w:hAnsi="Arial" w:cs="Arial" w:eastAsiaTheme="minorEastAsia"/>
                <w:sz w:val="20"/>
                <w:szCs w:val="20"/>
                <w:lang w:eastAsia="zh-CN"/>
              </w:rPr>
            </w:pPr>
            <w:r>
              <w:rPr>
                <w:rFonts w:ascii="Arial" w:hAnsi="Arial" w:cs="Arial" w:eastAsiaTheme="minorEastAsia"/>
                <w:sz w:val="20"/>
                <w:szCs w:val="20"/>
                <w:lang w:eastAsia="zh-CN"/>
              </w:rPr>
              <w:t>12.81 ± 8.88</w:t>
            </w:r>
          </w:p>
        </w:tc>
        <w:tc>
          <w:tcPr>
            <w:tcW w:w="1238" w:type="dxa"/>
            <w:vAlign w:val="center"/>
          </w:tcPr>
          <w:p w14:paraId="47B3039D">
            <w:pPr>
              <w:pStyle w:val="35"/>
              <w:spacing w:before="0"/>
              <w:rPr>
                <w:rFonts w:ascii="Arial" w:hAnsi="Arial" w:cs="Arial" w:eastAsiaTheme="minorEastAsia"/>
                <w:sz w:val="20"/>
                <w:szCs w:val="20"/>
                <w:lang w:eastAsia="zh-CN"/>
              </w:rPr>
            </w:pPr>
            <w:r>
              <w:rPr>
                <w:rFonts w:ascii="Arial" w:hAnsi="Arial" w:cs="Arial" w:eastAsiaTheme="minorEastAsia"/>
                <w:sz w:val="20"/>
                <w:szCs w:val="20"/>
                <w:lang w:eastAsia="zh-CN"/>
              </w:rPr>
              <w:t>13.09 ± 7.60</w:t>
            </w:r>
          </w:p>
        </w:tc>
        <w:tc>
          <w:tcPr>
            <w:tcW w:w="623" w:type="dxa"/>
            <w:vAlign w:val="center"/>
          </w:tcPr>
          <w:p w14:paraId="6B39F5E2">
            <w:pPr>
              <w:pStyle w:val="35"/>
              <w:spacing w:before="0"/>
              <w:rPr>
                <w:rFonts w:ascii="Arial" w:hAnsi="Arial" w:cs="Arial" w:eastAsiaTheme="minorEastAsia"/>
                <w:sz w:val="20"/>
                <w:szCs w:val="20"/>
                <w:lang w:eastAsia="zh-CN"/>
              </w:rPr>
            </w:pPr>
            <w:r>
              <w:rPr>
                <w:rFonts w:ascii="Arial" w:hAnsi="Arial" w:cs="Arial" w:eastAsiaTheme="minorEastAsia"/>
                <w:sz w:val="20"/>
                <w:szCs w:val="20"/>
                <w:lang w:eastAsia="zh-CN"/>
              </w:rPr>
              <w:t>&lt;.001</w:t>
            </w:r>
          </w:p>
        </w:tc>
      </w:tr>
      <w:tr w14:paraId="6081F8C1">
        <w:trPr>
          <w:cantSplit/>
        </w:trPr>
        <w:tc>
          <w:tcPr>
            <w:tcW w:w="2666" w:type="dxa"/>
            <w:vAlign w:val="center"/>
          </w:tcPr>
          <w:p w14:paraId="51BE1411">
            <w:pPr>
              <w:pStyle w:val="35"/>
              <w:spacing w:before="0"/>
              <w:rPr>
                <w:rFonts w:ascii="Arial" w:hAnsi="Arial" w:cs="Arial" w:eastAsiaTheme="minorEastAsia"/>
                <w:sz w:val="20"/>
                <w:szCs w:val="20"/>
                <w:lang w:eastAsia="zh-CN"/>
              </w:rPr>
            </w:pPr>
            <w:r>
              <w:rPr>
                <w:rFonts w:ascii="Arial" w:hAnsi="Arial" w:cs="Arial" w:eastAsiaTheme="minorEastAsia"/>
                <w:sz w:val="20"/>
                <w:szCs w:val="20"/>
                <w:lang w:eastAsia="zh-CN"/>
              </w:rPr>
              <w:t>Lactate, mmol/L (mean)</w:t>
            </w:r>
          </w:p>
        </w:tc>
        <w:tc>
          <w:tcPr>
            <w:tcW w:w="2356" w:type="dxa"/>
            <w:vAlign w:val="center"/>
          </w:tcPr>
          <w:p w14:paraId="49FA97DB">
            <w:pPr>
              <w:pStyle w:val="35"/>
              <w:spacing w:before="0"/>
              <w:rPr>
                <w:rFonts w:ascii="Arial" w:hAnsi="Arial" w:cs="Arial" w:eastAsiaTheme="minorEastAsia"/>
                <w:sz w:val="20"/>
                <w:szCs w:val="20"/>
                <w:lang w:eastAsia="zh-CN"/>
              </w:rPr>
            </w:pPr>
            <w:r>
              <w:rPr>
                <w:rFonts w:ascii="Arial" w:hAnsi="Arial" w:cs="Arial" w:eastAsiaTheme="minorEastAsia"/>
                <w:sz w:val="20"/>
                <w:szCs w:val="20"/>
                <w:lang w:eastAsia="zh-CN"/>
              </w:rPr>
              <w:t>Others</w:t>
            </w:r>
          </w:p>
        </w:tc>
        <w:tc>
          <w:tcPr>
            <w:tcW w:w="1527" w:type="dxa"/>
            <w:vAlign w:val="center"/>
          </w:tcPr>
          <w:p w14:paraId="6D53C436">
            <w:pPr>
              <w:pStyle w:val="35"/>
              <w:spacing w:before="0"/>
              <w:rPr>
                <w:rFonts w:ascii="Arial" w:hAnsi="Arial" w:cs="Arial" w:eastAsiaTheme="minorEastAsia"/>
                <w:sz w:val="20"/>
                <w:szCs w:val="20"/>
                <w:lang w:eastAsia="zh-CN"/>
              </w:rPr>
            </w:pPr>
            <w:r>
              <w:rPr>
                <w:rFonts w:ascii="Arial" w:hAnsi="Arial" w:cs="Arial" w:eastAsiaTheme="minorEastAsia"/>
                <w:sz w:val="20"/>
                <w:szCs w:val="20"/>
                <w:lang w:eastAsia="zh-CN"/>
              </w:rPr>
              <w:t>2.32 ± 1.88</w:t>
            </w:r>
          </w:p>
        </w:tc>
        <w:tc>
          <w:tcPr>
            <w:tcW w:w="1310" w:type="dxa"/>
            <w:vAlign w:val="center"/>
          </w:tcPr>
          <w:p w14:paraId="422C2DF9">
            <w:pPr>
              <w:pStyle w:val="35"/>
              <w:spacing w:before="0"/>
              <w:rPr>
                <w:rFonts w:ascii="Arial" w:hAnsi="Arial" w:cs="Arial" w:eastAsiaTheme="minorEastAsia"/>
                <w:sz w:val="20"/>
                <w:szCs w:val="20"/>
                <w:lang w:eastAsia="zh-CN"/>
              </w:rPr>
            </w:pPr>
            <w:r>
              <w:rPr>
                <w:rFonts w:ascii="Arial" w:hAnsi="Arial" w:cs="Arial" w:eastAsiaTheme="minorEastAsia"/>
                <w:sz w:val="20"/>
                <w:szCs w:val="20"/>
                <w:lang w:eastAsia="zh-CN"/>
              </w:rPr>
              <w:t>1.80 ± 1.28</w:t>
            </w:r>
          </w:p>
        </w:tc>
        <w:tc>
          <w:tcPr>
            <w:tcW w:w="1238" w:type="dxa"/>
            <w:vAlign w:val="center"/>
          </w:tcPr>
          <w:p w14:paraId="6F7C9AC0">
            <w:pPr>
              <w:pStyle w:val="35"/>
              <w:spacing w:before="0"/>
              <w:rPr>
                <w:rFonts w:ascii="Arial" w:hAnsi="Arial" w:cs="Arial" w:eastAsiaTheme="minorEastAsia"/>
                <w:sz w:val="20"/>
                <w:szCs w:val="20"/>
                <w:lang w:eastAsia="zh-CN"/>
              </w:rPr>
            </w:pPr>
            <w:r>
              <w:rPr>
                <w:rFonts w:ascii="Arial" w:hAnsi="Arial" w:cs="Arial" w:eastAsiaTheme="minorEastAsia"/>
                <w:sz w:val="20"/>
                <w:szCs w:val="20"/>
                <w:lang w:eastAsia="zh-CN"/>
              </w:rPr>
              <w:t>1.82 ± 1.32</w:t>
            </w:r>
          </w:p>
        </w:tc>
        <w:tc>
          <w:tcPr>
            <w:tcW w:w="623" w:type="dxa"/>
            <w:vAlign w:val="center"/>
          </w:tcPr>
          <w:p w14:paraId="123C547D">
            <w:pPr>
              <w:pStyle w:val="35"/>
              <w:spacing w:before="0"/>
              <w:rPr>
                <w:rFonts w:ascii="Arial" w:hAnsi="Arial" w:cs="Arial" w:eastAsiaTheme="minorEastAsia"/>
                <w:sz w:val="20"/>
                <w:szCs w:val="20"/>
                <w:lang w:eastAsia="zh-CN"/>
              </w:rPr>
            </w:pPr>
            <w:r>
              <w:rPr>
                <w:rFonts w:ascii="Arial" w:hAnsi="Arial" w:cs="Arial" w:eastAsiaTheme="minorEastAsia"/>
                <w:sz w:val="20"/>
                <w:szCs w:val="20"/>
                <w:lang w:eastAsia="zh-CN"/>
              </w:rPr>
              <w:t>&lt;.001</w:t>
            </w:r>
          </w:p>
        </w:tc>
      </w:tr>
      <w:tr w14:paraId="6FA57A9B">
        <w:trPr>
          <w:cantSplit/>
        </w:trPr>
        <w:tc>
          <w:tcPr>
            <w:tcW w:w="2666" w:type="dxa"/>
            <w:vAlign w:val="center"/>
          </w:tcPr>
          <w:p w14:paraId="7493BEE3">
            <w:pPr>
              <w:pStyle w:val="35"/>
              <w:spacing w:before="0"/>
              <w:rPr>
                <w:rFonts w:ascii="Arial" w:hAnsi="Arial" w:cs="Arial" w:eastAsiaTheme="minorEastAsia"/>
                <w:sz w:val="20"/>
                <w:szCs w:val="20"/>
                <w:lang w:eastAsia="zh-CN"/>
              </w:rPr>
            </w:pPr>
            <w:r>
              <w:rPr>
                <w:rFonts w:ascii="Arial" w:hAnsi="Arial" w:cs="Arial" w:eastAsiaTheme="minorEastAsia"/>
                <w:sz w:val="20"/>
                <w:szCs w:val="20"/>
                <w:lang w:eastAsia="zh-CN"/>
              </w:rPr>
              <w:t>PaCO</w:t>
            </w:r>
            <w:r>
              <w:rPr>
                <w:rFonts w:ascii="Arial" w:hAnsi="Arial" w:eastAsia="宋体" w:cs="Arial"/>
                <w:sz w:val="20"/>
                <w:szCs w:val="20"/>
                <w:vertAlign w:val="subscript"/>
                <w:lang w:eastAsia="zh-CN"/>
              </w:rPr>
              <w:t>2</w:t>
            </w:r>
            <w:r>
              <w:rPr>
                <w:rFonts w:ascii="Arial" w:hAnsi="Arial" w:cs="Arial" w:eastAsiaTheme="minorEastAsia"/>
                <w:sz w:val="20"/>
                <w:szCs w:val="20"/>
                <w:lang w:eastAsia="zh-CN"/>
              </w:rPr>
              <w:t>, mm Hg (mean)</w:t>
            </w:r>
          </w:p>
        </w:tc>
        <w:tc>
          <w:tcPr>
            <w:tcW w:w="2356" w:type="dxa"/>
            <w:vAlign w:val="center"/>
          </w:tcPr>
          <w:p w14:paraId="05D3AEEE">
            <w:pPr>
              <w:pStyle w:val="35"/>
              <w:spacing w:before="0"/>
              <w:rPr>
                <w:rFonts w:ascii="Arial" w:hAnsi="Arial" w:cs="Arial" w:eastAsiaTheme="minorEastAsia"/>
                <w:sz w:val="20"/>
                <w:szCs w:val="20"/>
                <w:lang w:eastAsia="zh-CN"/>
              </w:rPr>
            </w:pPr>
            <w:r>
              <w:rPr>
                <w:rFonts w:ascii="Arial" w:hAnsi="Arial" w:cs="Arial" w:eastAsiaTheme="minorEastAsia"/>
                <w:sz w:val="20"/>
                <w:szCs w:val="20"/>
                <w:lang w:eastAsia="zh-CN"/>
              </w:rPr>
              <w:t>Others</w:t>
            </w:r>
          </w:p>
        </w:tc>
        <w:tc>
          <w:tcPr>
            <w:tcW w:w="1527" w:type="dxa"/>
            <w:vAlign w:val="center"/>
          </w:tcPr>
          <w:p w14:paraId="52AA589D">
            <w:pPr>
              <w:pStyle w:val="35"/>
              <w:spacing w:before="0"/>
              <w:rPr>
                <w:rFonts w:ascii="Arial" w:hAnsi="Arial" w:cs="Arial" w:eastAsiaTheme="minorEastAsia"/>
                <w:sz w:val="20"/>
                <w:szCs w:val="20"/>
                <w:lang w:eastAsia="zh-CN"/>
              </w:rPr>
            </w:pPr>
            <w:r>
              <w:rPr>
                <w:rFonts w:ascii="Arial" w:hAnsi="Arial" w:cs="Arial" w:eastAsiaTheme="minorEastAsia"/>
                <w:sz w:val="20"/>
                <w:szCs w:val="20"/>
                <w:lang w:eastAsia="zh-CN"/>
              </w:rPr>
              <w:t>41.82 ± 10.10</w:t>
            </w:r>
          </w:p>
        </w:tc>
        <w:tc>
          <w:tcPr>
            <w:tcW w:w="1310" w:type="dxa"/>
            <w:vAlign w:val="center"/>
          </w:tcPr>
          <w:p w14:paraId="4BBF67E4">
            <w:pPr>
              <w:pStyle w:val="35"/>
              <w:spacing w:before="0"/>
              <w:rPr>
                <w:rFonts w:ascii="Arial" w:hAnsi="Arial" w:cs="Arial" w:eastAsiaTheme="minorEastAsia"/>
                <w:sz w:val="20"/>
                <w:szCs w:val="20"/>
                <w:lang w:eastAsia="zh-CN"/>
              </w:rPr>
            </w:pPr>
            <w:r>
              <w:rPr>
                <w:rFonts w:ascii="Arial" w:hAnsi="Arial" w:cs="Arial" w:eastAsiaTheme="minorEastAsia"/>
                <w:sz w:val="20"/>
                <w:szCs w:val="20"/>
                <w:lang w:eastAsia="zh-CN"/>
              </w:rPr>
              <w:t>42.29 ± 10.66</w:t>
            </w:r>
          </w:p>
        </w:tc>
        <w:tc>
          <w:tcPr>
            <w:tcW w:w="1238" w:type="dxa"/>
            <w:vAlign w:val="center"/>
          </w:tcPr>
          <w:p w14:paraId="2FF2268C">
            <w:pPr>
              <w:pStyle w:val="35"/>
              <w:spacing w:before="0"/>
              <w:rPr>
                <w:rFonts w:ascii="Arial" w:hAnsi="Arial" w:cs="Arial" w:eastAsiaTheme="minorEastAsia"/>
                <w:sz w:val="20"/>
                <w:szCs w:val="20"/>
                <w:lang w:eastAsia="zh-CN"/>
              </w:rPr>
            </w:pPr>
            <w:r>
              <w:rPr>
                <w:rFonts w:ascii="Arial" w:hAnsi="Arial" w:cs="Arial" w:eastAsiaTheme="minorEastAsia"/>
                <w:sz w:val="20"/>
                <w:szCs w:val="20"/>
                <w:lang w:eastAsia="zh-CN"/>
              </w:rPr>
              <w:t>42.83 ± 11.16</w:t>
            </w:r>
          </w:p>
        </w:tc>
        <w:tc>
          <w:tcPr>
            <w:tcW w:w="623" w:type="dxa"/>
            <w:vAlign w:val="center"/>
          </w:tcPr>
          <w:p w14:paraId="78018341">
            <w:pPr>
              <w:pStyle w:val="35"/>
              <w:spacing w:before="0"/>
              <w:rPr>
                <w:rFonts w:ascii="Arial" w:hAnsi="Arial" w:cs="Arial" w:eastAsiaTheme="minorEastAsia"/>
                <w:sz w:val="20"/>
                <w:szCs w:val="20"/>
                <w:lang w:eastAsia="zh-CN"/>
              </w:rPr>
            </w:pPr>
            <w:r>
              <w:rPr>
                <w:rFonts w:ascii="Arial" w:hAnsi="Arial" w:cs="Arial" w:eastAsiaTheme="minorEastAsia"/>
                <w:sz w:val="20"/>
                <w:szCs w:val="20"/>
                <w:lang w:eastAsia="zh-CN"/>
              </w:rPr>
              <w:t>.07</w:t>
            </w:r>
          </w:p>
        </w:tc>
      </w:tr>
      <w:tr w14:paraId="0CB24236">
        <w:trPr>
          <w:cantSplit/>
        </w:trPr>
        <w:tc>
          <w:tcPr>
            <w:tcW w:w="2666" w:type="dxa"/>
            <w:vAlign w:val="center"/>
          </w:tcPr>
          <w:p w14:paraId="71B3E2D9">
            <w:pPr>
              <w:pStyle w:val="35"/>
              <w:spacing w:before="0"/>
              <w:rPr>
                <w:rFonts w:ascii="Arial" w:hAnsi="Arial" w:cs="Arial" w:eastAsiaTheme="minorEastAsia"/>
                <w:sz w:val="20"/>
                <w:szCs w:val="20"/>
                <w:lang w:eastAsia="zh-CN"/>
              </w:rPr>
            </w:pPr>
            <w:r>
              <w:rPr>
                <w:rFonts w:ascii="Arial" w:hAnsi="Arial" w:cs="Arial" w:eastAsiaTheme="minorEastAsia"/>
                <w:sz w:val="20"/>
                <w:szCs w:val="20"/>
                <w:lang w:eastAsia="zh-CN"/>
              </w:rPr>
              <w:t>Arterial pH (mean)</w:t>
            </w:r>
          </w:p>
        </w:tc>
        <w:tc>
          <w:tcPr>
            <w:tcW w:w="2356" w:type="dxa"/>
            <w:vAlign w:val="center"/>
          </w:tcPr>
          <w:p w14:paraId="69B5710E">
            <w:pPr>
              <w:pStyle w:val="35"/>
              <w:spacing w:before="0"/>
              <w:rPr>
                <w:rFonts w:ascii="Arial" w:hAnsi="Arial" w:cs="Arial" w:eastAsiaTheme="minorEastAsia"/>
                <w:sz w:val="20"/>
                <w:szCs w:val="20"/>
                <w:lang w:eastAsia="zh-CN"/>
              </w:rPr>
            </w:pPr>
            <w:r>
              <w:rPr>
                <w:rFonts w:ascii="Arial" w:hAnsi="Arial" w:cs="Arial" w:eastAsiaTheme="minorEastAsia"/>
                <w:sz w:val="20"/>
                <w:szCs w:val="20"/>
                <w:lang w:eastAsia="zh-CN"/>
              </w:rPr>
              <w:t>Others</w:t>
            </w:r>
          </w:p>
        </w:tc>
        <w:tc>
          <w:tcPr>
            <w:tcW w:w="1527" w:type="dxa"/>
            <w:vAlign w:val="center"/>
          </w:tcPr>
          <w:p w14:paraId="15D7F0B4">
            <w:pPr>
              <w:pStyle w:val="35"/>
              <w:spacing w:before="0"/>
              <w:rPr>
                <w:rFonts w:ascii="Arial" w:hAnsi="Arial" w:cs="Arial" w:eastAsiaTheme="minorEastAsia"/>
                <w:sz w:val="20"/>
                <w:szCs w:val="20"/>
                <w:lang w:eastAsia="zh-CN"/>
              </w:rPr>
            </w:pPr>
            <w:r>
              <w:rPr>
                <w:rFonts w:ascii="Arial" w:hAnsi="Arial" w:cs="Arial" w:eastAsiaTheme="minorEastAsia"/>
                <w:sz w:val="20"/>
                <w:szCs w:val="20"/>
                <w:lang w:eastAsia="zh-CN"/>
              </w:rPr>
              <w:t>7.36 ± 0.07</w:t>
            </w:r>
          </w:p>
        </w:tc>
        <w:tc>
          <w:tcPr>
            <w:tcW w:w="1310" w:type="dxa"/>
            <w:vAlign w:val="center"/>
          </w:tcPr>
          <w:p w14:paraId="707E2306">
            <w:pPr>
              <w:pStyle w:val="35"/>
              <w:spacing w:before="0"/>
              <w:rPr>
                <w:rFonts w:ascii="Arial" w:hAnsi="Arial" w:cs="Arial" w:eastAsiaTheme="minorEastAsia"/>
                <w:sz w:val="20"/>
                <w:szCs w:val="20"/>
                <w:lang w:eastAsia="zh-CN"/>
              </w:rPr>
            </w:pPr>
            <w:r>
              <w:rPr>
                <w:rFonts w:ascii="Arial" w:hAnsi="Arial" w:cs="Arial" w:eastAsiaTheme="minorEastAsia"/>
                <w:sz w:val="20"/>
                <w:szCs w:val="20"/>
                <w:lang w:eastAsia="zh-CN"/>
              </w:rPr>
              <w:t>7.39 ± 0.07</w:t>
            </w:r>
          </w:p>
        </w:tc>
        <w:tc>
          <w:tcPr>
            <w:tcW w:w="1238" w:type="dxa"/>
            <w:vAlign w:val="center"/>
          </w:tcPr>
          <w:p w14:paraId="463F8FC1">
            <w:pPr>
              <w:pStyle w:val="35"/>
              <w:spacing w:before="0"/>
              <w:rPr>
                <w:rFonts w:ascii="Arial" w:hAnsi="Arial" w:cs="Arial" w:eastAsiaTheme="minorEastAsia"/>
                <w:sz w:val="20"/>
                <w:szCs w:val="20"/>
                <w:lang w:eastAsia="zh-CN"/>
              </w:rPr>
            </w:pPr>
            <w:r>
              <w:rPr>
                <w:rFonts w:ascii="Arial" w:hAnsi="Arial" w:cs="Arial" w:eastAsiaTheme="minorEastAsia"/>
                <w:sz w:val="20"/>
                <w:szCs w:val="20"/>
                <w:lang w:eastAsia="zh-CN"/>
              </w:rPr>
              <w:t>7.38 ± 0.07</w:t>
            </w:r>
          </w:p>
        </w:tc>
        <w:tc>
          <w:tcPr>
            <w:tcW w:w="623" w:type="dxa"/>
            <w:vAlign w:val="center"/>
          </w:tcPr>
          <w:p w14:paraId="2612BC72">
            <w:pPr>
              <w:pStyle w:val="35"/>
              <w:spacing w:before="0"/>
              <w:rPr>
                <w:rFonts w:ascii="Arial" w:hAnsi="Arial" w:cs="Arial" w:eastAsiaTheme="minorEastAsia"/>
                <w:sz w:val="20"/>
                <w:szCs w:val="20"/>
                <w:lang w:eastAsia="zh-CN"/>
              </w:rPr>
            </w:pPr>
            <w:r>
              <w:rPr>
                <w:rFonts w:ascii="Arial" w:hAnsi="Arial" w:cs="Arial" w:eastAsiaTheme="minorEastAsia"/>
                <w:sz w:val="20"/>
                <w:szCs w:val="20"/>
                <w:lang w:eastAsia="zh-CN"/>
              </w:rPr>
              <w:t>&lt;.001</w:t>
            </w:r>
          </w:p>
        </w:tc>
      </w:tr>
      <w:tr w14:paraId="6F627DA4">
        <w:trPr>
          <w:cantSplit/>
        </w:trPr>
        <w:tc>
          <w:tcPr>
            <w:tcW w:w="2666" w:type="dxa"/>
            <w:tcBorders>
              <w:bottom w:val="single" w:color="auto" w:sz="12" w:space="0"/>
            </w:tcBorders>
            <w:vAlign w:val="center"/>
          </w:tcPr>
          <w:p w14:paraId="7B0870A0">
            <w:pPr>
              <w:pStyle w:val="35"/>
              <w:spacing w:before="0"/>
              <w:rPr>
                <w:rFonts w:ascii="Arial" w:hAnsi="Arial" w:cs="Arial" w:eastAsiaTheme="minorEastAsia"/>
                <w:sz w:val="20"/>
                <w:szCs w:val="20"/>
                <w:lang w:eastAsia="zh-CN"/>
              </w:rPr>
            </w:pPr>
            <w:r>
              <w:rPr>
                <w:rFonts w:ascii="Arial" w:hAnsi="Arial" w:cs="Arial" w:eastAsiaTheme="minorEastAsia"/>
                <w:sz w:val="20"/>
                <w:szCs w:val="20"/>
                <w:lang w:eastAsia="zh-CN"/>
              </w:rPr>
              <w:t>Urine output, mL/h (mean)</w:t>
            </w:r>
          </w:p>
        </w:tc>
        <w:tc>
          <w:tcPr>
            <w:tcW w:w="2356" w:type="dxa"/>
            <w:tcBorders>
              <w:bottom w:val="single" w:color="auto" w:sz="12" w:space="0"/>
            </w:tcBorders>
            <w:vAlign w:val="center"/>
          </w:tcPr>
          <w:p w14:paraId="6115E6B9">
            <w:pPr>
              <w:pStyle w:val="35"/>
              <w:spacing w:before="0"/>
              <w:rPr>
                <w:rFonts w:ascii="Arial" w:hAnsi="Arial" w:cs="Arial" w:eastAsiaTheme="minorEastAsia"/>
                <w:sz w:val="20"/>
                <w:szCs w:val="20"/>
                <w:lang w:eastAsia="zh-CN"/>
              </w:rPr>
            </w:pPr>
            <w:r>
              <w:rPr>
                <w:rFonts w:ascii="Arial" w:hAnsi="Arial" w:cs="Arial" w:eastAsiaTheme="minorEastAsia"/>
                <w:sz w:val="20"/>
                <w:szCs w:val="20"/>
                <w:lang w:eastAsia="zh-CN"/>
              </w:rPr>
              <w:t>Others</w:t>
            </w:r>
          </w:p>
        </w:tc>
        <w:tc>
          <w:tcPr>
            <w:tcW w:w="1527" w:type="dxa"/>
            <w:tcBorders>
              <w:bottom w:val="single" w:color="auto" w:sz="12" w:space="0"/>
            </w:tcBorders>
            <w:vAlign w:val="center"/>
          </w:tcPr>
          <w:p w14:paraId="7F5A2730">
            <w:pPr>
              <w:pStyle w:val="35"/>
              <w:spacing w:before="0"/>
              <w:rPr>
                <w:rFonts w:ascii="Arial" w:hAnsi="Arial" w:cs="Arial" w:eastAsiaTheme="minorEastAsia"/>
                <w:sz w:val="20"/>
                <w:szCs w:val="20"/>
                <w:lang w:eastAsia="zh-CN"/>
              </w:rPr>
            </w:pPr>
            <w:r>
              <w:rPr>
                <w:rFonts w:ascii="Arial" w:hAnsi="Arial" w:cs="Arial" w:eastAsiaTheme="minorEastAsia"/>
                <w:sz w:val="20"/>
                <w:szCs w:val="20"/>
                <w:lang w:eastAsia="zh-CN"/>
              </w:rPr>
              <w:t>130.88 ± 122.81</w:t>
            </w:r>
          </w:p>
        </w:tc>
        <w:tc>
          <w:tcPr>
            <w:tcW w:w="1310" w:type="dxa"/>
            <w:tcBorders>
              <w:bottom w:val="single" w:color="auto" w:sz="12" w:space="0"/>
            </w:tcBorders>
            <w:vAlign w:val="center"/>
          </w:tcPr>
          <w:p w14:paraId="70240773">
            <w:pPr>
              <w:pStyle w:val="35"/>
              <w:spacing w:before="0"/>
              <w:rPr>
                <w:rFonts w:ascii="Arial" w:hAnsi="Arial" w:cs="Arial" w:eastAsiaTheme="minorEastAsia"/>
                <w:sz w:val="20"/>
                <w:szCs w:val="20"/>
                <w:lang w:eastAsia="zh-CN"/>
              </w:rPr>
            </w:pPr>
            <w:r>
              <w:rPr>
                <w:rFonts w:ascii="Arial" w:hAnsi="Arial" w:cs="Arial" w:eastAsiaTheme="minorEastAsia"/>
                <w:sz w:val="20"/>
                <w:szCs w:val="20"/>
                <w:lang w:eastAsia="zh-CN"/>
              </w:rPr>
              <w:t>156.85 ± 139.43</w:t>
            </w:r>
          </w:p>
        </w:tc>
        <w:tc>
          <w:tcPr>
            <w:tcW w:w="1238" w:type="dxa"/>
            <w:tcBorders>
              <w:bottom w:val="single" w:color="auto" w:sz="12" w:space="0"/>
            </w:tcBorders>
            <w:vAlign w:val="center"/>
          </w:tcPr>
          <w:p w14:paraId="7EBAC795">
            <w:pPr>
              <w:pStyle w:val="35"/>
              <w:spacing w:before="0"/>
              <w:rPr>
                <w:rFonts w:ascii="Arial" w:hAnsi="Arial" w:cs="Arial" w:eastAsiaTheme="minorEastAsia"/>
                <w:sz w:val="20"/>
                <w:szCs w:val="20"/>
                <w:lang w:eastAsia="zh-CN"/>
              </w:rPr>
            </w:pPr>
            <w:r>
              <w:rPr>
                <w:rFonts w:ascii="Arial" w:hAnsi="Arial" w:cs="Arial" w:eastAsiaTheme="minorEastAsia"/>
                <w:sz w:val="20"/>
                <w:szCs w:val="20"/>
                <w:lang w:eastAsia="zh-CN"/>
              </w:rPr>
              <w:t>201.39 ± 164.81</w:t>
            </w:r>
          </w:p>
        </w:tc>
        <w:tc>
          <w:tcPr>
            <w:tcW w:w="623" w:type="dxa"/>
            <w:tcBorders>
              <w:bottom w:val="single" w:color="auto" w:sz="12" w:space="0"/>
            </w:tcBorders>
            <w:vAlign w:val="center"/>
          </w:tcPr>
          <w:p w14:paraId="63B2EF8A">
            <w:pPr>
              <w:pStyle w:val="35"/>
              <w:spacing w:before="0"/>
              <w:rPr>
                <w:rFonts w:ascii="Arial" w:hAnsi="Arial" w:cs="Arial" w:eastAsiaTheme="minorEastAsia"/>
                <w:sz w:val="20"/>
                <w:szCs w:val="20"/>
                <w:lang w:eastAsia="zh-CN"/>
              </w:rPr>
            </w:pPr>
            <w:r>
              <w:rPr>
                <w:rFonts w:ascii="Arial" w:hAnsi="Arial" w:cs="Arial" w:eastAsiaTheme="minorEastAsia"/>
                <w:sz w:val="20"/>
                <w:szCs w:val="20"/>
                <w:lang w:eastAsia="zh-CN"/>
              </w:rPr>
              <w:t>&lt;.001</w:t>
            </w:r>
          </w:p>
        </w:tc>
      </w:tr>
    </w:tbl>
    <w:p w14:paraId="06B6D840">
      <w:pPr>
        <w:pStyle w:val="35"/>
        <w:rPr>
          <w:rFonts w:eastAsiaTheme="minorEastAsia"/>
          <w:sz w:val="14"/>
          <w:lang w:eastAsia="zh-CN"/>
        </w:rPr>
        <w:sectPr>
          <w:pgSz w:w="12240" w:h="15840"/>
          <w:pgMar w:top="1400" w:right="1080" w:bottom="1040" w:left="1440" w:header="0" w:footer="844" w:gutter="0"/>
          <w:lnNumType w:countBy="1" w:restart="continuous"/>
          <w:cols w:space="720" w:num="1"/>
        </w:sectPr>
      </w:pPr>
    </w:p>
    <w:p w14:paraId="3532E646">
      <w:pPr>
        <w:pStyle w:val="28"/>
        <w:rPr>
          <w:rFonts w:eastAsiaTheme="minorEastAsia"/>
          <w:lang w:eastAsia="zh-CN"/>
        </w:rPr>
      </w:pPr>
      <w:bookmarkStart w:id="10" w:name="_Toc218072621"/>
      <w:bookmarkStart w:id="11" w:name="_Toc361ka2"/>
      <w:r>
        <w:t>eTable</w:t>
      </w:r>
      <w:r>
        <w:rPr>
          <w:spacing w:val="-10"/>
        </w:rPr>
        <w:t xml:space="preserve"> </w:t>
      </w:r>
      <w:r>
        <w:t>4.</w:t>
      </w:r>
      <w:r>
        <w:rPr>
          <w:spacing w:val="-1"/>
        </w:rPr>
        <w:t xml:space="preserve"> </w:t>
      </w:r>
      <w:r>
        <w:t>Detailed</w:t>
      </w:r>
      <w:r>
        <w:rPr>
          <w:spacing w:val="-10"/>
        </w:rPr>
        <w:t xml:space="preserve"> </w:t>
      </w:r>
      <w:r>
        <w:t>Baseline</w:t>
      </w:r>
      <w:r>
        <w:rPr>
          <w:spacing w:val="-10"/>
        </w:rPr>
        <w:t xml:space="preserve"> </w:t>
      </w:r>
      <w:r>
        <w:t>Characteristics</w:t>
      </w:r>
      <w:r>
        <w:rPr>
          <w:spacing w:val="-10"/>
        </w:rPr>
        <w:t xml:space="preserve"> </w:t>
      </w:r>
      <w:r>
        <w:t>by</w:t>
      </w:r>
      <w:r>
        <w:rPr>
          <w:spacing w:val="-9"/>
        </w:rPr>
        <w:t xml:space="preserve"> </w:t>
      </w:r>
      <w:r>
        <w:t>Diagnostic</w:t>
      </w:r>
      <w:r>
        <w:rPr>
          <w:spacing w:val="-10"/>
        </w:rPr>
        <w:t xml:space="preserve"> </w:t>
      </w:r>
      <w:r>
        <w:t>Group</w:t>
      </w:r>
      <w:r>
        <w:rPr>
          <w:spacing w:val="-10"/>
        </w:rPr>
        <w:t xml:space="preserve"> </w:t>
      </w:r>
      <w:r>
        <w:t>(eICU-</w:t>
      </w:r>
      <w:r>
        <w:rPr>
          <w:spacing w:val="-4"/>
        </w:rPr>
        <w:t>CRD)</w:t>
      </w:r>
      <w:bookmarkEnd w:id="10"/>
      <w:r>
        <w:tab/>
      </w:r>
      <w:bookmarkEnd w:id="11"/>
    </w:p>
    <w:tbl>
      <w:tblPr>
        <w:tblStyle w:val="17"/>
        <w:tblW w:w="0" w:type="auto"/>
        <w:tblInd w:w="0" w:type="dxa"/>
        <w:tblLayout w:type="fixed"/>
        <w:tblCellMar>
          <w:top w:w="15" w:type="dxa"/>
          <w:left w:w="15" w:type="dxa"/>
          <w:bottom w:w="15" w:type="dxa"/>
          <w:right w:w="15" w:type="dxa"/>
        </w:tblCellMar>
      </w:tblPr>
      <w:tblGrid>
        <w:gridCol w:w="2635"/>
        <w:gridCol w:w="2356"/>
        <w:gridCol w:w="1578"/>
        <w:gridCol w:w="1290"/>
        <w:gridCol w:w="1238"/>
        <w:gridCol w:w="623"/>
      </w:tblGrid>
      <w:tr w14:paraId="729E6A39">
        <w:trPr>
          <w:cantSplit/>
        </w:trPr>
        <w:tc>
          <w:tcPr>
            <w:tcW w:w="2635" w:type="dxa"/>
            <w:tcBorders>
              <w:top w:val="single" w:color="auto" w:sz="12" w:space="0"/>
              <w:bottom w:val="single" w:color="auto" w:sz="12" w:space="0"/>
            </w:tcBorders>
            <w:vAlign w:val="center"/>
          </w:tcPr>
          <w:p w14:paraId="000E8814">
            <w:pPr>
              <w:rPr>
                <w:rFonts w:ascii="Arial" w:hAnsi="Arial" w:cs="Arial" w:eastAsiaTheme="minorEastAsia"/>
                <w:b/>
                <w:bCs/>
                <w:sz w:val="20"/>
                <w:szCs w:val="20"/>
                <w:lang w:eastAsia="zh-CN"/>
              </w:rPr>
            </w:pPr>
            <w:r>
              <w:rPr>
                <w:rFonts w:ascii="Arial" w:hAnsi="Arial" w:cs="Arial" w:eastAsiaTheme="minorEastAsia"/>
                <w:b/>
                <w:bCs/>
                <w:sz w:val="20"/>
                <w:szCs w:val="20"/>
                <w:lang w:eastAsia="zh-CN"/>
              </w:rPr>
              <w:t>Characteristic</w:t>
            </w:r>
          </w:p>
        </w:tc>
        <w:tc>
          <w:tcPr>
            <w:tcW w:w="2356" w:type="dxa"/>
            <w:tcBorders>
              <w:top w:val="single" w:color="auto" w:sz="12" w:space="0"/>
              <w:bottom w:val="single" w:color="auto" w:sz="12" w:space="0"/>
            </w:tcBorders>
            <w:vAlign w:val="center"/>
          </w:tcPr>
          <w:p w14:paraId="3E15BAF8">
            <w:pPr>
              <w:rPr>
                <w:rFonts w:ascii="Arial" w:hAnsi="Arial" w:cs="Arial" w:eastAsiaTheme="minorEastAsia"/>
                <w:b/>
                <w:bCs/>
                <w:sz w:val="20"/>
                <w:szCs w:val="20"/>
                <w:lang w:eastAsia="zh-CN"/>
              </w:rPr>
            </w:pPr>
            <w:r>
              <w:rPr>
                <w:rFonts w:ascii="Arial" w:hAnsi="Arial" w:cs="Arial" w:eastAsiaTheme="minorEastAsia"/>
                <w:b/>
                <w:bCs/>
                <w:sz w:val="20"/>
                <w:szCs w:val="20"/>
                <w:lang w:eastAsia="zh-CN"/>
              </w:rPr>
              <w:t>Category</w:t>
            </w:r>
          </w:p>
        </w:tc>
        <w:tc>
          <w:tcPr>
            <w:tcW w:w="1578" w:type="dxa"/>
            <w:tcBorders>
              <w:top w:val="single" w:color="auto" w:sz="12" w:space="0"/>
              <w:bottom w:val="single" w:color="auto" w:sz="12" w:space="0"/>
            </w:tcBorders>
            <w:vAlign w:val="center"/>
          </w:tcPr>
          <w:p w14:paraId="11BB5510">
            <w:pPr>
              <w:rPr>
                <w:rFonts w:ascii="Arial" w:hAnsi="Arial" w:cs="Arial" w:eastAsiaTheme="minorEastAsia"/>
                <w:b/>
                <w:bCs/>
                <w:sz w:val="20"/>
                <w:szCs w:val="20"/>
                <w:lang w:eastAsia="zh-CN"/>
              </w:rPr>
            </w:pPr>
            <w:r>
              <w:rPr>
                <w:rFonts w:ascii="Arial" w:hAnsi="Arial" w:cs="Arial" w:eastAsiaTheme="minorEastAsia"/>
                <w:b/>
                <w:bCs/>
                <w:sz w:val="20"/>
                <w:szCs w:val="20"/>
                <w:lang w:eastAsia="zh-CN"/>
              </w:rPr>
              <w:t>Concordant Positive</w:t>
            </w:r>
          </w:p>
        </w:tc>
        <w:tc>
          <w:tcPr>
            <w:tcW w:w="1290" w:type="dxa"/>
            <w:tcBorders>
              <w:top w:val="single" w:color="auto" w:sz="12" w:space="0"/>
              <w:bottom w:val="single" w:color="auto" w:sz="12" w:space="0"/>
            </w:tcBorders>
            <w:vAlign w:val="center"/>
          </w:tcPr>
          <w:p w14:paraId="0F51BB23">
            <w:pPr>
              <w:rPr>
                <w:rFonts w:ascii="Arial" w:hAnsi="Arial" w:cs="Arial" w:eastAsiaTheme="minorEastAsia"/>
                <w:b/>
                <w:bCs/>
                <w:sz w:val="20"/>
                <w:szCs w:val="20"/>
                <w:lang w:eastAsia="zh-CN"/>
              </w:rPr>
            </w:pPr>
            <w:r>
              <w:rPr>
                <w:rFonts w:ascii="Arial" w:hAnsi="Arial" w:cs="Arial" w:eastAsiaTheme="minorEastAsia"/>
                <w:b/>
                <w:bCs/>
                <w:sz w:val="20"/>
                <w:szCs w:val="20"/>
                <w:lang w:eastAsia="zh-CN"/>
              </w:rPr>
              <w:t>SOFA-2 Only</w:t>
            </w:r>
          </w:p>
        </w:tc>
        <w:tc>
          <w:tcPr>
            <w:tcW w:w="1238" w:type="dxa"/>
            <w:tcBorders>
              <w:top w:val="single" w:color="auto" w:sz="12" w:space="0"/>
              <w:bottom w:val="single" w:color="auto" w:sz="12" w:space="0"/>
            </w:tcBorders>
            <w:vAlign w:val="center"/>
          </w:tcPr>
          <w:p w14:paraId="3D181832">
            <w:pPr>
              <w:rPr>
                <w:rFonts w:ascii="Arial" w:hAnsi="Arial" w:cs="Arial" w:eastAsiaTheme="minorEastAsia"/>
                <w:b/>
                <w:bCs/>
                <w:sz w:val="20"/>
                <w:szCs w:val="20"/>
                <w:lang w:eastAsia="zh-CN"/>
              </w:rPr>
            </w:pPr>
            <w:r>
              <w:rPr>
                <w:rFonts w:ascii="Arial" w:hAnsi="Arial" w:cs="Arial" w:eastAsiaTheme="minorEastAsia"/>
                <w:b/>
                <w:bCs/>
                <w:sz w:val="20"/>
                <w:szCs w:val="20"/>
                <w:lang w:eastAsia="zh-CN"/>
              </w:rPr>
              <w:t>SOFA-1 Only</w:t>
            </w:r>
          </w:p>
        </w:tc>
        <w:tc>
          <w:tcPr>
            <w:tcW w:w="623" w:type="dxa"/>
            <w:tcBorders>
              <w:top w:val="single" w:color="auto" w:sz="12" w:space="0"/>
              <w:bottom w:val="single" w:color="auto" w:sz="12" w:space="0"/>
            </w:tcBorders>
            <w:vAlign w:val="center"/>
          </w:tcPr>
          <w:p w14:paraId="0FC48A5D">
            <w:pPr>
              <w:rPr>
                <w:rFonts w:ascii="Arial" w:hAnsi="Arial" w:cs="Arial" w:eastAsiaTheme="minorEastAsia"/>
                <w:b/>
                <w:bCs/>
                <w:sz w:val="20"/>
                <w:szCs w:val="20"/>
                <w:lang w:eastAsia="zh-CN"/>
              </w:rPr>
            </w:pPr>
            <w:r>
              <w:rPr>
                <w:rFonts w:ascii="Arial" w:hAnsi="Arial" w:cs="Arial" w:eastAsiaTheme="minorEastAsia"/>
                <w:b/>
                <w:bCs/>
                <w:sz w:val="20"/>
                <w:szCs w:val="20"/>
                <w:lang w:eastAsia="zh-CN"/>
              </w:rPr>
              <w:t>P value</w:t>
            </w:r>
          </w:p>
        </w:tc>
      </w:tr>
      <w:tr w14:paraId="227E06BB">
        <w:trPr>
          <w:cantSplit/>
        </w:trPr>
        <w:tc>
          <w:tcPr>
            <w:tcW w:w="2635" w:type="dxa"/>
            <w:vAlign w:val="center"/>
          </w:tcPr>
          <w:p w14:paraId="1739ADB2">
            <w:pPr>
              <w:rPr>
                <w:rFonts w:ascii="Arial" w:hAnsi="Arial" w:cs="Arial" w:eastAsiaTheme="minorEastAsia"/>
                <w:sz w:val="20"/>
                <w:szCs w:val="20"/>
                <w:lang w:eastAsia="zh-CN"/>
              </w:rPr>
            </w:pPr>
            <w:r>
              <w:rPr>
                <w:rFonts w:ascii="Arial" w:hAnsi="Arial" w:cs="Arial" w:eastAsiaTheme="minorEastAsia"/>
                <w:sz w:val="20"/>
                <w:szCs w:val="20"/>
                <w:lang w:eastAsia="zh-CN"/>
              </w:rPr>
              <w:t>No. of patients</w:t>
            </w:r>
          </w:p>
        </w:tc>
        <w:tc>
          <w:tcPr>
            <w:tcW w:w="2356" w:type="dxa"/>
            <w:vAlign w:val="center"/>
          </w:tcPr>
          <w:p w14:paraId="37C18C0E">
            <w:pPr>
              <w:rPr>
                <w:rFonts w:ascii="Arial" w:hAnsi="Arial" w:cs="Arial" w:eastAsiaTheme="minorEastAsia"/>
                <w:sz w:val="20"/>
                <w:szCs w:val="20"/>
                <w:lang w:eastAsia="zh-CN"/>
              </w:rPr>
            </w:pPr>
            <w:r>
              <w:rPr>
                <w:rFonts w:ascii="Arial" w:hAnsi="Arial" w:cs="Arial" w:eastAsiaTheme="minorEastAsia"/>
                <w:sz w:val="20"/>
                <w:szCs w:val="20"/>
                <w:lang w:eastAsia="zh-CN"/>
              </w:rPr>
              <w:t>Sample size</w:t>
            </w:r>
          </w:p>
        </w:tc>
        <w:tc>
          <w:tcPr>
            <w:tcW w:w="1578" w:type="dxa"/>
            <w:vAlign w:val="center"/>
          </w:tcPr>
          <w:p w14:paraId="64264040">
            <w:pPr>
              <w:rPr>
                <w:rFonts w:ascii="Arial" w:hAnsi="Arial" w:cs="Arial" w:eastAsiaTheme="minorEastAsia"/>
                <w:sz w:val="20"/>
                <w:szCs w:val="20"/>
                <w:lang w:eastAsia="zh-CN"/>
              </w:rPr>
            </w:pPr>
            <w:r>
              <w:rPr>
                <w:rFonts w:ascii="Arial" w:hAnsi="Arial" w:cs="Arial" w:eastAsiaTheme="minorEastAsia"/>
                <w:sz w:val="20"/>
                <w:szCs w:val="20"/>
                <w:lang w:eastAsia="zh-CN"/>
              </w:rPr>
              <w:t>8,841</w:t>
            </w:r>
          </w:p>
        </w:tc>
        <w:tc>
          <w:tcPr>
            <w:tcW w:w="1290" w:type="dxa"/>
            <w:vAlign w:val="center"/>
          </w:tcPr>
          <w:p w14:paraId="3C90F91B">
            <w:pPr>
              <w:rPr>
                <w:rFonts w:ascii="Arial" w:hAnsi="Arial" w:cs="Arial" w:eastAsiaTheme="minorEastAsia"/>
                <w:sz w:val="20"/>
                <w:szCs w:val="20"/>
                <w:lang w:eastAsia="zh-CN"/>
              </w:rPr>
            </w:pPr>
            <w:r>
              <w:rPr>
                <w:rFonts w:ascii="Arial" w:hAnsi="Arial" w:cs="Arial" w:eastAsiaTheme="minorEastAsia"/>
                <w:sz w:val="20"/>
                <w:szCs w:val="20"/>
                <w:lang w:eastAsia="zh-CN"/>
              </w:rPr>
              <w:t>2,006</w:t>
            </w:r>
          </w:p>
        </w:tc>
        <w:tc>
          <w:tcPr>
            <w:tcW w:w="1238" w:type="dxa"/>
            <w:vAlign w:val="center"/>
          </w:tcPr>
          <w:p w14:paraId="23C259BE">
            <w:pPr>
              <w:rPr>
                <w:rFonts w:ascii="Arial" w:hAnsi="Arial" w:cs="Arial" w:eastAsiaTheme="minorEastAsia"/>
                <w:sz w:val="20"/>
                <w:szCs w:val="20"/>
                <w:lang w:eastAsia="zh-CN"/>
              </w:rPr>
            </w:pPr>
            <w:r>
              <w:rPr>
                <w:rFonts w:ascii="Arial" w:hAnsi="Arial" w:cs="Arial" w:eastAsiaTheme="minorEastAsia"/>
                <w:sz w:val="20"/>
                <w:szCs w:val="20"/>
                <w:lang w:eastAsia="zh-CN"/>
              </w:rPr>
              <w:t>1,362</w:t>
            </w:r>
          </w:p>
        </w:tc>
        <w:tc>
          <w:tcPr>
            <w:tcW w:w="623" w:type="dxa"/>
            <w:vAlign w:val="center"/>
          </w:tcPr>
          <w:p w14:paraId="67C8B0C0">
            <w:pPr>
              <w:rPr>
                <w:rFonts w:ascii="Arial" w:hAnsi="Arial" w:cs="Arial" w:eastAsiaTheme="minorEastAsia"/>
                <w:sz w:val="20"/>
                <w:szCs w:val="20"/>
                <w:lang w:eastAsia="zh-CN"/>
              </w:rPr>
            </w:pPr>
          </w:p>
        </w:tc>
      </w:tr>
      <w:tr w14:paraId="5291927E">
        <w:trPr>
          <w:cantSplit/>
        </w:trPr>
        <w:tc>
          <w:tcPr>
            <w:tcW w:w="2635" w:type="dxa"/>
            <w:vAlign w:val="center"/>
          </w:tcPr>
          <w:p w14:paraId="452125EE">
            <w:pPr>
              <w:rPr>
                <w:rFonts w:ascii="Arial" w:hAnsi="Arial" w:cs="Arial" w:eastAsiaTheme="minorEastAsia"/>
                <w:sz w:val="20"/>
                <w:szCs w:val="20"/>
                <w:lang w:eastAsia="zh-CN"/>
              </w:rPr>
            </w:pPr>
            <w:r>
              <w:rPr>
                <w:rFonts w:ascii="Arial" w:hAnsi="Arial" w:cs="Arial" w:eastAsiaTheme="minorEastAsia"/>
                <w:sz w:val="20"/>
                <w:szCs w:val="20"/>
                <w:lang w:eastAsia="zh-CN"/>
              </w:rPr>
              <w:t>Age, y</w:t>
            </w:r>
          </w:p>
        </w:tc>
        <w:tc>
          <w:tcPr>
            <w:tcW w:w="2356" w:type="dxa"/>
            <w:vAlign w:val="center"/>
          </w:tcPr>
          <w:p w14:paraId="127F88C6">
            <w:pPr>
              <w:rPr>
                <w:rFonts w:ascii="Arial" w:hAnsi="Arial" w:cs="Arial" w:eastAsiaTheme="minorEastAsia"/>
                <w:sz w:val="20"/>
                <w:szCs w:val="20"/>
                <w:lang w:eastAsia="zh-CN"/>
              </w:rPr>
            </w:pPr>
            <w:r>
              <w:rPr>
                <w:rFonts w:ascii="Arial" w:hAnsi="Arial" w:cs="Arial" w:eastAsiaTheme="minorEastAsia"/>
                <w:sz w:val="20"/>
                <w:szCs w:val="20"/>
                <w:lang w:eastAsia="zh-CN"/>
              </w:rPr>
              <w:t>Demographics</w:t>
            </w:r>
          </w:p>
        </w:tc>
        <w:tc>
          <w:tcPr>
            <w:tcW w:w="1578" w:type="dxa"/>
            <w:vAlign w:val="center"/>
          </w:tcPr>
          <w:p w14:paraId="4D182971">
            <w:pPr>
              <w:rPr>
                <w:rFonts w:ascii="Arial" w:hAnsi="Arial" w:cs="Arial" w:eastAsiaTheme="minorEastAsia"/>
                <w:sz w:val="20"/>
                <w:szCs w:val="20"/>
                <w:lang w:eastAsia="zh-CN"/>
              </w:rPr>
            </w:pPr>
            <w:r>
              <w:rPr>
                <w:rFonts w:ascii="Arial" w:hAnsi="Arial" w:cs="Arial" w:eastAsiaTheme="minorEastAsia"/>
                <w:sz w:val="20"/>
                <w:szCs w:val="20"/>
                <w:lang w:eastAsia="zh-CN"/>
              </w:rPr>
              <w:t>64.69 ± 15.79</w:t>
            </w:r>
          </w:p>
        </w:tc>
        <w:tc>
          <w:tcPr>
            <w:tcW w:w="1290" w:type="dxa"/>
            <w:vAlign w:val="center"/>
          </w:tcPr>
          <w:p w14:paraId="36745228">
            <w:pPr>
              <w:rPr>
                <w:rFonts w:ascii="Arial" w:hAnsi="Arial" w:cs="Arial" w:eastAsiaTheme="minorEastAsia"/>
                <w:sz w:val="20"/>
                <w:szCs w:val="20"/>
                <w:lang w:eastAsia="zh-CN"/>
              </w:rPr>
            </w:pPr>
            <w:r>
              <w:rPr>
                <w:rFonts w:ascii="Arial" w:hAnsi="Arial" w:cs="Arial" w:eastAsiaTheme="minorEastAsia"/>
                <w:sz w:val="20"/>
                <w:szCs w:val="20"/>
                <w:lang w:eastAsia="zh-CN"/>
              </w:rPr>
              <w:t>65.07 ± 15.96</w:t>
            </w:r>
          </w:p>
        </w:tc>
        <w:tc>
          <w:tcPr>
            <w:tcW w:w="1238" w:type="dxa"/>
            <w:vAlign w:val="center"/>
          </w:tcPr>
          <w:p w14:paraId="3AE0F979">
            <w:pPr>
              <w:rPr>
                <w:rFonts w:ascii="Arial" w:hAnsi="Arial" w:cs="Arial" w:eastAsiaTheme="minorEastAsia"/>
                <w:sz w:val="20"/>
                <w:szCs w:val="20"/>
                <w:lang w:eastAsia="zh-CN"/>
              </w:rPr>
            </w:pPr>
            <w:r>
              <w:rPr>
                <w:rFonts w:ascii="Arial" w:hAnsi="Arial" w:cs="Arial" w:eastAsiaTheme="minorEastAsia"/>
                <w:sz w:val="20"/>
                <w:szCs w:val="20"/>
                <w:lang w:eastAsia="zh-CN"/>
              </w:rPr>
              <w:t>66.04 ± 16.13</w:t>
            </w:r>
          </w:p>
        </w:tc>
        <w:tc>
          <w:tcPr>
            <w:tcW w:w="623" w:type="dxa"/>
            <w:vAlign w:val="center"/>
          </w:tcPr>
          <w:p w14:paraId="67099DFC">
            <w:pPr>
              <w:rPr>
                <w:rFonts w:ascii="Arial" w:hAnsi="Arial" w:cs="Arial" w:eastAsiaTheme="minorEastAsia"/>
                <w:sz w:val="20"/>
                <w:szCs w:val="20"/>
                <w:lang w:eastAsia="zh-CN"/>
              </w:rPr>
            </w:pPr>
            <w:r>
              <w:rPr>
                <w:rFonts w:ascii="Arial" w:hAnsi="Arial" w:cs="Arial" w:eastAsiaTheme="minorEastAsia"/>
                <w:sz w:val="20"/>
                <w:szCs w:val="20"/>
                <w:lang w:eastAsia="zh-CN"/>
              </w:rPr>
              <w:t>.004</w:t>
            </w:r>
          </w:p>
        </w:tc>
      </w:tr>
      <w:tr w14:paraId="309DC1A3">
        <w:trPr>
          <w:cantSplit/>
        </w:trPr>
        <w:tc>
          <w:tcPr>
            <w:tcW w:w="2635" w:type="dxa"/>
            <w:vAlign w:val="center"/>
          </w:tcPr>
          <w:p w14:paraId="2EE048C2">
            <w:pPr>
              <w:rPr>
                <w:rFonts w:ascii="Arial" w:hAnsi="Arial" w:cs="Arial" w:eastAsiaTheme="minorEastAsia"/>
                <w:sz w:val="20"/>
                <w:szCs w:val="20"/>
                <w:lang w:eastAsia="zh-CN"/>
              </w:rPr>
            </w:pPr>
            <w:r>
              <w:rPr>
                <w:rFonts w:ascii="Arial" w:hAnsi="Arial" w:cs="Arial" w:eastAsiaTheme="minorEastAsia"/>
                <w:sz w:val="20"/>
                <w:szCs w:val="20"/>
                <w:lang w:eastAsia="zh-CN"/>
              </w:rPr>
              <w:t>Male sex</w:t>
            </w:r>
          </w:p>
        </w:tc>
        <w:tc>
          <w:tcPr>
            <w:tcW w:w="2356" w:type="dxa"/>
            <w:vAlign w:val="center"/>
          </w:tcPr>
          <w:p w14:paraId="1C81FA43">
            <w:pPr>
              <w:rPr>
                <w:rFonts w:ascii="Arial" w:hAnsi="Arial" w:cs="Arial" w:eastAsiaTheme="minorEastAsia"/>
                <w:sz w:val="20"/>
                <w:szCs w:val="20"/>
                <w:lang w:eastAsia="zh-CN"/>
              </w:rPr>
            </w:pPr>
            <w:r>
              <w:rPr>
                <w:rFonts w:ascii="Arial" w:hAnsi="Arial" w:cs="Arial" w:eastAsiaTheme="minorEastAsia"/>
                <w:sz w:val="20"/>
                <w:szCs w:val="20"/>
                <w:lang w:eastAsia="zh-CN"/>
              </w:rPr>
              <w:t>Demographics</w:t>
            </w:r>
          </w:p>
        </w:tc>
        <w:tc>
          <w:tcPr>
            <w:tcW w:w="1578" w:type="dxa"/>
            <w:vAlign w:val="center"/>
          </w:tcPr>
          <w:p w14:paraId="651089E8">
            <w:pPr>
              <w:rPr>
                <w:rFonts w:ascii="Arial" w:hAnsi="Arial" w:cs="Arial" w:eastAsiaTheme="minorEastAsia"/>
                <w:sz w:val="20"/>
                <w:szCs w:val="20"/>
                <w:lang w:eastAsia="zh-CN"/>
              </w:rPr>
            </w:pPr>
            <w:r>
              <w:rPr>
                <w:rFonts w:ascii="Arial" w:hAnsi="Arial" w:cs="Arial" w:eastAsiaTheme="minorEastAsia"/>
                <w:sz w:val="20"/>
                <w:szCs w:val="20"/>
                <w:lang w:eastAsia="zh-CN"/>
              </w:rPr>
              <w:t>4,861 (55.0%)</w:t>
            </w:r>
          </w:p>
        </w:tc>
        <w:tc>
          <w:tcPr>
            <w:tcW w:w="1290" w:type="dxa"/>
            <w:vAlign w:val="center"/>
          </w:tcPr>
          <w:p w14:paraId="6FB5B1C7">
            <w:pPr>
              <w:rPr>
                <w:rFonts w:ascii="Arial" w:hAnsi="Arial" w:cs="Arial" w:eastAsiaTheme="minorEastAsia"/>
                <w:sz w:val="20"/>
                <w:szCs w:val="20"/>
                <w:lang w:eastAsia="zh-CN"/>
              </w:rPr>
            </w:pPr>
            <w:r>
              <w:rPr>
                <w:rFonts w:ascii="Arial" w:hAnsi="Arial" w:cs="Arial" w:eastAsiaTheme="minorEastAsia"/>
                <w:sz w:val="20"/>
                <w:szCs w:val="20"/>
                <w:lang w:eastAsia="zh-CN"/>
              </w:rPr>
              <w:t>1,057 (52.7%)</w:t>
            </w:r>
          </w:p>
        </w:tc>
        <w:tc>
          <w:tcPr>
            <w:tcW w:w="1238" w:type="dxa"/>
            <w:vAlign w:val="center"/>
          </w:tcPr>
          <w:p w14:paraId="22759295">
            <w:pPr>
              <w:rPr>
                <w:rFonts w:ascii="Arial" w:hAnsi="Arial" w:cs="Arial" w:eastAsiaTheme="minorEastAsia"/>
                <w:sz w:val="20"/>
                <w:szCs w:val="20"/>
                <w:lang w:eastAsia="zh-CN"/>
              </w:rPr>
            </w:pPr>
            <w:r>
              <w:rPr>
                <w:rFonts w:ascii="Arial" w:hAnsi="Arial" w:cs="Arial" w:eastAsiaTheme="minorEastAsia"/>
                <w:sz w:val="20"/>
                <w:szCs w:val="20"/>
                <w:lang w:eastAsia="zh-CN"/>
              </w:rPr>
              <w:t>695 (51.0%)</w:t>
            </w:r>
          </w:p>
        </w:tc>
        <w:tc>
          <w:tcPr>
            <w:tcW w:w="623" w:type="dxa"/>
            <w:vAlign w:val="center"/>
          </w:tcPr>
          <w:p w14:paraId="14D97B92">
            <w:pPr>
              <w:rPr>
                <w:rFonts w:ascii="Arial" w:hAnsi="Arial" w:cs="Arial" w:eastAsiaTheme="minorEastAsia"/>
                <w:sz w:val="20"/>
                <w:szCs w:val="20"/>
                <w:lang w:eastAsia="zh-CN"/>
              </w:rPr>
            </w:pPr>
            <w:r>
              <w:rPr>
                <w:rFonts w:ascii="Arial" w:hAnsi="Arial" w:cs="Arial" w:eastAsiaTheme="minorEastAsia"/>
                <w:sz w:val="20"/>
                <w:szCs w:val="20"/>
                <w:lang w:eastAsia="zh-CN"/>
              </w:rPr>
              <w:t>.008</w:t>
            </w:r>
          </w:p>
        </w:tc>
      </w:tr>
      <w:tr w14:paraId="347D8637">
        <w:trPr>
          <w:cantSplit/>
        </w:trPr>
        <w:tc>
          <w:tcPr>
            <w:tcW w:w="2635" w:type="dxa"/>
            <w:vAlign w:val="center"/>
          </w:tcPr>
          <w:p w14:paraId="1152729C">
            <w:pPr>
              <w:rPr>
                <w:rFonts w:ascii="Arial" w:hAnsi="Arial" w:cs="Arial" w:eastAsiaTheme="minorEastAsia"/>
                <w:sz w:val="20"/>
                <w:szCs w:val="20"/>
                <w:lang w:eastAsia="zh-CN"/>
              </w:rPr>
            </w:pPr>
            <w:r>
              <w:rPr>
                <w:rFonts w:ascii="Arial" w:hAnsi="Arial" w:cs="Arial" w:eastAsiaTheme="minorEastAsia"/>
                <w:sz w:val="20"/>
                <w:szCs w:val="20"/>
                <w:lang w:eastAsia="zh-CN"/>
              </w:rPr>
              <w:t>ICU length of stay, d</w:t>
            </w:r>
            <w:r>
              <w:rPr>
                <w:rFonts w:hint="eastAsia" w:ascii="Arial" w:hAnsi="Arial" w:cs="Arial" w:eastAsiaTheme="minorEastAsia"/>
                <w:sz w:val="20"/>
                <w:szCs w:val="20"/>
                <w:lang w:eastAsia="zh-CN"/>
              </w:rPr>
              <w:t xml:space="preserve"> (median)</w:t>
            </w:r>
          </w:p>
        </w:tc>
        <w:tc>
          <w:tcPr>
            <w:tcW w:w="2356" w:type="dxa"/>
            <w:vAlign w:val="center"/>
          </w:tcPr>
          <w:p w14:paraId="62F554D7">
            <w:pPr>
              <w:rPr>
                <w:rFonts w:ascii="Arial" w:hAnsi="Arial" w:cs="Arial" w:eastAsiaTheme="minorEastAsia"/>
                <w:sz w:val="20"/>
                <w:szCs w:val="20"/>
                <w:lang w:eastAsia="zh-CN"/>
              </w:rPr>
            </w:pPr>
            <w:r>
              <w:rPr>
                <w:rFonts w:ascii="Arial" w:hAnsi="Arial" w:cs="Arial" w:eastAsiaTheme="minorEastAsia"/>
                <w:sz w:val="20"/>
                <w:szCs w:val="20"/>
                <w:lang w:eastAsia="zh-CN"/>
              </w:rPr>
              <w:t>Demographics</w:t>
            </w:r>
          </w:p>
        </w:tc>
        <w:tc>
          <w:tcPr>
            <w:tcW w:w="1578" w:type="dxa"/>
            <w:vAlign w:val="center"/>
          </w:tcPr>
          <w:p w14:paraId="0AAE094C">
            <w:pPr>
              <w:rPr>
                <w:rFonts w:ascii="Arial" w:hAnsi="Arial" w:cs="Arial" w:eastAsiaTheme="minorEastAsia"/>
                <w:sz w:val="20"/>
                <w:szCs w:val="20"/>
                <w:lang w:eastAsia="zh-CN"/>
              </w:rPr>
            </w:pPr>
            <w:r>
              <w:rPr>
                <w:rFonts w:ascii="Arial" w:hAnsi="Arial" w:cs="Arial" w:eastAsiaTheme="minorEastAsia"/>
                <w:sz w:val="20"/>
                <w:szCs w:val="20"/>
                <w:lang w:eastAsia="zh-CN"/>
              </w:rPr>
              <w:t>4.</w:t>
            </w:r>
            <w:r>
              <w:rPr>
                <w:rFonts w:hint="eastAsia" w:ascii="Arial" w:hAnsi="Arial" w:cs="Arial" w:eastAsiaTheme="minorEastAsia"/>
                <w:sz w:val="20"/>
                <w:szCs w:val="20"/>
                <w:lang w:eastAsia="zh-CN"/>
              </w:rPr>
              <w:t>1</w:t>
            </w:r>
            <w:r>
              <w:rPr>
                <w:rFonts w:ascii="Arial" w:hAnsi="Arial" w:cs="Arial" w:eastAsiaTheme="minorEastAsia"/>
                <w:sz w:val="20"/>
                <w:szCs w:val="20"/>
                <w:lang w:eastAsia="zh-CN"/>
              </w:rPr>
              <w:t>0 (2.</w:t>
            </w:r>
            <w:r>
              <w:rPr>
                <w:rFonts w:hint="eastAsia" w:ascii="Arial" w:hAnsi="Arial" w:cs="Arial" w:eastAsiaTheme="minorEastAsia"/>
                <w:sz w:val="20"/>
                <w:szCs w:val="20"/>
                <w:lang w:eastAsia="zh-CN"/>
              </w:rPr>
              <w:t>33</w:t>
            </w:r>
            <w:r>
              <w:rPr>
                <w:rFonts w:ascii="Arial" w:hAnsi="Arial" w:cs="Arial" w:eastAsiaTheme="minorEastAsia"/>
                <w:sz w:val="20"/>
                <w:szCs w:val="20"/>
                <w:lang w:eastAsia="zh-CN"/>
              </w:rPr>
              <w:t>–</w:t>
            </w:r>
            <w:r>
              <w:rPr>
                <w:rFonts w:hint="eastAsia" w:ascii="Arial" w:hAnsi="Arial" w:cs="Arial" w:eastAsiaTheme="minorEastAsia"/>
                <w:sz w:val="20"/>
                <w:szCs w:val="20"/>
                <w:lang w:eastAsia="zh-CN"/>
              </w:rPr>
              <w:t>8</w:t>
            </w:r>
            <w:r>
              <w:rPr>
                <w:rFonts w:ascii="Arial" w:hAnsi="Arial" w:cs="Arial" w:eastAsiaTheme="minorEastAsia"/>
                <w:sz w:val="20"/>
                <w:szCs w:val="20"/>
                <w:lang w:eastAsia="zh-CN"/>
              </w:rPr>
              <w:t>.</w:t>
            </w:r>
            <w:r>
              <w:rPr>
                <w:rFonts w:hint="eastAsia" w:ascii="Arial" w:hAnsi="Arial" w:cs="Arial" w:eastAsiaTheme="minorEastAsia"/>
                <w:sz w:val="20"/>
                <w:szCs w:val="20"/>
                <w:lang w:eastAsia="zh-CN"/>
              </w:rPr>
              <w:t>06</w:t>
            </w:r>
            <w:r>
              <w:rPr>
                <w:rFonts w:ascii="Arial" w:hAnsi="Arial" w:cs="Arial" w:eastAsiaTheme="minorEastAsia"/>
                <w:sz w:val="20"/>
                <w:szCs w:val="20"/>
                <w:lang w:eastAsia="zh-CN"/>
              </w:rPr>
              <w:t>)</w:t>
            </w:r>
          </w:p>
        </w:tc>
        <w:tc>
          <w:tcPr>
            <w:tcW w:w="1290" w:type="dxa"/>
            <w:vAlign w:val="center"/>
          </w:tcPr>
          <w:p w14:paraId="7AA46752">
            <w:pPr>
              <w:rPr>
                <w:rFonts w:ascii="Arial" w:hAnsi="Arial" w:cs="Arial" w:eastAsiaTheme="minorEastAsia"/>
                <w:sz w:val="20"/>
                <w:szCs w:val="20"/>
                <w:lang w:eastAsia="zh-CN"/>
              </w:rPr>
            </w:pPr>
            <w:r>
              <w:rPr>
                <w:rFonts w:ascii="Arial" w:hAnsi="Arial" w:cs="Arial" w:eastAsiaTheme="minorEastAsia"/>
                <w:sz w:val="20"/>
                <w:szCs w:val="20"/>
                <w:lang w:eastAsia="zh-CN"/>
              </w:rPr>
              <w:t xml:space="preserve"> </w:t>
            </w:r>
            <w:r>
              <w:rPr>
                <w:rFonts w:hint="eastAsia" w:ascii="Arial" w:hAnsi="Arial" w:cs="Arial" w:eastAsiaTheme="minorEastAsia"/>
                <w:sz w:val="20"/>
                <w:szCs w:val="20"/>
                <w:lang w:eastAsia="zh-CN"/>
              </w:rPr>
              <w:t>3</w:t>
            </w:r>
            <w:r>
              <w:rPr>
                <w:rFonts w:ascii="Arial" w:hAnsi="Arial" w:cs="Arial" w:eastAsiaTheme="minorEastAsia"/>
                <w:sz w:val="20"/>
                <w:szCs w:val="20"/>
                <w:lang w:eastAsia="zh-CN"/>
              </w:rPr>
              <w:t>.</w:t>
            </w:r>
            <w:r>
              <w:rPr>
                <w:rFonts w:hint="eastAsia" w:ascii="Arial" w:hAnsi="Arial" w:cs="Arial" w:eastAsiaTheme="minorEastAsia"/>
                <w:sz w:val="20"/>
                <w:szCs w:val="20"/>
                <w:lang w:eastAsia="zh-CN"/>
              </w:rPr>
              <w:t>32</w:t>
            </w:r>
            <w:r>
              <w:rPr>
                <w:rFonts w:ascii="Arial" w:hAnsi="Arial" w:cs="Arial" w:eastAsiaTheme="minorEastAsia"/>
                <w:sz w:val="20"/>
                <w:szCs w:val="20"/>
                <w:lang w:eastAsia="zh-CN"/>
              </w:rPr>
              <w:t xml:space="preserve"> (</w:t>
            </w:r>
            <w:r>
              <w:rPr>
                <w:rFonts w:hint="eastAsia" w:ascii="Arial" w:hAnsi="Arial" w:cs="Arial" w:eastAsiaTheme="minorEastAsia"/>
                <w:sz w:val="20"/>
                <w:szCs w:val="20"/>
                <w:lang w:eastAsia="zh-CN"/>
              </w:rPr>
              <w:t>1</w:t>
            </w:r>
            <w:r>
              <w:rPr>
                <w:rFonts w:ascii="Arial" w:hAnsi="Arial" w:cs="Arial" w:eastAsiaTheme="minorEastAsia"/>
                <w:sz w:val="20"/>
                <w:szCs w:val="20"/>
                <w:lang w:eastAsia="zh-CN"/>
              </w:rPr>
              <w:t>.</w:t>
            </w:r>
            <w:r>
              <w:rPr>
                <w:rFonts w:hint="eastAsia" w:ascii="Arial" w:hAnsi="Arial" w:cs="Arial" w:eastAsiaTheme="minorEastAsia"/>
                <w:sz w:val="20"/>
                <w:szCs w:val="20"/>
                <w:lang w:eastAsia="zh-CN"/>
              </w:rPr>
              <w:t>94</w:t>
            </w:r>
            <w:r>
              <w:rPr>
                <w:rFonts w:ascii="Arial" w:hAnsi="Arial" w:cs="Arial" w:eastAsiaTheme="minorEastAsia"/>
                <w:sz w:val="20"/>
                <w:szCs w:val="20"/>
                <w:lang w:eastAsia="zh-CN"/>
              </w:rPr>
              <w:t>–</w:t>
            </w:r>
            <w:r>
              <w:rPr>
                <w:rFonts w:hint="eastAsia" w:ascii="Arial" w:hAnsi="Arial" w:cs="Arial" w:eastAsiaTheme="minorEastAsia"/>
                <w:sz w:val="20"/>
                <w:szCs w:val="20"/>
                <w:lang w:eastAsia="zh-CN"/>
              </w:rPr>
              <w:t>6</w:t>
            </w:r>
            <w:r>
              <w:rPr>
                <w:rFonts w:ascii="Arial" w:hAnsi="Arial" w:cs="Arial" w:eastAsiaTheme="minorEastAsia"/>
                <w:sz w:val="20"/>
                <w:szCs w:val="20"/>
                <w:lang w:eastAsia="zh-CN"/>
              </w:rPr>
              <w:t>.</w:t>
            </w:r>
            <w:r>
              <w:rPr>
                <w:rFonts w:hint="eastAsia" w:ascii="Arial" w:hAnsi="Arial" w:cs="Arial" w:eastAsiaTheme="minorEastAsia"/>
                <w:sz w:val="20"/>
                <w:szCs w:val="20"/>
                <w:lang w:eastAsia="zh-CN"/>
              </w:rPr>
              <w:t>22</w:t>
            </w:r>
            <w:r>
              <w:rPr>
                <w:rFonts w:ascii="Arial" w:hAnsi="Arial" w:cs="Arial" w:eastAsiaTheme="minorEastAsia"/>
                <w:sz w:val="20"/>
                <w:szCs w:val="20"/>
                <w:lang w:eastAsia="zh-CN"/>
              </w:rPr>
              <w:t>)</w:t>
            </w:r>
          </w:p>
        </w:tc>
        <w:tc>
          <w:tcPr>
            <w:tcW w:w="1238" w:type="dxa"/>
            <w:vAlign w:val="center"/>
          </w:tcPr>
          <w:p w14:paraId="00EEB55E">
            <w:pPr>
              <w:rPr>
                <w:rFonts w:ascii="Arial" w:hAnsi="Arial" w:cs="Arial" w:eastAsiaTheme="minorEastAsia"/>
                <w:sz w:val="20"/>
                <w:szCs w:val="20"/>
                <w:lang w:eastAsia="zh-CN"/>
              </w:rPr>
            </w:pPr>
            <w:r>
              <w:rPr>
                <w:rFonts w:ascii="Arial" w:hAnsi="Arial" w:cs="Arial" w:eastAsiaTheme="minorEastAsia"/>
                <w:sz w:val="20"/>
                <w:szCs w:val="20"/>
                <w:lang w:eastAsia="zh-CN"/>
              </w:rPr>
              <w:t xml:space="preserve"> </w:t>
            </w:r>
            <w:r>
              <w:rPr>
                <w:rFonts w:hint="eastAsia" w:ascii="Arial" w:hAnsi="Arial" w:cs="Arial" w:eastAsiaTheme="minorEastAsia"/>
                <w:sz w:val="20"/>
                <w:szCs w:val="20"/>
                <w:lang w:eastAsia="zh-CN"/>
              </w:rPr>
              <w:t>3</w:t>
            </w:r>
            <w:r>
              <w:rPr>
                <w:rFonts w:ascii="Arial" w:hAnsi="Arial" w:cs="Arial" w:eastAsiaTheme="minorEastAsia"/>
                <w:sz w:val="20"/>
                <w:szCs w:val="20"/>
                <w:lang w:eastAsia="zh-CN"/>
              </w:rPr>
              <w:t>.</w:t>
            </w:r>
            <w:r>
              <w:rPr>
                <w:rFonts w:hint="eastAsia" w:ascii="Arial" w:hAnsi="Arial" w:cs="Arial" w:eastAsiaTheme="minorEastAsia"/>
                <w:sz w:val="20"/>
                <w:szCs w:val="20"/>
                <w:lang w:eastAsia="zh-CN"/>
              </w:rPr>
              <w:t>27</w:t>
            </w:r>
            <w:r>
              <w:rPr>
                <w:rFonts w:ascii="Arial" w:hAnsi="Arial" w:cs="Arial" w:eastAsiaTheme="minorEastAsia"/>
                <w:sz w:val="20"/>
                <w:szCs w:val="20"/>
                <w:lang w:eastAsia="zh-CN"/>
              </w:rPr>
              <w:t xml:space="preserve"> (</w:t>
            </w:r>
            <w:r>
              <w:rPr>
                <w:rFonts w:hint="eastAsia" w:ascii="Arial" w:hAnsi="Arial" w:cs="Arial" w:eastAsiaTheme="minorEastAsia"/>
                <w:sz w:val="20"/>
                <w:szCs w:val="20"/>
                <w:lang w:eastAsia="zh-CN"/>
              </w:rPr>
              <w:t>1</w:t>
            </w:r>
            <w:r>
              <w:rPr>
                <w:rFonts w:ascii="Arial" w:hAnsi="Arial" w:cs="Arial" w:eastAsiaTheme="minorEastAsia"/>
                <w:sz w:val="20"/>
                <w:szCs w:val="20"/>
                <w:lang w:eastAsia="zh-CN"/>
              </w:rPr>
              <w:t>.</w:t>
            </w:r>
            <w:r>
              <w:rPr>
                <w:rFonts w:hint="eastAsia" w:ascii="Arial" w:hAnsi="Arial" w:cs="Arial" w:eastAsiaTheme="minorEastAsia"/>
                <w:sz w:val="20"/>
                <w:szCs w:val="20"/>
                <w:lang w:eastAsia="zh-CN"/>
              </w:rPr>
              <w:t>96</w:t>
            </w:r>
            <w:r>
              <w:rPr>
                <w:rFonts w:ascii="Arial" w:hAnsi="Arial" w:cs="Arial" w:eastAsiaTheme="minorEastAsia"/>
                <w:sz w:val="20"/>
                <w:szCs w:val="20"/>
                <w:lang w:eastAsia="zh-CN"/>
              </w:rPr>
              <w:t>–</w:t>
            </w:r>
            <w:r>
              <w:rPr>
                <w:rFonts w:hint="eastAsia" w:ascii="Arial" w:hAnsi="Arial" w:cs="Arial" w:eastAsiaTheme="minorEastAsia"/>
                <w:sz w:val="20"/>
                <w:szCs w:val="20"/>
                <w:lang w:eastAsia="zh-CN"/>
              </w:rPr>
              <w:t>5</w:t>
            </w:r>
            <w:r>
              <w:rPr>
                <w:rFonts w:ascii="Arial" w:hAnsi="Arial" w:cs="Arial" w:eastAsiaTheme="minorEastAsia"/>
                <w:sz w:val="20"/>
                <w:szCs w:val="20"/>
                <w:lang w:eastAsia="zh-CN"/>
              </w:rPr>
              <w:t>.</w:t>
            </w:r>
            <w:r>
              <w:rPr>
                <w:rFonts w:hint="eastAsia" w:ascii="Arial" w:hAnsi="Arial" w:cs="Arial" w:eastAsiaTheme="minorEastAsia"/>
                <w:sz w:val="20"/>
                <w:szCs w:val="20"/>
                <w:lang w:eastAsia="zh-CN"/>
              </w:rPr>
              <w:t>90</w:t>
            </w:r>
            <w:r>
              <w:rPr>
                <w:rFonts w:ascii="Arial" w:hAnsi="Arial" w:cs="Arial" w:eastAsiaTheme="minorEastAsia"/>
                <w:sz w:val="20"/>
                <w:szCs w:val="20"/>
                <w:lang w:eastAsia="zh-CN"/>
              </w:rPr>
              <w:t>)</w:t>
            </w:r>
          </w:p>
        </w:tc>
        <w:tc>
          <w:tcPr>
            <w:tcW w:w="623" w:type="dxa"/>
            <w:vAlign w:val="center"/>
          </w:tcPr>
          <w:p w14:paraId="558E58BC">
            <w:pPr>
              <w:rPr>
                <w:rFonts w:ascii="Arial" w:hAnsi="Arial" w:cs="Arial" w:eastAsiaTheme="minorEastAsia"/>
                <w:sz w:val="20"/>
                <w:szCs w:val="20"/>
                <w:lang w:eastAsia="zh-CN"/>
              </w:rPr>
            </w:pPr>
            <w:r>
              <w:rPr>
                <w:rFonts w:ascii="Arial" w:hAnsi="Arial" w:cs="Arial" w:eastAsiaTheme="minorEastAsia"/>
                <w:sz w:val="20"/>
                <w:szCs w:val="20"/>
                <w:lang w:eastAsia="zh-CN"/>
              </w:rPr>
              <w:t>&lt;.001</w:t>
            </w:r>
          </w:p>
        </w:tc>
      </w:tr>
      <w:tr w14:paraId="20134167">
        <w:trPr>
          <w:cantSplit/>
        </w:trPr>
        <w:tc>
          <w:tcPr>
            <w:tcW w:w="2635" w:type="dxa"/>
            <w:vAlign w:val="center"/>
          </w:tcPr>
          <w:p w14:paraId="07A4947B">
            <w:pPr>
              <w:rPr>
                <w:rFonts w:ascii="Arial" w:hAnsi="Arial" w:cs="Arial" w:eastAsiaTheme="minorEastAsia"/>
                <w:sz w:val="20"/>
                <w:szCs w:val="20"/>
                <w:lang w:eastAsia="zh-CN"/>
              </w:rPr>
            </w:pPr>
            <w:r>
              <w:rPr>
                <w:rFonts w:ascii="Arial" w:hAnsi="Arial" w:cs="Arial" w:eastAsiaTheme="minorEastAsia"/>
                <w:sz w:val="20"/>
                <w:szCs w:val="20"/>
                <w:lang w:eastAsia="zh-CN"/>
              </w:rPr>
              <w:t>PaO</w:t>
            </w:r>
            <w:r>
              <w:rPr>
                <w:rFonts w:ascii="Arial" w:hAnsi="Arial" w:eastAsia="宋体" w:cs="Arial"/>
                <w:sz w:val="20"/>
                <w:szCs w:val="20"/>
                <w:vertAlign w:val="subscript"/>
                <w:lang w:eastAsia="zh-CN"/>
              </w:rPr>
              <w:t>2</w:t>
            </w:r>
            <w:r>
              <w:rPr>
                <w:rFonts w:ascii="Arial" w:hAnsi="Arial" w:cs="Arial" w:eastAsiaTheme="minorEastAsia"/>
                <w:sz w:val="20"/>
                <w:szCs w:val="20"/>
                <w:lang w:eastAsia="zh-CN"/>
              </w:rPr>
              <w:t>, mm Hg (mean)</w:t>
            </w:r>
          </w:p>
        </w:tc>
        <w:tc>
          <w:tcPr>
            <w:tcW w:w="2356" w:type="dxa"/>
            <w:vAlign w:val="center"/>
          </w:tcPr>
          <w:p w14:paraId="48E469D5">
            <w:pPr>
              <w:rPr>
                <w:rFonts w:ascii="Arial" w:hAnsi="Arial" w:cs="Arial" w:eastAsiaTheme="minorEastAsia"/>
                <w:sz w:val="20"/>
                <w:szCs w:val="20"/>
                <w:lang w:eastAsia="zh-CN"/>
              </w:rPr>
            </w:pPr>
            <w:r>
              <w:rPr>
                <w:rFonts w:ascii="Arial" w:hAnsi="Arial" w:cs="Arial" w:eastAsiaTheme="minorEastAsia"/>
                <w:sz w:val="20"/>
                <w:szCs w:val="20"/>
                <w:lang w:eastAsia="zh-CN"/>
              </w:rPr>
              <w:t>SOFA-1 Respiratory</w:t>
            </w:r>
          </w:p>
        </w:tc>
        <w:tc>
          <w:tcPr>
            <w:tcW w:w="1578" w:type="dxa"/>
            <w:vAlign w:val="center"/>
          </w:tcPr>
          <w:p w14:paraId="6F3CD135">
            <w:pPr>
              <w:rPr>
                <w:rFonts w:ascii="Arial" w:hAnsi="Arial" w:cs="Arial" w:eastAsiaTheme="minorEastAsia"/>
                <w:sz w:val="20"/>
                <w:szCs w:val="20"/>
                <w:lang w:eastAsia="zh-CN"/>
              </w:rPr>
            </w:pPr>
            <w:r>
              <w:rPr>
                <w:rFonts w:ascii="Arial" w:hAnsi="Arial" w:cs="Arial" w:eastAsiaTheme="minorEastAsia"/>
                <w:sz w:val="20"/>
                <w:szCs w:val="20"/>
                <w:lang w:eastAsia="zh-CN"/>
              </w:rPr>
              <w:t>111.49 ± 52.35</w:t>
            </w:r>
          </w:p>
        </w:tc>
        <w:tc>
          <w:tcPr>
            <w:tcW w:w="1290" w:type="dxa"/>
            <w:vAlign w:val="center"/>
          </w:tcPr>
          <w:p w14:paraId="18BFC46F">
            <w:pPr>
              <w:rPr>
                <w:rFonts w:ascii="Arial" w:hAnsi="Arial" w:cs="Arial" w:eastAsiaTheme="minorEastAsia"/>
                <w:sz w:val="20"/>
                <w:szCs w:val="20"/>
                <w:lang w:eastAsia="zh-CN"/>
              </w:rPr>
            </w:pPr>
            <w:r>
              <w:rPr>
                <w:rFonts w:ascii="Arial" w:hAnsi="Arial" w:cs="Arial" w:eastAsiaTheme="minorEastAsia"/>
                <w:sz w:val="20"/>
                <w:szCs w:val="20"/>
                <w:lang w:eastAsia="zh-CN"/>
              </w:rPr>
              <w:t>103.25 ± 45.17</w:t>
            </w:r>
          </w:p>
        </w:tc>
        <w:tc>
          <w:tcPr>
            <w:tcW w:w="1238" w:type="dxa"/>
            <w:vAlign w:val="center"/>
          </w:tcPr>
          <w:p w14:paraId="781A191A">
            <w:pPr>
              <w:rPr>
                <w:rFonts w:ascii="Arial" w:hAnsi="Arial" w:cs="Arial" w:eastAsiaTheme="minorEastAsia"/>
                <w:sz w:val="20"/>
                <w:szCs w:val="20"/>
                <w:lang w:eastAsia="zh-CN"/>
              </w:rPr>
            </w:pPr>
            <w:r>
              <w:rPr>
                <w:rFonts w:ascii="Arial" w:hAnsi="Arial" w:cs="Arial" w:eastAsiaTheme="minorEastAsia"/>
                <w:sz w:val="20"/>
                <w:szCs w:val="20"/>
                <w:lang w:eastAsia="zh-CN"/>
              </w:rPr>
              <w:t>103.42 ± 46.65</w:t>
            </w:r>
          </w:p>
        </w:tc>
        <w:tc>
          <w:tcPr>
            <w:tcW w:w="623" w:type="dxa"/>
            <w:vAlign w:val="center"/>
          </w:tcPr>
          <w:p w14:paraId="44D99C5B">
            <w:pPr>
              <w:rPr>
                <w:rFonts w:ascii="Arial" w:hAnsi="Arial" w:cs="Arial" w:eastAsiaTheme="minorEastAsia"/>
                <w:sz w:val="20"/>
                <w:szCs w:val="20"/>
                <w:lang w:eastAsia="zh-CN"/>
              </w:rPr>
            </w:pPr>
            <w:r>
              <w:rPr>
                <w:rFonts w:ascii="Arial" w:hAnsi="Arial" w:cs="Arial" w:eastAsiaTheme="minorEastAsia"/>
                <w:sz w:val="20"/>
                <w:szCs w:val="20"/>
                <w:lang w:eastAsia="zh-CN"/>
              </w:rPr>
              <w:t>&lt;.001</w:t>
            </w:r>
          </w:p>
        </w:tc>
      </w:tr>
      <w:tr w14:paraId="3A5F1194">
        <w:trPr>
          <w:cantSplit/>
        </w:trPr>
        <w:tc>
          <w:tcPr>
            <w:tcW w:w="2635" w:type="dxa"/>
            <w:vAlign w:val="center"/>
          </w:tcPr>
          <w:p w14:paraId="7834FFC8">
            <w:pPr>
              <w:rPr>
                <w:rFonts w:ascii="Arial" w:hAnsi="Arial" w:cs="Arial" w:eastAsiaTheme="minorEastAsia"/>
                <w:sz w:val="20"/>
                <w:szCs w:val="20"/>
                <w:lang w:eastAsia="zh-CN"/>
              </w:rPr>
            </w:pPr>
            <w:r>
              <w:rPr>
                <w:rFonts w:ascii="Arial" w:hAnsi="Arial" w:cs="Arial" w:eastAsiaTheme="minorEastAsia"/>
                <w:sz w:val="20"/>
                <w:szCs w:val="20"/>
                <w:lang w:eastAsia="zh-CN"/>
              </w:rPr>
              <w:t>FiO</w:t>
            </w:r>
            <w:r>
              <w:rPr>
                <w:rFonts w:ascii="Arial" w:hAnsi="Arial" w:eastAsia="宋体" w:cs="Arial"/>
                <w:sz w:val="20"/>
                <w:szCs w:val="20"/>
                <w:vertAlign w:val="subscript"/>
                <w:lang w:eastAsia="zh-CN"/>
              </w:rPr>
              <w:t>2</w:t>
            </w:r>
            <w:r>
              <w:rPr>
                <w:rFonts w:ascii="Arial" w:hAnsi="Arial" w:cs="Arial" w:eastAsiaTheme="minorEastAsia"/>
                <w:sz w:val="20"/>
                <w:szCs w:val="20"/>
                <w:lang w:eastAsia="zh-CN"/>
              </w:rPr>
              <w:t>, % (mean)</w:t>
            </w:r>
          </w:p>
        </w:tc>
        <w:tc>
          <w:tcPr>
            <w:tcW w:w="2356" w:type="dxa"/>
            <w:vAlign w:val="center"/>
          </w:tcPr>
          <w:p w14:paraId="1E4B6CFE">
            <w:pPr>
              <w:rPr>
                <w:rFonts w:ascii="Arial" w:hAnsi="Arial" w:cs="Arial" w:eastAsiaTheme="minorEastAsia"/>
                <w:sz w:val="20"/>
                <w:szCs w:val="20"/>
                <w:lang w:eastAsia="zh-CN"/>
              </w:rPr>
            </w:pPr>
            <w:r>
              <w:rPr>
                <w:rFonts w:ascii="Arial" w:hAnsi="Arial" w:cs="Arial" w:eastAsiaTheme="minorEastAsia"/>
                <w:sz w:val="20"/>
                <w:szCs w:val="20"/>
                <w:lang w:eastAsia="zh-CN"/>
              </w:rPr>
              <w:t>SOFA-1 Respiratory</w:t>
            </w:r>
          </w:p>
        </w:tc>
        <w:tc>
          <w:tcPr>
            <w:tcW w:w="1578" w:type="dxa"/>
            <w:vAlign w:val="center"/>
          </w:tcPr>
          <w:p w14:paraId="21F8F398">
            <w:pPr>
              <w:rPr>
                <w:rFonts w:ascii="Arial" w:hAnsi="Arial" w:cs="Arial" w:eastAsiaTheme="minorEastAsia"/>
                <w:sz w:val="20"/>
                <w:szCs w:val="20"/>
                <w:lang w:eastAsia="zh-CN"/>
              </w:rPr>
            </w:pPr>
            <w:r>
              <w:rPr>
                <w:rFonts w:ascii="Arial" w:hAnsi="Arial" w:cs="Arial" w:eastAsiaTheme="minorEastAsia"/>
                <w:sz w:val="20"/>
                <w:szCs w:val="20"/>
                <w:lang w:eastAsia="zh-CN"/>
              </w:rPr>
              <w:t>51.89 ± 18.99</w:t>
            </w:r>
          </w:p>
        </w:tc>
        <w:tc>
          <w:tcPr>
            <w:tcW w:w="1290" w:type="dxa"/>
            <w:vAlign w:val="center"/>
          </w:tcPr>
          <w:p w14:paraId="3AD03A90">
            <w:pPr>
              <w:rPr>
                <w:rFonts w:ascii="Arial" w:hAnsi="Arial" w:cs="Arial" w:eastAsiaTheme="minorEastAsia"/>
                <w:sz w:val="20"/>
                <w:szCs w:val="20"/>
                <w:lang w:eastAsia="zh-CN"/>
              </w:rPr>
            </w:pPr>
            <w:r>
              <w:rPr>
                <w:rFonts w:ascii="Arial" w:hAnsi="Arial" w:cs="Arial" w:eastAsiaTheme="minorEastAsia"/>
                <w:sz w:val="20"/>
                <w:szCs w:val="20"/>
                <w:lang w:eastAsia="zh-CN"/>
              </w:rPr>
              <w:t>42.55 ± 17.29</w:t>
            </w:r>
          </w:p>
        </w:tc>
        <w:tc>
          <w:tcPr>
            <w:tcW w:w="1238" w:type="dxa"/>
            <w:vAlign w:val="center"/>
          </w:tcPr>
          <w:p w14:paraId="63403471">
            <w:pPr>
              <w:rPr>
                <w:rFonts w:ascii="Arial" w:hAnsi="Arial" w:cs="Arial" w:eastAsiaTheme="minorEastAsia"/>
                <w:sz w:val="20"/>
                <w:szCs w:val="20"/>
                <w:lang w:eastAsia="zh-CN"/>
              </w:rPr>
            </w:pPr>
            <w:r>
              <w:rPr>
                <w:rFonts w:ascii="Arial" w:hAnsi="Arial" w:cs="Arial" w:eastAsiaTheme="minorEastAsia"/>
                <w:sz w:val="20"/>
                <w:szCs w:val="20"/>
                <w:lang w:eastAsia="zh-CN"/>
              </w:rPr>
              <w:t>45.98 ± 19.06</w:t>
            </w:r>
          </w:p>
        </w:tc>
        <w:tc>
          <w:tcPr>
            <w:tcW w:w="623" w:type="dxa"/>
            <w:vAlign w:val="center"/>
          </w:tcPr>
          <w:p w14:paraId="0781451F">
            <w:pPr>
              <w:rPr>
                <w:rFonts w:ascii="Arial" w:hAnsi="Arial" w:cs="Arial" w:eastAsiaTheme="minorEastAsia"/>
                <w:sz w:val="20"/>
                <w:szCs w:val="20"/>
                <w:lang w:eastAsia="zh-CN"/>
              </w:rPr>
            </w:pPr>
            <w:r>
              <w:rPr>
                <w:rFonts w:ascii="Arial" w:hAnsi="Arial" w:cs="Arial" w:eastAsiaTheme="minorEastAsia"/>
                <w:sz w:val="20"/>
                <w:szCs w:val="20"/>
                <w:lang w:eastAsia="zh-CN"/>
              </w:rPr>
              <w:t>&lt;.001</w:t>
            </w:r>
          </w:p>
        </w:tc>
      </w:tr>
      <w:tr w14:paraId="39AB4E1D">
        <w:trPr>
          <w:cantSplit/>
        </w:trPr>
        <w:tc>
          <w:tcPr>
            <w:tcW w:w="2635" w:type="dxa"/>
            <w:vAlign w:val="center"/>
          </w:tcPr>
          <w:p w14:paraId="468550B5">
            <w:pPr>
              <w:rPr>
                <w:rFonts w:ascii="Arial" w:hAnsi="Arial" w:cs="Arial" w:eastAsiaTheme="minorEastAsia"/>
                <w:sz w:val="20"/>
                <w:szCs w:val="20"/>
                <w:lang w:eastAsia="zh-CN"/>
              </w:rPr>
            </w:pPr>
            <w:r>
              <w:rPr>
                <w:rFonts w:ascii="Arial" w:hAnsi="Arial" w:cs="Arial" w:eastAsiaTheme="minorEastAsia"/>
                <w:sz w:val="20"/>
                <w:szCs w:val="20"/>
                <w:lang w:eastAsia="zh-CN"/>
              </w:rPr>
              <w:t>PaO</w:t>
            </w:r>
            <w:r>
              <w:rPr>
                <w:rFonts w:ascii="Arial" w:hAnsi="Arial" w:eastAsia="宋体" w:cs="Arial"/>
                <w:sz w:val="20"/>
                <w:szCs w:val="20"/>
                <w:vertAlign w:val="subscript"/>
                <w:lang w:eastAsia="zh-CN"/>
              </w:rPr>
              <w:t>2</w:t>
            </w:r>
            <w:r>
              <w:rPr>
                <w:rFonts w:ascii="Arial" w:hAnsi="Arial" w:cs="Arial" w:eastAsiaTheme="minorEastAsia"/>
                <w:sz w:val="20"/>
                <w:szCs w:val="20"/>
                <w:lang w:eastAsia="zh-CN"/>
              </w:rPr>
              <w:t>/FiO</w:t>
            </w:r>
            <w:r>
              <w:rPr>
                <w:rFonts w:ascii="Arial" w:hAnsi="Arial" w:eastAsia="宋体" w:cs="Arial"/>
                <w:sz w:val="20"/>
                <w:szCs w:val="20"/>
                <w:vertAlign w:val="subscript"/>
                <w:lang w:eastAsia="zh-CN"/>
              </w:rPr>
              <w:t>2</w:t>
            </w:r>
            <w:r>
              <w:rPr>
                <w:rFonts w:ascii="Arial" w:hAnsi="Arial" w:cs="Arial" w:eastAsiaTheme="minorEastAsia"/>
                <w:sz w:val="20"/>
                <w:szCs w:val="20"/>
                <w:lang w:eastAsia="zh-CN"/>
              </w:rPr>
              <w:t xml:space="preserve"> ratio (mean)</w:t>
            </w:r>
          </w:p>
        </w:tc>
        <w:tc>
          <w:tcPr>
            <w:tcW w:w="2356" w:type="dxa"/>
            <w:vAlign w:val="center"/>
          </w:tcPr>
          <w:p w14:paraId="75CA3512">
            <w:pPr>
              <w:rPr>
                <w:rFonts w:ascii="Arial" w:hAnsi="Arial" w:cs="Arial" w:eastAsiaTheme="minorEastAsia"/>
                <w:sz w:val="20"/>
                <w:szCs w:val="20"/>
                <w:lang w:eastAsia="zh-CN"/>
              </w:rPr>
            </w:pPr>
            <w:r>
              <w:rPr>
                <w:rFonts w:ascii="Arial" w:hAnsi="Arial" w:cs="Arial" w:eastAsiaTheme="minorEastAsia"/>
                <w:sz w:val="20"/>
                <w:szCs w:val="20"/>
                <w:lang w:eastAsia="zh-CN"/>
              </w:rPr>
              <w:t>SOFA-1 Respiratory</w:t>
            </w:r>
          </w:p>
        </w:tc>
        <w:tc>
          <w:tcPr>
            <w:tcW w:w="1578" w:type="dxa"/>
            <w:vAlign w:val="center"/>
          </w:tcPr>
          <w:p w14:paraId="377C75F8">
            <w:pPr>
              <w:rPr>
                <w:rFonts w:ascii="Arial" w:hAnsi="Arial" w:cs="Arial" w:eastAsiaTheme="minorEastAsia"/>
                <w:sz w:val="20"/>
                <w:szCs w:val="20"/>
                <w:lang w:eastAsia="zh-CN"/>
              </w:rPr>
            </w:pPr>
            <w:r>
              <w:rPr>
                <w:rFonts w:ascii="Arial" w:hAnsi="Arial" w:cs="Arial" w:eastAsiaTheme="minorEastAsia"/>
                <w:sz w:val="20"/>
                <w:szCs w:val="20"/>
                <w:lang w:eastAsia="zh-CN"/>
              </w:rPr>
              <w:t>245.89 ± 145.44</w:t>
            </w:r>
          </w:p>
        </w:tc>
        <w:tc>
          <w:tcPr>
            <w:tcW w:w="1290" w:type="dxa"/>
            <w:vAlign w:val="center"/>
          </w:tcPr>
          <w:p w14:paraId="23F87AA3">
            <w:pPr>
              <w:rPr>
                <w:rFonts w:ascii="Arial" w:hAnsi="Arial" w:cs="Arial" w:eastAsiaTheme="minorEastAsia"/>
                <w:sz w:val="20"/>
                <w:szCs w:val="20"/>
                <w:lang w:eastAsia="zh-CN"/>
              </w:rPr>
            </w:pPr>
            <w:r>
              <w:rPr>
                <w:rFonts w:ascii="Arial" w:hAnsi="Arial" w:cs="Arial" w:eastAsiaTheme="minorEastAsia"/>
                <w:sz w:val="20"/>
                <w:szCs w:val="20"/>
                <w:lang w:eastAsia="zh-CN"/>
              </w:rPr>
              <w:t>251.89 ± 134.45</w:t>
            </w:r>
          </w:p>
        </w:tc>
        <w:tc>
          <w:tcPr>
            <w:tcW w:w="1238" w:type="dxa"/>
            <w:vAlign w:val="center"/>
          </w:tcPr>
          <w:p w14:paraId="214DF5BA">
            <w:pPr>
              <w:rPr>
                <w:rFonts w:ascii="Arial" w:hAnsi="Arial" w:cs="Arial" w:eastAsiaTheme="minorEastAsia"/>
                <w:sz w:val="20"/>
                <w:szCs w:val="20"/>
                <w:lang w:eastAsia="zh-CN"/>
              </w:rPr>
            </w:pPr>
            <w:r>
              <w:rPr>
                <w:rFonts w:ascii="Arial" w:hAnsi="Arial" w:cs="Arial" w:eastAsiaTheme="minorEastAsia"/>
                <w:sz w:val="20"/>
                <w:szCs w:val="20"/>
                <w:lang w:eastAsia="zh-CN"/>
              </w:rPr>
              <w:t>266.82 ± 136.12</w:t>
            </w:r>
          </w:p>
        </w:tc>
        <w:tc>
          <w:tcPr>
            <w:tcW w:w="623" w:type="dxa"/>
            <w:vAlign w:val="center"/>
          </w:tcPr>
          <w:p w14:paraId="3B4E5DBF">
            <w:pPr>
              <w:rPr>
                <w:rFonts w:ascii="Arial" w:hAnsi="Arial" w:cs="Arial" w:eastAsiaTheme="minorEastAsia"/>
                <w:sz w:val="20"/>
                <w:szCs w:val="20"/>
                <w:lang w:eastAsia="zh-CN"/>
              </w:rPr>
            </w:pPr>
            <w:r>
              <w:rPr>
                <w:rFonts w:ascii="Arial" w:hAnsi="Arial" w:cs="Arial" w:eastAsiaTheme="minorEastAsia"/>
                <w:sz w:val="20"/>
                <w:szCs w:val="20"/>
                <w:lang w:eastAsia="zh-CN"/>
              </w:rPr>
              <w:t>&lt;.001</w:t>
            </w:r>
          </w:p>
        </w:tc>
      </w:tr>
      <w:tr w14:paraId="74230101">
        <w:trPr>
          <w:cantSplit/>
        </w:trPr>
        <w:tc>
          <w:tcPr>
            <w:tcW w:w="2635" w:type="dxa"/>
            <w:vAlign w:val="center"/>
          </w:tcPr>
          <w:p w14:paraId="4739909C">
            <w:pPr>
              <w:rPr>
                <w:rFonts w:ascii="Arial" w:hAnsi="Arial" w:cs="Arial" w:eastAsiaTheme="minorEastAsia"/>
                <w:sz w:val="20"/>
                <w:szCs w:val="20"/>
                <w:lang w:eastAsia="zh-CN"/>
              </w:rPr>
            </w:pPr>
            <w:r>
              <w:rPr>
                <w:rFonts w:ascii="Arial" w:hAnsi="Arial" w:cs="Arial" w:eastAsiaTheme="minorEastAsia"/>
                <w:sz w:val="20"/>
                <w:szCs w:val="20"/>
                <w:lang w:eastAsia="zh-CN"/>
              </w:rPr>
              <w:t>Mechanical ventilation, any</w:t>
            </w:r>
          </w:p>
        </w:tc>
        <w:tc>
          <w:tcPr>
            <w:tcW w:w="2356" w:type="dxa"/>
            <w:vAlign w:val="center"/>
          </w:tcPr>
          <w:p w14:paraId="1AABCF23">
            <w:pPr>
              <w:rPr>
                <w:rFonts w:ascii="Arial" w:hAnsi="Arial" w:cs="Arial" w:eastAsiaTheme="minorEastAsia"/>
                <w:sz w:val="20"/>
                <w:szCs w:val="20"/>
                <w:lang w:eastAsia="zh-CN"/>
              </w:rPr>
            </w:pPr>
            <w:r>
              <w:rPr>
                <w:rFonts w:ascii="Arial" w:hAnsi="Arial" w:cs="Arial" w:eastAsiaTheme="minorEastAsia"/>
                <w:sz w:val="20"/>
                <w:szCs w:val="20"/>
                <w:lang w:eastAsia="zh-CN"/>
              </w:rPr>
              <w:t>SOFA-1 Respiratory</w:t>
            </w:r>
          </w:p>
        </w:tc>
        <w:tc>
          <w:tcPr>
            <w:tcW w:w="1578" w:type="dxa"/>
            <w:vAlign w:val="center"/>
          </w:tcPr>
          <w:p w14:paraId="01A97D17">
            <w:pPr>
              <w:rPr>
                <w:rFonts w:ascii="Arial" w:hAnsi="Arial" w:cs="Arial" w:eastAsiaTheme="minorEastAsia"/>
                <w:sz w:val="20"/>
                <w:szCs w:val="20"/>
                <w:lang w:eastAsia="zh-CN"/>
              </w:rPr>
            </w:pPr>
            <w:r>
              <w:rPr>
                <w:rFonts w:ascii="Arial" w:hAnsi="Arial" w:cs="Arial" w:eastAsiaTheme="minorEastAsia"/>
                <w:sz w:val="20"/>
                <w:szCs w:val="20"/>
                <w:lang w:eastAsia="zh-CN"/>
              </w:rPr>
              <w:t>6,066 (68.6%)</w:t>
            </w:r>
          </w:p>
        </w:tc>
        <w:tc>
          <w:tcPr>
            <w:tcW w:w="1290" w:type="dxa"/>
            <w:vAlign w:val="center"/>
          </w:tcPr>
          <w:p w14:paraId="3070428C">
            <w:pPr>
              <w:rPr>
                <w:rFonts w:ascii="Arial" w:hAnsi="Arial" w:cs="Arial" w:eastAsiaTheme="minorEastAsia"/>
                <w:sz w:val="20"/>
                <w:szCs w:val="20"/>
                <w:lang w:eastAsia="zh-CN"/>
              </w:rPr>
            </w:pPr>
            <w:r>
              <w:rPr>
                <w:rFonts w:ascii="Arial" w:hAnsi="Arial" w:cs="Arial" w:eastAsiaTheme="minorEastAsia"/>
                <w:sz w:val="20"/>
                <w:szCs w:val="20"/>
                <w:lang w:eastAsia="zh-CN"/>
              </w:rPr>
              <w:t>1,379 (68.7%)</w:t>
            </w:r>
          </w:p>
        </w:tc>
        <w:tc>
          <w:tcPr>
            <w:tcW w:w="1238" w:type="dxa"/>
            <w:vAlign w:val="center"/>
          </w:tcPr>
          <w:p w14:paraId="13519AB1">
            <w:pPr>
              <w:rPr>
                <w:rFonts w:ascii="Arial" w:hAnsi="Arial" w:cs="Arial" w:eastAsiaTheme="minorEastAsia"/>
                <w:sz w:val="20"/>
                <w:szCs w:val="20"/>
                <w:lang w:eastAsia="zh-CN"/>
              </w:rPr>
            </w:pPr>
            <w:r>
              <w:rPr>
                <w:rFonts w:ascii="Arial" w:hAnsi="Arial" w:cs="Arial" w:eastAsiaTheme="minorEastAsia"/>
                <w:sz w:val="20"/>
                <w:szCs w:val="20"/>
                <w:lang w:eastAsia="zh-CN"/>
              </w:rPr>
              <w:t>759 (55.7%)</w:t>
            </w:r>
          </w:p>
        </w:tc>
        <w:tc>
          <w:tcPr>
            <w:tcW w:w="623" w:type="dxa"/>
            <w:vAlign w:val="center"/>
          </w:tcPr>
          <w:p w14:paraId="7875AABA">
            <w:pPr>
              <w:rPr>
                <w:rFonts w:ascii="Arial" w:hAnsi="Arial" w:cs="Arial" w:eastAsiaTheme="minorEastAsia"/>
                <w:sz w:val="20"/>
                <w:szCs w:val="20"/>
                <w:lang w:eastAsia="zh-CN"/>
              </w:rPr>
            </w:pPr>
            <w:r>
              <w:rPr>
                <w:rFonts w:ascii="Arial" w:hAnsi="Arial" w:cs="Arial" w:eastAsiaTheme="minorEastAsia"/>
                <w:sz w:val="20"/>
                <w:szCs w:val="20"/>
                <w:lang w:eastAsia="zh-CN"/>
              </w:rPr>
              <w:t>&lt;.001</w:t>
            </w:r>
          </w:p>
        </w:tc>
      </w:tr>
      <w:tr w14:paraId="637CB50B">
        <w:trPr>
          <w:cantSplit/>
        </w:trPr>
        <w:tc>
          <w:tcPr>
            <w:tcW w:w="2635" w:type="dxa"/>
            <w:vAlign w:val="center"/>
          </w:tcPr>
          <w:p w14:paraId="06D3936C">
            <w:pPr>
              <w:rPr>
                <w:rFonts w:ascii="Arial" w:hAnsi="Arial" w:cs="Arial" w:eastAsiaTheme="minorEastAsia"/>
                <w:sz w:val="20"/>
                <w:szCs w:val="20"/>
                <w:lang w:eastAsia="zh-CN"/>
              </w:rPr>
            </w:pPr>
            <w:r>
              <w:rPr>
                <w:rFonts w:ascii="Arial" w:hAnsi="Arial" w:cs="Arial" w:eastAsiaTheme="minorEastAsia"/>
                <w:sz w:val="20"/>
                <w:szCs w:val="20"/>
                <w:lang w:eastAsia="zh-CN"/>
              </w:rPr>
              <w:t>SpO</w:t>
            </w:r>
            <w:r>
              <w:rPr>
                <w:rFonts w:ascii="Arial" w:hAnsi="Arial" w:eastAsia="宋体" w:cs="Arial"/>
                <w:sz w:val="20"/>
                <w:szCs w:val="20"/>
                <w:vertAlign w:val="subscript"/>
                <w:lang w:eastAsia="zh-CN"/>
              </w:rPr>
              <w:t>2</w:t>
            </w:r>
            <w:r>
              <w:rPr>
                <w:rFonts w:ascii="Arial" w:hAnsi="Arial" w:cs="Arial" w:eastAsiaTheme="minorEastAsia"/>
                <w:sz w:val="20"/>
                <w:szCs w:val="20"/>
                <w:lang w:eastAsia="zh-CN"/>
              </w:rPr>
              <w:t>, % (mean)</w:t>
            </w:r>
          </w:p>
        </w:tc>
        <w:tc>
          <w:tcPr>
            <w:tcW w:w="2356" w:type="dxa"/>
            <w:vAlign w:val="center"/>
          </w:tcPr>
          <w:p w14:paraId="7BC1358D">
            <w:pPr>
              <w:rPr>
                <w:rFonts w:ascii="Arial" w:hAnsi="Arial" w:cs="Arial" w:eastAsiaTheme="minorEastAsia"/>
                <w:sz w:val="20"/>
                <w:szCs w:val="20"/>
                <w:lang w:eastAsia="zh-CN"/>
              </w:rPr>
            </w:pPr>
            <w:r>
              <w:rPr>
                <w:rFonts w:ascii="Arial" w:hAnsi="Arial" w:cs="Arial" w:eastAsiaTheme="minorEastAsia"/>
                <w:sz w:val="20"/>
                <w:szCs w:val="20"/>
                <w:lang w:eastAsia="zh-CN"/>
              </w:rPr>
              <w:t>SOFA-2 Respiratory (updated)</w:t>
            </w:r>
          </w:p>
        </w:tc>
        <w:tc>
          <w:tcPr>
            <w:tcW w:w="1578" w:type="dxa"/>
            <w:vAlign w:val="center"/>
          </w:tcPr>
          <w:p w14:paraId="5B112A5C">
            <w:pPr>
              <w:rPr>
                <w:rFonts w:ascii="Arial" w:hAnsi="Arial" w:cs="Arial" w:eastAsiaTheme="minorEastAsia"/>
                <w:sz w:val="20"/>
                <w:szCs w:val="20"/>
                <w:lang w:eastAsia="zh-CN"/>
              </w:rPr>
            </w:pPr>
            <w:r>
              <w:rPr>
                <w:rFonts w:ascii="Arial" w:hAnsi="Arial" w:cs="Arial" w:eastAsiaTheme="minorEastAsia"/>
                <w:sz w:val="20"/>
                <w:szCs w:val="20"/>
                <w:lang w:eastAsia="zh-CN"/>
              </w:rPr>
              <w:t>96.71 ± 2.63</w:t>
            </w:r>
          </w:p>
        </w:tc>
        <w:tc>
          <w:tcPr>
            <w:tcW w:w="1290" w:type="dxa"/>
            <w:vAlign w:val="center"/>
          </w:tcPr>
          <w:p w14:paraId="561401E4">
            <w:pPr>
              <w:rPr>
                <w:rFonts w:ascii="Arial" w:hAnsi="Arial" w:cs="Arial" w:eastAsiaTheme="minorEastAsia"/>
                <w:sz w:val="20"/>
                <w:szCs w:val="20"/>
                <w:lang w:eastAsia="zh-CN"/>
              </w:rPr>
            </w:pPr>
            <w:r>
              <w:rPr>
                <w:rFonts w:ascii="Arial" w:hAnsi="Arial" w:cs="Arial" w:eastAsiaTheme="minorEastAsia"/>
                <w:sz w:val="20"/>
                <w:szCs w:val="20"/>
                <w:lang w:eastAsia="zh-CN"/>
              </w:rPr>
              <w:t>96.30 ± 2.29</w:t>
            </w:r>
          </w:p>
        </w:tc>
        <w:tc>
          <w:tcPr>
            <w:tcW w:w="1238" w:type="dxa"/>
            <w:vAlign w:val="center"/>
          </w:tcPr>
          <w:p w14:paraId="7EF1D380">
            <w:pPr>
              <w:rPr>
                <w:rFonts w:ascii="Arial" w:hAnsi="Arial" w:cs="Arial" w:eastAsiaTheme="minorEastAsia"/>
                <w:sz w:val="20"/>
                <w:szCs w:val="20"/>
                <w:lang w:eastAsia="zh-CN"/>
              </w:rPr>
            </w:pPr>
            <w:r>
              <w:rPr>
                <w:rFonts w:ascii="Arial" w:hAnsi="Arial" w:cs="Arial" w:eastAsiaTheme="minorEastAsia"/>
                <w:sz w:val="20"/>
                <w:szCs w:val="20"/>
                <w:lang w:eastAsia="zh-CN"/>
              </w:rPr>
              <w:t>96.77 ± 2.22</w:t>
            </w:r>
          </w:p>
        </w:tc>
        <w:tc>
          <w:tcPr>
            <w:tcW w:w="623" w:type="dxa"/>
            <w:vAlign w:val="center"/>
          </w:tcPr>
          <w:p w14:paraId="31896B7C">
            <w:pPr>
              <w:rPr>
                <w:rFonts w:ascii="Arial" w:hAnsi="Arial" w:cs="Arial" w:eastAsiaTheme="minorEastAsia"/>
                <w:sz w:val="20"/>
                <w:szCs w:val="20"/>
                <w:lang w:eastAsia="zh-CN"/>
              </w:rPr>
            </w:pPr>
            <w:r>
              <w:rPr>
                <w:rFonts w:ascii="Arial" w:hAnsi="Arial" w:cs="Arial" w:eastAsiaTheme="minorEastAsia"/>
                <w:sz w:val="20"/>
                <w:szCs w:val="20"/>
                <w:lang w:eastAsia="zh-CN"/>
              </w:rPr>
              <w:t>&lt;.001</w:t>
            </w:r>
          </w:p>
        </w:tc>
      </w:tr>
      <w:tr w14:paraId="0E6ACA8A">
        <w:trPr>
          <w:cantSplit/>
        </w:trPr>
        <w:tc>
          <w:tcPr>
            <w:tcW w:w="2635" w:type="dxa"/>
            <w:vAlign w:val="center"/>
          </w:tcPr>
          <w:p w14:paraId="7CBF0254">
            <w:pPr>
              <w:rPr>
                <w:rFonts w:ascii="Arial" w:hAnsi="Arial" w:cs="Arial" w:eastAsiaTheme="minorEastAsia"/>
                <w:sz w:val="20"/>
                <w:szCs w:val="20"/>
                <w:lang w:eastAsia="zh-CN"/>
              </w:rPr>
            </w:pPr>
            <w:r>
              <w:rPr>
                <w:rFonts w:ascii="Arial" w:hAnsi="Arial" w:cs="Arial" w:eastAsiaTheme="minorEastAsia"/>
                <w:sz w:val="20"/>
                <w:szCs w:val="20"/>
                <w:lang w:eastAsia="zh-CN"/>
              </w:rPr>
              <w:t>SpO</w:t>
            </w:r>
            <w:r>
              <w:rPr>
                <w:rFonts w:ascii="Arial" w:hAnsi="Arial" w:eastAsia="宋体" w:cs="Arial"/>
                <w:sz w:val="20"/>
                <w:szCs w:val="20"/>
                <w:vertAlign w:val="subscript"/>
                <w:lang w:eastAsia="zh-CN"/>
              </w:rPr>
              <w:t>2</w:t>
            </w:r>
            <w:r>
              <w:rPr>
                <w:rFonts w:ascii="Arial" w:hAnsi="Arial" w:cs="Arial" w:eastAsiaTheme="minorEastAsia"/>
                <w:sz w:val="20"/>
                <w:szCs w:val="20"/>
                <w:lang w:eastAsia="zh-CN"/>
              </w:rPr>
              <w:t>/FiO</w:t>
            </w:r>
            <w:r>
              <w:rPr>
                <w:rFonts w:ascii="Arial" w:hAnsi="Arial" w:eastAsia="宋体" w:cs="Arial"/>
                <w:sz w:val="20"/>
                <w:szCs w:val="20"/>
                <w:vertAlign w:val="subscript"/>
                <w:lang w:eastAsia="zh-CN"/>
              </w:rPr>
              <w:t>2</w:t>
            </w:r>
            <w:r>
              <w:rPr>
                <w:rFonts w:ascii="Arial" w:hAnsi="Arial" w:cs="Arial" w:eastAsiaTheme="minorEastAsia"/>
                <w:sz w:val="20"/>
                <w:szCs w:val="20"/>
                <w:lang w:eastAsia="zh-CN"/>
              </w:rPr>
              <w:t xml:space="preserve"> ratio (mean)</w:t>
            </w:r>
          </w:p>
        </w:tc>
        <w:tc>
          <w:tcPr>
            <w:tcW w:w="2356" w:type="dxa"/>
            <w:vAlign w:val="center"/>
          </w:tcPr>
          <w:p w14:paraId="4A2049E0">
            <w:pPr>
              <w:rPr>
                <w:rFonts w:ascii="Arial" w:hAnsi="Arial" w:cs="Arial" w:eastAsiaTheme="minorEastAsia"/>
                <w:sz w:val="20"/>
                <w:szCs w:val="20"/>
                <w:lang w:eastAsia="zh-CN"/>
              </w:rPr>
            </w:pPr>
            <w:r>
              <w:rPr>
                <w:rFonts w:ascii="Arial" w:hAnsi="Arial" w:cs="Arial" w:eastAsiaTheme="minorEastAsia"/>
                <w:sz w:val="20"/>
                <w:szCs w:val="20"/>
                <w:lang w:eastAsia="zh-CN"/>
              </w:rPr>
              <w:t>SOFA-2 Respiratory (updated)</w:t>
            </w:r>
          </w:p>
        </w:tc>
        <w:tc>
          <w:tcPr>
            <w:tcW w:w="1578" w:type="dxa"/>
            <w:vAlign w:val="center"/>
          </w:tcPr>
          <w:p w14:paraId="1C74BA95">
            <w:pPr>
              <w:rPr>
                <w:rFonts w:ascii="Arial" w:hAnsi="Arial" w:cs="Arial" w:eastAsiaTheme="minorEastAsia"/>
                <w:sz w:val="20"/>
                <w:szCs w:val="20"/>
                <w:lang w:eastAsia="zh-CN"/>
              </w:rPr>
            </w:pPr>
            <w:r>
              <w:rPr>
                <w:rFonts w:ascii="Arial" w:hAnsi="Arial" w:cs="Arial" w:eastAsiaTheme="minorEastAsia"/>
                <w:sz w:val="20"/>
                <w:szCs w:val="20"/>
                <w:lang w:eastAsia="zh-CN"/>
              </w:rPr>
              <w:t>218.20 ± 78.13</w:t>
            </w:r>
          </w:p>
        </w:tc>
        <w:tc>
          <w:tcPr>
            <w:tcW w:w="1290" w:type="dxa"/>
            <w:vAlign w:val="center"/>
          </w:tcPr>
          <w:p w14:paraId="7699434E">
            <w:pPr>
              <w:rPr>
                <w:rFonts w:ascii="Arial" w:hAnsi="Arial" w:cs="Arial" w:eastAsiaTheme="minorEastAsia"/>
                <w:sz w:val="20"/>
                <w:szCs w:val="20"/>
                <w:lang w:eastAsia="zh-CN"/>
              </w:rPr>
            </w:pPr>
            <w:r>
              <w:rPr>
                <w:rFonts w:ascii="Arial" w:hAnsi="Arial" w:cs="Arial" w:eastAsiaTheme="minorEastAsia"/>
                <w:sz w:val="20"/>
                <w:szCs w:val="20"/>
                <w:lang w:eastAsia="zh-CN"/>
              </w:rPr>
              <w:t>266.55 ± 94.32</w:t>
            </w:r>
          </w:p>
        </w:tc>
        <w:tc>
          <w:tcPr>
            <w:tcW w:w="1238" w:type="dxa"/>
            <w:vAlign w:val="center"/>
          </w:tcPr>
          <w:p w14:paraId="4E2DDECD">
            <w:pPr>
              <w:rPr>
                <w:rFonts w:ascii="Arial" w:hAnsi="Arial" w:cs="Arial" w:eastAsiaTheme="minorEastAsia"/>
                <w:sz w:val="20"/>
                <w:szCs w:val="20"/>
                <w:lang w:eastAsia="zh-CN"/>
              </w:rPr>
            </w:pPr>
            <w:r>
              <w:rPr>
                <w:rFonts w:ascii="Arial" w:hAnsi="Arial" w:cs="Arial" w:eastAsiaTheme="minorEastAsia"/>
                <w:sz w:val="20"/>
                <w:szCs w:val="20"/>
                <w:lang w:eastAsia="zh-CN"/>
              </w:rPr>
              <w:t>250.41 ± 90.37</w:t>
            </w:r>
          </w:p>
        </w:tc>
        <w:tc>
          <w:tcPr>
            <w:tcW w:w="623" w:type="dxa"/>
            <w:vAlign w:val="center"/>
          </w:tcPr>
          <w:p w14:paraId="0FB30434">
            <w:pPr>
              <w:rPr>
                <w:rFonts w:ascii="Arial" w:hAnsi="Arial" w:cs="Arial" w:eastAsiaTheme="minorEastAsia"/>
                <w:sz w:val="20"/>
                <w:szCs w:val="20"/>
                <w:lang w:eastAsia="zh-CN"/>
              </w:rPr>
            </w:pPr>
            <w:r>
              <w:rPr>
                <w:rFonts w:ascii="Arial" w:hAnsi="Arial" w:cs="Arial" w:eastAsiaTheme="minorEastAsia"/>
                <w:sz w:val="20"/>
                <w:szCs w:val="20"/>
                <w:lang w:eastAsia="zh-CN"/>
              </w:rPr>
              <w:t>&lt;.001</w:t>
            </w:r>
          </w:p>
        </w:tc>
      </w:tr>
      <w:tr w14:paraId="58CD89B9">
        <w:trPr>
          <w:cantSplit/>
        </w:trPr>
        <w:tc>
          <w:tcPr>
            <w:tcW w:w="2635" w:type="dxa"/>
            <w:vAlign w:val="center"/>
          </w:tcPr>
          <w:p w14:paraId="756970D1">
            <w:pPr>
              <w:rPr>
                <w:rFonts w:ascii="Arial" w:hAnsi="Arial" w:cs="Arial" w:eastAsiaTheme="minorEastAsia"/>
                <w:sz w:val="20"/>
                <w:szCs w:val="20"/>
                <w:lang w:eastAsia="zh-CN"/>
              </w:rPr>
            </w:pPr>
            <w:r>
              <w:rPr>
                <w:rFonts w:ascii="Arial" w:hAnsi="Arial" w:cs="Arial" w:eastAsiaTheme="minorEastAsia"/>
                <w:sz w:val="20"/>
                <w:szCs w:val="20"/>
                <w:lang w:eastAsia="zh-CN"/>
              </w:rPr>
              <w:t>Advanced respiratory support, any</w:t>
            </w:r>
          </w:p>
        </w:tc>
        <w:tc>
          <w:tcPr>
            <w:tcW w:w="2356" w:type="dxa"/>
            <w:vAlign w:val="center"/>
          </w:tcPr>
          <w:p w14:paraId="3C025F53">
            <w:pPr>
              <w:rPr>
                <w:rFonts w:ascii="Arial" w:hAnsi="Arial" w:cs="Arial" w:eastAsiaTheme="minorEastAsia"/>
                <w:sz w:val="20"/>
                <w:szCs w:val="20"/>
                <w:lang w:eastAsia="zh-CN"/>
              </w:rPr>
            </w:pPr>
            <w:r>
              <w:rPr>
                <w:rFonts w:ascii="Arial" w:hAnsi="Arial" w:cs="Arial" w:eastAsiaTheme="minorEastAsia"/>
                <w:sz w:val="20"/>
                <w:szCs w:val="20"/>
                <w:lang w:eastAsia="zh-CN"/>
              </w:rPr>
              <w:t>SOFA-2 Respiratory (updated)</w:t>
            </w:r>
          </w:p>
        </w:tc>
        <w:tc>
          <w:tcPr>
            <w:tcW w:w="1578" w:type="dxa"/>
            <w:vAlign w:val="center"/>
          </w:tcPr>
          <w:p w14:paraId="464F2B5B">
            <w:pPr>
              <w:rPr>
                <w:rFonts w:ascii="Arial" w:hAnsi="Arial" w:cs="Arial" w:eastAsiaTheme="minorEastAsia"/>
                <w:sz w:val="20"/>
                <w:szCs w:val="20"/>
                <w:lang w:eastAsia="zh-CN"/>
              </w:rPr>
            </w:pPr>
            <w:r>
              <w:rPr>
                <w:rFonts w:ascii="Arial" w:hAnsi="Arial" w:cs="Arial" w:eastAsiaTheme="minorEastAsia"/>
                <w:sz w:val="20"/>
                <w:szCs w:val="20"/>
                <w:lang w:eastAsia="zh-CN"/>
              </w:rPr>
              <w:t>5,189 (58.7%)</w:t>
            </w:r>
          </w:p>
        </w:tc>
        <w:tc>
          <w:tcPr>
            <w:tcW w:w="1290" w:type="dxa"/>
            <w:vAlign w:val="center"/>
          </w:tcPr>
          <w:p w14:paraId="3C98C5B0">
            <w:pPr>
              <w:rPr>
                <w:rFonts w:ascii="Arial" w:hAnsi="Arial" w:cs="Arial" w:eastAsiaTheme="minorEastAsia"/>
                <w:sz w:val="20"/>
                <w:szCs w:val="20"/>
                <w:lang w:eastAsia="zh-CN"/>
              </w:rPr>
            </w:pPr>
            <w:r>
              <w:rPr>
                <w:rFonts w:ascii="Arial" w:hAnsi="Arial" w:cs="Arial" w:eastAsiaTheme="minorEastAsia"/>
                <w:sz w:val="20"/>
                <w:szCs w:val="20"/>
                <w:lang w:eastAsia="zh-CN"/>
              </w:rPr>
              <w:t>991 (49.4%)</w:t>
            </w:r>
          </w:p>
        </w:tc>
        <w:tc>
          <w:tcPr>
            <w:tcW w:w="1238" w:type="dxa"/>
            <w:vAlign w:val="center"/>
          </w:tcPr>
          <w:p w14:paraId="29D05E5F">
            <w:pPr>
              <w:rPr>
                <w:rFonts w:ascii="Arial" w:hAnsi="Arial" w:cs="Arial" w:eastAsiaTheme="minorEastAsia"/>
                <w:sz w:val="20"/>
                <w:szCs w:val="20"/>
                <w:lang w:eastAsia="zh-CN"/>
              </w:rPr>
            </w:pPr>
            <w:r>
              <w:rPr>
                <w:rFonts w:ascii="Arial" w:hAnsi="Arial" w:cs="Arial" w:eastAsiaTheme="minorEastAsia"/>
                <w:sz w:val="20"/>
                <w:szCs w:val="20"/>
                <w:lang w:eastAsia="zh-CN"/>
              </w:rPr>
              <w:t>440 (32.3%)</w:t>
            </w:r>
          </w:p>
        </w:tc>
        <w:tc>
          <w:tcPr>
            <w:tcW w:w="623" w:type="dxa"/>
            <w:vAlign w:val="center"/>
          </w:tcPr>
          <w:p w14:paraId="62111815">
            <w:pPr>
              <w:rPr>
                <w:rFonts w:ascii="Arial" w:hAnsi="Arial" w:cs="Arial" w:eastAsiaTheme="minorEastAsia"/>
                <w:sz w:val="20"/>
                <w:szCs w:val="20"/>
                <w:lang w:eastAsia="zh-CN"/>
              </w:rPr>
            </w:pPr>
            <w:r>
              <w:rPr>
                <w:rFonts w:ascii="Arial" w:hAnsi="Arial" w:cs="Arial" w:eastAsiaTheme="minorEastAsia"/>
                <w:sz w:val="20"/>
                <w:szCs w:val="20"/>
                <w:lang w:eastAsia="zh-CN"/>
              </w:rPr>
              <w:t>&lt;.001</w:t>
            </w:r>
          </w:p>
        </w:tc>
      </w:tr>
      <w:tr w14:paraId="576468F0">
        <w:trPr>
          <w:cantSplit/>
        </w:trPr>
        <w:tc>
          <w:tcPr>
            <w:tcW w:w="2635" w:type="dxa"/>
            <w:vAlign w:val="center"/>
          </w:tcPr>
          <w:p w14:paraId="4E0976F3">
            <w:pPr>
              <w:rPr>
                <w:rFonts w:ascii="Arial" w:hAnsi="Arial" w:cs="Arial" w:eastAsiaTheme="minorEastAsia"/>
                <w:sz w:val="20"/>
                <w:szCs w:val="20"/>
                <w:lang w:eastAsia="zh-CN"/>
              </w:rPr>
            </w:pPr>
            <w:r>
              <w:rPr>
                <w:rFonts w:ascii="Arial" w:hAnsi="Arial" w:cs="Arial" w:eastAsiaTheme="minorEastAsia"/>
                <w:sz w:val="20"/>
                <w:szCs w:val="20"/>
                <w:lang w:eastAsia="zh-CN"/>
              </w:rPr>
              <w:t>Platelets, ×10³/µL (mean)</w:t>
            </w:r>
          </w:p>
        </w:tc>
        <w:tc>
          <w:tcPr>
            <w:tcW w:w="2356" w:type="dxa"/>
            <w:vAlign w:val="center"/>
          </w:tcPr>
          <w:p w14:paraId="5B8472C7">
            <w:pPr>
              <w:rPr>
                <w:rFonts w:ascii="Arial" w:hAnsi="Arial" w:cs="Arial" w:eastAsiaTheme="minorEastAsia"/>
                <w:sz w:val="20"/>
                <w:szCs w:val="20"/>
                <w:lang w:eastAsia="zh-CN"/>
              </w:rPr>
            </w:pPr>
            <w:r>
              <w:rPr>
                <w:rFonts w:ascii="Arial" w:hAnsi="Arial" w:cs="Arial" w:eastAsiaTheme="minorEastAsia"/>
                <w:sz w:val="20"/>
                <w:szCs w:val="20"/>
                <w:lang w:eastAsia="zh-CN"/>
              </w:rPr>
              <w:t>SOFA-2 Coagulation</w:t>
            </w:r>
          </w:p>
        </w:tc>
        <w:tc>
          <w:tcPr>
            <w:tcW w:w="1578" w:type="dxa"/>
            <w:vAlign w:val="center"/>
          </w:tcPr>
          <w:p w14:paraId="60F97993">
            <w:pPr>
              <w:rPr>
                <w:rFonts w:ascii="Arial" w:hAnsi="Arial" w:cs="Arial" w:eastAsiaTheme="minorEastAsia"/>
                <w:sz w:val="20"/>
                <w:szCs w:val="20"/>
                <w:lang w:eastAsia="zh-CN"/>
              </w:rPr>
            </w:pPr>
            <w:r>
              <w:rPr>
                <w:rFonts w:ascii="Arial" w:hAnsi="Arial" w:cs="Arial" w:eastAsiaTheme="minorEastAsia"/>
                <w:sz w:val="20"/>
                <w:szCs w:val="20"/>
                <w:lang w:eastAsia="zh-CN"/>
              </w:rPr>
              <w:t>188.09 ± 107.17</w:t>
            </w:r>
          </w:p>
        </w:tc>
        <w:tc>
          <w:tcPr>
            <w:tcW w:w="1290" w:type="dxa"/>
            <w:vAlign w:val="center"/>
          </w:tcPr>
          <w:p w14:paraId="14E7C49D">
            <w:pPr>
              <w:rPr>
                <w:rFonts w:ascii="Arial" w:hAnsi="Arial" w:cs="Arial" w:eastAsiaTheme="minorEastAsia"/>
                <w:sz w:val="20"/>
                <w:szCs w:val="20"/>
                <w:lang w:eastAsia="zh-CN"/>
              </w:rPr>
            </w:pPr>
            <w:r>
              <w:rPr>
                <w:rFonts w:ascii="Arial" w:hAnsi="Arial" w:cs="Arial" w:eastAsiaTheme="minorEastAsia"/>
                <w:sz w:val="20"/>
                <w:szCs w:val="20"/>
                <w:lang w:eastAsia="zh-CN"/>
              </w:rPr>
              <w:t>217.67 ± 109.08</w:t>
            </w:r>
          </w:p>
        </w:tc>
        <w:tc>
          <w:tcPr>
            <w:tcW w:w="1238" w:type="dxa"/>
            <w:vAlign w:val="center"/>
          </w:tcPr>
          <w:p w14:paraId="46844F33">
            <w:pPr>
              <w:rPr>
                <w:rFonts w:ascii="Arial" w:hAnsi="Arial" w:cs="Arial" w:eastAsiaTheme="minorEastAsia"/>
                <w:sz w:val="20"/>
                <w:szCs w:val="20"/>
                <w:lang w:eastAsia="zh-CN"/>
              </w:rPr>
            </w:pPr>
            <w:r>
              <w:rPr>
                <w:rFonts w:ascii="Arial" w:hAnsi="Arial" w:cs="Arial" w:eastAsiaTheme="minorEastAsia"/>
                <w:sz w:val="20"/>
                <w:szCs w:val="20"/>
                <w:lang w:eastAsia="zh-CN"/>
              </w:rPr>
              <w:t>220.49 ± 114.48</w:t>
            </w:r>
          </w:p>
        </w:tc>
        <w:tc>
          <w:tcPr>
            <w:tcW w:w="623" w:type="dxa"/>
            <w:vAlign w:val="center"/>
          </w:tcPr>
          <w:p w14:paraId="5B00308C">
            <w:pPr>
              <w:rPr>
                <w:rFonts w:ascii="Arial" w:hAnsi="Arial" w:cs="Arial" w:eastAsiaTheme="minorEastAsia"/>
                <w:sz w:val="20"/>
                <w:szCs w:val="20"/>
                <w:lang w:eastAsia="zh-CN"/>
              </w:rPr>
            </w:pPr>
            <w:r>
              <w:rPr>
                <w:rFonts w:ascii="Arial" w:hAnsi="Arial" w:cs="Arial" w:eastAsiaTheme="minorEastAsia"/>
                <w:sz w:val="20"/>
                <w:szCs w:val="20"/>
                <w:lang w:eastAsia="zh-CN"/>
              </w:rPr>
              <w:t>&lt;.001</w:t>
            </w:r>
          </w:p>
        </w:tc>
      </w:tr>
      <w:tr w14:paraId="26106945">
        <w:trPr>
          <w:cantSplit/>
        </w:trPr>
        <w:tc>
          <w:tcPr>
            <w:tcW w:w="2635" w:type="dxa"/>
            <w:vAlign w:val="center"/>
          </w:tcPr>
          <w:p w14:paraId="30F3B343">
            <w:pPr>
              <w:rPr>
                <w:rFonts w:ascii="Arial" w:hAnsi="Arial" w:cs="Arial" w:eastAsiaTheme="minorEastAsia"/>
                <w:sz w:val="20"/>
                <w:szCs w:val="20"/>
                <w:lang w:eastAsia="zh-CN"/>
              </w:rPr>
            </w:pPr>
            <w:r>
              <w:rPr>
                <w:rFonts w:ascii="Arial" w:hAnsi="Arial" w:cs="Arial" w:eastAsiaTheme="minorEastAsia"/>
                <w:sz w:val="20"/>
                <w:szCs w:val="20"/>
                <w:lang w:eastAsia="zh-CN"/>
              </w:rPr>
              <w:t>Total bilirubin, mg/dL (mean)</w:t>
            </w:r>
          </w:p>
        </w:tc>
        <w:tc>
          <w:tcPr>
            <w:tcW w:w="2356" w:type="dxa"/>
            <w:vAlign w:val="center"/>
          </w:tcPr>
          <w:p w14:paraId="7E4B97BE">
            <w:pPr>
              <w:rPr>
                <w:rFonts w:ascii="Arial" w:hAnsi="Arial" w:cs="Arial" w:eastAsiaTheme="minorEastAsia"/>
                <w:sz w:val="20"/>
                <w:szCs w:val="20"/>
                <w:lang w:eastAsia="zh-CN"/>
              </w:rPr>
            </w:pPr>
            <w:r>
              <w:rPr>
                <w:rFonts w:ascii="Arial" w:hAnsi="Arial" w:cs="Arial" w:eastAsiaTheme="minorEastAsia"/>
                <w:sz w:val="20"/>
                <w:szCs w:val="20"/>
                <w:lang w:eastAsia="zh-CN"/>
              </w:rPr>
              <w:t>SOFA Liver</w:t>
            </w:r>
          </w:p>
        </w:tc>
        <w:tc>
          <w:tcPr>
            <w:tcW w:w="1578" w:type="dxa"/>
            <w:vAlign w:val="center"/>
          </w:tcPr>
          <w:p w14:paraId="5F880994">
            <w:pPr>
              <w:rPr>
                <w:rFonts w:ascii="Arial" w:hAnsi="Arial" w:cs="Arial" w:eastAsiaTheme="minorEastAsia"/>
                <w:sz w:val="20"/>
                <w:szCs w:val="20"/>
                <w:lang w:eastAsia="zh-CN"/>
              </w:rPr>
            </w:pPr>
            <w:r>
              <w:rPr>
                <w:rFonts w:ascii="Arial" w:hAnsi="Arial" w:cs="Arial" w:eastAsiaTheme="minorEastAsia"/>
                <w:sz w:val="20"/>
                <w:szCs w:val="20"/>
                <w:lang w:eastAsia="zh-CN"/>
              </w:rPr>
              <w:t>1.79 ± 3.41</w:t>
            </w:r>
          </w:p>
        </w:tc>
        <w:tc>
          <w:tcPr>
            <w:tcW w:w="1290" w:type="dxa"/>
            <w:vAlign w:val="center"/>
          </w:tcPr>
          <w:p w14:paraId="0841A554">
            <w:pPr>
              <w:rPr>
                <w:rFonts w:ascii="Arial" w:hAnsi="Arial" w:cs="Arial" w:eastAsiaTheme="minorEastAsia"/>
                <w:sz w:val="20"/>
                <w:szCs w:val="20"/>
                <w:lang w:eastAsia="zh-CN"/>
              </w:rPr>
            </w:pPr>
            <w:r>
              <w:rPr>
                <w:rFonts w:ascii="Arial" w:hAnsi="Arial" w:cs="Arial" w:eastAsiaTheme="minorEastAsia"/>
                <w:sz w:val="20"/>
                <w:szCs w:val="20"/>
                <w:lang w:eastAsia="zh-CN"/>
              </w:rPr>
              <w:t>1.21 ± 2.66</w:t>
            </w:r>
          </w:p>
        </w:tc>
        <w:tc>
          <w:tcPr>
            <w:tcW w:w="1238" w:type="dxa"/>
            <w:vAlign w:val="center"/>
          </w:tcPr>
          <w:p w14:paraId="58454544">
            <w:pPr>
              <w:rPr>
                <w:rFonts w:ascii="Arial" w:hAnsi="Arial" w:cs="Arial" w:eastAsiaTheme="minorEastAsia"/>
                <w:sz w:val="20"/>
                <w:szCs w:val="20"/>
                <w:lang w:eastAsia="zh-CN"/>
              </w:rPr>
            </w:pPr>
            <w:r>
              <w:rPr>
                <w:rFonts w:ascii="Arial" w:hAnsi="Arial" w:cs="Arial" w:eastAsiaTheme="minorEastAsia"/>
                <w:sz w:val="20"/>
                <w:szCs w:val="20"/>
                <w:lang w:eastAsia="zh-CN"/>
              </w:rPr>
              <w:t>1.19 ± 2.56</w:t>
            </w:r>
          </w:p>
        </w:tc>
        <w:tc>
          <w:tcPr>
            <w:tcW w:w="623" w:type="dxa"/>
            <w:vAlign w:val="center"/>
          </w:tcPr>
          <w:p w14:paraId="42605ED2">
            <w:pPr>
              <w:rPr>
                <w:rFonts w:ascii="Arial" w:hAnsi="Arial" w:cs="Arial" w:eastAsiaTheme="minorEastAsia"/>
                <w:sz w:val="20"/>
                <w:szCs w:val="20"/>
                <w:lang w:eastAsia="zh-CN"/>
              </w:rPr>
            </w:pPr>
            <w:r>
              <w:rPr>
                <w:rFonts w:ascii="Arial" w:hAnsi="Arial" w:cs="Arial" w:eastAsiaTheme="minorEastAsia"/>
                <w:sz w:val="20"/>
                <w:szCs w:val="20"/>
                <w:lang w:eastAsia="zh-CN"/>
              </w:rPr>
              <w:t>&lt;.001</w:t>
            </w:r>
          </w:p>
        </w:tc>
      </w:tr>
      <w:tr w14:paraId="667CE63D">
        <w:trPr>
          <w:cantSplit/>
        </w:trPr>
        <w:tc>
          <w:tcPr>
            <w:tcW w:w="2635" w:type="dxa"/>
            <w:vAlign w:val="center"/>
          </w:tcPr>
          <w:p w14:paraId="402AD2B3">
            <w:pPr>
              <w:rPr>
                <w:rFonts w:ascii="Arial" w:hAnsi="Arial" w:cs="Arial" w:eastAsiaTheme="minorEastAsia"/>
                <w:sz w:val="20"/>
                <w:szCs w:val="20"/>
                <w:lang w:eastAsia="zh-CN"/>
              </w:rPr>
            </w:pPr>
            <w:r>
              <w:rPr>
                <w:rFonts w:ascii="Arial" w:hAnsi="Arial" w:cs="Arial" w:eastAsiaTheme="minorEastAsia"/>
                <w:sz w:val="20"/>
                <w:szCs w:val="20"/>
                <w:lang w:eastAsia="zh-CN"/>
              </w:rPr>
              <w:t>Mean arterial pressure, mm Hg (mean)</w:t>
            </w:r>
          </w:p>
        </w:tc>
        <w:tc>
          <w:tcPr>
            <w:tcW w:w="2356" w:type="dxa"/>
            <w:vAlign w:val="center"/>
          </w:tcPr>
          <w:p w14:paraId="12948230">
            <w:pPr>
              <w:rPr>
                <w:rFonts w:ascii="Arial" w:hAnsi="Arial" w:cs="Arial" w:eastAsiaTheme="minorEastAsia"/>
                <w:sz w:val="20"/>
                <w:szCs w:val="20"/>
                <w:lang w:eastAsia="zh-CN"/>
              </w:rPr>
            </w:pPr>
            <w:r>
              <w:rPr>
                <w:rFonts w:ascii="Arial" w:hAnsi="Arial" w:cs="Arial" w:eastAsiaTheme="minorEastAsia"/>
                <w:sz w:val="20"/>
                <w:szCs w:val="20"/>
                <w:lang w:eastAsia="zh-CN"/>
              </w:rPr>
              <w:t>SOFA Cardiovascular (baseline)</w:t>
            </w:r>
          </w:p>
        </w:tc>
        <w:tc>
          <w:tcPr>
            <w:tcW w:w="1578" w:type="dxa"/>
            <w:vAlign w:val="center"/>
          </w:tcPr>
          <w:p w14:paraId="484635D0">
            <w:pPr>
              <w:rPr>
                <w:rFonts w:ascii="Arial" w:hAnsi="Arial" w:cs="Arial" w:eastAsiaTheme="minorEastAsia"/>
                <w:sz w:val="20"/>
                <w:szCs w:val="20"/>
                <w:lang w:eastAsia="zh-CN"/>
              </w:rPr>
            </w:pPr>
            <w:r>
              <w:rPr>
                <w:rFonts w:ascii="Arial" w:hAnsi="Arial" w:cs="Arial" w:eastAsiaTheme="minorEastAsia"/>
                <w:sz w:val="20"/>
                <w:szCs w:val="20"/>
                <w:lang w:eastAsia="zh-CN"/>
              </w:rPr>
              <w:t>76.63 ± 11.03</w:t>
            </w:r>
          </w:p>
        </w:tc>
        <w:tc>
          <w:tcPr>
            <w:tcW w:w="1290" w:type="dxa"/>
            <w:vAlign w:val="center"/>
          </w:tcPr>
          <w:p w14:paraId="58A8D096">
            <w:pPr>
              <w:rPr>
                <w:rFonts w:ascii="Arial" w:hAnsi="Arial" w:cs="Arial" w:eastAsiaTheme="minorEastAsia"/>
                <w:sz w:val="20"/>
                <w:szCs w:val="20"/>
                <w:lang w:eastAsia="zh-CN"/>
              </w:rPr>
            </w:pPr>
            <w:r>
              <w:rPr>
                <w:rFonts w:ascii="Arial" w:hAnsi="Arial" w:cs="Arial" w:eastAsiaTheme="minorEastAsia"/>
                <w:sz w:val="20"/>
                <w:szCs w:val="20"/>
                <w:lang w:eastAsia="zh-CN"/>
              </w:rPr>
              <w:t>80.29 ± 12.63</w:t>
            </w:r>
          </w:p>
        </w:tc>
        <w:tc>
          <w:tcPr>
            <w:tcW w:w="1238" w:type="dxa"/>
            <w:vAlign w:val="center"/>
          </w:tcPr>
          <w:p w14:paraId="250654E8">
            <w:pPr>
              <w:rPr>
                <w:rFonts w:ascii="Arial" w:hAnsi="Arial" w:cs="Arial" w:eastAsiaTheme="minorEastAsia"/>
                <w:sz w:val="20"/>
                <w:szCs w:val="20"/>
                <w:lang w:eastAsia="zh-CN"/>
              </w:rPr>
            </w:pPr>
            <w:r>
              <w:rPr>
                <w:rFonts w:ascii="Arial" w:hAnsi="Arial" w:cs="Arial" w:eastAsiaTheme="minorEastAsia"/>
                <w:sz w:val="20"/>
                <w:szCs w:val="20"/>
                <w:lang w:eastAsia="zh-CN"/>
              </w:rPr>
              <w:t>79.36 ± 12.14</w:t>
            </w:r>
          </w:p>
        </w:tc>
        <w:tc>
          <w:tcPr>
            <w:tcW w:w="623" w:type="dxa"/>
            <w:vAlign w:val="center"/>
          </w:tcPr>
          <w:p w14:paraId="505CDDC5">
            <w:pPr>
              <w:rPr>
                <w:rFonts w:ascii="Arial" w:hAnsi="Arial" w:cs="Arial" w:eastAsiaTheme="minorEastAsia"/>
                <w:sz w:val="20"/>
                <w:szCs w:val="20"/>
                <w:lang w:eastAsia="zh-CN"/>
              </w:rPr>
            </w:pPr>
            <w:r>
              <w:rPr>
                <w:rFonts w:ascii="Arial" w:hAnsi="Arial" w:cs="Arial" w:eastAsiaTheme="minorEastAsia"/>
                <w:sz w:val="20"/>
                <w:szCs w:val="20"/>
                <w:lang w:eastAsia="zh-CN"/>
              </w:rPr>
              <w:t>&lt;.001</w:t>
            </w:r>
          </w:p>
        </w:tc>
      </w:tr>
      <w:tr w14:paraId="53D7914C">
        <w:trPr>
          <w:cantSplit/>
        </w:trPr>
        <w:tc>
          <w:tcPr>
            <w:tcW w:w="2635" w:type="dxa"/>
            <w:vAlign w:val="center"/>
          </w:tcPr>
          <w:p w14:paraId="649C77E5">
            <w:pPr>
              <w:rPr>
                <w:rFonts w:ascii="Arial" w:hAnsi="Arial" w:cs="Arial" w:eastAsiaTheme="minorEastAsia"/>
                <w:sz w:val="20"/>
                <w:szCs w:val="20"/>
                <w:lang w:eastAsia="zh-CN"/>
              </w:rPr>
            </w:pPr>
            <w:r>
              <w:rPr>
                <w:rFonts w:ascii="Arial" w:hAnsi="Arial" w:cs="Arial" w:eastAsiaTheme="minorEastAsia"/>
                <w:sz w:val="20"/>
                <w:szCs w:val="20"/>
                <w:lang w:eastAsia="zh-CN"/>
              </w:rPr>
              <w:t>Systolic blood pressure, mm Hg (mean)</w:t>
            </w:r>
          </w:p>
        </w:tc>
        <w:tc>
          <w:tcPr>
            <w:tcW w:w="2356" w:type="dxa"/>
            <w:vAlign w:val="center"/>
          </w:tcPr>
          <w:p w14:paraId="2F2FDDEB">
            <w:pPr>
              <w:rPr>
                <w:rFonts w:ascii="Arial" w:hAnsi="Arial" w:cs="Arial" w:eastAsiaTheme="minorEastAsia"/>
                <w:sz w:val="20"/>
                <w:szCs w:val="20"/>
                <w:lang w:eastAsia="zh-CN"/>
              </w:rPr>
            </w:pPr>
            <w:r>
              <w:rPr>
                <w:rFonts w:ascii="Arial" w:hAnsi="Arial" w:cs="Arial" w:eastAsiaTheme="minorEastAsia"/>
                <w:sz w:val="20"/>
                <w:szCs w:val="20"/>
                <w:lang w:eastAsia="zh-CN"/>
              </w:rPr>
              <w:t>SOFA Cardiovascular (baseline)</w:t>
            </w:r>
          </w:p>
        </w:tc>
        <w:tc>
          <w:tcPr>
            <w:tcW w:w="1578" w:type="dxa"/>
            <w:vAlign w:val="center"/>
          </w:tcPr>
          <w:p w14:paraId="3913F9E3">
            <w:pPr>
              <w:rPr>
                <w:rFonts w:ascii="Arial" w:hAnsi="Arial" w:cs="Arial" w:eastAsiaTheme="minorEastAsia"/>
                <w:sz w:val="20"/>
                <w:szCs w:val="20"/>
                <w:lang w:eastAsia="zh-CN"/>
              </w:rPr>
            </w:pPr>
            <w:r>
              <w:rPr>
                <w:rFonts w:ascii="Arial" w:hAnsi="Arial" w:cs="Arial" w:eastAsiaTheme="minorEastAsia"/>
                <w:sz w:val="20"/>
                <w:szCs w:val="20"/>
                <w:lang w:eastAsia="zh-CN"/>
              </w:rPr>
              <w:t>112.38 ± 17.72</w:t>
            </w:r>
          </w:p>
        </w:tc>
        <w:tc>
          <w:tcPr>
            <w:tcW w:w="1290" w:type="dxa"/>
            <w:vAlign w:val="center"/>
          </w:tcPr>
          <w:p w14:paraId="4C7AC212">
            <w:pPr>
              <w:rPr>
                <w:rFonts w:ascii="Arial" w:hAnsi="Arial" w:cs="Arial" w:eastAsiaTheme="minorEastAsia"/>
                <w:sz w:val="20"/>
                <w:szCs w:val="20"/>
                <w:lang w:eastAsia="zh-CN"/>
              </w:rPr>
            </w:pPr>
            <w:r>
              <w:rPr>
                <w:rFonts w:ascii="Arial" w:hAnsi="Arial" w:cs="Arial" w:eastAsiaTheme="minorEastAsia"/>
                <w:sz w:val="20"/>
                <w:szCs w:val="20"/>
                <w:lang w:eastAsia="zh-CN"/>
              </w:rPr>
              <w:t>116.96 ± 19.87</w:t>
            </w:r>
          </w:p>
        </w:tc>
        <w:tc>
          <w:tcPr>
            <w:tcW w:w="1238" w:type="dxa"/>
            <w:vAlign w:val="center"/>
          </w:tcPr>
          <w:p w14:paraId="62AE4825">
            <w:pPr>
              <w:rPr>
                <w:rFonts w:ascii="Arial" w:hAnsi="Arial" w:cs="Arial" w:eastAsiaTheme="minorEastAsia"/>
                <w:sz w:val="20"/>
                <w:szCs w:val="20"/>
                <w:lang w:eastAsia="zh-CN"/>
              </w:rPr>
            </w:pPr>
            <w:r>
              <w:rPr>
                <w:rFonts w:ascii="Arial" w:hAnsi="Arial" w:cs="Arial" w:eastAsiaTheme="minorEastAsia"/>
                <w:sz w:val="20"/>
                <w:szCs w:val="20"/>
                <w:lang w:eastAsia="zh-CN"/>
              </w:rPr>
              <w:t>117.57 ± 18.78</w:t>
            </w:r>
          </w:p>
        </w:tc>
        <w:tc>
          <w:tcPr>
            <w:tcW w:w="623" w:type="dxa"/>
            <w:vAlign w:val="center"/>
          </w:tcPr>
          <w:p w14:paraId="737A5D3D">
            <w:pPr>
              <w:rPr>
                <w:rFonts w:ascii="Arial" w:hAnsi="Arial" w:cs="Arial" w:eastAsiaTheme="minorEastAsia"/>
                <w:sz w:val="20"/>
                <w:szCs w:val="20"/>
                <w:lang w:eastAsia="zh-CN"/>
              </w:rPr>
            </w:pPr>
            <w:r>
              <w:rPr>
                <w:rFonts w:ascii="Arial" w:hAnsi="Arial" w:cs="Arial" w:eastAsiaTheme="minorEastAsia"/>
                <w:sz w:val="20"/>
                <w:szCs w:val="20"/>
                <w:lang w:eastAsia="zh-CN"/>
              </w:rPr>
              <w:t>&lt;.001</w:t>
            </w:r>
          </w:p>
        </w:tc>
      </w:tr>
      <w:tr w14:paraId="176B99EE">
        <w:trPr>
          <w:cantSplit/>
        </w:trPr>
        <w:tc>
          <w:tcPr>
            <w:tcW w:w="2635" w:type="dxa"/>
            <w:vAlign w:val="center"/>
          </w:tcPr>
          <w:p w14:paraId="6E5CC7A7">
            <w:pPr>
              <w:rPr>
                <w:rFonts w:ascii="Arial" w:hAnsi="Arial" w:cs="Arial" w:eastAsiaTheme="minorEastAsia"/>
                <w:sz w:val="20"/>
                <w:szCs w:val="20"/>
                <w:lang w:eastAsia="zh-CN"/>
              </w:rPr>
            </w:pPr>
            <w:r>
              <w:rPr>
                <w:rFonts w:ascii="Arial" w:hAnsi="Arial" w:cs="Arial" w:eastAsiaTheme="minorEastAsia"/>
                <w:sz w:val="20"/>
                <w:szCs w:val="20"/>
                <w:lang w:eastAsia="zh-CN"/>
              </w:rPr>
              <w:t>Diastolic blood pressure, mm Hg (mean)</w:t>
            </w:r>
          </w:p>
        </w:tc>
        <w:tc>
          <w:tcPr>
            <w:tcW w:w="2356" w:type="dxa"/>
            <w:vAlign w:val="center"/>
          </w:tcPr>
          <w:p w14:paraId="693827ED">
            <w:pPr>
              <w:rPr>
                <w:rFonts w:ascii="Arial" w:hAnsi="Arial" w:cs="Arial" w:eastAsiaTheme="minorEastAsia"/>
                <w:sz w:val="20"/>
                <w:szCs w:val="20"/>
                <w:lang w:eastAsia="zh-CN"/>
              </w:rPr>
            </w:pPr>
            <w:r>
              <w:rPr>
                <w:rFonts w:ascii="Arial" w:hAnsi="Arial" w:cs="Arial" w:eastAsiaTheme="minorEastAsia"/>
                <w:sz w:val="20"/>
                <w:szCs w:val="20"/>
                <w:lang w:eastAsia="zh-CN"/>
              </w:rPr>
              <w:t>SOFA Cardiovascular (baseline)</w:t>
            </w:r>
          </w:p>
        </w:tc>
        <w:tc>
          <w:tcPr>
            <w:tcW w:w="1578" w:type="dxa"/>
            <w:vAlign w:val="center"/>
          </w:tcPr>
          <w:p w14:paraId="77298DA8">
            <w:pPr>
              <w:rPr>
                <w:rFonts w:ascii="Arial" w:hAnsi="Arial" w:cs="Arial" w:eastAsiaTheme="minorEastAsia"/>
                <w:sz w:val="20"/>
                <w:szCs w:val="20"/>
                <w:lang w:eastAsia="zh-CN"/>
              </w:rPr>
            </w:pPr>
            <w:r>
              <w:rPr>
                <w:rFonts w:ascii="Arial" w:hAnsi="Arial" w:cs="Arial" w:eastAsiaTheme="minorEastAsia"/>
                <w:sz w:val="20"/>
                <w:szCs w:val="20"/>
                <w:lang w:eastAsia="zh-CN"/>
              </w:rPr>
              <w:t>56.39 ± 10.22</w:t>
            </w:r>
          </w:p>
        </w:tc>
        <w:tc>
          <w:tcPr>
            <w:tcW w:w="1290" w:type="dxa"/>
            <w:vAlign w:val="center"/>
          </w:tcPr>
          <w:p w14:paraId="5205687E">
            <w:pPr>
              <w:rPr>
                <w:rFonts w:ascii="Arial" w:hAnsi="Arial" w:cs="Arial" w:eastAsiaTheme="minorEastAsia"/>
                <w:sz w:val="20"/>
                <w:szCs w:val="20"/>
                <w:lang w:eastAsia="zh-CN"/>
              </w:rPr>
            </w:pPr>
            <w:r>
              <w:rPr>
                <w:rFonts w:ascii="Arial" w:hAnsi="Arial" w:cs="Arial" w:eastAsiaTheme="minorEastAsia"/>
                <w:sz w:val="20"/>
                <w:szCs w:val="20"/>
                <w:lang w:eastAsia="zh-CN"/>
              </w:rPr>
              <w:t>57.52 ± 11.21</w:t>
            </w:r>
          </w:p>
        </w:tc>
        <w:tc>
          <w:tcPr>
            <w:tcW w:w="1238" w:type="dxa"/>
            <w:vAlign w:val="center"/>
          </w:tcPr>
          <w:p w14:paraId="506ED547">
            <w:pPr>
              <w:rPr>
                <w:rFonts w:ascii="Arial" w:hAnsi="Arial" w:cs="Arial" w:eastAsiaTheme="minorEastAsia"/>
                <w:sz w:val="20"/>
                <w:szCs w:val="20"/>
                <w:lang w:eastAsia="zh-CN"/>
              </w:rPr>
            </w:pPr>
            <w:r>
              <w:rPr>
                <w:rFonts w:ascii="Arial" w:hAnsi="Arial" w:cs="Arial" w:eastAsiaTheme="minorEastAsia"/>
                <w:sz w:val="20"/>
                <w:szCs w:val="20"/>
                <w:lang w:eastAsia="zh-CN"/>
              </w:rPr>
              <w:t>58.04 ± 11.69</w:t>
            </w:r>
          </w:p>
        </w:tc>
        <w:tc>
          <w:tcPr>
            <w:tcW w:w="623" w:type="dxa"/>
            <w:vAlign w:val="center"/>
          </w:tcPr>
          <w:p w14:paraId="40D0BA53">
            <w:pPr>
              <w:rPr>
                <w:rFonts w:ascii="Arial" w:hAnsi="Arial" w:cs="Arial" w:eastAsiaTheme="minorEastAsia"/>
                <w:sz w:val="20"/>
                <w:szCs w:val="20"/>
                <w:lang w:eastAsia="zh-CN"/>
              </w:rPr>
            </w:pPr>
            <w:r>
              <w:rPr>
                <w:rFonts w:ascii="Arial" w:hAnsi="Arial" w:cs="Arial" w:eastAsiaTheme="minorEastAsia"/>
                <w:sz w:val="20"/>
                <w:szCs w:val="20"/>
                <w:lang w:eastAsia="zh-CN"/>
              </w:rPr>
              <w:t>.02</w:t>
            </w:r>
          </w:p>
        </w:tc>
      </w:tr>
      <w:tr w14:paraId="019BB167">
        <w:trPr>
          <w:cantSplit/>
        </w:trPr>
        <w:tc>
          <w:tcPr>
            <w:tcW w:w="2635" w:type="dxa"/>
            <w:vAlign w:val="center"/>
          </w:tcPr>
          <w:p w14:paraId="5B0A0968">
            <w:pPr>
              <w:rPr>
                <w:rFonts w:ascii="Arial" w:hAnsi="Arial" w:cs="Arial" w:eastAsiaTheme="minorEastAsia"/>
                <w:sz w:val="20"/>
                <w:szCs w:val="20"/>
                <w:lang w:eastAsia="zh-CN"/>
              </w:rPr>
            </w:pPr>
            <w:r>
              <w:rPr>
                <w:rFonts w:ascii="Arial" w:hAnsi="Arial" w:cs="Arial" w:eastAsiaTheme="minorEastAsia"/>
                <w:sz w:val="20"/>
                <w:szCs w:val="20"/>
                <w:lang w:eastAsia="zh-CN"/>
              </w:rPr>
              <w:t>Heart rate, bpm (mean)</w:t>
            </w:r>
          </w:p>
        </w:tc>
        <w:tc>
          <w:tcPr>
            <w:tcW w:w="2356" w:type="dxa"/>
            <w:vAlign w:val="center"/>
          </w:tcPr>
          <w:p w14:paraId="1F15AE6F">
            <w:pPr>
              <w:rPr>
                <w:rFonts w:ascii="Arial" w:hAnsi="Arial" w:cs="Arial" w:eastAsiaTheme="minorEastAsia"/>
                <w:sz w:val="20"/>
                <w:szCs w:val="20"/>
                <w:lang w:eastAsia="zh-CN"/>
              </w:rPr>
            </w:pPr>
            <w:r>
              <w:rPr>
                <w:rFonts w:ascii="Arial" w:hAnsi="Arial" w:cs="Arial" w:eastAsiaTheme="minorEastAsia"/>
                <w:sz w:val="20"/>
                <w:szCs w:val="20"/>
                <w:lang w:eastAsia="zh-CN"/>
              </w:rPr>
              <w:t>SOFA Cardiovascular (baseline)</w:t>
            </w:r>
          </w:p>
        </w:tc>
        <w:tc>
          <w:tcPr>
            <w:tcW w:w="1578" w:type="dxa"/>
            <w:vAlign w:val="center"/>
          </w:tcPr>
          <w:p w14:paraId="372EC4B6">
            <w:pPr>
              <w:rPr>
                <w:rFonts w:ascii="Arial" w:hAnsi="Arial" w:cs="Arial" w:eastAsiaTheme="minorEastAsia"/>
                <w:sz w:val="20"/>
                <w:szCs w:val="20"/>
                <w:lang w:eastAsia="zh-CN"/>
              </w:rPr>
            </w:pPr>
            <w:r>
              <w:rPr>
                <w:rFonts w:ascii="Arial" w:hAnsi="Arial" w:cs="Arial" w:eastAsiaTheme="minorEastAsia"/>
                <w:sz w:val="20"/>
                <w:szCs w:val="20"/>
                <w:lang w:eastAsia="zh-CN"/>
              </w:rPr>
              <w:t>90.68 ± 17.27</w:t>
            </w:r>
          </w:p>
        </w:tc>
        <w:tc>
          <w:tcPr>
            <w:tcW w:w="1290" w:type="dxa"/>
            <w:vAlign w:val="center"/>
          </w:tcPr>
          <w:p w14:paraId="3CF424B8">
            <w:pPr>
              <w:rPr>
                <w:rFonts w:ascii="Arial" w:hAnsi="Arial" w:cs="Arial" w:eastAsiaTheme="minorEastAsia"/>
                <w:sz w:val="20"/>
                <w:szCs w:val="20"/>
                <w:lang w:eastAsia="zh-CN"/>
              </w:rPr>
            </w:pPr>
            <w:r>
              <w:rPr>
                <w:rFonts w:ascii="Arial" w:hAnsi="Arial" w:cs="Arial" w:eastAsiaTheme="minorEastAsia"/>
                <w:sz w:val="20"/>
                <w:szCs w:val="20"/>
                <w:lang w:eastAsia="zh-CN"/>
              </w:rPr>
              <w:t>88.64 ± 16.20</w:t>
            </w:r>
          </w:p>
        </w:tc>
        <w:tc>
          <w:tcPr>
            <w:tcW w:w="1238" w:type="dxa"/>
            <w:vAlign w:val="center"/>
          </w:tcPr>
          <w:p w14:paraId="3FAEAF95">
            <w:pPr>
              <w:rPr>
                <w:rFonts w:ascii="Arial" w:hAnsi="Arial" w:cs="Arial" w:eastAsiaTheme="minorEastAsia"/>
                <w:sz w:val="20"/>
                <w:szCs w:val="20"/>
                <w:lang w:eastAsia="zh-CN"/>
              </w:rPr>
            </w:pPr>
            <w:r>
              <w:rPr>
                <w:rFonts w:ascii="Arial" w:hAnsi="Arial" w:cs="Arial" w:eastAsiaTheme="minorEastAsia"/>
                <w:sz w:val="20"/>
                <w:szCs w:val="20"/>
                <w:lang w:eastAsia="zh-CN"/>
              </w:rPr>
              <w:t>87.94 ± 16.45</w:t>
            </w:r>
          </w:p>
        </w:tc>
        <w:tc>
          <w:tcPr>
            <w:tcW w:w="623" w:type="dxa"/>
            <w:vAlign w:val="center"/>
          </w:tcPr>
          <w:p w14:paraId="7E06A8DF">
            <w:pPr>
              <w:rPr>
                <w:rFonts w:ascii="Arial" w:hAnsi="Arial" w:cs="Arial" w:eastAsiaTheme="minorEastAsia"/>
                <w:sz w:val="20"/>
                <w:szCs w:val="20"/>
                <w:lang w:eastAsia="zh-CN"/>
              </w:rPr>
            </w:pPr>
            <w:r>
              <w:rPr>
                <w:rFonts w:ascii="Arial" w:hAnsi="Arial" w:cs="Arial" w:eastAsiaTheme="minorEastAsia"/>
                <w:sz w:val="20"/>
                <w:szCs w:val="20"/>
                <w:lang w:eastAsia="zh-CN"/>
              </w:rPr>
              <w:t>&lt;.001</w:t>
            </w:r>
          </w:p>
        </w:tc>
      </w:tr>
      <w:tr w14:paraId="696F79A2">
        <w:trPr>
          <w:cantSplit/>
        </w:trPr>
        <w:tc>
          <w:tcPr>
            <w:tcW w:w="2635" w:type="dxa"/>
            <w:vAlign w:val="center"/>
          </w:tcPr>
          <w:p w14:paraId="5AF79F37">
            <w:pPr>
              <w:rPr>
                <w:rFonts w:ascii="Arial" w:hAnsi="Arial" w:cs="Arial" w:eastAsiaTheme="minorEastAsia"/>
                <w:sz w:val="20"/>
                <w:szCs w:val="20"/>
                <w:lang w:eastAsia="zh-CN"/>
              </w:rPr>
            </w:pPr>
            <w:r>
              <w:rPr>
                <w:rFonts w:ascii="Arial" w:hAnsi="Arial" w:cs="Arial" w:eastAsiaTheme="minorEastAsia"/>
                <w:sz w:val="20"/>
                <w:szCs w:val="20"/>
                <w:lang w:eastAsia="zh-CN"/>
              </w:rPr>
              <w:t>Dopamine, µg/kg/min (mean)</w:t>
            </w:r>
          </w:p>
        </w:tc>
        <w:tc>
          <w:tcPr>
            <w:tcW w:w="2356" w:type="dxa"/>
            <w:vAlign w:val="center"/>
          </w:tcPr>
          <w:p w14:paraId="667F45EC">
            <w:pPr>
              <w:rPr>
                <w:rFonts w:ascii="Arial" w:hAnsi="Arial" w:cs="Arial" w:eastAsiaTheme="minorEastAsia"/>
                <w:sz w:val="20"/>
                <w:szCs w:val="20"/>
                <w:lang w:eastAsia="zh-CN"/>
              </w:rPr>
            </w:pPr>
            <w:r>
              <w:rPr>
                <w:rFonts w:ascii="Arial" w:hAnsi="Arial" w:cs="Arial" w:eastAsiaTheme="minorEastAsia"/>
                <w:sz w:val="20"/>
                <w:szCs w:val="20"/>
                <w:lang w:eastAsia="zh-CN"/>
              </w:rPr>
              <w:t>SOFA Cardiovascular (vasopressors)</w:t>
            </w:r>
          </w:p>
        </w:tc>
        <w:tc>
          <w:tcPr>
            <w:tcW w:w="1578" w:type="dxa"/>
            <w:vAlign w:val="center"/>
          </w:tcPr>
          <w:p w14:paraId="1C3D7658">
            <w:pPr>
              <w:rPr>
                <w:rFonts w:ascii="Arial" w:hAnsi="Arial" w:cs="Arial" w:eastAsiaTheme="minorEastAsia"/>
                <w:sz w:val="20"/>
                <w:szCs w:val="20"/>
                <w:lang w:eastAsia="zh-CN"/>
              </w:rPr>
            </w:pPr>
            <w:r>
              <w:rPr>
                <w:rFonts w:ascii="Arial" w:hAnsi="Arial" w:cs="Arial" w:eastAsiaTheme="minorEastAsia"/>
                <w:sz w:val="20"/>
                <w:szCs w:val="20"/>
                <w:lang w:eastAsia="zh-CN"/>
              </w:rPr>
              <w:t>8.00 ± 7.83</w:t>
            </w:r>
          </w:p>
        </w:tc>
        <w:tc>
          <w:tcPr>
            <w:tcW w:w="1290" w:type="dxa"/>
            <w:vAlign w:val="center"/>
          </w:tcPr>
          <w:p w14:paraId="764ECF3F">
            <w:pPr>
              <w:rPr>
                <w:rFonts w:ascii="Arial" w:hAnsi="Arial" w:cs="Arial" w:eastAsiaTheme="minorEastAsia"/>
                <w:sz w:val="20"/>
                <w:szCs w:val="20"/>
                <w:lang w:eastAsia="zh-CN"/>
              </w:rPr>
            </w:pPr>
            <w:r>
              <w:rPr>
                <w:rFonts w:ascii="Arial" w:hAnsi="Arial" w:cs="Arial" w:eastAsiaTheme="minorEastAsia"/>
                <w:sz w:val="20"/>
                <w:szCs w:val="20"/>
                <w:lang w:eastAsia="zh-CN"/>
              </w:rPr>
              <w:t>7.15 ± 6.07</w:t>
            </w:r>
          </w:p>
        </w:tc>
        <w:tc>
          <w:tcPr>
            <w:tcW w:w="1238" w:type="dxa"/>
            <w:vAlign w:val="center"/>
          </w:tcPr>
          <w:p w14:paraId="2414C2C0">
            <w:pPr>
              <w:rPr>
                <w:rFonts w:ascii="Arial" w:hAnsi="Arial" w:cs="Arial" w:eastAsiaTheme="minorEastAsia"/>
                <w:sz w:val="20"/>
                <w:szCs w:val="20"/>
                <w:lang w:eastAsia="zh-CN"/>
              </w:rPr>
            </w:pPr>
            <w:r>
              <w:rPr>
                <w:rFonts w:ascii="Arial" w:hAnsi="Arial" w:cs="Arial" w:eastAsiaTheme="minorEastAsia"/>
                <w:sz w:val="20"/>
                <w:szCs w:val="20"/>
                <w:lang w:eastAsia="zh-CN"/>
              </w:rPr>
              <w:t>6.75 ± 6.67</w:t>
            </w:r>
          </w:p>
        </w:tc>
        <w:tc>
          <w:tcPr>
            <w:tcW w:w="623" w:type="dxa"/>
            <w:vAlign w:val="center"/>
          </w:tcPr>
          <w:p w14:paraId="30EFCDFF">
            <w:pPr>
              <w:rPr>
                <w:rFonts w:ascii="Arial" w:hAnsi="Arial" w:cs="Arial" w:eastAsiaTheme="minorEastAsia"/>
                <w:sz w:val="20"/>
                <w:szCs w:val="20"/>
                <w:lang w:eastAsia="zh-CN"/>
              </w:rPr>
            </w:pPr>
            <w:r>
              <w:rPr>
                <w:rFonts w:ascii="Arial" w:hAnsi="Arial" w:cs="Arial" w:eastAsiaTheme="minorEastAsia"/>
                <w:sz w:val="20"/>
                <w:szCs w:val="20"/>
                <w:lang w:eastAsia="zh-CN"/>
              </w:rPr>
              <w:t>.59</w:t>
            </w:r>
          </w:p>
        </w:tc>
      </w:tr>
      <w:tr w14:paraId="6322BAB2">
        <w:trPr>
          <w:cantSplit/>
        </w:trPr>
        <w:tc>
          <w:tcPr>
            <w:tcW w:w="2635" w:type="dxa"/>
            <w:vAlign w:val="center"/>
          </w:tcPr>
          <w:p w14:paraId="3A86FDB1">
            <w:pPr>
              <w:rPr>
                <w:rFonts w:ascii="Arial" w:hAnsi="Arial" w:cs="Arial" w:eastAsiaTheme="minorEastAsia"/>
                <w:sz w:val="20"/>
                <w:szCs w:val="20"/>
                <w:lang w:eastAsia="zh-CN"/>
              </w:rPr>
            </w:pPr>
            <w:r>
              <w:rPr>
                <w:rFonts w:ascii="Arial" w:hAnsi="Arial" w:cs="Arial" w:eastAsiaTheme="minorEastAsia"/>
                <w:sz w:val="20"/>
                <w:szCs w:val="20"/>
                <w:lang w:eastAsia="zh-CN"/>
              </w:rPr>
              <w:t>Norepinephrine, µg/kg/min (mean)</w:t>
            </w:r>
          </w:p>
        </w:tc>
        <w:tc>
          <w:tcPr>
            <w:tcW w:w="2356" w:type="dxa"/>
            <w:vAlign w:val="center"/>
          </w:tcPr>
          <w:p w14:paraId="38F3FB28">
            <w:pPr>
              <w:rPr>
                <w:rFonts w:ascii="Arial" w:hAnsi="Arial" w:cs="Arial" w:eastAsiaTheme="minorEastAsia"/>
                <w:sz w:val="20"/>
                <w:szCs w:val="20"/>
                <w:lang w:eastAsia="zh-CN"/>
              </w:rPr>
            </w:pPr>
            <w:r>
              <w:rPr>
                <w:rFonts w:ascii="Arial" w:hAnsi="Arial" w:cs="Arial" w:eastAsiaTheme="minorEastAsia"/>
                <w:sz w:val="20"/>
                <w:szCs w:val="20"/>
                <w:lang w:eastAsia="zh-CN"/>
              </w:rPr>
              <w:t>SOFA Cardiovascular (vasopressors)</w:t>
            </w:r>
          </w:p>
        </w:tc>
        <w:tc>
          <w:tcPr>
            <w:tcW w:w="1578" w:type="dxa"/>
            <w:vAlign w:val="center"/>
          </w:tcPr>
          <w:p w14:paraId="0EA30B6A">
            <w:pPr>
              <w:rPr>
                <w:rFonts w:ascii="Arial" w:hAnsi="Arial" w:cs="Arial" w:eastAsiaTheme="minorEastAsia"/>
                <w:sz w:val="20"/>
                <w:szCs w:val="20"/>
                <w:lang w:eastAsia="zh-CN"/>
              </w:rPr>
            </w:pPr>
            <w:r>
              <w:rPr>
                <w:rFonts w:ascii="Arial" w:hAnsi="Arial" w:cs="Arial" w:eastAsiaTheme="minorEastAsia"/>
                <w:sz w:val="20"/>
                <w:szCs w:val="20"/>
                <w:lang w:eastAsia="zh-CN"/>
              </w:rPr>
              <w:t>0.21 ± 0.23</w:t>
            </w:r>
          </w:p>
        </w:tc>
        <w:tc>
          <w:tcPr>
            <w:tcW w:w="1290" w:type="dxa"/>
            <w:vAlign w:val="center"/>
          </w:tcPr>
          <w:p w14:paraId="51153E6C">
            <w:pPr>
              <w:rPr>
                <w:rFonts w:ascii="Arial" w:hAnsi="Arial" w:cs="Arial" w:eastAsiaTheme="minorEastAsia"/>
                <w:sz w:val="20"/>
                <w:szCs w:val="20"/>
                <w:lang w:eastAsia="zh-CN"/>
              </w:rPr>
            </w:pPr>
            <w:r>
              <w:rPr>
                <w:rFonts w:ascii="Arial" w:hAnsi="Arial" w:cs="Arial" w:eastAsiaTheme="minorEastAsia"/>
                <w:sz w:val="20"/>
                <w:szCs w:val="20"/>
                <w:lang w:eastAsia="zh-CN"/>
              </w:rPr>
              <w:t>0.20 ± 0.22</w:t>
            </w:r>
          </w:p>
        </w:tc>
        <w:tc>
          <w:tcPr>
            <w:tcW w:w="1238" w:type="dxa"/>
            <w:vAlign w:val="center"/>
          </w:tcPr>
          <w:p w14:paraId="28A19149">
            <w:pPr>
              <w:rPr>
                <w:rFonts w:ascii="Arial" w:hAnsi="Arial" w:cs="Arial" w:eastAsiaTheme="minorEastAsia"/>
                <w:sz w:val="20"/>
                <w:szCs w:val="20"/>
                <w:lang w:eastAsia="zh-CN"/>
              </w:rPr>
            </w:pPr>
            <w:r>
              <w:rPr>
                <w:rFonts w:ascii="Arial" w:hAnsi="Arial" w:cs="Arial" w:eastAsiaTheme="minorEastAsia"/>
                <w:sz w:val="20"/>
                <w:szCs w:val="20"/>
                <w:lang w:eastAsia="zh-CN"/>
              </w:rPr>
              <w:t>0.10 ± 0.13</w:t>
            </w:r>
          </w:p>
        </w:tc>
        <w:tc>
          <w:tcPr>
            <w:tcW w:w="623" w:type="dxa"/>
            <w:vAlign w:val="center"/>
          </w:tcPr>
          <w:p w14:paraId="09A0EB78">
            <w:pPr>
              <w:rPr>
                <w:rFonts w:ascii="Arial" w:hAnsi="Arial" w:cs="Arial" w:eastAsiaTheme="minorEastAsia"/>
                <w:sz w:val="20"/>
                <w:szCs w:val="20"/>
                <w:lang w:eastAsia="zh-CN"/>
              </w:rPr>
            </w:pPr>
            <w:r>
              <w:rPr>
                <w:rFonts w:ascii="Arial" w:hAnsi="Arial" w:cs="Arial" w:eastAsiaTheme="minorEastAsia"/>
                <w:sz w:val="20"/>
                <w:szCs w:val="20"/>
                <w:lang w:eastAsia="zh-CN"/>
              </w:rPr>
              <w:t>&lt;.001</w:t>
            </w:r>
          </w:p>
        </w:tc>
      </w:tr>
      <w:tr w14:paraId="61086AB9">
        <w:trPr>
          <w:cantSplit/>
        </w:trPr>
        <w:tc>
          <w:tcPr>
            <w:tcW w:w="2635" w:type="dxa"/>
            <w:vAlign w:val="center"/>
          </w:tcPr>
          <w:p w14:paraId="518864DD">
            <w:pPr>
              <w:rPr>
                <w:rFonts w:ascii="Arial" w:hAnsi="Arial" w:cs="Arial" w:eastAsiaTheme="minorEastAsia"/>
                <w:sz w:val="20"/>
                <w:szCs w:val="20"/>
                <w:lang w:eastAsia="zh-CN"/>
              </w:rPr>
            </w:pPr>
            <w:r>
              <w:rPr>
                <w:rFonts w:ascii="Arial" w:hAnsi="Arial" w:cs="Arial" w:eastAsiaTheme="minorEastAsia"/>
                <w:sz w:val="20"/>
                <w:szCs w:val="20"/>
                <w:lang w:eastAsia="zh-CN"/>
              </w:rPr>
              <w:t>Dobutamine, µg/kg/min (mean)</w:t>
            </w:r>
          </w:p>
        </w:tc>
        <w:tc>
          <w:tcPr>
            <w:tcW w:w="2356" w:type="dxa"/>
            <w:vAlign w:val="center"/>
          </w:tcPr>
          <w:p w14:paraId="20D8397D">
            <w:pPr>
              <w:rPr>
                <w:rFonts w:ascii="Arial" w:hAnsi="Arial" w:cs="Arial" w:eastAsiaTheme="minorEastAsia"/>
                <w:sz w:val="20"/>
                <w:szCs w:val="20"/>
                <w:lang w:eastAsia="zh-CN"/>
              </w:rPr>
            </w:pPr>
            <w:r>
              <w:rPr>
                <w:rFonts w:ascii="Arial" w:hAnsi="Arial" w:cs="Arial" w:eastAsiaTheme="minorEastAsia"/>
                <w:sz w:val="20"/>
                <w:szCs w:val="20"/>
                <w:lang w:eastAsia="zh-CN"/>
              </w:rPr>
              <w:t>SOFA Cardiovascular (vasopressors)</w:t>
            </w:r>
          </w:p>
        </w:tc>
        <w:tc>
          <w:tcPr>
            <w:tcW w:w="1578" w:type="dxa"/>
            <w:vAlign w:val="center"/>
          </w:tcPr>
          <w:p w14:paraId="4828A9E5">
            <w:pPr>
              <w:rPr>
                <w:rFonts w:ascii="Arial" w:hAnsi="Arial" w:cs="Arial" w:eastAsiaTheme="minorEastAsia"/>
                <w:sz w:val="20"/>
                <w:szCs w:val="20"/>
                <w:lang w:eastAsia="zh-CN"/>
              </w:rPr>
            </w:pPr>
            <w:r>
              <w:rPr>
                <w:rFonts w:ascii="Arial" w:hAnsi="Arial" w:cs="Arial" w:eastAsiaTheme="minorEastAsia"/>
                <w:sz w:val="20"/>
                <w:szCs w:val="20"/>
                <w:lang w:eastAsia="zh-CN"/>
              </w:rPr>
              <w:t>5.91 ± 4.42</w:t>
            </w:r>
          </w:p>
        </w:tc>
        <w:tc>
          <w:tcPr>
            <w:tcW w:w="1290" w:type="dxa"/>
            <w:vAlign w:val="center"/>
          </w:tcPr>
          <w:p w14:paraId="6D54227A">
            <w:pPr>
              <w:rPr>
                <w:rFonts w:ascii="Arial" w:hAnsi="Arial" w:cs="Arial" w:eastAsiaTheme="minorEastAsia"/>
                <w:sz w:val="20"/>
                <w:szCs w:val="20"/>
                <w:lang w:eastAsia="zh-CN"/>
              </w:rPr>
            </w:pPr>
            <w:r>
              <w:rPr>
                <w:rFonts w:ascii="Arial" w:hAnsi="Arial" w:cs="Arial" w:eastAsiaTheme="minorEastAsia"/>
                <w:sz w:val="20"/>
                <w:szCs w:val="20"/>
                <w:lang w:eastAsia="zh-CN"/>
              </w:rPr>
              <w:t>6.09 ± 3.73</w:t>
            </w:r>
          </w:p>
        </w:tc>
        <w:tc>
          <w:tcPr>
            <w:tcW w:w="1238" w:type="dxa"/>
            <w:vAlign w:val="center"/>
          </w:tcPr>
          <w:p w14:paraId="22693ADA">
            <w:pPr>
              <w:rPr>
                <w:rFonts w:ascii="Arial" w:hAnsi="Arial" w:cs="Arial" w:eastAsiaTheme="minorEastAsia"/>
                <w:sz w:val="20"/>
                <w:szCs w:val="20"/>
                <w:lang w:eastAsia="zh-CN"/>
              </w:rPr>
            </w:pPr>
            <w:r>
              <w:rPr>
                <w:rFonts w:ascii="Arial" w:hAnsi="Arial" w:cs="Arial" w:eastAsiaTheme="minorEastAsia"/>
                <w:sz w:val="20"/>
                <w:szCs w:val="20"/>
                <w:lang w:eastAsia="zh-CN"/>
              </w:rPr>
              <w:t>3.93 ± 3.05</w:t>
            </w:r>
          </w:p>
        </w:tc>
        <w:tc>
          <w:tcPr>
            <w:tcW w:w="623" w:type="dxa"/>
            <w:vAlign w:val="center"/>
          </w:tcPr>
          <w:p w14:paraId="1BE08886">
            <w:pPr>
              <w:rPr>
                <w:rFonts w:ascii="Arial" w:hAnsi="Arial" w:cs="Arial" w:eastAsiaTheme="minorEastAsia"/>
                <w:sz w:val="20"/>
                <w:szCs w:val="20"/>
                <w:lang w:eastAsia="zh-CN"/>
              </w:rPr>
            </w:pPr>
            <w:r>
              <w:rPr>
                <w:rFonts w:ascii="Arial" w:hAnsi="Arial" w:cs="Arial" w:eastAsiaTheme="minorEastAsia"/>
                <w:sz w:val="20"/>
                <w:szCs w:val="20"/>
                <w:lang w:eastAsia="zh-CN"/>
              </w:rPr>
              <w:t>.33</w:t>
            </w:r>
          </w:p>
        </w:tc>
      </w:tr>
      <w:tr w14:paraId="506116FE">
        <w:trPr>
          <w:cantSplit/>
        </w:trPr>
        <w:tc>
          <w:tcPr>
            <w:tcW w:w="2635" w:type="dxa"/>
            <w:vAlign w:val="center"/>
          </w:tcPr>
          <w:p w14:paraId="4083FD00">
            <w:pPr>
              <w:rPr>
                <w:rFonts w:ascii="Arial" w:hAnsi="Arial" w:cs="Arial" w:eastAsiaTheme="minorEastAsia"/>
                <w:sz w:val="20"/>
                <w:szCs w:val="20"/>
                <w:lang w:eastAsia="zh-CN"/>
              </w:rPr>
            </w:pPr>
            <w:r>
              <w:rPr>
                <w:rFonts w:ascii="Arial" w:hAnsi="Arial" w:cs="Arial" w:eastAsiaTheme="minorEastAsia"/>
                <w:sz w:val="20"/>
                <w:szCs w:val="20"/>
                <w:lang w:eastAsia="zh-CN"/>
              </w:rPr>
              <w:t>Epinephrine, µg/kg/min (mean)</w:t>
            </w:r>
          </w:p>
        </w:tc>
        <w:tc>
          <w:tcPr>
            <w:tcW w:w="2356" w:type="dxa"/>
            <w:vAlign w:val="center"/>
          </w:tcPr>
          <w:p w14:paraId="7B93E037">
            <w:pPr>
              <w:rPr>
                <w:rFonts w:ascii="Arial" w:hAnsi="Arial" w:cs="Arial" w:eastAsiaTheme="minorEastAsia"/>
                <w:sz w:val="20"/>
                <w:szCs w:val="20"/>
                <w:lang w:eastAsia="zh-CN"/>
              </w:rPr>
            </w:pPr>
            <w:r>
              <w:rPr>
                <w:rFonts w:ascii="Arial" w:hAnsi="Arial" w:cs="Arial" w:eastAsiaTheme="minorEastAsia"/>
                <w:sz w:val="20"/>
                <w:szCs w:val="20"/>
                <w:lang w:eastAsia="zh-CN"/>
              </w:rPr>
              <w:t>SOFA Cardiovascular (vasopressors)</w:t>
            </w:r>
          </w:p>
        </w:tc>
        <w:tc>
          <w:tcPr>
            <w:tcW w:w="1578" w:type="dxa"/>
            <w:vAlign w:val="center"/>
          </w:tcPr>
          <w:p w14:paraId="72A99E35">
            <w:pPr>
              <w:rPr>
                <w:rFonts w:ascii="Arial" w:hAnsi="Arial" w:cs="Arial" w:eastAsiaTheme="minorEastAsia"/>
                <w:sz w:val="20"/>
                <w:szCs w:val="20"/>
                <w:lang w:eastAsia="zh-CN"/>
              </w:rPr>
            </w:pPr>
            <w:r>
              <w:rPr>
                <w:rFonts w:ascii="Arial" w:hAnsi="Arial" w:cs="Arial" w:eastAsiaTheme="minorEastAsia"/>
                <w:sz w:val="20"/>
                <w:szCs w:val="20"/>
                <w:lang w:eastAsia="zh-CN"/>
              </w:rPr>
              <w:t>0.18 ± 0.20</w:t>
            </w:r>
          </w:p>
        </w:tc>
        <w:tc>
          <w:tcPr>
            <w:tcW w:w="1290" w:type="dxa"/>
            <w:vAlign w:val="center"/>
          </w:tcPr>
          <w:p w14:paraId="5F1B4619">
            <w:pPr>
              <w:rPr>
                <w:rFonts w:ascii="Arial" w:hAnsi="Arial" w:cs="Arial" w:eastAsiaTheme="minorEastAsia"/>
                <w:sz w:val="20"/>
                <w:szCs w:val="20"/>
                <w:lang w:eastAsia="zh-CN"/>
              </w:rPr>
            </w:pPr>
            <w:r>
              <w:rPr>
                <w:rFonts w:ascii="Arial" w:hAnsi="Arial" w:cs="Arial" w:eastAsiaTheme="minorEastAsia"/>
                <w:sz w:val="20"/>
                <w:szCs w:val="20"/>
                <w:lang w:eastAsia="zh-CN"/>
              </w:rPr>
              <w:t>0.07 ± 0.05</w:t>
            </w:r>
          </w:p>
        </w:tc>
        <w:tc>
          <w:tcPr>
            <w:tcW w:w="1238" w:type="dxa"/>
            <w:vAlign w:val="center"/>
          </w:tcPr>
          <w:p w14:paraId="00DD8B44">
            <w:pPr>
              <w:rPr>
                <w:rFonts w:ascii="Arial" w:hAnsi="Arial" w:cs="Arial" w:eastAsiaTheme="minorEastAsia"/>
                <w:sz w:val="20"/>
                <w:szCs w:val="20"/>
                <w:lang w:eastAsia="zh-CN"/>
              </w:rPr>
            </w:pPr>
            <w:r>
              <w:rPr>
                <w:rFonts w:ascii="Arial" w:hAnsi="Arial" w:cs="Arial" w:eastAsiaTheme="minorEastAsia"/>
                <w:sz w:val="20"/>
                <w:szCs w:val="20"/>
                <w:lang w:eastAsia="zh-CN"/>
              </w:rPr>
              <w:t>0.05 ± 0.07</w:t>
            </w:r>
          </w:p>
        </w:tc>
        <w:tc>
          <w:tcPr>
            <w:tcW w:w="623" w:type="dxa"/>
            <w:vAlign w:val="center"/>
          </w:tcPr>
          <w:p w14:paraId="6FFFAA37">
            <w:pPr>
              <w:rPr>
                <w:rFonts w:ascii="Arial" w:hAnsi="Arial" w:cs="Arial" w:eastAsiaTheme="minorEastAsia"/>
                <w:sz w:val="20"/>
                <w:szCs w:val="20"/>
                <w:lang w:eastAsia="zh-CN"/>
              </w:rPr>
            </w:pPr>
            <w:r>
              <w:rPr>
                <w:rFonts w:ascii="Arial" w:hAnsi="Arial" w:cs="Arial" w:eastAsiaTheme="minorEastAsia"/>
                <w:sz w:val="20"/>
                <w:szCs w:val="20"/>
                <w:lang w:eastAsia="zh-CN"/>
              </w:rPr>
              <w:t>.04</w:t>
            </w:r>
          </w:p>
        </w:tc>
      </w:tr>
      <w:tr w14:paraId="32E3EF02">
        <w:trPr>
          <w:cantSplit/>
        </w:trPr>
        <w:tc>
          <w:tcPr>
            <w:tcW w:w="2635" w:type="dxa"/>
            <w:vAlign w:val="center"/>
          </w:tcPr>
          <w:p w14:paraId="0993AE69">
            <w:pPr>
              <w:rPr>
                <w:rFonts w:ascii="Arial" w:hAnsi="Arial" w:cs="Arial" w:eastAsiaTheme="minorEastAsia"/>
                <w:sz w:val="20"/>
                <w:szCs w:val="20"/>
                <w:lang w:eastAsia="zh-CN"/>
              </w:rPr>
            </w:pPr>
            <w:r>
              <w:rPr>
                <w:rFonts w:ascii="Arial" w:hAnsi="Arial" w:cs="Arial" w:eastAsiaTheme="minorEastAsia"/>
                <w:sz w:val="20"/>
                <w:szCs w:val="20"/>
                <w:lang w:eastAsia="zh-CN"/>
              </w:rPr>
              <w:t>Other vasopressor/inotrope, any</w:t>
            </w:r>
          </w:p>
        </w:tc>
        <w:tc>
          <w:tcPr>
            <w:tcW w:w="2356" w:type="dxa"/>
            <w:vAlign w:val="center"/>
          </w:tcPr>
          <w:p w14:paraId="7A40082B">
            <w:pPr>
              <w:rPr>
                <w:rFonts w:ascii="Arial" w:hAnsi="Arial" w:cs="Arial" w:eastAsiaTheme="minorEastAsia"/>
                <w:sz w:val="20"/>
                <w:szCs w:val="20"/>
                <w:lang w:eastAsia="zh-CN"/>
              </w:rPr>
            </w:pPr>
            <w:r>
              <w:rPr>
                <w:rFonts w:ascii="Arial" w:hAnsi="Arial" w:cs="Arial" w:eastAsiaTheme="minorEastAsia"/>
                <w:sz w:val="20"/>
                <w:szCs w:val="20"/>
                <w:lang w:eastAsia="zh-CN"/>
              </w:rPr>
              <w:t>SOFA Cardiovascular (vasopressors)</w:t>
            </w:r>
          </w:p>
        </w:tc>
        <w:tc>
          <w:tcPr>
            <w:tcW w:w="1578" w:type="dxa"/>
            <w:vAlign w:val="center"/>
          </w:tcPr>
          <w:p w14:paraId="2D4A2BD9">
            <w:pPr>
              <w:rPr>
                <w:rFonts w:ascii="Arial" w:hAnsi="Arial" w:cs="Arial" w:eastAsiaTheme="minorEastAsia"/>
                <w:sz w:val="20"/>
                <w:szCs w:val="20"/>
                <w:lang w:eastAsia="zh-CN"/>
              </w:rPr>
            </w:pPr>
            <w:r>
              <w:rPr>
                <w:rFonts w:ascii="Arial" w:hAnsi="Arial" w:cs="Arial" w:eastAsiaTheme="minorEastAsia"/>
                <w:sz w:val="20"/>
                <w:szCs w:val="20"/>
                <w:lang w:eastAsia="zh-CN"/>
              </w:rPr>
              <w:t>1,431 (16.2%)</w:t>
            </w:r>
          </w:p>
        </w:tc>
        <w:tc>
          <w:tcPr>
            <w:tcW w:w="1290" w:type="dxa"/>
            <w:vAlign w:val="center"/>
          </w:tcPr>
          <w:p w14:paraId="2FC412D6">
            <w:pPr>
              <w:rPr>
                <w:rFonts w:ascii="Arial" w:hAnsi="Arial" w:cs="Arial" w:eastAsiaTheme="minorEastAsia"/>
                <w:sz w:val="20"/>
                <w:szCs w:val="20"/>
                <w:lang w:eastAsia="zh-CN"/>
              </w:rPr>
            </w:pPr>
            <w:r>
              <w:rPr>
                <w:rFonts w:ascii="Arial" w:hAnsi="Arial" w:cs="Arial" w:eastAsiaTheme="minorEastAsia"/>
                <w:sz w:val="20"/>
                <w:szCs w:val="20"/>
                <w:lang w:eastAsia="zh-CN"/>
              </w:rPr>
              <w:t>168 (8.4%)</w:t>
            </w:r>
          </w:p>
        </w:tc>
        <w:tc>
          <w:tcPr>
            <w:tcW w:w="1238" w:type="dxa"/>
            <w:vAlign w:val="center"/>
          </w:tcPr>
          <w:p w14:paraId="63368001">
            <w:pPr>
              <w:rPr>
                <w:rFonts w:ascii="Arial" w:hAnsi="Arial" w:cs="Arial" w:eastAsiaTheme="minorEastAsia"/>
                <w:sz w:val="20"/>
                <w:szCs w:val="20"/>
                <w:lang w:eastAsia="zh-CN"/>
              </w:rPr>
            </w:pPr>
            <w:r>
              <w:rPr>
                <w:rFonts w:ascii="Arial" w:hAnsi="Arial" w:cs="Arial" w:eastAsiaTheme="minorEastAsia"/>
                <w:sz w:val="20"/>
                <w:szCs w:val="20"/>
                <w:lang w:eastAsia="zh-CN"/>
              </w:rPr>
              <w:t>65 (4.8%)</w:t>
            </w:r>
          </w:p>
        </w:tc>
        <w:tc>
          <w:tcPr>
            <w:tcW w:w="623" w:type="dxa"/>
            <w:vAlign w:val="center"/>
          </w:tcPr>
          <w:p w14:paraId="41CD30AF">
            <w:pPr>
              <w:rPr>
                <w:rFonts w:ascii="Arial" w:hAnsi="Arial" w:cs="Arial" w:eastAsiaTheme="minorEastAsia"/>
                <w:sz w:val="20"/>
                <w:szCs w:val="20"/>
                <w:lang w:eastAsia="zh-CN"/>
              </w:rPr>
            </w:pPr>
            <w:r>
              <w:rPr>
                <w:rFonts w:ascii="Arial" w:hAnsi="Arial" w:cs="Arial" w:eastAsiaTheme="minorEastAsia"/>
                <w:sz w:val="20"/>
                <w:szCs w:val="20"/>
                <w:lang w:eastAsia="zh-CN"/>
              </w:rPr>
              <w:t>&lt;.001</w:t>
            </w:r>
          </w:p>
        </w:tc>
      </w:tr>
      <w:tr w14:paraId="69723DE5">
        <w:trPr>
          <w:cantSplit/>
        </w:trPr>
        <w:tc>
          <w:tcPr>
            <w:tcW w:w="2635" w:type="dxa"/>
            <w:vAlign w:val="center"/>
          </w:tcPr>
          <w:p w14:paraId="3D13B241">
            <w:pPr>
              <w:rPr>
                <w:rFonts w:ascii="Arial" w:hAnsi="Arial" w:cs="Arial" w:eastAsiaTheme="minorEastAsia"/>
                <w:sz w:val="20"/>
                <w:szCs w:val="20"/>
                <w:lang w:eastAsia="zh-CN"/>
              </w:rPr>
            </w:pPr>
            <w:r>
              <w:rPr>
                <w:rFonts w:ascii="Arial" w:hAnsi="Arial" w:cs="Arial" w:eastAsiaTheme="minorEastAsia"/>
                <w:sz w:val="20"/>
                <w:szCs w:val="20"/>
                <w:lang w:eastAsia="zh-CN"/>
              </w:rPr>
              <w:t>Mechanical circulatory support, any</w:t>
            </w:r>
          </w:p>
        </w:tc>
        <w:tc>
          <w:tcPr>
            <w:tcW w:w="2356" w:type="dxa"/>
            <w:vAlign w:val="center"/>
          </w:tcPr>
          <w:p w14:paraId="3699C65A">
            <w:pPr>
              <w:rPr>
                <w:rFonts w:ascii="Arial" w:hAnsi="Arial" w:cs="Arial" w:eastAsiaTheme="minorEastAsia"/>
                <w:sz w:val="20"/>
                <w:szCs w:val="20"/>
                <w:lang w:eastAsia="zh-CN"/>
              </w:rPr>
            </w:pPr>
            <w:r>
              <w:rPr>
                <w:rFonts w:ascii="Arial" w:hAnsi="Arial" w:cs="Arial" w:eastAsiaTheme="minorEastAsia"/>
                <w:sz w:val="20"/>
                <w:szCs w:val="20"/>
                <w:lang w:eastAsia="zh-CN"/>
              </w:rPr>
              <w:t>SOFA Cardiovascular (mechanical support)</w:t>
            </w:r>
          </w:p>
        </w:tc>
        <w:tc>
          <w:tcPr>
            <w:tcW w:w="1578" w:type="dxa"/>
            <w:vAlign w:val="center"/>
          </w:tcPr>
          <w:p w14:paraId="70A5CEBC">
            <w:pPr>
              <w:rPr>
                <w:rFonts w:ascii="Arial" w:hAnsi="Arial" w:cs="Arial" w:eastAsiaTheme="minorEastAsia"/>
                <w:sz w:val="20"/>
                <w:szCs w:val="20"/>
                <w:lang w:eastAsia="zh-CN"/>
              </w:rPr>
            </w:pPr>
            <w:r>
              <w:rPr>
                <w:rFonts w:ascii="Arial" w:hAnsi="Arial" w:cs="Arial" w:eastAsiaTheme="minorEastAsia"/>
                <w:sz w:val="20"/>
                <w:szCs w:val="20"/>
                <w:lang w:eastAsia="zh-CN"/>
              </w:rPr>
              <w:t>39 (0.4%)</w:t>
            </w:r>
          </w:p>
        </w:tc>
        <w:tc>
          <w:tcPr>
            <w:tcW w:w="1290" w:type="dxa"/>
            <w:vAlign w:val="center"/>
          </w:tcPr>
          <w:p w14:paraId="4ED7DDFD">
            <w:pPr>
              <w:rPr>
                <w:rFonts w:ascii="Arial" w:hAnsi="Arial" w:cs="Arial" w:eastAsiaTheme="minorEastAsia"/>
                <w:sz w:val="20"/>
                <w:szCs w:val="20"/>
                <w:lang w:eastAsia="zh-CN"/>
              </w:rPr>
            </w:pPr>
            <w:r>
              <w:rPr>
                <w:rFonts w:ascii="Arial" w:hAnsi="Arial" w:cs="Arial" w:eastAsiaTheme="minorEastAsia"/>
                <w:sz w:val="20"/>
                <w:szCs w:val="20"/>
                <w:lang w:eastAsia="zh-CN"/>
              </w:rPr>
              <w:t>8 (0.4%)</w:t>
            </w:r>
          </w:p>
        </w:tc>
        <w:tc>
          <w:tcPr>
            <w:tcW w:w="1238" w:type="dxa"/>
            <w:vAlign w:val="center"/>
          </w:tcPr>
          <w:p w14:paraId="3C6420A9">
            <w:pPr>
              <w:rPr>
                <w:rFonts w:ascii="Arial" w:hAnsi="Arial" w:cs="Arial" w:eastAsiaTheme="minorEastAsia"/>
                <w:sz w:val="20"/>
                <w:szCs w:val="20"/>
                <w:lang w:eastAsia="zh-CN"/>
              </w:rPr>
            </w:pPr>
            <w:r>
              <w:rPr>
                <w:rFonts w:ascii="Arial" w:hAnsi="Arial" w:cs="Arial" w:eastAsiaTheme="minorEastAsia"/>
                <w:sz w:val="20"/>
                <w:szCs w:val="20"/>
                <w:lang w:eastAsia="zh-CN"/>
              </w:rPr>
              <w:t>3 (0.2%)</w:t>
            </w:r>
          </w:p>
        </w:tc>
        <w:tc>
          <w:tcPr>
            <w:tcW w:w="623" w:type="dxa"/>
            <w:vAlign w:val="center"/>
          </w:tcPr>
          <w:p w14:paraId="43F7BA17">
            <w:pPr>
              <w:rPr>
                <w:rFonts w:ascii="Arial" w:hAnsi="Arial" w:cs="Arial" w:eastAsiaTheme="minorEastAsia"/>
                <w:sz w:val="20"/>
                <w:szCs w:val="20"/>
                <w:lang w:eastAsia="zh-CN"/>
              </w:rPr>
            </w:pPr>
            <w:r>
              <w:rPr>
                <w:rFonts w:ascii="Arial" w:hAnsi="Arial" w:cs="Arial" w:eastAsiaTheme="minorEastAsia"/>
                <w:sz w:val="20"/>
                <w:szCs w:val="20"/>
                <w:lang w:eastAsia="zh-CN"/>
              </w:rPr>
              <w:t>.49</w:t>
            </w:r>
          </w:p>
        </w:tc>
      </w:tr>
      <w:tr w14:paraId="0B251334">
        <w:trPr>
          <w:cantSplit/>
        </w:trPr>
        <w:tc>
          <w:tcPr>
            <w:tcW w:w="2635" w:type="dxa"/>
            <w:vAlign w:val="center"/>
          </w:tcPr>
          <w:p w14:paraId="78EEB12A">
            <w:pPr>
              <w:rPr>
                <w:rFonts w:ascii="Arial" w:hAnsi="Arial" w:cs="Arial" w:eastAsiaTheme="minorEastAsia"/>
                <w:sz w:val="20"/>
                <w:szCs w:val="20"/>
                <w:lang w:eastAsia="zh-CN"/>
              </w:rPr>
            </w:pPr>
            <w:r>
              <w:rPr>
                <w:rFonts w:ascii="Arial" w:hAnsi="Arial" w:cs="Arial" w:eastAsiaTheme="minorEastAsia"/>
                <w:sz w:val="20"/>
                <w:szCs w:val="20"/>
                <w:lang w:eastAsia="zh-CN"/>
              </w:rPr>
              <w:t>Glasgow Coma Scale score (mean)</w:t>
            </w:r>
          </w:p>
        </w:tc>
        <w:tc>
          <w:tcPr>
            <w:tcW w:w="2356" w:type="dxa"/>
            <w:vAlign w:val="center"/>
          </w:tcPr>
          <w:p w14:paraId="4A938B60">
            <w:pPr>
              <w:rPr>
                <w:rFonts w:ascii="Arial" w:hAnsi="Arial" w:cs="Arial" w:eastAsiaTheme="minorEastAsia"/>
                <w:sz w:val="20"/>
                <w:szCs w:val="20"/>
                <w:lang w:eastAsia="zh-CN"/>
              </w:rPr>
            </w:pPr>
            <w:r>
              <w:rPr>
                <w:rFonts w:ascii="Arial" w:hAnsi="Arial" w:cs="Arial" w:eastAsiaTheme="minorEastAsia"/>
                <w:sz w:val="20"/>
                <w:szCs w:val="20"/>
                <w:lang w:eastAsia="zh-CN"/>
              </w:rPr>
              <w:t>SOFA CNS (baseline)</w:t>
            </w:r>
          </w:p>
        </w:tc>
        <w:tc>
          <w:tcPr>
            <w:tcW w:w="1578" w:type="dxa"/>
            <w:vAlign w:val="center"/>
          </w:tcPr>
          <w:p w14:paraId="6FDDB6AE">
            <w:pPr>
              <w:rPr>
                <w:rFonts w:ascii="Arial" w:hAnsi="Arial" w:cs="Arial" w:eastAsiaTheme="minorEastAsia"/>
                <w:sz w:val="20"/>
                <w:szCs w:val="20"/>
                <w:lang w:eastAsia="zh-CN"/>
              </w:rPr>
            </w:pPr>
            <w:r>
              <w:rPr>
                <w:rFonts w:ascii="Arial" w:hAnsi="Arial" w:cs="Arial" w:eastAsiaTheme="minorEastAsia"/>
                <w:sz w:val="20"/>
                <w:szCs w:val="20"/>
                <w:lang w:eastAsia="zh-CN"/>
              </w:rPr>
              <w:t>11.95 ± 3.15</w:t>
            </w:r>
          </w:p>
        </w:tc>
        <w:tc>
          <w:tcPr>
            <w:tcW w:w="1290" w:type="dxa"/>
            <w:vAlign w:val="center"/>
          </w:tcPr>
          <w:p w14:paraId="249A310A">
            <w:pPr>
              <w:rPr>
                <w:rFonts w:ascii="Arial" w:hAnsi="Arial" w:cs="Arial" w:eastAsiaTheme="minorEastAsia"/>
                <w:sz w:val="20"/>
                <w:szCs w:val="20"/>
                <w:lang w:eastAsia="zh-CN"/>
              </w:rPr>
            </w:pPr>
            <w:r>
              <w:rPr>
                <w:rFonts w:ascii="Arial" w:hAnsi="Arial" w:cs="Arial" w:eastAsiaTheme="minorEastAsia"/>
                <w:sz w:val="20"/>
                <w:szCs w:val="20"/>
                <w:lang w:eastAsia="zh-CN"/>
              </w:rPr>
              <w:t>13.19 ± 2.71</w:t>
            </w:r>
          </w:p>
        </w:tc>
        <w:tc>
          <w:tcPr>
            <w:tcW w:w="1238" w:type="dxa"/>
            <w:vAlign w:val="center"/>
          </w:tcPr>
          <w:p w14:paraId="4C73EB74">
            <w:pPr>
              <w:rPr>
                <w:rFonts w:ascii="Arial" w:hAnsi="Arial" w:cs="Arial" w:eastAsiaTheme="minorEastAsia"/>
                <w:sz w:val="20"/>
                <w:szCs w:val="20"/>
                <w:lang w:eastAsia="zh-CN"/>
              </w:rPr>
            </w:pPr>
            <w:r>
              <w:rPr>
                <w:rFonts w:ascii="Arial" w:hAnsi="Arial" w:cs="Arial" w:eastAsiaTheme="minorEastAsia"/>
                <w:sz w:val="20"/>
                <w:szCs w:val="20"/>
                <w:lang w:eastAsia="zh-CN"/>
              </w:rPr>
              <w:t>13.38 ± 2.46</w:t>
            </w:r>
          </w:p>
        </w:tc>
        <w:tc>
          <w:tcPr>
            <w:tcW w:w="623" w:type="dxa"/>
            <w:vAlign w:val="center"/>
          </w:tcPr>
          <w:p w14:paraId="731FC8F1">
            <w:pPr>
              <w:rPr>
                <w:rFonts w:ascii="Arial" w:hAnsi="Arial" w:cs="Arial" w:eastAsiaTheme="minorEastAsia"/>
                <w:sz w:val="20"/>
                <w:szCs w:val="20"/>
                <w:lang w:eastAsia="zh-CN"/>
              </w:rPr>
            </w:pPr>
            <w:r>
              <w:rPr>
                <w:rFonts w:ascii="Arial" w:hAnsi="Arial" w:cs="Arial" w:eastAsiaTheme="minorEastAsia"/>
                <w:sz w:val="20"/>
                <w:szCs w:val="20"/>
                <w:lang w:eastAsia="zh-CN"/>
              </w:rPr>
              <w:t>&lt;.001</w:t>
            </w:r>
          </w:p>
        </w:tc>
      </w:tr>
      <w:tr w14:paraId="6C26BB52">
        <w:trPr>
          <w:cantSplit/>
        </w:trPr>
        <w:tc>
          <w:tcPr>
            <w:tcW w:w="2635" w:type="dxa"/>
            <w:vAlign w:val="center"/>
          </w:tcPr>
          <w:p w14:paraId="74B13548">
            <w:pPr>
              <w:rPr>
                <w:rFonts w:ascii="Arial" w:hAnsi="Arial" w:cs="Arial" w:eastAsiaTheme="minorEastAsia"/>
                <w:sz w:val="20"/>
                <w:szCs w:val="20"/>
                <w:lang w:eastAsia="zh-CN"/>
              </w:rPr>
            </w:pPr>
            <w:r>
              <w:rPr>
                <w:rFonts w:ascii="Arial" w:hAnsi="Arial" w:cs="Arial" w:eastAsiaTheme="minorEastAsia"/>
                <w:sz w:val="20"/>
                <w:szCs w:val="20"/>
                <w:lang w:eastAsia="zh-CN"/>
              </w:rPr>
              <w:t>Delirium treatment, any</w:t>
            </w:r>
          </w:p>
        </w:tc>
        <w:tc>
          <w:tcPr>
            <w:tcW w:w="2356" w:type="dxa"/>
            <w:vAlign w:val="center"/>
          </w:tcPr>
          <w:p w14:paraId="50DA3589">
            <w:pPr>
              <w:rPr>
                <w:rFonts w:ascii="Arial" w:hAnsi="Arial" w:cs="Arial" w:eastAsiaTheme="minorEastAsia"/>
                <w:sz w:val="20"/>
                <w:szCs w:val="20"/>
                <w:lang w:eastAsia="zh-CN"/>
              </w:rPr>
            </w:pPr>
            <w:r>
              <w:rPr>
                <w:rFonts w:ascii="Arial" w:hAnsi="Arial" w:cs="Arial" w:eastAsiaTheme="minorEastAsia"/>
                <w:sz w:val="20"/>
                <w:szCs w:val="20"/>
                <w:lang w:eastAsia="zh-CN"/>
              </w:rPr>
              <w:t>SOFA CNS (updated)</w:t>
            </w:r>
          </w:p>
        </w:tc>
        <w:tc>
          <w:tcPr>
            <w:tcW w:w="1578" w:type="dxa"/>
            <w:vAlign w:val="center"/>
          </w:tcPr>
          <w:p w14:paraId="48202DC9">
            <w:pPr>
              <w:rPr>
                <w:rFonts w:ascii="Arial" w:hAnsi="Arial" w:cs="Arial" w:eastAsiaTheme="minorEastAsia"/>
                <w:sz w:val="20"/>
                <w:szCs w:val="20"/>
                <w:lang w:eastAsia="zh-CN"/>
              </w:rPr>
            </w:pPr>
            <w:r>
              <w:rPr>
                <w:rFonts w:ascii="Arial" w:hAnsi="Arial" w:cs="Arial" w:eastAsiaTheme="minorEastAsia"/>
                <w:sz w:val="20"/>
                <w:szCs w:val="20"/>
                <w:lang w:eastAsia="zh-CN"/>
              </w:rPr>
              <w:t>260 (2.9%)</w:t>
            </w:r>
          </w:p>
        </w:tc>
        <w:tc>
          <w:tcPr>
            <w:tcW w:w="1290" w:type="dxa"/>
            <w:vAlign w:val="center"/>
          </w:tcPr>
          <w:p w14:paraId="247F3323">
            <w:pPr>
              <w:rPr>
                <w:rFonts w:ascii="Arial" w:hAnsi="Arial" w:cs="Arial" w:eastAsiaTheme="minorEastAsia"/>
                <w:sz w:val="20"/>
                <w:szCs w:val="20"/>
                <w:lang w:eastAsia="zh-CN"/>
              </w:rPr>
            </w:pPr>
            <w:r>
              <w:rPr>
                <w:rFonts w:ascii="Arial" w:hAnsi="Arial" w:cs="Arial" w:eastAsiaTheme="minorEastAsia"/>
                <w:sz w:val="20"/>
                <w:szCs w:val="20"/>
                <w:lang w:eastAsia="zh-CN"/>
              </w:rPr>
              <w:t>52 (2.6%)</w:t>
            </w:r>
          </w:p>
        </w:tc>
        <w:tc>
          <w:tcPr>
            <w:tcW w:w="1238" w:type="dxa"/>
            <w:vAlign w:val="center"/>
          </w:tcPr>
          <w:p w14:paraId="675505B3">
            <w:pPr>
              <w:rPr>
                <w:rFonts w:ascii="Arial" w:hAnsi="Arial" w:cs="Arial" w:eastAsiaTheme="minorEastAsia"/>
                <w:sz w:val="20"/>
                <w:szCs w:val="20"/>
                <w:lang w:eastAsia="zh-CN"/>
              </w:rPr>
            </w:pPr>
            <w:r>
              <w:rPr>
                <w:rFonts w:ascii="Arial" w:hAnsi="Arial" w:cs="Arial" w:eastAsiaTheme="minorEastAsia"/>
                <w:sz w:val="20"/>
                <w:szCs w:val="20"/>
                <w:lang w:eastAsia="zh-CN"/>
              </w:rPr>
              <w:t>24 (1.8%)</w:t>
            </w:r>
          </w:p>
        </w:tc>
        <w:tc>
          <w:tcPr>
            <w:tcW w:w="623" w:type="dxa"/>
            <w:vAlign w:val="center"/>
          </w:tcPr>
          <w:p w14:paraId="7BB7D481">
            <w:pPr>
              <w:rPr>
                <w:rFonts w:ascii="Arial" w:hAnsi="Arial" w:cs="Arial" w:eastAsiaTheme="minorEastAsia"/>
                <w:sz w:val="20"/>
                <w:szCs w:val="20"/>
                <w:lang w:eastAsia="zh-CN"/>
              </w:rPr>
            </w:pPr>
            <w:r>
              <w:rPr>
                <w:rFonts w:ascii="Arial" w:hAnsi="Arial" w:cs="Arial" w:eastAsiaTheme="minorEastAsia"/>
                <w:sz w:val="20"/>
                <w:szCs w:val="20"/>
                <w:lang w:eastAsia="zh-CN"/>
              </w:rPr>
              <w:t>.04</w:t>
            </w:r>
          </w:p>
        </w:tc>
      </w:tr>
      <w:tr w14:paraId="4273EFA1">
        <w:trPr>
          <w:cantSplit/>
        </w:trPr>
        <w:tc>
          <w:tcPr>
            <w:tcW w:w="2635" w:type="dxa"/>
            <w:vAlign w:val="center"/>
          </w:tcPr>
          <w:p w14:paraId="58B7A544">
            <w:pPr>
              <w:rPr>
                <w:rFonts w:ascii="Arial" w:hAnsi="Arial" w:cs="Arial" w:eastAsiaTheme="minorEastAsia"/>
                <w:sz w:val="20"/>
                <w:szCs w:val="20"/>
                <w:lang w:eastAsia="zh-CN"/>
              </w:rPr>
            </w:pPr>
            <w:r>
              <w:rPr>
                <w:rFonts w:ascii="Arial" w:hAnsi="Arial" w:cs="Arial" w:eastAsiaTheme="minorEastAsia"/>
                <w:sz w:val="20"/>
                <w:szCs w:val="20"/>
                <w:lang w:eastAsia="zh-CN"/>
              </w:rPr>
              <w:t>GCS motor score (mean)</w:t>
            </w:r>
          </w:p>
        </w:tc>
        <w:tc>
          <w:tcPr>
            <w:tcW w:w="2356" w:type="dxa"/>
            <w:vAlign w:val="center"/>
          </w:tcPr>
          <w:p w14:paraId="11C64C37">
            <w:pPr>
              <w:rPr>
                <w:rFonts w:ascii="Arial" w:hAnsi="Arial" w:cs="Arial" w:eastAsiaTheme="minorEastAsia"/>
                <w:sz w:val="20"/>
                <w:szCs w:val="20"/>
                <w:lang w:eastAsia="zh-CN"/>
              </w:rPr>
            </w:pPr>
            <w:r>
              <w:rPr>
                <w:rFonts w:ascii="Arial" w:hAnsi="Arial" w:cs="Arial" w:eastAsiaTheme="minorEastAsia"/>
                <w:sz w:val="20"/>
                <w:szCs w:val="20"/>
                <w:lang w:eastAsia="zh-CN"/>
              </w:rPr>
              <w:t>SOFA CNS (updated)</w:t>
            </w:r>
          </w:p>
        </w:tc>
        <w:tc>
          <w:tcPr>
            <w:tcW w:w="1578" w:type="dxa"/>
            <w:vAlign w:val="center"/>
          </w:tcPr>
          <w:p w14:paraId="2C5A4A0C">
            <w:pPr>
              <w:rPr>
                <w:rFonts w:ascii="Arial" w:hAnsi="Arial" w:cs="Arial" w:eastAsiaTheme="minorEastAsia"/>
                <w:sz w:val="20"/>
                <w:szCs w:val="20"/>
                <w:lang w:eastAsia="zh-CN"/>
              </w:rPr>
            </w:pPr>
            <w:r>
              <w:rPr>
                <w:rFonts w:ascii="Arial" w:hAnsi="Arial" w:cs="Arial" w:eastAsiaTheme="minorEastAsia"/>
                <w:sz w:val="20"/>
                <w:szCs w:val="20"/>
                <w:lang w:eastAsia="zh-CN"/>
              </w:rPr>
              <w:t>5.27 ± 1.17</w:t>
            </w:r>
          </w:p>
        </w:tc>
        <w:tc>
          <w:tcPr>
            <w:tcW w:w="1290" w:type="dxa"/>
            <w:vAlign w:val="center"/>
          </w:tcPr>
          <w:p w14:paraId="46F35D17">
            <w:pPr>
              <w:rPr>
                <w:rFonts w:ascii="Arial" w:hAnsi="Arial" w:cs="Arial" w:eastAsiaTheme="minorEastAsia"/>
                <w:sz w:val="20"/>
                <w:szCs w:val="20"/>
                <w:lang w:eastAsia="zh-CN"/>
              </w:rPr>
            </w:pPr>
            <w:r>
              <w:rPr>
                <w:rFonts w:ascii="Arial" w:hAnsi="Arial" w:cs="Arial" w:eastAsiaTheme="minorEastAsia"/>
                <w:sz w:val="20"/>
                <w:szCs w:val="20"/>
                <w:lang w:eastAsia="zh-CN"/>
              </w:rPr>
              <w:t>5.63 ± 0.88</w:t>
            </w:r>
          </w:p>
        </w:tc>
        <w:tc>
          <w:tcPr>
            <w:tcW w:w="1238" w:type="dxa"/>
            <w:vAlign w:val="center"/>
          </w:tcPr>
          <w:p w14:paraId="426287D0">
            <w:pPr>
              <w:rPr>
                <w:rFonts w:ascii="Arial" w:hAnsi="Arial" w:cs="Arial" w:eastAsiaTheme="minorEastAsia"/>
                <w:sz w:val="20"/>
                <w:szCs w:val="20"/>
                <w:lang w:eastAsia="zh-CN"/>
              </w:rPr>
            </w:pPr>
            <w:r>
              <w:rPr>
                <w:rFonts w:ascii="Arial" w:hAnsi="Arial" w:cs="Arial" w:eastAsiaTheme="minorEastAsia"/>
                <w:sz w:val="20"/>
                <w:szCs w:val="20"/>
                <w:lang w:eastAsia="zh-CN"/>
              </w:rPr>
              <w:t>5.68 ± 0.78</w:t>
            </w:r>
          </w:p>
        </w:tc>
        <w:tc>
          <w:tcPr>
            <w:tcW w:w="623" w:type="dxa"/>
            <w:vAlign w:val="center"/>
          </w:tcPr>
          <w:p w14:paraId="7D6B8A78">
            <w:pPr>
              <w:rPr>
                <w:rFonts w:ascii="Arial" w:hAnsi="Arial" w:cs="Arial" w:eastAsiaTheme="minorEastAsia"/>
                <w:sz w:val="20"/>
                <w:szCs w:val="20"/>
                <w:lang w:eastAsia="zh-CN"/>
              </w:rPr>
            </w:pPr>
            <w:r>
              <w:rPr>
                <w:rFonts w:ascii="Arial" w:hAnsi="Arial" w:cs="Arial" w:eastAsiaTheme="minorEastAsia"/>
                <w:sz w:val="20"/>
                <w:szCs w:val="20"/>
                <w:lang w:eastAsia="zh-CN"/>
              </w:rPr>
              <w:t>&lt;.001</w:t>
            </w:r>
          </w:p>
        </w:tc>
      </w:tr>
      <w:tr w14:paraId="40956F1B">
        <w:trPr>
          <w:cantSplit/>
        </w:trPr>
        <w:tc>
          <w:tcPr>
            <w:tcW w:w="2635" w:type="dxa"/>
            <w:vAlign w:val="center"/>
          </w:tcPr>
          <w:p w14:paraId="6AE58C2A">
            <w:pPr>
              <w:rPr>
                <w:rFonts w:ascii="Arial" w:hAnsi="Arial" w:cs="Arial" w:eastAsiaTheme="minorEastAsia"/>
                <w:sz w:val="20"/>
                <w:szCs w:val="20"/>
                <w:lang w:eastAsia="zh-CN"/>
              </w:rPr>
            </w:pPr>
            <w:r>
              <w:rPr>
                <w:rFonts w:ascii="Arial" w:hAnsi="Arial" w:cs="Arial" w:eastAsiaTheme="minorEastAsia"/>
                <w:sz w:val="20"/>
                <w:szCs w:val="20"/>
                <w:lang w:eastAsia="zh-CN"/>
              </w:rPr>
              <w:t>Creatinine, mg/dL (mean)</w:t>
            </w:r>
          </w:p>
        </w:tc>
        <w:tc>
          <w:tcPr>
            <w:tcW w:w="2356" w:type="dxa"/>
            <w:vAlign w:val="center"/>
          </w:tcPr>
          <w:p w14:paraId="4A640A06">
            <w:pPr>
              <w:rPr>
                <w:rFonts w:ascii="Arial" w:hAnsi="Arial" w:cs="Arial" w:eastAsiaTheme="minorEastAsia"/>
                <w:sz w:val="20"/>
                <w:szCs w:val="20"/>
                <w:lang w:eastAsia="zh-CN"/>
              </w:rPr>
            </w:pPr>
            <w:r>
              <w:rPr>
                <w:rFonts w:ascii="Arial" w:hAnsi="Arial" w:cs="Arial" w:eastAsiaTheme="minorEastAsia"/>
                <w:sz w:val="20"/>
                <w:szCs w:val="20"/>
                <w:lang w:eastAsia="zh-CN"/>
              </w:rPr>
              <w:t>SOFA Renal (baseline)</w:t>
            </w:r>
          </w:p>
        </w:tc>
        <w:tc>
          <w:tcPr>
            <w:tcW w:w="1578" w:type="dxa"/>
            <w:vAlign w:val="center"/>
          </w:tcPr>
          <w:p w14:paraId="178CDC15">
            <w:pPr>
              <w:rPr>
                <w:rFonts w:ascii="Arial" w:hAnsi="Arial" w:cs="Arial" w:eastAsiaTheme="minorEastAsia"/>
                <w:sz w:val="20"/>
                <w:szCs w:val="20"/>
                <w:lang w:eastAsia="zh-CN"/>
              </w:rPr>
            </w:pPr>
            <w:r>
              <w:rPr>
                <w:rFonts w:ascii="Arial" w:hAnsi="Arial" w:cs="Arial" w:eastAsiaTheme="minorEastAsia"/>
                <w:sz w:val="20"/>
                <w:szCs w:val="20"/>
                <w:lang w:eastAsia="zh-CN"/>
              </w:rPr>
              <w:t>1.91 ± 1.64</w:t>
            </w:r>
          </w:p>
        </w:tc>
        <w:tc>
          <w:tcPr>
            <w:tcW w:w="1290" w:type="dxa"/>
            <w:vAlign w:val="center"/>
          </w:tcPr>
          <w:p w14:paraId="370451BA">
            <w:pPr>
              <w:rPr>
                <w:rFonts w:ascii="Arial" w:hAnsi="Arial" w:cs="Arial" w:eastAsiaTheme="minorEastAsia"/>
                <w:sz w:val="20"/>
                <w:szCs w:val="20"/>
                <w:lang w:eastAsia="zh-CN"/>
              </w:rPr>
            </w:pPr>
            <w:r>
              <w:rPr>
                <w:rFonts w:ascii="Arial" w:hAnsi="Arial" w:cs="Arial" w:eastAsiaTheme="minorEastAsia"/>
                <w:sz w:val="20"/>
                <w:szCs w:val="20"/>
                <w:lang w:eastAsia="zh-CN"/>
              </w:rPr>
              <w:t>1.47 ± 1.50</w:t>
            </w:r>
          </w:p>
        </w:tc>
        <w:tc>
          <w:tcPr>
            <w:tcW w:w="1238" w:type="dxa"/>
            <w:vAlign w:val="center"/>
          </w:tcPr>
          <w:p w14:paraId="41A6ED92">
            <w:pPr>
              <w:rPr>
                <w:rFonts w:ascii="Arial" w:hAnsi="Arial" w:cs="Arial" w:eastAsiaTheme="minorEastAsia"/>
                <w:sz w:val="20"/>
                <w:szCs w:val="20"/>
                <w:lang w:eastAsia="zh-CN"/>
              </w:rPr>
            </w:pPr>
            <w:r>
              <w:rPr>
                <w:rFonts w:ascii="Arial" w:hAnsi="Arial" w:cs="Arial" w:eastAsiaTheme="minorEastAsia"/>
                <w:sz w:val="20"/>
                <w:szCs w:val="20"/>
                <w:lang w:eastAsia="zh-CN"/>
              </w:rPr>
              <w:t>1.60 ± 1.45</w:t>
            </w:r>
          </w:p>
        </w:tc>
        <w:tc>
          <w:tcPr>
            <w:tcW w:w="623" w:type="dxa"/>
            <w:vAlign w:val="center"/>
          </w:tcPr>
          <w:p w14:paraId="094CF7DC">
            <w:pPr>
              <w:rPr>
                <w:rFonts w:ascii="Arial" w:hAnsi="Arial" w:cs="Arial" w:eastAsiaTheme="minorEastAsia"/>
                <w:sz w:val="20"/>
                <w:szCs w:val="20"/>
                <w:lang w:eastAsia="zh-CN"/>
              </w:rPr>
            </w:pPr>
            <w:r>
              <w:rPr>
                <w:rFonts w:ascii="Arial" w:hAnsi="Arial" w:cs="Arial" w:eastAsiaTheme="minorEastAsia"/>
                <w:sz w:val="20"/>
                <w:szCs w:val="20"/>
                <w:lang w:eastAsia="zh-CN"/>
              </w:rPr>
              <w:t>&lt;.001</w:t>
            </w:r>
          </w:p>
        </w:tc>
      </w:tr>
      <w:tr w14:paraId="1D56A019">
        <w:trPr>
          <w:cantSplit/>
        </w:trPr>
        <w:tc>
          <w:tcPr>
            <w:tcW w:w="2635" w:type="dxa"/>
            <w:tcBorders>
              <w:bottom w:val="single" w:color="auto" w:sz="12" w:space="0"/>
            </w:tcBorders>
            <w:vAlign w:val="center"/>
          </w:tcPr>
          <w:p w14:paraId="1C809656">
            <w:pPr>
              <w:rPr>
                <w:rFonts w:ascii="Arial" w:hAnsi="Arial" w:cs="Arial" w:eastAsiaTheme="minorEastAsia"/>
                <w:sz w:val="20"/>
                <w:szCs w:val="20"/>
                <w:lang w:eastAsia="zh-CN"/>
              </w:rPr>
            </w:pPr>
            <w:r>
              <w:rPr>
                <w:rFonts w:ascii="Arial" w:hAnsi="Arial" w:cs="Arial" w:eastAsiaTheme="minorEastAsia"/>
                <w:sz w:val="20"/>
                <w:szCs w:val="20"/>
                <w:lang w:eastAsia="zh-CN"/>
              </w:rPr>
              <w:t>24-h urine output, mL (mean)</w:t>
            </w:r>
          </w:p>
        </w:tc>
        <w:tc>
          <w:tcPr>
            <w:tcW w:w="2356" w:type="dxa"/>
            <w:tcBorders>
              <w:bottom w:val="single" w:color="auto" w:sz="12" w:space="0"/>
            </w:tcBorders>
            <w:vAlign w:val="center"/>
          </w:tcPr>
          <w:p w14:paraId="1E2FCC1D">
            <w:pPr>
              <w:rPr>
                <w:rFonts w:ascii="Arial" w:hAnsi="Arial" w:cs="Arial" w:eastAsiaTheme="minorEastAsia"/>
                <w:sz w:val="20"/>
                <w:szCs w:val="20"/>
                <w:lang w:eastAsia="zh-CN"/>
              </w:rPr>
            </w:pPr>
            <w:r>
              <w:rPr>
                <w:rFonts w:ascii="Arial" w:hAnsi="Arial" w:cs="Arial" w:eastAsiaTheme="minorEastAsia"/>
                <w:sz w:val="20"/>
                <w:szCs w:val="20"/>
                <w:lang w:eastAsia="zh-CN"/>
              </w:rPr>
              <w:t>SOFA Renal (baseline)</w:t>
            </w:r>
          </w:p>
        </w:tc>
        <w:tc>
          <w:tcPr>
            <w:tcW w:w="1578" w:type="dxa"/>
            <w:tcBorders>
              <w:bottom w:val="single" w:color="auto" w:sz="12" w:space="0"/>
            </w:tcBorders>
            <w:vAlign w:val="center"/>
          </w:tcPr>
          <w:p w14:paraId="05EA9CD9">
            <w:pPr>
              <w:rPr>
                <w:rFonts w:ascii="Arial" w:hAnsi="Arial" w:cs="Arial" w:eastAsiaTheme="minorEastAsia"/>
                <w:sz w:val="20"/>
                <w:szCs w:val="20"/>
                <w:lang w:eastAsia="zh-CN"/>
              </w:rPr>
            </w:pPr>
            <w:r>
              <w:rPr>
                <w:rFonts w:ascii="Arial" w:hAnsi="Arial" w:cs="Arial" w:eastAsiaTheme="minorEastAsia"/>
                <w:sz w:val="20"/>
                <w:szCs w:val="20"/>
                <w:lang w:eastAsia="zh-CN"/>
              </w:rPr>
              <w:t>1,590.13 ± 1,269.92</w:t>
            </w:r>
          </w:p>
        </w:tc>
        <w:tc>
          <w:tcPr>
            <w:tcW w:w="1290" w:type="dxa"/>
            <w:tcBorders>
              <w:bottom w:val="single" w:color="auto" w:sz="12" w:space="0"/>
            </w:tcBorders>
            <w:vAlign w:val="center"/>
          </w:tcPr>
          <w:p w14:paraId="5EA73EDA">
            <w:pPr>
              <w:rPr>
                <w:rFonts w:ascii="Arial" w:hAnsi="Arial" w:cs="Arial" w:eastAsiaTheme="minorEastAsia"/>
                <w:sz w:val="20"/>
                <w:szCs w:val="20"/>
                <w:lang w:eastAsia="zh-CN"/>
              </w:rPr>
            </w:pPr>
            <w:r>
              <w:rPr>
                <w:rFonts w:ascii="Arial" w:hAnsi="Arial" w:cs="Arial" w:eastAsiaTheme="minorEastAsia"/>
                <w:sz w:val="20"/>
                <w:szCs w:val="20"/>
                <w:lang w:eastAsia="zh-CN"/>
              </w:rPr>
              <w:t>1,638.23 ± 1,183.00</w:t>
            </w:r>
          </w:p>
        </w:tc>
        <w:tc>
          <w:tcPr>
            <w:tcW w:w="1238" w:type="dxa"/>
            <w:tcBorders>
              <w:bottom w:val="single" w:color="auto" w:sz="12" w:space="0"/>
            </w:tcBorders>
            <w:vAlign w:val="center"/>
          </w:tcPr>
          <w:p w14:paraId="6730F3C1">
            <w:pPr>
              <w:rPr>
                <w:rFonts w:ascii="Arial" w:hAnsi="Arial" w:cs="Arial" w:eastAsiaTheme="minorEastAsia"/>
                <w:sz w:val="20"/>
                <w:szCs w:val="20"/>
                <w:lang w:eastAsia="zh-CN"/>
              </w:rPr>
            </w:pPr>
            <w:r>
              <w:rPr>
                <w:rFonts w:ascii="Arial" w:hAnsi="Arial" w:cs="Arial" w:eastAsiaTheme="minorEastAsia"/>
                <w:sz w:val="20"/>
                <w:szCs w:val="20"/>
                <w:lang w:eastAsia="zh-CN"/>
              </w:rPr>
              <w:t>1,534.90 ± 1,195.42</w:t>
            </w:r>
          </w:p>
        </w:tc>
        <w:tc>
          <w:tcPr>
            <w:tcW w:w="623" w:type="dxa"/>
            <w:tcBorders>
              <w:bottom w:val="single" w:color="auto" w:sz="12" w:space="0"/>
            </w:tcBorders>
            <w:vAlign w:val="center"/>
          </w:tcPr>
          <w:p w14:paraId="3276AE9C">
            <w:pPr>
              <w:rPr>
                <w:rFonts w:ascii="Arial" w:hAnsi="Arial" w:cs="Arial" w:eastAsiaTheme="minorEastAsia"/>
                <w:sz w:val="20"/>
                <w:szCs w:val="20"/>
                <w:lang w:eastAsia="zh-CN"/>
              </w:rPr>
            </w:pPr>
            <w:r>
              <w:rPr>
                <w:rFonts w:ascii="Arial" w:hAnsi="Arial" w:cs="Arial" w:eastAsiaTheme="minorEastAsia"/>
                <w:sz w:val="20"/>
                <w:szCs w:val="20"/>
                <w:lang w:eastAsia="zh-CN"/>
              </w:rPr>
              <w:t>.58</w:t>
            </w:r>
          </w:p>
        </w:tc>
      </w:tr>
      <w:tr w14:paraId="1DFB0588">
        <w:trPr>
          <w:cantSplit/>
          <w:trHeight w:val="20" w:hRule="exact"/>
        </w:trPr>
        <w:tc>
          <w:tcPr>
            <w:tcW w:w="2635" w:type="dxa"/>
            <w:tcBorders>
              <w:top w:val="single" w:color="auto" w:sz="12" w:space="0"/>
            </w:tcBorders>
            <w:vAlign w:val="center"/>
          </w:tcPr>
          <w:p w14:paraId="6FE22BED">
            <w:pPr>
              <w:rPr>
                <w:rFonts w:ascii="Arial" w:hAnsi="Arial" w:cs="Arial" w:eastAsiaTheme="minorEastAsia"/>
                <w:sz w:val="20"/>
                <w:szCs w:val="20"/>
                <w:lang w:eastAsia="zh-CN"/>
              </w:rPr>
            </w:pPr>
          </w:p>
        </w:tc>
        <w:tc>
          <w:tcPr>
            <w:tcW w:w="2356" w:type="dxa"/>
            <w:tcBorders>
              <w:top w:val="single" w:color="auto" w:sz="12" w:space="0"/>
            </w:tcBorders>
            <w:vAlign w:val="center"/>
          </w:tcPr>
          <w:p w14:paraId="2D62B82B">
            <w:pPr>
              <w:rPr>
                <w:rFonts w:ascii="Arial" w:hAnsi="Arial" w:cs="Arial" w:eastAsiaTheme="minorEastAsia"/>
                <w:sz w:val="20"/>
                <w:szCs w:val="20"/>
                <w:lang w:eastAsia="zh-CN"/>
              </w:rPr>
            </w:pPr>
          </w:p>
        </w:tc>
        <w:tc>
          <w:tcPr>
            <w:tcW w:w="1578" w:type="dxa"/>
            <w:tcBorders>
              <w:top w:val="single" w:color="auto" w:sz="12" w:space="0"/>
            </w:tcBorders>
            <w:vAlign w:val="center"/>
          </w:tcPr>
          <w:p w14:paraId="0237DB86">
            <w:pPr>
              <w:rPr>
                <w:rFonts w:ascii="Arial" w:hAnsi="Arial" w:cs="Arial" w:eastAsiaTheme="minorEastAsia"/>
                <w:sz w:val="20"/>
                <w:szCs w:val="20"/>
                <w:lang w:eastAsia="zh-CN"/>
              </w:rPr>
            </w:pPr>
          </w:p>
        </w:tc>
        <w:tc>
          <w:tcPr>
            <w:tcW w:w="1290" w:type="dxa"/>
            <w:tcBorders>
              <w:top w:val="single" w:color="auto" w:sz="12" w:space="0"/>
            </w:tcBorders>
            <w:vAlign w:val="center"/>
          </w:tcPr>
          <w:p w14:paraId="5EA053C8">
            <w:pPr>
              <w:rPr>
                <w:rFonts w:ascii="Arial" w:hAnsi="Arial" w:cs="Arial" w:eastAsiaTheme="minorEastAsia"/>
                <w:sz w:val="20"/>
                <w:szCs w:val="20"/>
                <w:lang w:eastAsia="zh-CN"/>
              </w:rPr>
            </w:pPr>
          </w:p>
        </w:tc>
        <w:tc>
          <w:tcPr>
            <w:tcW w:w="1238" w:type="dxa"/>
            <w:tcBorders>
              <w:top w:val="single" w:color="auto" w:sz="12" w:space="0"/>
            </w:tcBorders>
            <w:vAlign w:val="center"/>
          </w:tcPr>
          <w:p w14:paraId="2E4A5738">
            <w:pPr>
              <w:rPr>
                <w:rFonts w:ascii="Arial" w:hAnsi="Arial" w:cs="Arial" w:eastAsiaTheme="minorEastAsia"/>
                <w:sz w:val="20"/>
                <w:szCs w:val="20"/>
                <w:lang w:eastAsia="zh-CN"/>
              </w:rPr>
            </w:pPr>
          </w:p>
        </w:tc>
        <w:tc>
          <w:tcPr>
            <w:tcW w:w="623" w:type="dxa"/>
            <w:tcBorders>
              <w:top w:val="single" w:color="auto" w:sz="12" w:space="0"/>
            </w:tcBorders>
            <w:vAlign w:val="center"/>
          </w:tcPr>
          <w:p w14:paraId="448C063C">
            <w:pPr>
              <w:rPr>
                <w:rFonts w:ascii="Arial" w:hAnsi="Arial" w:cs="Arial" w:eastAsiaTheme="minorEastAsia"/>
                <w:sz w:val="20"/>
                <w:szCs w:val="20"/>
                <w:lang w:eastAsia="zh-CN"/>
              </w:rPr>
            </w:pPr>
          </w:p>
        </w:tc>
      </w:tr>
      <w:tr w14:paraId="3613D735">
        <w:trPr>
          <w:cantSplit/>
        </w:trPr>
        <w:tc>
          <w:tcPr>
            <w:tcW w:w="9720" w:type="dxa"/>
            <w:gridSpan w:val="6"/>
            <w:tcBorders>
              <w:bottom w:val="single" w:color="auto" w:sz="12" w:space="0"/>
            </w:tcBorders>
            <w:vAlign w:val="center"/>
          </w:tcPr>
          <w:p w14:paraId="32030B3F">
            <w:pPr>
              <w:jc w:val="center"/>
              <w:rPr>
                <w:rFonts w:ascii="Arial" w:hAnsi="Arial" w:cs="Arial" w:eastAsiaTheme="minorEastAsia"/>
                <w:sz w:val="20"/>
                <w:szCs w:val="20"/>
                <w:lang w:eastAsia="zh-CN"/>
              </w:rPr>
            </w:pPr>
            <w:r>
              <w:rPr>
                <w:rFonts w:hint="eastAsia" w:ascii="Arial" w:hAnsi="Arial" w:cs="Arial" w:eastAsiaTheme="minorEastAsia"/>
                <w:i/>
                <w:iCs/>
                <w:sz w:val="20"/>
                <w:szCs w:val="20"/>
                <w:lang w:eastAsia="zh-CN"/>
              </w:rPr>
              <w:t>(</w:t>
            </w:r>
            <w:r>
              <w:rPr>
                <w:rFonts w:ascii="Arial" w:hAnsi="Arial" w:cs="Arial" w:eastAsiaTheme="minorEastAsia"/>
                <w:i/>
                <w:iCs/>
                <w:sz w:val="20"/>
                <w:szCs w:val="20"/>
                <w:lang w:eastAsia="zh-CN"/>
              </w:rPr>
              <w:t>continue</w:t>
            </w:r>
            <w:r>
              <w:rPr>
                <w:rFonts w:hint="eastAsia" w:ascii="Arial" w:hAnsi="Arial" w:cs="Arial" w:eastAsiaTheme="minorEastAsia"/>
                <w:i/>
                <w:iCs/>
                <w:sz w:val="20"/>
                <w:szCs w:val="20"/>
                <w:lang w:eastAsia="zh-CN"/>
              </w:rPr>
              <w:t>)</w:t>
            </w:r>
          </w:p>
        </w:tc>
      </w:tr>
      <w:tr w14:paraId="6576BEEC">
        <w:trPr>
          <w:cantSplit/>
        </w:trPr>
        <w:tc>
          <w:tcPr>
            <w:tcW w:w="2635" w:type="dxa"/>
            <w:tcBorders>
              <w:top w:val="single" w:color="auto" w:sz="12" w:space="0"/>
              <w:bottom w:val="single" w:color="auto" w:sz="12" w:space="0"/>
            </w:tcBorders>
            <w:vAlign w:val="center"/>
          </w:tcPr>
          <w:p w14:paraId="6DA3737A">
            <w:pPr>
              <w:rPr>
                <w:rFonts w:ascii="Arial" w:hAnsi="Arial" w:cs="Arial" w:eastAsiaTheme="minorEastAsia"/>
                <w:sz w:val="20"/>
                <w:szCs w:val="20"/>
                <w:lang w:eastAsia="zh-CN"/>
              </w:rPr>
            </w:pPr>
            <w:r>
              <w:rPr>
                <w:rFonts w:ascii="Arial" w:hAnsi="Arial" w:cs="Arial"/>
                <w:b/>
                <w:bCs/>
                <w:sz w:val="20"/>
                <w:szCs w:val="20"/>
              </w:rPr>
              <w:t>Characteristic</w:t>
            </w:r>
          </w:p>
        </w:tc>
        <w:tc>
          <w:tcPr>
            <w:tcW w:w="2356" w:type="dxa"/>
            <w:tcBorders>
              <w:top w:val="single" w:color="auto" w:sz="12" w:space="0"/>
              <w:bottom w:val="single" w:color="auto" w:sz="12" w:space="0"/>
            </w:tcBorders>
            <w:vAlign w:val="center"/>
          </w:tcPr>
          <w:p w14:paraId="2A77040A">
            <w:pPr>
              <w:rPr>
                <w:rFonts w:ascii="Arial" w:hAnsi="Arial" w:cs="Arial" w:eastAsiaTheme="minorEastAsia"/>
                <w:sz w:val="20"/>
                <w:szCs w:val="20"/>
                <w:lang w:eastAsia="zh-CN"/>
              </w:rPr>
            </w:pPr>
            <w:r>
              <w:rPr>
                <w:rFonts w:ascii="Arial" w:hAnsi="Arial" w:cs="Arial"/>
                <w:b/>
                <w:bCs/>
                <w:sz w:val="20"/>
                <w:szCs w:val="20"/>
              </w:rPr>
              <w:t>Category</w:t>
            </w:r>
          </w:p>
        </w:tc>
        <w:tc>
          <w:tcPr>
            <w:tcW w:w="1578" w:type="dxa"/>
            <w:tcBorders>
              <w:top w:val="single" w:color="auto" w:sz="12" w:space="0"/>
              <w:bottom w:val="single" w:color="auto" w:sz="12" w:space="0"/>
            </w:tcBorders>
            <w:vAlign w:val="center"/>
          </w:tcPr>
          <w:p w14:paraId="33FD151B">
            <w:pPr>
              <w:rPr>
                <w:rFonts w:ascii="Arial" w:hAnsi="Arial" w:cs="Arial" w:eastAsiaTheme="minorEastAsia"/>
                <w:sz w:val="20"/>
                <w:szCs w:val="20"/>
                <w:lang w:eastAsia="zh-CN"/>
              </w:rPr>
            </w:pPr>
            <w:r>
              <w:rPr>
                <w:rFonts w:ascii="Arial" w:hAnsi="Arial" w:cs="Arial"/>
                <w:b/>
                <w:bCs/>
                <w:sz w:val="20"/>
                <w:szCs w:val="20"/>
              </w:rPr>
              <w:t>Concordant Positive</w:t>
            </w:r>
          </w:p>
        </w:tc>
        <w:tc>
          <w:tcPr>
            <w:tcW w:w="1290" w:type="dxa"/>
            <w:tcBorders>
              <w:top w:val="single" w:color="auto" w:sz="12" w:space="0"/>
              <w:bottom w:val="single" w:color="auto" w:sz="12" w:space="0"/>
            </w:tcBorders>
            <w:vAlign w:val="center"/>
          </w:tcPr>
          <w:p w14:paraId="0AF6D1DA">
            <w:pPr>
              <w:rPr>
                <w:rFonts w:ascii="Arial" w:hAnsi="Arial" w:cs="Arial" w:eastAsiaTheme="minorEastAsia"/>
                <w:sz w:val="20"/>
                <w:szCs w:val="20"/>
                <w:lang w:eastAsia="zh-CN"/>
              </w:rPr>
            </w:pPr>
            <w:r>
              <w:rPr>
                <w:rFonts w:ascii="Arial" w:hAnsi="Arial" w:cs="Arial"/>
                <w:b/>
                <w:bCs/>
                <w:sz w:val="20"/>
                <w:szCs w:val="20"/>
              </w:rPr>
              <w:t>SOFA-2 Only</w:t>
            </w:r>
          </w:p>
        </w:tc>
        <w:tc>
          <w:tcPr>
            <w:tcW w:w="1238" w:type="dxa"/>
            <w:tcBorders>
              <w:top w:val="single" w:color="auto" w:sz="12" w:space="0"/>
              <w:bottom w:val="single" w:color="auto" w:sz="12" w:space="0"/>
            </w:tcBorders>
            <w:vAlign w:val="center"/>
          </w:tcPr>
          <w:p w14:paraId="1C89F522">
            <w:pPr>
              <w:rPr>
                <w:rFonts w:ascii="Arial" w:hAnsi="Arial" w:cs="Arial" w:eastAsiaTheme="minorEastAsia"/>
                <w:sz w:val="20"/>
                <w:szCs w:val="20"/>
                <w:lang w:eastAsia="zh-CN"/>
              </w:rPr>
            </w:pPr>
            <w:r>
              <w:rPr>
                <w:rFonts w:ascii="Arial" w:hAnsi="Arial" w:cs="Arial"/>
                <w:b/>
                <w:bCs/>
                <w:sz w:val="20"/>
                <w:szCs w:val="20"/>
              </w:rPr>
              <w:t>SOFA-1 Only</w:t>
            </w:r>
          </w:p>
        </w:tc>
        <w:tc>
          <w:tcPr>
            <w:tcW w:w="623" w:type="dxa"/>
            <w:tcBorders>
              <w:top w:val="single" w:color="auto" w:sz="12" w:space="0"/>
              <w:bottom w:val="single" w:color="auto" w:sz="12" w:space="0"/>
            </w:tcBorders>
            <w:vAlign w:val="center"/>
          </w:tcPr>
          <w:p w14:paraId="097C6112">
            <w:pPr>
              <w:rPr>
                <w:rFonts w:ascii="Arial" w:hAnsi="Arial" w:cs="Arial" w:eastAsiaTheme="minorEastAsia"/>
                <w:sz w:val="20"/>
                <w:szCs w:val="20"/>
                <w:lang w:eastAsia="zh-CN"/>
              </w:rPr>
            </w:pPr>
            <w:r>
              <w:rPr>
                <w:rFonts w:ascii="Arial" w:hAnsi="Arial" w:cs="Arial"/>
                <w:b/>
                <w:bCs/>
                <w:sz w:val="20"/>
                <w:szCs w:val="20"/>
              </w:rPr>
              <w:t>P value</w:t>
            </w:r>
          </w:p>
        </w:tc>
      </w:tr>
      <w:tr w14:paraId="064BE838">
        <w:trPr>
          <w:cantSplit/>
        </w:trPr>
        <w:tc>
          <w:tcPr>
            <w:tcW w:w="2635" w:type="dxa"/>
            <w:tcBorders>
              <w:top w:val="single" w:color="auto" w:sz="12" w:space="0"/>
            </w:tcBorders>
            <w:vAlign w:val="center"/>
          </w:tcPr>
          <w:p w14:paraId="7F074E28">
            <w:pPr>
              <w:rPr>
                <w:rFonts w:ascii="Arial" w:hAnsi="Arial" w:cs="Arial" w:eastAsiaTheme="minorEastAsia"/>
                <w:sz w:val="20"/>
                <w:szCs w:val="20"/>
                <w:lang w:eastAsia="zh-CN"/>
              </w:rPr>
            </w:pPr>
            <w:r>
              <w:rPr>
                <w:rFonts w:ascii="Arial" w:hAnsi="Arial" w:cs="Arial" w:eastAsiaTheme="minorEastAsia"/>
                <w:sz w:val="20"/>
                <w:szCs w:val="20"/>
                <w:lang w:eastAsia="zh-CN"/>
              </w:rPr>
              <w:t>6-h urine output, mL/kg/h (mean)</w:t>
            </w:r>
          </w:p>
        </w:tc>
        <w:tc>
          <w:tcPr>
            <w:tcW w:w="2356" w:type="dxa"/>
            <w:tcBorders>
              <w:top w:val="single" w:color="auto" w:sz="12" w:space="0"/>
            </w:tcBorders>
            <w:vAlign w:val="center"/>
          </w:tcPr>
          <w:p w14:paraId="4392C0D5">
            <w:pPr>
              <w:rPr>
                <w:rFonts w:ascii="Arial" w:hAnsi="Arial" w:cs="Arial" w:eastAsiaTheme="minorEastAsia"/>
                <w:sz w:val="20"/>
                <w:szCs w:val="20"/>
                <w:lang w:eastAsia="zh-CN"/>
              </w:rPr>
            </w:pPr>
            <w:r>
              <w:rPr>
                <w:rFonts w:ascii="Arial" w:hAnsi="Arial" w:cs="Arial" w:eastAsiaTheme="minorEastAsia"/>
                <w:sz w:val="20"/>
                <w:szCs w:val="20"/>
                <w:lang w:eastAsia="zh-CN"/>
              </w:rPr>
              <w:t>SOFA Renal (updated)</w:t>
            </w:r>
          </w:p>
        </w:tc>
        <w:tc>
          <w:tcPr>
            <w:tcW w:w="1578" w:type="dxa"/>
            <w:tcBorders>
              <w:top w:val="single" w:color="auto" w:sz="12" w:space="0"/>
            </w:tcBorders>
            <w:vAlign w:val="center"/>
          </w:tcPr>
          <w:p w14:paraId="4A6512D4">
            <w:pPr>
              <w:rPr>
                <w:rFonts w:ascii="Arial" w:hAnsi="Arial" w:cs="Arial" w:eastAsiaTheme="minorEastAsia"/>
                <w:sz w:val="20"/>
                <w:szCs w:val="20"/>
                <w:lang w:eastAsia="zh-CN"/>
              </w:rPr>
            </w:pPr>
            <w:r>
              <w:rPr>
                <w:rFonts w:ascii="Arial" w:hAnsi="Arial" w:cs="Arial" w:eastAsiaTheme="minorEastAsia"/>
                <w:sz w:val="20"/>
                <w:szCs w:val="20"/>
                <w:lang w:eastAsia="zh-CN"/>
              </w:rPr>
              <w:t>3.42 ± 3.43</w:t>
            </w:r>
          </w:p>
        </w:tc>
        <w:tc>
          <w:tcPr>
            <w:tcW w:w="1290" w:type="dxa"/>
            <w:tcBorders>
              <w:top w:val="single" w:color="auto" w:sz="12" w:space="0"/>
            </w:tcBorders>
            <w:vAlign w:val="center"/>
          </w:tcPr>
          <w:p w14:paraId="427D3EC4">
            <w:pPr>
              <w:rPr>
                <w:rFonts w:ascii="Arial" w:hAnsi="Arial" w:cs="Arial" w:eastAsiaTheme="minorEastAsia"/>
                <w:sz w:val="20"/>
                <w:szCs w:val="20"/>
                <w:lang w:eastAsia="zh-CN"/>
              </w:rPr>
            </w:pPr>
            <w:r>
              <w:rPr>
                <w:rFonts w:ascii="Arial" w:hAnsi="Arial" w:cs="Arial" w:eastAsiaTheme="minorEastAsia"/>
                <w:sz w:val="20"/>
                <w:szCs w:val="20"/>
                <w:lang w:eastAsia="zh-CN"/>
              </w:rPr>
              <w:t>3.72 ± 3.42</w:t>
            </w:r>
          </w:p>
        </w:tc>
        <w:tc>
          <w:tcPr>
            <w:tcW w:w="1238" w:type="dxa"/>
            <w:tcBorders>
              <w:top w:val="single" w:color="auto" w:sz="12" w:space="0"/>
            </w:tcBorders>
            <w:vAlign w:val="center"/>
          </w:tcPr>
          <w:p w14:paraId="43D1BC34">
            <w:pPr>
              <w:rPr>
                <w:rFonts w:ascii="Arial" w:hAnsi="Arial" w:cs="Arial" w:eastAsiaTheme="minorEastAsia"/>
                <w:sz w:val="20"/>
                <w:szCs w:val="20"/>
                <w:lang w:eastAsia="zh-CN"/>
              </w:rPr>
            </w:pPr>
            <w:r>
              <w:rPr>
                <w:rFonts w:ascii="Arial" w:hAnsi="Arial" w:cs="Arial" w:eastAsiaTheme="minorEastAsia"/>
                <w:sz w:val="20"/>
                <w:szCs w:val="20"/>
                <w:lang w:eastAsia="zh-CN"/>
              </w:rPr>
              <w:t>4.00 ± 3.40</w:t>
            </w:r>
          </w:p>
        </w:tc>
        <w:tc>
          <w:tcPr>
            <w:tcW w:w="623" w:type="dxa"/>
            <w:tcBorders>
              <w:top w:val="single" w:color="auto" w:sz="12" w:space="0"/>
            </w:tcBorders>
            <w:vAlign w:val="center"/>
          </w:tcPr>
          <w:p w14:paraId="47B9F95C">
            <w:pPr>
              <w:rPr>
                <w:rFonts w:ascii="Arial" w:hAnsi="Arial" w:cs="Arial" w:eastAsiaTheme="minorEastAsia"/>
                <w:sz w:val="20"/>
                <w:szCs w:val="20"/>
                <w:lang w:eastAsia="zh-CN"/>
              </w:rPr>
            </w:pPr>
            <w:r>
              <w:rPr>
                <w:rFonts w:ascii="Arial" w:hAnsi="Arial" w:cs="Arial" w:eastAsiaTheme="minorEastAsia"/>
                <w:sz w:val="20"/>
                <w:szCs w:val="20"/>
                <w:lang w:eastAsia="zh-CN"/>
              </w:rPr>
              <w:t>&lt;.001</w:t>
            </w:r>
          </w:p>
        </w:tc>
      </w:tr>
      <w:tr w14:paraId="11671E43">
        <w:trPr>
          <w:cantSplit/>
        </w:trPr>
        <w:tc>
          <w:tcPr>
            <w:tcW w:w="2635" w:type="dxa"/>
            <w:vAlign w:val="center"/>
          </w:tcPr>
          <w:p w14:paraId="46237D10">
            <w:pPr>
              <w:rPr>
                <w:rFonts w:ascii="Arial" w:hAnsi="Arial" w:cs="Arial" w:eastAsiaTheme="minorEastAsia"/>
                <w:sz w:val="20"/>
                <w:szCs w:val="20"/>
                <w:lang w:eastAsia="zh-CN"/>
              </w:rPr>
            </w:pPr>
            <w:r>
              <w:rPr>
                <w:rFonts w:ascii="Arial" w:hAnsi="Arial" w:cs="Arial" w:eastAsiaTheme="minorEastAsia"/>
                <w:sz w:val="20"/>
                <w:szCs w:val="20"/>
                <w:lang w:eastAsia="zh-CN"/>
              </w:rPr>
              <w:t>12-h urine output, mL/kg/h (mean)</w:t>
            </w:r>
          </w:p>
        </w:tc>
        <w:tc>
          <w:tcPr>
            <w:tcW w:w="2356" w:type="dxa"/>
            <w:vAlign w:val="center"/>
          </w:tcPr>
          <w:p w14:paraId="4E86645D">
            <w:pPr>
              <w:rPr>
                <w:rFonts w:ascii="Arial" w:hAnsi="Arial" w:cs="Arial" w:eastAsiaTheme="minorEastAsia"/>
                <w:sz w:val="20"/>
                <w:szCs w:val="20"/>
                <w:lang w:eastAsia="zh-CN"/>
              </w:rPr>
            </w:pPr>
            <w:r>
              <w:rPr>
                <w:rFonts w:ascii="Arial" w:hAnsi="Arial" w:cs="Arial" w:eastAsiaTheme="minorEastAsia"/>
                <w:sz w:val="20"/>
                <w:szCs w:val="20"/>
                <w:lang w:eastAsia="zh-CN"/>
              </w:rPr>
              <w:t>SOFA Renal (updated)</w:t>
            </w:r>
          </w:p>
        </w:tc>
        <w:tc>
          <w:tcPr>
            <w:tcW w:w="1578" w:type="dxa"/>
            <w:vAlign w:val="center"/>
          </w:tcPr>
          <w:p w14:paraId="7AB1F876">
            <w:pPr>
              <w:rPr>
                <w:rFonts w:ascii="Arial" w:hAnsi="Arial" w:cs="Arial" w:eastAsiaTheme="minorEastAsia"/>
                <w:sz w:val="20"/>
                <w:szCs w:val="20"/>
                <w:lang w:eastAsia="zh-CN"/>
              </w:rPr>
            </w:pPr>
            <w:r>
              <w:rPr>
                <w:rFonts w:ascii="Arial" w:hAnsi="Arial" w:cs="Arial" w:eastAsiaTheme="minorEastAsia"/>
                <w:sz w:val="20"/>
                <w:szCs w:val="20"/>
                <w:lang w:eastAsia="zh-CN"/>
              </w:rPr>
              <w:t>3.06 ± 2.83</w:t>
            </w:r>
          </w:p>
        </w:tc>
        <w:tc>
          <w:tcPr>
            <w:tcW w:w="1290" w:type="dxa"/>
            <w:vAlign w:val="center"/>
          </w:tcPr>
          <w:p w14:paraId="23282CB0">
            <w:pPr>
              <w:rPr>
                <w:rFonts w:ascii="Arial" w:hAnsi="Arial" w:cs="Arial" w:eastAsiaTheme="minorEastAsia"/>
                <w:sz w:val="20"/>
                <w:szCs w:val="20"/>
                <w:lang w:eastAsia="zh-CN"/>
              </w:rPr>
            </w:pPr>
            <w:r>
              <w:rPr>
                <w:rFonts w:ascii="Arial" w:hAnsi="Arial" w:cs="Arial" w:eastAsiaTheme="minorEastAsia"/>
                <w:sz w:val="20"/>
                <w:szCs w:val="20"/>
                <w:lang w:eastAsia="zh-CN"/>
              </w:rPr>
              <w:t>3.41 ± 3.14</w:t>
            </w:r>
          </w:p>
        </w:tc>
        <w:tc>
          <w:tcPr>
            <w:tcW w:w="1238" w:type="dxa"/>
            <w:vAlign w:val="center"/>
          </w:tcPr>
          <w:p w14:paraId="2CA1277B">
            <w:pPr>
              <w:rPr>
                <w:rFonts w:ascii="Arial" w:hAnsi="Arial" w:cs="Arial" w:eastAsiaTheme="minorEastAsia"/>
                <w:sz w:val="20"/>
                <w:szCs w:val="20"/>
                <w:lang w:eastAsia="zh-CN"/>
              </w:rPr>
            </w:pPr>
            <w:r>
              <w:rPr>
                <w:rFonts w:ascii="Arial" w:hAnsi="Arial" w:cs="Arial" w:eastAsiaTheme="minorEastAsia"/>
                <w:sz w:val="20"/>
                <w:szCs w:val="20"/>
                <w:lang w:eastAsia="zh-CN"/>
              </w:rPr>
              <w:t>3.61 ± 2.92</w:t>
            </w:r>
          </w:p>
        </w:tc>
        <w:tc>
          <w:tcPr>
            <w:tcW w:w="623" w:type="dxa"/>
            <w:vAlign w:val="center"/>
          </w:tcPr>
          <w:p w14:paraId="107A372F">
            <w:pPr>
              <w:rPr>
                <w:rFonts w:ascii="Arial" w:hAnsi="Arial" w:cs="Arial" w:eastAsiaTheme="minorEastAsia"/>
                <w:sz w:val="20"/>
                <w:szCs w:val="20"/>
                <w:lang w:eastAsia="zh-CN"/>
              </w:rPr>
            </w:pPr>
            <w:r>
              <w:rPr>
                <w:rFonts w:ascii="Arial" w:hAnsi="Arial" w:cs="Arial" w:eastAsiaTheme="minorEastAsia"/>
                <w:sz w:val="20"/>
                <w:szCs w:val="20"/>
                <w:lang w:eastAsia="zh-CN"/>
              </w:rPr>
              <w:t>&lt;.001</w:t>
            </w:r>
          </w:p>
        </w:tc>
      </w:tr>
      <w:tr w14:paraId="42E22CFE">
        <w:trPr>
          <w:cantSplit/>
        </w:trPr>
        <w:tc>
          <w:tcPr>
            <w:tcW w:w="2635" w:type="dxa"/>
            <w:vAlign w:val="center"/>
          </w:tcPr>
          <w:p w14:paraId="14799DF3">
            <w:pPr>
              <w:rPr>
                <w:rFonts w:ascii="Arial" w:hAnsi="Arial" w:cs="Arial" w:eastAsiaTheme="minorEastAsia"/>
                <w:sz w:val="20"/>
                <w:szCs w:val="20"/>
                <w:lang w:eastAsia="zh-CN"/>
              </w:rPr>
            </w:pPr>
            <w:r>
              <w:rPr>
                <w:rFonts w:ascii="Arial" w:hAnsi="Arial" w:cs="Arial" w:eastAsiaTheme="minorEastAsia"/>
                <w:sz w:val="20"/>
                <w:szCs w:val="20"/>
                <w:lang w:eastAsia="zh-CN"/>
              </w:rPr>
              <w:t>24-h urine output, mL/kg/h (mean)</w:t>
            </w:r>
          </w:p>
        </w:tc>
        <w:tc>
          <w:tcPr>
            <w:tcW w:w="2356" w:type="dxa"/>
            <w:vAlign w:val="center"/>
          </w:tcPr>
          <w:p w14:paraId="7CD0551D">
            <w:pPr>
              <w:rPr>
                <w:rFonts w:ascii="Arial" w:hAnsi="Arial" w:cs="Arial" w:eastAsiaTheme="minorEastAsia"/>
                <w:sz w:val="20"/>
                <w:szCs w:val="20"/>
                <w:lang w:eastAsia="zh-CN"/>
              </w:rPr>
            </w:pPr>
            <w:r>
              <w:rPr>
                <w:rFonts w:ascii="Arial" w:hAnsi="Arial" w:cs="Arial" w:eastAsiaTheme="minorEastAsia"/>
                <w:sz w:val="20"/>
                <w:szCs w:val="20"/>
                <w:lang w:eastAsia="zh-CN"/>
              </w:rPr>
              <w:t>SOFA Renal (updated)</w:t>
            </w:r>
          </w:p>
        </w:tc>
        <w:tc>
          <w:tcPr>
            <w:tcW w:w="1578" w:type="dxa"/>
            <w:vAlign w:val="center"/>
          </w:tcPr>
          <w:p w14:paraId="60C46AC8">
            <w:pPr>
              <w:rPr>
                <w:rFonts w:ascii="Arial" w:hAnsi="Arial" w:cs="Arial" w:eastAsiaTheme="minorEastAsia"/>
                <w:sz w:val="20"/>
                <w:szCs w:val="20"/>
                <w:lang w:eastAsia="zh-CN"/>
              </w:rPr>
            </w:pPr>
            <w:r>
              <w:rPr>
                <w:rFonts w:ascii="Arial" w:hAnsi="Arial" w:cs="Arial" w:eastAsiaTheme="minorEastAsia"/>
                <w:sz w:val="20"/>
                <w:szCs w:val="20"/>
                <w:lang w:eastAsia="zh-CN"/>
              </w:rPr>
              <w:t>2.67 ± 2.31</w:t>
            </w:r>
          </w:p>
        </w:tc>
        <w:tc>
          <w:tcPr>
            <w:tcW w:w="1290" w:type="dxa"/>
            <w:vAlign w:val="center"/>
          </w:tcPr>
          <w:p w14:paraId="6BE8E8EF">
            <w:pPr>
              <w:rPr>
                <w:rFonts w:ascii="Arial" w:hAnsi="Arial" w:cs="Arial" w:eastAsiaTheme="minorEastAsia"/>
                <w:sz w:val="20"/>
                <w:szCs w:val="20"/>
                <w:lang w:eastAsia="zh-CN"/>
              </w:rPr>
            </w:pPr>
            <w:r>
              <w:rPr>
                <w:rFonts w:ascii="Arial" w:hAnsi="Arial" w:cs="Arial" w:eastAsiaTheme="minorEastAsia"/>
                <w:sz w:val="20"/>
                <w:szCs w:val="20"/>
                <w:lang w:eastAsia="zh-CN"/>
              </w:rPr>
              <w:t>3.06 ± 2.80</w:t>
            </w:r>
          </w:p>
        </w:tc>
        <w:tc>
          <w:tcPr>
            <w:tcW w:w="1238" w:type="dxa"/>
            <w:vAlign w:val="center"/>
          </w:tcPr>
          <w:p w14:paraId="699A868B">
            <w:pPr>
              <w:rPr>
                <w:rFonts w:ascii="Arial" w:hAnsi="Arial" w:cs="Arial" w:eastAsiaTheme="minorEastAsia"/>
                <w:sz w:val="20"/>
                <w:szCs w:val="20"/>
                <w:lang w:eastAsia="zh-CN"/>
              </w:rPr>
            </w:pPr>
            <w:r>
              <w:rPr>
                <w:rFonts w:ascii="Arial" w:hAnsi="Arial" w:cs="Arial" w:eastAsiaTheme="minorEastAsia"/>
                <w:sz w:val="20"/>
                <w:szCs w:val="20"/>
                <w:lang w:eastAsia="zh-CN"/>
              </w:rPr>
              <w:t>3.09 ± 2.21</w:t>
            </w:r>
          </w:p>
        </w:tc>
        <w:tc>
          <w:tcPr>
            <w:tcW w:w="623" w:type="dxa"/>
            <w:vAlign w:val="center"/>
          </w:tcPr>
          <w:p w14:paraId="6B9A0DB2">
            <w:pPr>
              <w:rPr>
                <w:rFonts w:ascii="Arial" w:hAnsi="Arial" w:cs="Arial" w:eastAsiaTheme="minorEastAsia"/>
                <w:sz w:val="20"/>
                <w:szCs w:val="20"/>
                <w:lang w:eastAsia="zh-CN"/>
              </w:rPr>
            </w:pPr>
            <w:r>
              <w:rPr>
                <w:rFonts w:ascii="Arial" w:hAnsi="Arial" w:cs="Arial" w:eastAsiaTheme="minorEastAsia"/>
                <w:sz w:val="20"/>
                <w:szCs w:val="20"/>
                <w:lang w:eastAsia="zh-CN"/>
              </w:rPr>
              <w:t>.002</w:t>
            </w:r>
          </w:p>
        </w:tc>
      </w:tr>
      <w:tr w14:paraId="04C1257B">
        <w:trPr>
          <w:cantSplit/>
        </w:trPr>
        <w:tc>
          <w:tcPr>
            <w:tcW w:w="2635" w:type="dxa"/>
            <w:vAlign w:val="center"/>
          </w:tcPr>
          <w:p w14:paraId="2ADA5513">
            <w:pPr>
              <w:rPr>
                <w:rFonts w:ascii="Arial" w:hAnsi="Arial" w:cs="Arial" w:eastAsiaTheme="minorEastAsia"/>
                <w:sz w:val="20"/>
                <w:szCs w:val="20"/>
                <w:lang w:eastAsia="zh-CN"/>
              </w:rPr>
            </w:pPr>
            <w:r>
              <w:rPr>
                <w:rFonts w:ascii="Arial" w:hAnsi="Arial" w:cs="Arial" w:eastAsiaTheme="minorEastAsia"/>
                <w:sz w:val="20"/>
                <w:szCs w:val="20"/>
                <w:lang w:eastAsia="zh-CN"/>
              </w:rPr>
              <w:t>Renal replacement therapy, any</w:t>
            </w:r>
          </w:p>
        </w:tc>
        <w:tc>
          <w:tcPr>
            <w:tcW w:w="2356" w:type="dxa"/>
            <w:vAlign w:val="center"/>
          </w:tcPr>
          <w:p w14:paraId="02C06E08">
            <w:pPr>
              <w:rPr>
                <w:rFonts w:ascii="Arial" w:hAnsi="Arial" w:cs="Arial" w:eastAsiaTheme="minorEastAsia"/>
                <w:sz w:val="20"/>
                <w:szCs w:val="20"/>
                <w:lang w:eastAsia="zh-CN"/>
              </w:rPr>
            </w:pPr>
            <w:r>
              <w:rPr>
                <w:rFonts w:ascii="Arial" w:hAnsi="Arial" w:cs="Arial" w:eastAsiaTheme="minorEastAsia"/>
                <w:sz w:val="20"/>
                <w:szCs w:val="20"/>
                <w:lang w:eastAsia="zh-CN"/>
              </w:rPr>
              <w:t>SOFA Renal (updated)</w:t>
            </w:r>
          </w:p>
        </w:tc>
        <w:tc>
          <w:tcPr>
            <w:tcW w:w="1578" w:type="dxa"/>
            <w:vAlign w:val="center"/>
          </w:tcPr>
          <w:p w14:paraId="48929502">
            <w:pPr>
              <w:rPr>
                <w:rFonts w:ascii="Arial" w:hAnsi="Arial" w:cs="Arial" w:eastAsiaTheme="minorEastAsia"/>
                <w:sz w:val="20"/>
                <w:szCs w:val="20"/>
                <w:lang w:eastAsia="zh-CN"/>
              </w:rPr>
            </w:pPr>
            <w:r>
              <w:rPr>
                <w:rFonts w:ascii="Arial" w:hAnsi="Arial" w:cs="Arial" w:eastAsiaTheme="minorEastAsia"/>
                <w:sz w:val="20"/>
                <w:szCs w:val="20"/>
                <w:lang w:eastAsia="zh-CN"/>
              </w:rPr>
              <w:t>553 (6.3%)</w:t>
            </w:r>
          </w:p>
        </w:tc>
        <w:tc>
          <w:tcPr>
            <w:tcW w:w="1290" w:type="dxa"/>
            <w:vAlign w:val="center"/>
          </w:tcPr>
          <w:p w14:paraId="7A51B88B">
            <w:pPr>
              <w:rPr>
                <w:rFonts w:ascii="Arial" w:hAnsi="Arial" w:cs="Arial" w:eastAsiaTheme="minorEastAsia"/>
                <w:sz w:val="20"/>
                <w:szCs w:val="20"/>
                <w:lang w:eastAsia="zh-CN"/>
              </w:rPr>
            </w:pPr>
            <w:r>
              <w:rPr>
                <w:rFonts w:ascii="Arial" w:hAnsi="Arial" w:cs="Arial" w:eastAsiaTheme="minorEastAsia"/>
                <w:sz w:val="20"/>
                <w:szCs w:val="20"/>
                <w:lang w:eastAsia="zh-CN"/>
              </w:rPr>
              <w:t>89 (4.4%)</w:t>
            </w:r>
          </w:p>
        </w:tc>
        <w:tc>
          <w:tcPr>
            <w:tcW w:w="1238" w:type="dxa"/>
            <w:vAlign w:val="center"/>
          </w:tcPr>
          <w:p w14:paraId="6E6021A0">
            <w:pPr>
              <w:rPr>
                <w:rFonts w:ascii="Arial" w:hAnsi="Arial" w:cs="Arial" w:eastAsiaTheme="minorEastAsia"/>
                <w:sz w:val="20"/>
                <w:szCs w:val="20"/>
                <w:lang w:eastAsia="zh-CN"/>
              </w:rPr>
            </w:pPr>
            <w:r>
              <w:rPr>
                <w:rFonts w:ascii="Arial" w:hAnsi="Arial" w:cs="Arial" w:eastAsiaTheme="minorEastAsia"/>
                <w:sz w:val="20"/>
                <w:szCs w:val="20"/>
                <w:lang w:eastAsia="zh-CN"/>
              </w:rPr>
              <w:t>33 (2.4%)</w:t>
            </w:r>
          </w:p>
        </w:tc>
        <w:tc>
          <w:tcPr>
            <w:tcW w:w="623" w:type="dxa"/>
            <w:vAlign w:val="center"/>
          </w:tcPr>
          <w:p w14:paraId="34932918">
            <w:pPr>
              <w:rPr>
                <w:rFonts w:ascii="Arial" w:hAnsi="Arial" w:cs="Arial" w:eastAsiaTheme="minorEastAsia"/>
                <w:sz w:val="20"/>
                <w:szCs w:val="20"/>
                <w:lang w:eastAsia="zh-CN"/>
              </w:rPr>
            </w:pPr>
            <w:r>
              <w:rPr>
                <w:rFonts w:ascii="Arial" w:hAnsi="Arial" w:cs="Arial" w:eastAsiaTheme="minorEastAsia"/>
                <w:sz w:val="20"/>
                <w:szCs w:val="20"/>
                <w:lang w:eastAsia="zh-CN"/>
              </w:rPr>
              <w:t>&lt;.001</w:t>
            </w:r>
          </w:p>
        </w:tc>
      </w:tr>
      <w:tr w14:paraId="3A2C2506">
        <w:trPr>
          <w:cantSplit/>
        </w:trPr>
        <w:tc>
          <w:tcPr>
            <w:tcW w:w="2635" w:type="dxa"/>
            <w:vAlign w:val="center"/>
          </w:tcPr>
          <w:p w14:paraId="5D6CF277">
            <w:pPr>
              <w:rPr>
                <w:rFonts w:ascii="Arial" w:hAnsi="Arial" w:cs="Arial" w:eastAsiaTheme="minorEastAsia"/>
                <w:sz w:val="20"/>
                <w:szCs w:val="20"/>
                <w:lang w:eastAsia="zh-CN"/>
              </w:rPr>
            </w:pPr>
            <w:r>
              <w:rPr>
                <w:rFonts w:ascii="Arial" w:hAnsi="Arial" w:cs="Arial" w:eastAsiaTheme="minorEastAsia"/>
                <w:sz w:val="20"/>
                <w:szCs w:val="20"/>
                <w:lang w:eastAsia="zh-CN"/>
              </w:rPr>
              <w:t>Met criteria for RRT, any</w:t>
            </w:r>
          </w:p>
        </w:tc>
        <w:tc>
          <w:tcPr>
            <w:tcW w:w="2356" w:type="dxa"/>
            <w:vAlign w:val="center"/>
          </w:tcPr>
          <w:p w14:paraId="5DAD2A42">
            <w:pPr>
              <w:rPr>
                <w:rFonts w:ascii="Arial" w:hAnsi="Arial" w:cs="Arial" w:eastAsiaTheme="minorEastAsia"/>
                <w:sz w:val="20"/>
                <w:szCs w:val="20"/>
                <w:lang w:eastAsia="zh-CN"/>
              </w:rPr>
            </w:pPr>
            <w:r>
              <w:rPr>
                <w:rFonts w:ascii="Arial" w:hAnsi="Arial" w:cs="Arial" w:eastAsiaTheme="minorEastAsia"/>
                <w:sz w:val="20"/>
                <w:szCs w:val="20"/>
                <w:lang w:eastAsia="zh-CN"/>
              </w:rPr>
              <w:t>SOFA Renal (updated)</w:t>
            </w:r>
          </w:p>
        </w:tc>
        <w:tc>
          <w:tcPr>
            <w:tcW w:w="1578" w:type="dxa"/>
            <w:vAlign w:val="center"/>
          </w:tcPr>
          <w:p w14:paraId="388FCA84">
            <w:pPr>
              <w:rPr>
                <w:rFonts w:ascii="Arial" w:hAnsi="Arial" w:cs="Arial" w:eastAsiaTheme="minorEastAsia"/>
                <w:sz w:val="20"/>
                <w:szCs w:val="20"/>
                <w:lang w:eastAsia="zh-CN"/>
              </w:rPr>
            </w:pPr>
            <w:r>
              <w:rPr>
                <w:rFonts w:ascii="Arial" w:hAnsi="Arial" w:cs="Arial" w:eastAsiaTheme="minorEastAsia"/>
                <w:sz w:val="20"/>
                <w:szCs w:val="20"/>
                <w:lang w:eastAsia="zh-CN"/>
              </w:rPr>
              <w:t>315 (3.6%)</w:t>
            </w:r>
          </w:p>
        </w:tc>
        <w:tc>
          <w:tcPr>
            <w:tcW w:w="1290" w:type="dxa"/>
            <w:vAlign w:val="center"/>
          </w:tcPr>
          <w:p w14:paraId="124BAF17">
            <w:pPr>
              <w:rPr>
                <w:rFonts w:ascii="Arial" w:hAnsi="Arial" w:cs="Arial" w:eastAsiaTheme="minorEastAsia"/>
                <w:sz w:val="20"/>
                <w:szCs w:val="20"/>
                <w:lang w:eastAsia="zh-CN"/>
              </w:rPr>
            </w:pPr>
            <w:r>
              <w:rPr>
                <w:rFonts w:ascii="Arial" w:hAnsi="Arial" w:cs="Arial" w:eastAsiaTheme="minorEastAsia"/>
                <w:sz w:val="20"/>
                <w:szCs w:val="20"/>
                <w:lang w:eastAsia="zh-CN"/>
              </w:rPr>
              <w:t>36 (1.8%)</w:t>
            </w:r>
          </w:p>
        </w:tc>
        <w:tc>
          <w:tcPr>
            <w:tcW w:w="1238" w:type="dxa"/>
            <w:vAlign w:val="center"/>
          </w:tcPr>
          <w:p w14:paraId="44BEC1ED">
            <w:pPr>
              <w:rPr>
                <w:rFonts w:ascii="Arial" w:hAnsi="Arial" w:cs="Arial" w:eastAsiaTheme="minorEastAsia"/>
                <w:sz w:val="20"/>
                <w:szCs w:val="20"/>
                <w:lang w:eastAsia="zh-CN"/>
              </w:rPr>
            </w:pPr>
            <w:r>
              <w:rPr>
                <w:rFonts w:ascii="Arial" w:hAnsi="Arial" w:cs="Arial" w:eastAsiaTheme="minorEastAsia"/>
                <w:sz w:val="20"/>
                <w:szCs w:val="20"/>
                <w:lang w:eastAsia="zh-CN"/>
              </w:rPr>
              <w:t>13 (1.0%)</w:t>
            </w:r>
          </w:p>
        </w:tc>
        <w:tc>
          <w:tcPr>
            <w:tcW w:w="623" w:type="dxa"/>
            <w:vAlign w:val="center"/>
          </w:tcPr>
          <w:p w14:paraId="11189D43">
            <w:pPr>
              <w:rPr>
                <w:rFonts w:ascii="Arial" w:hAnsi="Arial" w:cs="Arial" w:eastAsiaTheme="minorEastAsia"/>
                <w:sz w:val="20"/>
                <w:szCs w:val="20"/>
                <w:lang w:eastAsia="zh-CN"/>
              </w:rPr>
            </w:pPr>
            <w:r>
              <w:rPr>
                <w:rFonts w:ascii="Arial" w:hAnsi="Arial" w:cs="Arial" w:eastAsiaTheme="minorEastAsia"/>
                <w:sz w:val="20"/>
                <w:szCs w:val="20"/>
                <w:lang w:eastAsia="zh-CN"/>
              </w:rPr>
              <w:t>&lt;.001</w:t>
            </w:r>
          </w:p>
        </w:tc>
      </w:tr>
      <w:tr w14:paraId="7115FA1D">
        <w:trPr>
          <w:cantSplit/>
        </w:trPr>
        <w:tc>
          <w:tcPr>
            <w:tcW w:w="2635" w:type="dxa"/>
            <w:vAlign w:val="center"/>
          </w:tcPr>
          <w:p w14:paraId="35189EBE">
            <w:pPr>
              <w:rPr>
                <w:rFonts w:ascii="Arial" w:hAnsi="Arial" w:cs="Arial" w:eastAsiaTheme="minorEastAsia"/>
                <w:sz w:val="20"/>
                <w:szCs w:val="20"/>
                <w:lang w:eastAsia="zh-CN"/>
              </w:rPr>
            </w:pPr>
            <w:r>
              <w:rPr>
                <w:rFonts w:ascii="Arial" w:hAnsi="Arial" w:cs="Arial" w:eastAsiaTheme="minorEastAsia"/>
                <w:sz w:val="20"/>
                <w:szCs w:val="20"/>
                <w:lang w:eastAsia="zh-CN"/>
              </w:rPr>
              <w:t>Potassium, mmol/L (mean)</w:t>
            </w:r>
          </w:p>
        </w:tc>
        <w:tc>
          <w:tcPr>
            <w:tcW w:w="2356" w:type="dxa"/>
            <w:vAlign w:val="center"/>
          </w:tcPr>
          <w:p w14:paraId="71010DDD">
            <w:pPr>
              <w:rPr>
                <w:rFonts w:ascii="Arial" w:hAnsi="Arial" w:cs="Arial" w:eastAsiaTheme="minorEastAsia"/>
                <w:sz w:val="20"/>
                <w:szCs w:val="20"/>
                <w:lang w:eastAsia="zh-CN"/>
              </w:rPr>
            </w:pPr>
            <w:r>
              <w:rPr>
                <w:rFonts w:ascii="Arial" w:hAnsi="Arial" w:cs="Arial" w:eastAsiaTheme="minorEastAsia"/>
                <w:sz w:val="20"/>
                <w:szCs w:val="20"/>
                <w:lang w:eastAsia="zh-CN"/>
              </w:rPr>
              <w:t>SOFA Renal (updated)</w:t>
            </w:r>
          </w:p>
        </w:tc>
        <w:tc>
          <w:tcPr>
            <w:tcW w:w="1578" w:type="dxa"/>
            <w:vAlign w:val="center"/>
          </w:tcPr>
          <w:p w14:paraId="5B1E0F85">
            <w:pPr>
              <w:rPr>
                <w:rFonts w:ascii="Arial" w:hAnsi="Arial" w:cs="Arial" w:eastAsiaTheme="minorEastAsia"/>
                <w:sz w:val="20"/>
                <w:szCs w:val="20"/>
                <w:lang w:eastAsia="zh-CN"/>
              </w:rPr>
            </w:pPr>
            <w:r>
              <w:rPr>
                <w:rFonts w:ascii="Arial" w:hAnsi="Arial" w:cs="Arial" w:eastAsiaTheme="minorEastAsia"/>
                <w:sz w:val="20"/>
                <w:szCs w:val="20"/>
                <w:lang w:eastAsia="zh-CN"/>
              </w:rPr>
              <w:t>4.08 ± 0.63</w:t>
            </w:r>
          </w:p>
        </w:tc>
        <w:tc>
          <w:tcPr>
            <w:tcW w:w="1290" w:type="dxa"/>
            <w:vAlign w:val="center"/>
          </w:tcPr>
          <w:p w14:paraId="62DD983D">
            <w:pPr>
              <w:rPr>
                <w:rFonts w:ascii="Arial" w:hAnsi="Arial" w:cs="Arial" w:eastAsiaTheme="minorEastAsia"/>
                <w:sz w:val="20"/>
                <w:szCs w:val="20"/>
                <w:lang w:eastAsia="zh-CN"/>
              </w:rPr>
            </w:pPr>
            <w:r>
              <w:rPr>
                <w:rFonts w:ascii="Arial" w:hAnsi="Arial" w:cs="Arial" w:eastAsiaTheme="minorEastAsia"/>
                <w:sz w:val="20"/>
                <w:szCs w:val="20"/>
                <w:lang w:eastAsia="zh-CN"/>
              </w:rPr>
              <w:t>3.98 ± 0.58</w:t>
            </w:r>
          </w:p>
        </w:tc>
        <w:tc>
          <w:tcPr>
            <w:tcW w:w="1238" w:type="dxa"/>
            <w:vAlign w:val="center"/>
          </w:tcPr>
          <w:p w14:paraId="280F53A3">
            <w:pPr>
              <w:rPr>
                <w:rFonts w:ascii="Arial" w:hAnsi="Arial" w:cs="Arial" w:eastAsiaTheme="minorEastAsia"/>
                <w:sz w:val="20"/>
                <w:szCs w:val="20"/>
                <w:lang w:eastAsia="zh-CN"/>
              </w:rPr>
            </w:pPr>
            <w:r>
              <w:rPr>
                <w:rFonts w:ascii="Arial" w:hAnsi="Arial" w:cs="Arial" w:eastAsiaTheme="minorEastAsia"/>
                <w:sz w:val="20"/>
                <w:szCs w:val="20"/>
                <w:lang w:eastAsia="zh-CN"/>
              </w:rPr>
              <w:t>4.00 ± 0.57</w:t>
            </w:r>
          </w:p>
        </w:tc>
        <w:tc>
          <w:tcPr>
            <w:tcW w:w="623" w:type="dxa"/>
            <w:vAlign w:val="center"/>
          </w:tcPr>
          <w:p w14:paraId="4E623F35">
            <w:pPr>
              <w:rPr>
                <w:rFonts w:ascii="Arial" w:hAnsi="Arial" w:cs="Arial" w:eastAsiaTheme="minorEastAsia"/>
                <w:sz w:val="20"/>
                <w:szCs w:val="20"/>
                <w:lang w:eastAsia="zh-CN"/>
              </w:rPr>
            </w:pPr>
            <w:r>
              <w:rPr>
                <w:rFonts w:ascii="Arial" w:hAnsi="Arial" w:cs="Arial" w:eastAsiaTheme="minorEastAsia"/>
                <w:sz w:val="20"/>
                <w:szCs w:val="20"/>
                <w:lang w:eastAsia="zh-CN"/>
              </w:rPr>
              <w:t>&lt;.001</w:t>
            </w:r>
          </w:p>
        </w:tc>
      </w:tr>
      <w:tr w14:paraId="22313CDE">
        <w:trPr>
          <w:cantSplit/>
        </w:trPr>
        <w:tc>
          <w:tcPr>
            <w:tcW w:w="2635" w:type="dxa"/>
            <w:vAlign w:val="center"/>
          </w:tcPr>
          <w:p w14:paraId="466A3422">
            <w:pPr>
              <w:rPr>
                <w:rFonts w:ascii="Arial" w:hAnsi="Arial" w:cs="Arial" w:eastAsiaTheme="minorEastAsia"/>
                <w:sz w:val="20"/>
                <w:szCs w:val="20"/>
                <w:lang w:eastAsia="zh-CN"/>
              </w:rPr>
            </w:pPr>
            <w:r>
              <w:rPr>
                <w:rFonts w:ascii="Arial" w:hAnsi="Arial" w:cs="Arial" w:eastAsiaTheme="minorEastAsia"/>
                <w:sz w:val="20"/>
                <w:szCs w:val="20"/>
                <w:lang w:eastAsia="zh-CN"/>
              </w:rPr>
              <w:t>Bicarbonate, mmol/L (mean)</w:t>
            </w:r>
          </w:p>
        </w:tc>
        <w:tc>
          <w:tcPr>
            <w:tcW w:w="2356" w:type="dxa"/>
            <w:vAlign w:val="center"/>
          </w:tcPr>
          <w:p w14:paraId="46EA1B20">
            <w:pPr>
              <w:rPr>
                <w:rFonts w:ascii="Arial" w:hAnsi="Arial" w:cs="Arial" w:eastAsiaTheme="minorEastAsia"/>
                <w:sz w:val="20"/>
                <w:szCs w:val="20"/>
                <w:lang w:eastAsia="zh-CN"/>
              </w:rPr>
            </w:pPr>
            <w:r>
              <w:rPr>
                <w:rFonts w:ascii="Arial" w:hAnsi="Arial" w:cs="Arial" w:eastAsiaTheme="minorEastAsia"/>
                <w:sz w:val="20"/>
                <w:szCs w:val="20"/>
                <w:lang w:eastAsia="zh-CN"/>
              </w:rPr>
              <w:t>SOFA Renal (updated)</w:t>
            </w:r>
          </w:p>
        </w:tc>
        <w:tc>
          <w:tcPr>
            <w:tcW w:w="1578" w:type="dxa"/>
            <w:vAlign w:val="center"/>
          </w:tcPr>
          <w:p w14:paraId="5D983754">
            <w:pPr>
              <w:rPr>
                <w:rFonts w:ascii="Arial" w:hAnsi="Arial" w:cs="Arial" w:eastAsiaTheme="minorEastAsia"/>
                <w:sz w:val="20"/>
                <w:szCs w:val="20"/>
                <w:lang w:eastAsia="zh-CN"/>
              </w:rPr>
            </w:pPr>
            <w:r>
              <w:rPr>
                <w:rFonts w:ascii="Arial" w:hAnsi="Arial" w:cs="Arial" w:eastAsiaTheme="minorEastAsia"/>
                <w:sz w:val="20"/>
                <w:szCs w:val="20"/>
                <w:lang w:eastAsia="zh-CN"/>
              </w:rPr>
              <w:t>22.74 ± 5.31</w:t>
            </w:r>
          </w:p>
        </w:tc>
        <w:tc>
          <w:tcPr>
            <w:tcW w:w="1290" w:type="dxa"/>
            <w:vAlign w:val="center"/>
          </w:tcPr>
          <w:p w14:paraId="2420D9FB">
            <w:pPr>
              <w:rPr>
                <w:rFonts w:ascii="Arial" w:hAnsi="Arial" w:cs="Arial" w:eastAsiaTheme="minorEastAsia"/>
                <w:sz w:val="20"/>
                <w:szCs w:val="20"/>
                <w:lang w:eastAsia="zh-CN"/>
              </w:rPr>
            </w:pPr>
            <w:r>
              <w:rPr>
                <w:rFonts w:ascii="Arial" w:hAnsi="Arial" w:cs="Arial" w:eastAsiaTheme="minorEastAsia"/>
                <w:sz w:val="20"/>
                <w:szCs w:val="20"/>
                <w:lang w:eastAsia="zh-CN"/>
              </w:rPr>
              <w:t>24.74 ± 5.25</w:t>
            </w:r>
          </w:p>
        </w:tc>
        <w:tc>
          <w:tcPr>
            <w:tcW w:w="1238" w:type="dxa"/>
            <w:vAlign w:val="center"/>
          </w:tcPr>
          <w:p w14:paraId="17C8F049">
            <w:pPr>
              <w:rPr>
                <w:rFonts w:ascii="Arial" w:hAnsi="Arial" w:cs="Arial" w:eastAsiaTheme="minorEastAsia"/>
                <w:sz w:val="20"/>
                <w:szCs w:val="20"/>
                <w:lang w:eastAsia="zh-CN"/>
              </w:rPr>
            </w:pPr>
            <w:r>
              <w:rPr>
                <w:rFonts w:ascii="Arial" w:hAnsi="Arial" w:cs="Arial" w:eastAsiaTheme="minorEastAsia"/>
                <w:sz w:val="20"/>
                <w:szCs w:val="20"/>
                <w:lang w:eastAsia="zh-CN"/>
              </w:rPr>
              <w:t>23.57 ± 5.14</w:t>
            </w:r>
          </w:p>
        </w:tc>
        <w:tc>
          <w:tcPr>
            <w:tcW w:w="623" w:type="dxa"/>
            <w:vAlign w:val="center"/>
          </w:tcPr>
          <w:p w14:paraId="725AE641">
            <w:pPr>
              <w:rPr>
                <w:rFonts w:ascii="Arial" w:hAnsi="Arial" w:cs="Arial" w:eastAsiaTheme="minorEastAsia"/>
                <w:sz w:val="20"/>
                <w:szCs w:val="20"/>
                <w:lang w:eastAsia="zh-CN"/>
              </w:rPr>
            </w:pPr>
            <w:r>
              <w:rPr>
                <w:rFonts w:ascii="Arial" w:hAnsi="Arial" w:cs="Arial" w:eastAsiaTheme="minorEastAsia"/>
                <w:sz w:val="20"/>
                <w:szCs w:val="20"/>
                <w:lang w:eastAsia="zh-CN"/>
              </w:rPr>
              <w:t>&lt;.001</w:t>
            </w:r>
          </w:p>
        </w:tc>
      </w:tr>
      <w:tr w14:paraId="5030945E">
        <w:trPr>
          <w:cantSplit/>
        </w:trPr>
        <w:tc>
          <w:tcPr>
            <w:tcW w:w="2635" w:type="dxa"/>
            <w:vAlign w:val="center"/>
          </w:tcPr>
          <w:p w14:paraId="571D3F4B">
            <w:pPr>
              <w:rPr>
                <w:rFonts w:ascii="Arial" w:hAnsi="Arial" w:cs="Arial" w:eastAsiaTheme="minorEastAsia"/>
                <w:sz w:val="20"/>
                <w:szCs w:val="20"/>
                <w:lang w:eastAsia="zh-CN"/>
              </w:rPr>
            </w:pPr>
            <w:r>
              <w:rPr>
                <w:rFonts w:ascii="Arial" w:hAnsi="Arial" w:cs="Arial" w:eastAsiaTheme="minorEastAsia"/>
                <w:sz w:val="20"/>
                <w:szCs w:val="20"/>
                <w:lang w:eastAsia="zh-CN"/>
              </w:rPr>
              <w:t>Respiratory rate, breaths/min (mean)</w:t>
            </w:r>
          </w:p>
        </w:tc>
        <w:tc>
          <w:tcPr>
            <w:tcW w:w="2356" w:type="dxa"/>
            <w:vAlign w:val="center"/>
          </w:tcPr>
          <w:p w14:paraId="677C3E35">
            <w:pPr>
              <w:rPr>
                <w:rFonts w:ascii="Arial" w:hAnsi="Arial" w:cs="Arial" w:eastAsiaTheme="minorEastAsia"/>
                <w:sz w:val="20"/>
                <w:szCs w:val="20"/>
                <w:lang w:eastAsia="zh-CN"/>
              </w:rPr>
            </w:pPr>
            <w:r>
              <w:rPr>
                <w:rFonts w:ascii="Arial" w:hAnsi="Arial" w:cs="Arial" w:eastAsiaTheme="minorEastAsia"/>
                <w:sz w:val="20"/>
                <w:szCs w:val="20"/>
                <w:lang w:eastAsia="zh-CN"/>
              </w:rPr>
              <w:t>Others</w:t>
            </w:r>
          </w:p>
        </w:tc>
        <w:tc>
          <w:tcPr>
            <w:tcW w:w="1578" w:type="dxa"/>
            <w:vAlign w:val="center"/>
          </w:tcPr>
          <w:p w14:paraId="76291368">
            <w:pPr>
              <w:rPr>
                <w:rFonts w:ascii="Arial" w:hAnsi="Arial" w:cs="Arial" w:eastAsiaTheme="minorEastAsia"/>
                <w:sz w:val="20"/>
                <w:szCs w:val="20"/>
                <w:lang w:eastAsia="zh-CN"/>
              </w:rPr>
            </w:pPr>
            <w:r>
              <w:rPr>
                <w:rFonts w:ascii="Arial" w:hAnsi="Arial" w:cs="Arial" w:eastAsiaTheme="minorEastAsia"/>
                <w:sz w:val="20"/>
                <w:szCs w:val="20"/>
                <w:lang w:eastAsia="zh-CN"/>
              </w:rPr>
              <w:t>20.88 ± 5.57</w:t>
            </w:r>
          </w:p>
        </w:tc>
        <w:tc>
          <w:tcPr>
            <w:tcW w:w="1290" w:type="dxa"/>
            <w:vAlign w:val="center"/>
          </w:tcPr>
          <w:p w14:paraId="7A98E947">
            <w:pPr>
              <w:rPr>
                <w:rFonts w:ascii="Arial" w:hAnsi="Arial" w:cs="Arial" w:eastAsiaTheme="minorEastAsia"/>
                <w:sz w:val="20"/>
                <w:szCs w:val="20"/>
                <w:lang w:eastAsia="zh-CN"/>
              </w:rPr>
            </w:pPr>
            <w:r>
              <w:rPr>
                <w:rFonts w:ascii="Arial" w:hAnsi="Arial" w:cs="Arial" w:eastAsiaTheme="minorEastAsia"/>
                <w:sz w:val="20"/>
                <w:szCs w:val="20"/>
                <w:lang w:eastAsia="zh-CN"/>
              </w:rPr>
              <w:t>20.97 ± 5.62</w:t>
            </w:r>
          </w:p>
        </w:tc>
        <w:tc>
          <w:tcPr>
            <w:tcW w:w="1238" w:type="dxa"/>
            <w:vAlign w:val="center"/>
          </w:tcPr>
          <w:p w14:paraId="2EE71C29">
            <w:pPr>
              <w:rPr>
                <w:rFonts w:ascii="Arial" w:hAnsi="Arial" w:cs="Arial" w:eastAsiaTheme="minorEastAsia"/>
                <w:sz w:val="20"/>
                <w:szCs w:val="20"/>
                <w:lang w:eastAsia="zh-CN"/>
              </w:rPr>
            </w:pPr>
            <w:r>
              <w:rPr>
                <w:rFonts w:ascii="Arial" w:hAnsi="Arial" w:cs="Arial" w:eastAsiaTheme="minorEastAsia"/>
                <w:sz w:val="20"/>
                <w:szCs w:val="20"/>
                <w:lang w:eastAsia="zh-CN"/>
              </w:rPr>
              <w:t>21.14 ± 5.46</w:t>
            </w:r>
          </w:p>
        </w:tc>
        <w:tc>
          <w:tcPr>
            <w:tcW w:w="623" w:type="dxa"/>
            <w:vAlign w:val="center"/>
          </w:tcPr>
          <w:p w14:paraId="155F93EF">
            <w:pPr>
              <w:rPr>
                <w:rFonts w:ascii="Arial" w:hAnsi="Arial" w:cs="Arial" w:eastAsiaTheme="minorEastAsia"/>
                <w:sz w:val="20"/>
                <w:szCs w:val="20"/>
                <w:lang w:eastAsia="zh-CN"/>
              </w:rPr>
            </w:pPr>
            <w:r>
              <w:rPr>
                <w:rFonts w:ascii="Arial" w:hAnsi="Arial" w:cs="Arial" w:eastAsiaTheme="minorEastAsia"/>
                <w:sz w:val="20"/>
                <w:szCs w:val="20"/>
                <w:lang w:eastAsia="zh-CN"/>
              </w:rPr>
              <w:t>.38</w:t>
            </w:r>
          </w:p>
        </w:tc>
      </w:tr>
      <w:tr w14:paraId="3EB2687C">
        <w:trPr>
          <w:cantSplit/>
        </w:trPr>
        <w:tc>
          <w:tcPr>
            <w:tcW w:w="2635" w:type="dxa"/>
            <w:vAlign w:val="center"/>
          </w:tcPr>
          <w:p w14:paraId="24D27EF4">
            <w:pPr>
              <w:rPr>
                <w:rFonts w:ascii="Arial" w:hAnsi="Arial" w:cs="Arial" w:eastAsiaTheme="minorEastAsia"/>
                <w:sz w:val="20"/>
                <w:szCs w:val="20"/>
                <w:lang w:eastAsia="zh-CN"/>
              </w:rPr>
            </w:pPr>
            <w:r>
              <w:rPr>
                <w:rFonts w:ascii="Arial" w:hAnsi="Arial" w:cs="Arial" w:eastAsiaTheme="minorEastAsia"/>
                <w:sz w:val="20"/>
                <w:szCs w:val="20"/>
                <w:lang w:eastAsia="zh-CN"/>
              </w:rPr>
              <w:t>Temperature, °C (mean)</w:t>
            </w:r>
          </w:p>
        </w:tc>
        <w:tc>
          <w:tcPr>
            <w:tcW w:w="2356" w:type="dxa"/>
            <w:vAlign w:val="center"/>
          </w:tcPr>
          <w:p w14:paraId="7E10E34A">
            <w:pPr>
              <w:rPr>
                <w:rFonts w:ascii="Arial" w:hAnsi="Arial" w:cs="Arial" w:eastAsiaTheme="minorEastAsia"/>
                <w:sz w:val="20"/>
                <w:szCs w:val="20"/>
                <w:lang w:eastAsia="zh-CN"/>
              </w:rPr>
            </w:pPr>
            <w:r>
              <w:rPr>
                <w:rFonts w:ascii="Arial" w:hAnsi="Arial" w:cs="Arial" w:eastAsiaTheme="minorEastAsia"/>
                <w:sz w:val="20"/>
                <w:szCs w:val="20"/>
                <w:lang w:eastAsia="zh-CN"/>
              </w:rPr>
              <w:t>Others</w:t>
            </w:r>
          </w:p>
        </w:tc>
        <w:tc>
          <w:tcPr>
            <w:tcW w:w="1578" w:type="dxa"/>
            <w:vAlign w:val="center"/>
          </w:tcPr>
          <w:p w14:paraId="295245AC">
            <w:pPr>
              <w:rPr>
                <w:rFonts w:ascii="Arial" w:hAnsi="Arial" w:cs="Arial" w:eastAsiaTheme="minorEastAsia"/>
                <w:sz w:val="20"/>
                <w:szCs w:val="20"/>
                <w:lang w:eastAsia="zh-CN"/>
              </w:rPr>
            </w:pPr>
            <w:r>
              <w:rPr>
                <w:rFonts w:ascii="Arial" w:hAnsi="Arial" w:cs="Arial" w:eastAsiaTheme="minorEastAsia"/>
                <w:sz w:val="20"/>
                <w:szCs w:val="20"/>
                <w:lang w:eastAsia="zh-CN"/>
              </w:rPr>
              <w:t>37.11 ± 1.19</w:t>
            </w:r>
          </w:p>
        </w:tc>
        <w:tc>
          <w:tcPr>
            <w:tcW w:w="1290" w:type="dxa"/>
            <w:vAlign w:val="center"/>
          </w:tcPr>
          <w:p w14:paraId="1DE0D4ED">
            <w:pPr>
              <w:rPr>
                <w:rFonts w:ascii="Arial" w:hAnsi="Arial" w:cs="Arial" w:eastAsiaTheme="minorEastAsia"/>
                <w:sz w:val="20"/>
                <w:szCs w:val="20"/>
                <w:lang w:eastAsia="zh-CN"/>
              </w:rPr>
            </w:pPr>
            <w:r>
              <w:rPr>
                <w:rFonts w:ascii="Arial" w:hAnsi="Arial" w:cs="Arial" w:eastAsiaTheme="minorEastAsia"/>
                <w:sz w:val="20"/>
                <w:szCs w:val="20"/>
                <w:lang w:eastAsia="zh-CN"/>
              </w:rPr>
              <w:t>37.37 ± 1.08</w:t>
            </w:r>
          </w:p>
        </w:tc>
        <w:tc>
          <w:tcPr>
            <w:tcW w:w="1238" w:type="dxa"/>
            <w:vAlign w:val="center"/>
          </w:tcPr>
          <w:p w14:paraId="5E6DB620">
            <w:pPr>
              <w:rPr>
                <w:rFonts w:ascii="Arial" w:hAnsi="Arial" w:cs="Arial" w:eastAsiaTheme="minorEastAsia"/>
                <w:sz w:val="20"/>
                <w:szCs w:val="20"/>
                <w:lang w:eastAsia="zh-CN"/>
              </w:rPr>
            </w:pPr>
            <w:r>
              <w:rPr>
                <w:rFonts w:ascii="Arial" w:hAnsi="Arial" w:cs="Arial" w:eastAsiaTheme="minorEastAsia"/>
                <w:sz w:val="20"/>
                <w:szCs w:val="20"/>
                <w:lang w:eastAsia="zh-CN"/>
              </w:rPr>
              <w:t>37.11 ± 0.82</w:t>
            </w:r>
          </w:p>
        </w:tc>
        <w:tc>
          <w:tcPr>
            <w:tcW w:w="623" w:type="dxa"/>
            <w:vAlign w:val="center"/>
          </w:tcPr>
          <w:p w14:paraId="7E13DF76">
            <w:pPr>
              <w:rPr>
                <w:rFonts w:ascii="Arial" w:hAnsi="Arial" w:cs="Arial" w:eastAsiaTheme="minorEastAsia"/>
                <w:sz w:val="20"/>
                <w:szCs w:val="20"/>
                <w:lang w:eastAsia="zh-CN"/>
              </w:rPr>
            </w:pPr>
            <w:r>
              <w:rPr>
                <w:rFonts w:ascii="Arial" w:hAnsi="Arial" w:cs="Arial" w:eastAsiaTheme="minorEastAsia"/>
                <w:sz w:val="20"/>
                <w:szCs w:val="20"/>
                <w:lang w:eastAsia="zh-CN"/>
              </w:rPr>
              <w:t>.007</w:t>
            </w:r>
          </w:p>
        </w:tc>
      </w:tr>
      <w:tr w14:paraId="0461696E">
        <w:trPr>
          <w:cantSplit/>
        </w:trPr>
        <w:tc>
          <w:tcPr>
            <w:tcW w:w="2635" w:type="dxa"/>
            <w:vAlign w:val="center"/>
          </w:tcPr>
          <w:p w14:paraId="22AE568F">
            <w:pPr>
              <w:rPr>
                <w:rFonts w:ascii="Arial" w:hAnsi="Arial" w:cs="Arial" w:eastAsiaTheme="minorEastAsia"/>
                <w:sz w:val="20"/>
                <w:szCs w:val="20"/>
                <w:lang w:eastAsia="zh-CN"/>
              </w:rPr>
            </w:pPr>
            <w:r>
              <w:rPr>
                <w:rFonts w:ascii="Arial" w:hAnsi="Arial" w:cs="Arial" w:eastAsiaTheme="minorEastAsia"/>
                <w:sz w:val="20"/>
                <w:szCs w:val="20"/>
                <w:lang w:eastAsia="zh-CN"/>
              </w:rPr>
              <w:t>Weight, kg (mean)</w:t>
            </w:r>
          </w:p>
        </w:tc>
        <w:tc>
          <w:tcPr>
            <w:tcW w:w="2356" w:type="dxa"/>
            <w:vAlign w:val="center"/>
          </w:tcPr>
          <w:p w14:paraId="76BCFF79">
            <w:pPr>
              <w:rPr>
                <w:rFonts w:ascii="Arial" w:hAnsi="Arial" w:cs="Arial" w:eastAsiaTheme="minorEastAsia"/>
                <w:sz w:val="20"/>
                <w:szCs w:val="20"/>
                <w:lang w:eastAsia="zh-CN"/>
              </w:rPr>
            </w:pPr>
            <w:r>
              <w:rPr>
                <w:rFonts w:ascii="Arial" w:hAnsi="Arial" w:cs="Arial" w:eastAsiaTheme="minorEastAsia"/>
                <w:sz w:val="20"/>
                <w:szCs w:val="20"/>
                <w:lang w:eastAsia="zh-CN"/>
              </w:rPr>
              <w:t>Others</w:t>
            </w:r>
          </w:p>
        </w:tc>
        <w:tc>
          <w:tcPr>
            <w:tcW w:w="1578" w:type="dxa"/>
            <w:vAlign w:val="center"/>
          </w:tcPr>
          <w:p w14:paraId="56F84A17">
            <w:pPr>
              <w:rPr>
                <w:rFonts w:ascii="Arial" w:hAnsi="Arial" w:cs="Arial" w:eastAsiaTheme="minorEastAsia"/>
                <w:sz w:val="20"/>
                <w:szCs w:val="20"/>
                <w:lang w:eastAsia="zh-CN"/>
              </w:rPr>
            </w:pPr>
            <w:r>
              <w:rPr>
                <w:rFonts w:ascii="Arial" w:hAnsi="Arial" w:cs="Arial" w:eastAsiaTheme="minorEastAsia"/>
                <w:sz w:val="20"/>
                <w:szCs w:val="20"/>
                <w:lang w:eastAsia="zh-CN"/>
              </w:rPr>
              <w:t>85.45 ± 28.32</w:t>
            </w:r>
          </w:p>
        </w:tc>
        <w:tc>
          <w:tcPr>
            <w:tcW w:w="1290" w:type="dxa"/>
            <w:vAlign w:val="center"/>
          </w:tcPr>
          <w:p w14:paraId="2936CFA2">
            <w:pPr>
              <w:rPr>
                <w:rFonts w:ascii="Arial" w:hAnsi="Arial" w:cs="Arial" w:eastAsiaTheme="minorEastAsia"/>
                <w:sz w:val="20"/>
                <w:szCs w:val="20"/>
                <w:lang w:eastAsia="zh-CN"/>
              </w:rPr>
            </w:pPr>
            <w:r>
              <w:rPr>
                <w:rFonts w:ascii="Arial" w:hAnsi="Arial" w:cs="Arial" w:eastAsiaTheme="minorEastAsia"/>
                <w:sz w:val="20"/>
                <w:szCs w:val="20"/>
                <w:lang w:eastAsia="zh-CN"/>
              </w:rPr>
              <w:t>86.51 ± 29.98</w:t>
            </w:r>
          </w:p>
        </w:tc>
        <w:tc>
          <w:tcPr>
            <w:tcW w:w="1238" w:type="dxa"/>
            <w:vAlign w:val="center"/>
          </w:tcPr>
          <w:p w14:paraId="1B24BB83">
            <w:pPr>
              <w:rPr>
                <w:rFonts w:ascii="Arial" w:hAnsi="Arial" w:cs="Arial" w:eastAsiaTheme="minorEastAsia"/>
                <w:sz w:val="20"/>
                <w:szCs w:val="20"/>
                <w:lang w:eastAsia="zh-CN"/>
              </w:rPr>
            </w:pPr>
            <w:r>
              <w:rPr>
                <w:rFonts w:ascii="Arial" w:hAnsi="Arial" w:cs="Arial" w:eastAsiaTheme="minorEastAsia"/>
                <w:sz w:val="20"/>
                <w:szCs w:val="20"/>
                <w:lang w:eastAsia="zh-CN"/>
              </w:rPr>
              <w:t>81.96 ± 26.53</w:t>
            </w:r>
          </w:p>
        </w:tc>
        <w:tc>
          <w:tcPr>
            <w:tcW w:w="623" w:type="dxa"/>
            <w:vAlign w:val="center"/>
          </w:tcPr>
          <w:p w14:paraId="2F07592F">
            <w:pPr>
              <w:rPr>
                <w:rFonts w:ascii="Arial" w:hAnsi="Arial" w:cs="Arial" w:eastAsiaTheme="minorEastAsia"/>
                <w:sz w:val="20"/>
                <w:szCs w:val="20"/>
                <w:lang w:eastAsia="zh-CN"/>
              </w:rPr>
            </w:pPr>
            <w:r>
              <w:rPr>
                <w:rFonts w:ascii="Arial" w:hAnsi="Arial" w:cs="Arial" w:eastAsiaTheme="minorEastAsia"/>
                <w:sz w:val="20"/>
                <w:szCs w:val="20"/>
                <w:lang w:eastAsia="zh-CN"/>
              </w:rPr>
              <w:t>&lt;.001</w:t>
            </w:r>
          </w:p>
        </w:tc>
      </w:tr>
      <w:tr w14:paraId="0EFEA95A">
        <w:trPr>
          <w:cantSplit/>
        </w:trPr>
        <w:tc>
          <w:tcPr>
            <w:tcW w:w="2635" w:type="dxa"/>
            <w:vAlign w:val="center"/>
          </w:tcPr>
          <w:p w14:paraId="52A293A8">
            <w:pPr>
              <w:rPr>
                <w:rFonts w:ascii="Arial" w:hAnsi="Arial" w:cs="Arial" w:eastAsiaTheme="minorEastAsia"/>
                <w:sz w:val="20"/>
                <w:szCs w:val="20"/>
                <w:lang w:eastAsia="zh-CN"/>
              </w:rPr>
            </w:pPr>
            <w:r>
              <w:rPr>
                <w:rFonts w:ascii="Arial" w:hAnsi="Arial" w:cs="Arial" w:eastAsiaTheme="minorEastAsia"/>
                <w:sz w:val="20"/>
                <w:szCs w:val="20"/>
                <w:lang w:eastAsia="zh-CN"/>
              </w:rPr>
              <w:t>White blood cell count (mean)</w:t>
            </w:r>
          </w:p>
        </w:tc>
        <w:tc>
          <w:tcPr>
            <w:tcW w:w="2356" w:type="dxa"/>
            <w:vAlign w:val="center"/>
          </w:tcPr>
          <w:p w14:paraId="283DEDD7">
            <w:pPr>
              <w:rPr>
                <w:rFonts w:ascii="Arial" w:hAnsi="Arial" w:cs="Arial" w:eastAsiaTheme="minorEastAsia"/>
                <w:sz w:val="20"/>
                <w:szCs w:val="20"/>
                <w:lang w:eastAsia="zh-CN"/>
              </w:rPr>
            </w:pPr>
            <w:r>
              <w:rPr>
                <w:rFonts w:ascii="Arial" w:hAnsi="Arial" w:cs="Arial" w:eastAsiaTheme="minorEastAsia"/>
                <w:sz w:val="20"/>
                <w:szCs w:val="20"/>
                <w:lang w:eastAsia="zh-CN"/>
              </w:rPr>
              <w:t>Others</w:t>
            </w:r>
          </w:p>
        </w:tc>
        <w:tc>
          <w:tcPr>
            <w:tcW w:w="1578" w:type="dxa"/>
            <w:vAlign w:val="center"/>
          </w:tcPr>
          <w:p w14:paraId="121B18FD">
            <w:pPr>
              <w:rPr>
                <w:rFonts w:ascii="Arial" w:hAnsi="Arial" w:cs="Arial" w:eastAsiaTheme="minorEastAsia"/>
                <w:sz w:val="20"/>
                <w:szCs w:val="20"/>
                <w:lang w:eastAsia="zh-CN"/>
              </w:rPr>
            </w:pPr>
            <w:r>
              <w:rPr>
                <w:rFonts w:ascii="Arial" w:hAnsi="Arial" w:cs="Arial" w:eastAsiaTheme="minorEastAsia"/>
                <w:sz w:val="20"/>
                <w:szCs w:val="20"/>
                <w:lang w:eastAsia="zh-CN"/>
              </w:rPr>
              <w:t>14.22 ± 9.46</w:t>
            </w:r>
          </w:p>
        </w:tc>
        <w:tc>
          <w:tcPr>
            <w:tcW w:w="1290" w:type="dxa"/>
            <w:vAlign w:val="center"/>
          </w:tcPr>
          <w:p w14:paraId="45F57493">
            <w:pPr>
              <w:rPr>
                <w:rFonts w:ascii="Arial" w:hAnsi="Arial" w:cs="Arial" w:eastAsiaTheme="minorEastAsia"/>
                <w:sz w:val="20"/>
                <w:szCs w:val="20"/>
                <w:lang w:eastAsia="zh-CN"/>
              </w:rPr>
            </w:pPr>
            <w:r>
              <w:rPr>
                <w:rFonts w:ascii="Arial" w:hAnsi="Arial" w:cs="Arial" w:eastAsiaTheme="minorEastAsia"/>
                <w:sz w:val="20"/>
                <w:szCs w:val="20"/>
                <w:lang w:eastAsia="zh-CN"/>
              </w:rPr>
              <w:t>13.23 ± 7.21</w:t>
            </w:r>
          </w:p>
        </w:tc>
        <w:tc>
          <w:tcPr>
            <w:tcW w:w="1238" w:type="dxa"/>
            <w:vAlign w:val="center"/>
          </w:tcPr>
          <w:p w14:paraId="6BA3B3CE">
            <w:pPr>
              <w:rPr>
                <w:rFonts w:ascii="Arial" w:hAnsi="Arial" w:cs="Arial" w:eastAsiaTheme="minorEastAsia"/>
                <w:sz w:val="20"/>
                <w:szCs w:val="20"/>
                <w:lang w:eastAsia="zh-CN"/>
              </w:rPr>
            </w:pPr>
            <w:r>
              <w:rPr>
                <w:rFonts w:ascii="Arial" w:hAnsi="Arial" w:cs="Arial" w:eastAsiaTheme="minorEastAsia"/>
                <w:sz w:val="20"/>
                <w:szCs w:val="20"/>
                <w:lang w:eastAsia="zh-CN"/>
              </w:rPr>
              <w:t>13.66 ± 8.39</w:t>
            </w:r>
          </w:p>
        </w:tc>
        <w:tc>
          <w:tcPr>
            <w:tcW w:w="623" w:type="dxa"/>
            <w:vAlign w:val="center"/>
          </w:tcPr>
          <w:p w14:paraId="6B42A1F3">
            <w:pPr>
              <w:rPr>
                <w:rFonts w:ascii="Arial" w:hAnsi="Arial" w:cs="Arial" w:eastAsiaTheme="minorEastAsia"/>
                <w:sz w:val="20"/>
                <w:szCs w:val="20"/>
                <w:lang w:eastAsia="zh-CN"/>
              </w:rPr>
            </w:pPr>
            <w:r>
              <w:rPr>
                <w:rFonts w:ascii="Arial" w:hAnsi="Arial" w:cs="Arial" w:eastAsiaTheme="minorEastAsia"/>
                <w:sz w:val="20"/>
                <w:szCs w:val="20"/>
                <w:lang w:eastAsia="zh-CN"/>
              </w:rPr>
              <w:t>.21</w:t>
            </w:r>
          </w:p>
        </w:tc>
      </w:tr>
      <w:tr w14:paraId="2E3986AA">
        <w:trPr>
          <w:cantSplit/>
        </w:trPr>
        <w:tc>
          <w:tcPr>
            <w:tcW w:w="2635" w:type="dxa"/>
            <w:vAlign w:val="center"/>
          </w:tcPr>
          <w:p w14:paraId="0CB20FEB">
            <w:pPr>
              <w:rPr>
                <w:rFonts w:ascii="Arial" w:hAnsi="Arial" w:cs="Arial" w:eastAsiaTheme="minorEastAsia"/>
                <w:sz w:val="20"/>
                <w:szCs w:val="20"/>
                <w:lang w:eastAsia="zh-CN"/>
              </w:rPr>
            </w:pPr>
            <w:r>
              <w:rPr>
                <w:rFonts w:ascii="Arial" w:hAnsi="Arial" w:cs="Arial" w:eastAsiaTheme="minorEastAsia"/>
                <w:sz w:val="20"/>
                <w:szCs w:val="20"/>
                <w:lang w:eastAsia="zh-CN"/>
              </w:rPr>
              <w:t>Lactate, mmol/L (mean)</w:t>
            </w:r>
          </w:p>
        </w:tc>
        <w:tc>
          <w:tcPr>
            <w:tcW w:w="2356" w:type="dxa"/>
            <w:vAlign w:val="center"/>
          </w:tcPr>
          <w:p w14:paraId="4C4B81D2">
            <w:pPr>
              <w:rPr>
                <w:rFonts w:ascii="Arial" w:hAnsi="Arial" w:cs="Arial" w:eastAsiaTheme="minorEastAsia"/>
                <w:sz w:val="20"/>
                <w:szCs w:val="20"/>
                <w:lang w:eastAsia="zh-CN"/>
              </w:rPr>
            </w:pPr>
            <w:r>
              <w:rPr>
                <w:rFonts w:ascii="Arial" w:hAnsi="Arial" w:cs="Arial" w:eastAsiaTheme="minorEastAsia"/>
                <w:sz w:val="20"/>
                <w:szCs w:val="20"/>
                <w:lang w:eastAsia="zh-CN"/>
              </w:rPr>
              <w:t>Others</w:t>
            </w:r>
          </w:p>
        </w:tc>
        <w:tc>
          <w:tcPr>
            <w:tcW w:w="1578" w:type="dxa"/>
            <w:vAlign w:val="center"/>
          </w:tcPr>
          <w:p w14:paraId="493219F4">
            <w:pPr>
              <w:rPr>
                <w:rFonts w:ascii="Arial" w:hAnsi="Arial" w:cs="Arial" w:eastAsiaTheme="minorEastAsia"/>
                <w:sz w:val="20"/>
                <w:szCs w:val="20"/>
                <w:lang w:eastAsia="zh-CN"/>
              </w:rPr>
            </w:pPr>
            <w:r>
              <w:rPr>
                <w:rFonts w:ascii="Arial" w:hAnsi="Arial" w:cs="Arial" w:eastAsiaTheme="minorEastAsia"/>
                <w:sz w:val="20"/>
                <w:szCs w:val="20"/>
                <w:lang w:eastAsia="zh-CN"/>
              </w:rPr>
              <w:t>2.76 ± 2.74</w:t>
            </w:r>
          </w:p>
        </w:tc>
        <w:tc>
          <w:tcPr>
            <w:tcW w:w="1290" w:type="dxa"/>
            <w:vAlign w:val="center"/>
          </w:tcPr>
          <w:p w14:paraId="3083772E">
            <w:pPr>
              <w:rPr>
                <w:rFonts w:ascii="Arial" w:hAnsi="Arial" w:cs="Arial" w:eastAsiaTheme="minorEastAsia"/>
                <w:sz w:val="20"/>
                <w:szCs w:val="20"/>
                <w:lang w:eastAsia="zh-CN"/>
              </w:rPr>
            </w:pPr>
            <w:r>
              <w:rPr>
                <w:rFonts w:ascii="Arial" w:hAnsi="Arial" w:cs="Arial" w:eastAsiaTheme="minorEastAsia"/>
                <w:sz w:val="20"/>
                <w:szCs w:val="20"/>
                <w:lang w:eastAsia="zh-CN"/>
              </w:rPr>
              <w:t>2.04 ± 2.03</w:t>
            </w:r>
          </w:p>
        </w:tc>
        <w:tc>
          <w:tcPr>
            <w:tcW w:w="1238" w:type="dxa"/>
            <w:vAlign w:val="center"/>
          </w:tcPr>
          <w:p w14:paraId="12013FB1">
            <w:pPr>
              <w:rPr>
                <w:rFonts w:ascii="Arial" w:hAnsi="Arial" w:cs="Arial" w:eastAsiaTheme="minorEastAsia"/>
                <w:sz w:val="20"/>
                <w:szCs w:val="20"/>
                <w:lang w:eastAsia="zh-CN"/>
              </w:rPr>
            </w:pPr>
            <w:r>
              <w:rPr>
                <w:rFonts w:ascii="Arial" w:hAnsi="Arial" w:cs="Arial" w:eastAsiaTheme="minorEastAsia"/>
                <w:sz w:val="20"/>
                <w:szCs w:val="20"/>
                <w:lang w:eastAsia="zh-CN"/>
              </w:rPr>
              <w:t>2.01 ± 1.64</w:t>
            </w:r>
          </w:p>
        </w:tc>
        <w:tc>
          <w:tcPr>
            <w:tcW w:w="623" w:type="dxa"/>
            <w:vAlign w:val="center"/>
          </w:tcPr>
          <w:p w14:paraId="4FCC1AF8">
            <w:pPr>
              <w:rPr>
                <w:rFonts w:ascii="Arial" w:hAnsi="Arial" w:cs="Arial" w:eastAsiaTheme="minorEastAsia"/>
                <w:sz w:val="20"/>
                <w:szCs w:val="20"/>
                <w:lang w:eastAsia="zh-CN"/>
              </w:rPr>
            </w:pPr>
            <w:r>
              <w:rPr>
                <w:rFonts w:ascii="Arial" w:hAnsi="Arial" w:cs="Arial" w:eastAsiaTheme="minorEastAsia"/>
                <w:sz w:val="20"/>
                <w:szCs w:val="20"/>
                <w:lang w:eastAsia="zh-CN"/>
              </w:rPr>
              <w:t>&lt;.001</w:t>
            </w:r>
          </w:p>
        </w:tc>
      </w:tr>
      <w:tr w14:paraId="1ED4CCAE">
        <w:trPr>
          <w:cantSplit/>
        </w:trPr>
        <w:tc>
          <w:tcPr>
            <w:tcW w:w="2635" w:type="dxa"/>
            <w:vAlign w:val="center"/>
          </w:tcPr>
          <w:p w14:paraId="2031AB56">
            <w:pPr>
              <w:rPr>
                <w:rFonts w:ascii="Arial" w:hAnsi="Arial" w:cs="Arial" w:eastAsiaTheme="minorEastAsia"/>
                <w:sz w:val="20"/>
                <w:szCs w:val="20"/>
                <w:lang w:eastAsia="zh-CN"/>
              </w:rPr>
            </w:pPr>
            <w:r>
              <w:rPr>
                <w:rFonts w:ascii="Arial" w:hAnsi="Arial" w:cs="Arial" w:eastAsiaTheme="minorEastAsia"/>
                <w:sz w:val="20"/>
                <w:szCs w:val="20"/>
                <w:lang w:eastAsia="zh-CN"/>
              </w:rPr>
              <w:t>PaCO</w:t>
            </w:r>
            <w:r>
              <w:rPr>
                <w:rFonts w:ascii="Arial" w:hAnsi="Arial" w:eastAsia="宋体" w:cs="Arial"/>
                <w:sz w:val="20"/>
                <w:szCs w:val="20"/>
                <w:vertAlign w:val="subscript"/>
                <w:lang w:eastAsia="zh-CN"/>
              </w:rPr>
              <w:t>2</w:t>
            </w:r>
            <w:r>
              <w:rPr>
                <w:rFonts w:ascii="Arial" w:hAnsi="Arial" w:cs="Arial" w:eastAsiaTheme="minorEastAsia"/>
                <w:sz w:val="20"/>
                <w:szCs w:val="20"/>
                <w:lang w:eastAsia="zh-CN"/>
              </w:rPr>
              <w:t>, mm Hg (mean)</w:t>
            </w:r>
          </w:p>
        </w:tc>
        <w:tc>
          <w:tcPr>
            <w:tcW w:w="2356" w:type="dxa"/>
            <w:vAlign w:val="center"/>
          </w:tcPr>
          <w:p w14:paraId="0858EED2">
            <w:pPr>
              <w:rPr>
                <w:rFonts w:ascii="Arial" w:hAnsi="Arial" w:cs="Arial" w:eastAsiaTheme="minorEastAsia"/>
                <w:sz w:val="20"/>
                <w:szCs w:val="20"/>
                <w:lang w:eastAsia="zh-CN"/>
              </w:rPr>
            </w:pPr>
            <w:r>
              <w:rPr>
                <w:rFonts w:ascii="Arial" w:hAnsi="Arial" w:cs="Arial" w:eastAsiaTheme="minorEastAsia"/>
                <w:sz w:val="20"/>
                <w:szCs w:val="20"/>
                <w:lang w:eastAsia="zh-CN"/>
              </w:rPr>
              <w:t>Others</w:t>
            </w:r>
          </w:p>
        </w:tc>
        <w:tc>
          <w:tcPr>
            <w:tcW w:w="1578" w:type="dxa"/>
            <w:vAlign w:val="center"/>
          </w:tcPr>
          <w:p w14:paraId="7DB2CDC0">
            <w:pPr>
              <w:rPr>
                <w:rFonts w:ascii="Arial" w:hAnsi="Arial" w:cs="Arial" w:eastAsiaTheme="minorEastAsia"/>
                <w:sz w:val="20"/>
                <w:szCs w:val="20"/>
                <w:lang w:eastAsia="zh-CN"/>
              </w:rPr>
            </w:pPr>
            <w:r>
              <w:rPr>
                <w:rFonts w:ascii="Arial" w:hAnsi="Arial" w:cs="Arial" w:eastAsiaTheme="minorEastAsia"/>
                <w:sz w:val="20"/>
                <w:szCs w:val="20"/>
                <w:lang w:eastAsia="zh-CN"/>
              </w:rPr>
              <w:t>40.67 ± 11.54</w:t>
            </w:r>
          </w:p>
        </w:tc>
        <w:tc>
          <w:tcPr>
            <w:tcW w:w="1290" w:type="dxa"/>
            <w:vAlign w:val="center"/>
          </w:tcPr>
          <w:p w14:paraId="2CBFA2CD">
            <w:pPr>
              <w:rPr>
                <w:rFonts w:ascii="Arial" w:hAnsi="Arial" w:cs="Arial" w:eastAsiaTheme="minorEastAsia"/>
                <w:sz w:val="20"/>
                <w:szCs w:val="20"/>
                <w:lang w:eastAsia="zh-CN"/>
              </w:rPr>
            </w:pPr>
            <w:r>
              <w:rPr>
                <w:rFonts w:ascii="Arial" w:hAnsi="Arial" w:cs="Arial" w:eastAsiaTheme="minorEastAsia"/>
                <w:sz w:val="20"/>
                <w:szCs w:val="20"/>
                <w:lang w:eastAsia="zh-CN"/>
              </w:rPr>
              <w:t>42.00 ± 12.19</w:t>
            </w:r>
          </w:p>
        </w:tc>
        <w:tc>
          <w:tcPr>
            <w:tcW w:w="1238" w:type="dxa"/>
            <w:vAlign w:val="center"/>
          </w:tcPr>
          <w:p w14:paraId="13A24FBA">
            <w:pPr>
              <w:rPr>
                <w:rFonts w:ascii="Arial" w:hAnsi="Arial" w:cs="Arial" w:eastAsiaTheme="minorEastAsia"/>
                <w:sz w:val="20"/>
                <w:szCs w:val="20"/>
                <w:lang w:eastAsia="zh-CN"/>
              </w:rPr>
            </w:pPr>
            <w:r>
              <w:rPr>
                <w:rFonts w:ascii="Arial" w:hAnsi="Arial" w:cs="Arial" w:eastAsiaTheme="minorEastAsia"/>
                <w:sz w:val="20"/>
                <w:szCs w:val="20"/>
                <w:lang w:eastAsia="zh-CN"/>
              </w:rPr>
              <w:t>41.23 ± 12.09</w:t>
            </w:r>
          </w:p>
        </w:tc>
        <w:tc>
          <w:tcPr>
            <w:tcW w:w="623" w:type="dxa"/>
            <w:vAlign w:val="center"/>
          </w:tcPr>
          <w:p w14:paraId="38D5FFA5">
            <w:pPr>
              <w:rPr>
                <w:rFonts w:ascii="Arial" w:hAnsi="Arial" w:cs="Arial" w:eastAsiaTheme="minorEastAsia"/>
                <w:sz w:val="20"/>
                <w:szCs w:val="20"/>
                <w:lang w:eastAsia="zh-CN"/>
              </w:rPr>
            </w:pPr>
            <w:r>
              <w:rPr>
                <w:rFonts w:ascii="Arial" w:hAnsi="Arial" w:cs="Arial" w:eastAsiaTheme="minorEastAsia"/>
                <w:sz w:val="20"/>
                <w:szCs w:val="20"/>
                <w:lang w:eastAsia="zh-CN"/>
              </w:rPr>
              <w:t>.07</w:t>
            </w:r>
          </w:p>
        </w:tc>
      </w:tr>
      <w:tr w14:paraId="26FE472A">
        <w:trPr>
          <w:cantSplit/>
        </w:trPr>
        <w:tc>
          <w:tcPr>
            <w:tcW w:w="2635" w:type="dxa"/>
            <w:vAlign w:val="center"/>
          </w:tcPr>
          <w:p w14:paraId="3AD79A50">
            <w:pPr>
              <w:rPr>
                <w:rFonts w:ascii="Arial" w:hAnsi="Arial" w:cs="Arial" w:eastAsiaTheme="minorEastAsia"/>
                <w:sz w:val="20"/>
                <w:szCs w:val="20"/>
                <w:lang w:eastAsia="zh-CN"/>
              </w:rPr>
            </w:pPr>
            <w:r>
              <w:rPr>
                <w:rFonts w:ascii="Arial" w:hAnsi="Arial" w:cs="Arial" w:eastAsiaTheme="minorEastAsia"/>
                <w:sz w:val="20"/>
                <w:szCs w:val="20"/>
                <w:lang w:eastAsia="zh-CN"/>
              </w:rPr>
              <w:t>Arterial pH (mean)</w:t>
            </w:r>
          </w:p>
        </w:tc>
        <w:tc>
          <w:tcPr>
            <w:tcW w:w="2356" w:type="dxa"/>
            <w:vAlign w:val="center"/>
          </w:tcPr>
          <w:p w14:paraId="4FD40DD8">
            <w:pPr>
              <w:rPr>
                <w:rFonts w:ascii="Arial" w:hAnsi="Arial" w:cs="Arial" w:eastAsiaTheme="minorEastAsia"/>
                <w:sz w:val="20"/>
                <w:szCs w:val="20"/>
                <w:lang w:eastAsia="zh-CN"/>
              </w:rPr>
            </w:pPr>
            <w:r>
              <w:rPr>
                <w:rFonts w:ascii="Arial" w:hAnsi="Arial" w:cs="Arial" w:eastAsiaTheme="minorEastAsia"/>
                <w:sz w:val="20"/>
                <w:szCs w:val="20"/>
                <w:lang w:eastAsia="zh-CN"/>
              </w:rPr>
              <w:t>Others</w:t>
            </w:r>
          </w:p>
        </w:tc>
        <w:tc>
          <w:tcPr>
            <w:tcW w:w="1578" w:type="dxa"/>
            <w:vAlign w:val="center"/>
          </w:tcPr>
          <w:p w14:paraId="5FF1E044">
            <w:pPr>
              <w:rPr>
                <w:rFonts w:ascii="Arial" w:hAnsi="Arial" w:cs="Arial" w:eastAsiaTheme="minorEastAsia"/>
                <w:sz w:val="20"/>
                <w:szCs w:val="20"/>
                <w:lang w:eastAsia="zh-CN"/>
              </w:rPr>
            </w:pPr>
            <w:r>
              <w:rPr>
                <w:rFonts w:ascii="Arial" w:hAnsi="Arial" w:cs="Arial" w:eastAsiaTheme="minorEastAsia"/>
                <w:sz w:val="20"/>
                <w:szCs w:val="20"/>
                <w:lang w:eastAsia="zh-CN"/>
              </w:rPr>
              <w:t>7.35 ± 0.09</w:t>
            </w:r>
          </w:p>
        </w:tc>
        <w:tc>
          <w:tcPr>
            <w:tcW w:w="1290" w:type="dxa"/>
            <w:vAlign w:val="center"/>
          </w:tcPr>
          <w:p w14:paraId="40888B40">
            <w:pPr>
              <w:rPr>
                <w:rFonts w:ascii="Arial" w:hAnsi="Arial" w:cs="Arial" w:eastAsiaTheme="minorEastAsia"/>
                <w:sz w:val="20"/>
                <w:szCs w:val="20"/>
                <w:lang w:eastAsia="zh-CN"/>
              </w:rPr>
            </w:pPr>
            <w:r>
              <w:rPr>
                <w:rFonts w:ascii="Arial" w:hAnsi="Arial" w:cs="Arial" w:eastAsiaTheme="minorEastAsia"/>
                <w:sz w:val="20"/>
                <w:szCs w:val="20"/>
                <w:lang w:eastAsia="zh-CN"/>
              </w:rPr>
              <w:t>7.38 ± 0.08</w:t>
            </w:r>
          </w:p>
        </w:tc>
        <w:tc>
          <w:tcPr>
            <w:tcW w:w="1238" w:type="dxa"/>
            <w:vAlign w:val="center"/>
          </w:tcPr>
          <w:p w14:paraId="0339F2D5">
            <w:pPr>
              <w:rPr>
                <w:rFonts w:ascii="Arial" w:hAnsi="Arial" w:cs="Arial" w:eastAsiaTheme="minorEastAsia"/>
                <w:sz w:val="20"/>
                <w:szCs w:val="20"/>
                <w:lang w:eastAsia="zh-CN"/>
              </w:rPr>
            </w:pPr>
            <w:r>
              <w:rPr>
                <w:rFonts w:ascii="Arial" w:hAnsi="Arial" w:cs="Arial" w:eastAsiaTheme="minorEastAsia"/>
                <w:sz w:val="20"/>
                <w:szCs w:val="20"/>
                <w:lang w:eastAsia="zh-CN"/>
              </w:rPr>
              <w:t>7.37 ± 0.08</w:t>
            </w:r>
          </w:p>
        </w:tc>
        <w:tc>
          <w:tcPr>
            <w:tcW w:w="623" w:type="dxa"/>
            <w:vAlign w:val="center"/>
          </w:tcPr>
          <w:p w14:paraId="679F6E06">
            <w:pPr>
              <w:rPr>
                <w:rFonts w:ascii="Arial" w:hAnsi="Arial" w:cs="Arial" w:eastAsiaTheme="minorEastAsia"/>
                <w:sz w:val="20"/>
                <w:szCs w:val="20"/>
                <w:lang w:eastAsia="zh-CN"/>
              </w:rPr>
            </w:pPr>
            <w:r>
              <w:rPr>
                <w:rFonts w:ascii="Arial" w:hAnsi="Arial" w:cs="Arial" w:eastAsiaTheme="minorEastAsia"/>
                <w:sz w:val="20"/>
                <w:szCs w:val="20"/>
                <w:lang w:eastAsia="zh-CN"/>
              </w:rPr>
              <w:t>&lt;.001</w:t>
            </w:r>
          </w:p>
        </w:tc>
      </w:tr>
      <w:tr w14:paraId="08C36614">
        <w:trPr>
          <w:cantSplit/>
        </w:trPr>
        <w:tc>
          <w:tcPr>
            <w:tcW w:w="2635" w:type="dxa"/>
            <w:tcBorders>
              <w:bottom w:val="single" w:color="auto" w:sz="12" w:space="0"/>
            </w:tcBorders>
            <w:vAlign w:val="center"/>
          </w:tcPr>
          <w:p w14:paraId="40E8E0B7">
            <w:pPr>
              <w:rPr>
                <w:rFonts w:ascii="Arial" w:hAnsi="Arial" w:cs="Arial" w:eastAsiaTheme="minorEastAsia"/>
                <w:sz w:val="20"/>
                <w:szCs w:val="20"/>
                <w:lang w:eastAsia="zh-CN"/>
              </w:rPr>
            </w:pPr>
            <w:r>
              <w:rPr>
                <w:rFonts w:ascii="Arial" w:hAnsi="Arial" w:cs="Arial" w:eastAsiaTheme="minorEastAsia"/>
                <w:sz w:val="20"/>
                <w:szCs w:val="20"/>
                <w:lang w:eastAsia="zh-CN"/>
              </w:rPr>
              <w:t>Urine output, mL/h (mean)</w:t>
            </w:r>
          </w:p>
        </w:tc>
        <w:tc>
          <w:tcPr>
            <w:tcW w:w="2356" w:type="dxa"/>
            <w:tcBorders>
              <w:bottom w:val="single" w:color="auto" w:sz="12" w:space="0"/>
            </w:tcBorders>
            <w:vAlign w:val="center"/>
          </w:tcPr>
          <w:p w14:paraId="5B1FCB96">
            <w:pPr>
              <w:rPr>
                <w:rFonts w:ascii="Arial" w:hAnsi="Arial" w:cs="Arial" w:eastAsiaTheme="minorEastAsia"/>
                <w:sz w:val="20"/>
                <w:szCs w:val="20"/>
                <w:lang w:eastAsia="zh-CN"/>
              </w:rPr>
            </w:pPr>
            <w:r>
              <w:rPr>
                <w:rFonts w:ascii="Arial" w:hAnsi="Arial" w:cs="Arial" w:eastAsiaTheme="minorEastAsia"/>
                <w:sz w:val="20"/>
                <w:szCs w:val="20"/>
                <w:lang w:eastAsia="zh-CN"/>
              </w:rPr>
              <w:t>Others</w:t>
            </w:r>
          </w:p>
        </w:tc>
        <w:tc>
          <w:tcPr>
            <w:tcW w:w="1578" w:type="dxa"/>
            <w:tcBorders>
              <w:bottom w:val="single" w:color="auto" w:sz="12" w:space="0"/>
            </w:tcBorders>
            <w:vAlign w:val="center"/>
          </w:tcPr>
          <w:p w14:paraId="6AE54A77">
            <w:pPr>
              <w:rPr>
                <w:rFonts w:ascii="Arial" w:hAnsi="Arial" w:cs="Arial" w:eastAsiaTheme="minorEastAsia"/>
                <w:sz w:val="20"/>
                <w:szCs w:val="20"/>
                <w:lang w:eastAsia="zh-CN"/>
              </w:rPr>
            </w:pPr>
            <w:r>
              <w:rPr>
                <w:rFonts w:ascii="Arial" w:hAnsi="Arial" w:cs="Arial" w:eastAsiaTheme="minorEastAsia"/>
                <w:sz w:val="20"/>
                <w:szCs w:val="20"/>
                <w:lang w:eastAsia="zh-CN"/>
              </w:rPr>
              <w:t>305.69 ± 320.31</w:t>
            </w:r>
          </w:p>
        </w:tc>
        <w:tc>
          <w:tcPr>
            <w:tcW w:w="1290" w:type="dxa"/>
            <w:tcBorders>
              <w:bottom w:val="single" w:color="auto" w:sz="12" w:space="0"/>
            </w:tcBorders>
            <w:vAlign w:val="center"/>
          </w:tcPr>
          <w:p w14:paraId="43BFE38F">
            <w:pPr>
              <w:rPr>
                <w:rFonts w:ascii="Arial" w:hAnsi="Arial" w:cs="Arial" w:eastAsiaTheme="minorEastAsia"/>
                <w:sz w:val="20"/>
                <w:szCs w:val="20"/>
                <w:lang w:eastAsia="zh-CN"/>
              </w:rPr>
            </w:pPr>
            <w:r>
              <w:rPr>
                <w:rFonts w:ascii="Arial" w:hAnsi="Arial" w:cs="Arial" w:eastAsiaTheme="minorEastAsia"/>
                <w:sz w:val="20"/>
                <w:szCs w:val="20"/>
                <w:lang w:eastAsia="zh-CN"/>
              </w:rPr>
              <w:t>324.45 ± 295.16</w:t>
            </w:r>
          </w:p>
        </w:tc>
        <w:tc>
          <w:tcPr>
            <w:tcW w:w="1238" w:type="dxa"/>
            <w:tcBorders>
              <w:bottom w:val="single" w:color="auto" w:sz="12" w:space="0"/>
            </w:tcBorders>
            <w:vAlign w:val="center"/>
          </w:tcPr>
          <w:p w14:paraId="07BC428F">
            <w:pPr>
              <w:rPr>
                <w:rFonts w:ascii="Arial" w:hAnsi="Arial" w:cs="Arial" w:eastAsiaTheme="minorEastAsia"/>
                <w:sz w:val="20"/>
                <w:szCs w:val="20"/>
                <w:lang w:eastAsia="zh-CN"/>
              </w:rPr>
            </w:pPr>
            <w:r>
              <w:rPr>
                <w:rFonts w:ascii="Arial" w:hAnsi="Arial" w:cs="Arial" w:eastAsiaTheme="minorEastAsia"/>
                <w:sz w:val="20"/>
                <w:szCs w:val="20"/>
                <w:lang w:eastAsia="zh-CN"/>
              </w:rPr>
              <w:t>372.17 ± 341.38</w:t>
            </w:r>
          </w:p>
        </w:tc>
        <w:tc>
          <w:tcPr>
            <w:tcW w:w="623" w:type="dxa"/>
            <w:tcBorders>
              <w:bottom w:val="single" w:color="auto" w:sz="12" w:space="0"/>
            </w:tcBorders>
            <w:vAlign w:val="center"/>
          </w:tcPr>
          <w:p w14:paraId="3E3B00B9">
            <w:pPr>
              <w:rPr>
                <w:rFonts w:ascii="Arial" w:hAnsi="Arial" w:cs="Arial" w:eastAsiaTheme="minorEastAsia"/>
                <w:sz w:val="20"/>
                <w:szCs w:val="20"/>
                <w:lang w:eastAsia="zh-CN"/>
              </w:rPr>
            </w:pPr>
            <w:r>
              <w:rPr>
                <w:rFonts w:ascii="Arial" w:hAnsi="Arial" w:cs="Arial" w:eastAsiaTheme="minorEastAsia"/>
                <w:sz w:val="20"/>
                <w:szCs w:val="20"/>
                <w:lang w:eastAsia="zh-CN"/>
              </w:rPr>
              <w:t>&lt;.001</w:t>
            </w:r>
          </w:p>
        </w:tc>
      </w:tr>
    </w:tbl>
    <w:p w14:paraId="3C01F377">
      <w:pPr>
        <w:rPr>
          <w:rFonts w:eastAsiaTheme="minorEastAsia"/>
          <w:lang w:eastAsia="zh-CN"/>
        </w:rPr>
        <w:sectPr>
          <w:pgSz w:w="12240" w:h="15840"/>
          <w:pgMar w:top="1400" w:right="1080" w:bottom="1040" w:left="1440" w:header="0" w:footer="844" w:gutter="0"/>
          <w:lnNumType w:countBy="1" w:restart="continuous"/>
          <w:cols w:space="720" w:num="1"/>
        </w:sectPr>
      </w:pPr>
    </w:p>
    <w:p w14:paraId="773F9DF8">
      <w:pPr>
        <w:pStyle w:val="28"/>
        <w:rPr>
          <w:rFonts w:eastAsiaTheme="minorEastAsia"/>
          <w:lang w:eastAsia="zh-CN"/>
        </w:rPr>
      </w:pPr>
      <w:bookmarkStart w:id="12" w:name="_Toc218072622"/>
      <w:bookmarkStart w:id="13" w:name="_Tochyd43o"/>
      <w:r>
        <w:t>eTable</w:t>
      </w:r>
      <w:r>
        <w:rPr>
          <w:spacing w:val="-10"/>
        </w:rPr>
        <w:t xml:space="preserve"> </w:t>
      </w:r>
      <w:r>
        <w:t>5. Detailed</w:t>
      </w:r>
      <w:r>
        <w:rPr>
          <w:spacing w:val="-9"/>
        </w:rPr>
        <w:t xml:space="preserve"> </w:t>
      </w:r>
      <w:r>
        <w:t>Baseline</w:t>
      </w:r>
      <w:r>
        <w:rPr>
          <w:spacing w:val="-9"/>
        </w:rPr>
        <w:t xml:space="preserve"> </w:t>
      </w:r>
      <w:r>
        <w:t>Characteristics</w:t>
      </w:r>
      <w:r>
        <w:rPr>
          <w:spacing w:val="-9"/>
        </w:rPr>
        <w:t xml:space="preserve"> </w:t>
      </w:r>
      <w:r>
        <w:t>by</w:t>
      </w:r>
      <w:r>
        <w:rPr>
          <w:spacing w:val="-9"/>
        </w:rPr>
        <w:t xml:space="preserve"> </w:t>
      </w:r>
      <w:r>
        <w:t>Diagnostic</w:t>
      </w:r>
      <w:r>
        <w:rPr>
          <w:spacing w:val="-9"/>
        </w:rPr>
        <w:t xml:space="preserve"> </w:t>
      </w:r>
      <w:r>
        <w:t>Group</w:t>
      </w:r>
      <w:r>
        <w:rPr>
          <w:spacing w:val="-10"/>
        </w:rPr>
        <w:t xml:space="preserve"> </w:t>
      </w:r>
      <w:r>
        <w:t>(AmsterdamUMCdb)</w:t>
      </w:r>
      <w:bookmarkEnd w:id="12"/>
      <w:bookmarkEnd w:id="13"/>
    </w:p>
    <w:tbl>
      <w:tblPr>
        <w:tblStyle w:val="17"/>
        <w:tblW w:w="0" w:type="auto"/>
        <w:tblInd w:w="0" w:type="dxa"/>
        <w:tblLayout w:type="fixed"/>
        <w:tblCellMar>
          <w:top w:w="15" w:type="dxa"/>
          <w:left w:w="15" w:type="dxa"/>
          <w:bottom w:w="15" w:type="dxa"/>
          <w:right w:w="15" w:type="dxa"/>
        </w:tblCellMar>
      </w:tblPr>
      <w:tblGrid>
        <w:gridCol w:w="2671"/>
        <w:gridCol w:w="2263"/>
        <w:gridCol w:w="1491"/>
        <w:gridCol w:w="1316"/>
        <w:gridCol w:w="1357"/>
        <w:gridCol w:w="622"/>
      </w:tblGrid>
      <w:tr w14:paraId="3831CBD0">
        <w:trPr>
          <w:cantSplit/>
        </w:trPr>
        <w:tc>
          <w:tcPr>
            <w:tcW w:w="2671" w:type="dxa"/>
            <w:tcBorders>
              <w:top w:val="single" w:color="auto" w:sz="12" w:space="0"/>
              <w:bottom w:val="single" w:color="auto" w:sz="12" w:space="0"/>
            </w:tcBorders>
            <w:vAlign w:val="center"/>
          </w:tcPr>
          <w:p w14:paraId="784A2492">
            <w:pPr>
              <w:pStyle w:val="2"/>
              <w:tabs>
                <w:tab w:val="left" w:pos="9120"/>
              </w:tabs>
              <w:spacing w:before="0"/>
              <w:rPr>
                <w:rFonts w:ascii="Arial" w:hAnsi="Arial" w:cs="Arial"/>
                <w:sz w:val="20"/>
                <w:szCs w:val="20"/>
              </w:rPr>
            </w:pPr>
            <w:r>
              <w:rPr>
                <w:rFonts w:ascii="Arial" w:hAnsi="Arial" w:cs="Arial"/>
                <w:sz w:val="20"/>
                <w:szCs w:val="20"/>
              </w:rPr>
              <w:t>Characteristic</w:t>
            </w:r>
          </w:p>
        </w:tc>
        <w:tc>
          <w:tcPr>
            <w:tcW w:w="2263" w:type="dxa"/>
            <w:tcBorders>
              <w:top w:val="single" w:color="auto" w:sz="12" w:space="0"/>
              <w:bottom w:val="single" w:color="auto" w:sz="12" w:space="0"/>
            </w:tcBorders>
            <w:vAlign w:val="center"/>
          </w:tcPr>
          <w:p w14:paraId="1EE92596">
            <w:pPr>
              <w:pStyle w:val="2"/>
              <w:tabs>
                <w:tab w:val="left" w:pos="9120"/>
              </w:tabs>
              <w:spacing w:before="0"/>
              <w:rPr>
                <w:rFonts w:ascii="Arial" w:hAnsi="Arial" w:cs="Arial"/>
                <w:sz w:val="20"/>
                <w:szCs w:val="20"/>
              </w:rPr>
            </w:pPr>
            <w:r>
              <w:rPr>
                <w:rFonts w:ascii="Arial" w:hAnsi="Arial" w:cs="Arial"/>
                <w:sz w:val="20"/>
                <w:szCs w:val="20"/>
              </w:rPr>
              <w:t>Category</w:t>
            </w:r>
          </w:p>
        </w:tc>
        <w:tc>
          <w:tcPr>
            <w:tcW w:w="1491" w:type="dxa"/>
            <w:tcBorders>
              <w:top w:val="single" w:color="auto" w:sz="12" w:space="0"/>
              <w:bottom w:val="single" w:color="auto" w:sz="12" w:space="0"/>
            </w:tcBorders>
            <w:vAlign w:val="center"/>
          </w:tcPr>
          <w:p w14:paraId="0D98AF75">
            <w:pPr>
              <w:pStyle w:val="2"/>
              <w:tabs>
                <w:tab w:val="left" w:pos="9120"/>
              </w:tabs>
              <w:spacing w:before="0"/>
              <w:rPr>
                <w:rFonts w:ascii="Arial" w:hAnsi="Arial" w:cs="Arial"/>
                <w:sz w:val="20"/>
                <w:szCs w:val="20"/>
              </w:rPr>
            </w:pPr>
            <w:r>
              <w:rPr>
                <w:rFonts w:ascii="Arial" w:hAnsi="Arial" w:cs="Arial"/>
                <w:sz w:val="20"/>
                <w:szCs w:val="20"/>
              </w:rPr>
              <w:t>Concordant Positive</w:t>
            </w:r>
          </w:p>
        </w:tc>
        <w:tc>
          <w:tcPr>
            <w:tcW w:w="1316" w:type="dxa"/>
            <w:tcBorders>
              <w:top w:val="single" w:color="auto" w:sz="12" w:space="0"/>
              <w:bottom w:val="single" w:color="auto" w:sz="12" w:space="0"/>
            </w:tcBorders>
            <w:vAlign w:val="center"/>
          </w:tcPr>
          <w:p w14:paraId="65A4C273">
            <w:pPr>
              <w:pStyle w:val="2"/>
              <w:tabs>
                <w:tab w:val="left" w:pos="9120"/>
              </w:tabs>
              <w:spacing w:before="0"/>
              <w:rPr>
                <w:rFonts w:ascii="Arial" w:hAnsi="Arial" w:cs="Arial"/>
                <w:sz w:val="20"/>
                <w:szCs w:val="20"/>
              </w:rPr>
            </w:pPr>
            <w:r>
              <w:rPr>
                <w:rFonts w:ascii="Arial" w:hAnsi="Arial" w:cs="Arial"/>
                <w:sz w:val="20"/>
                <w:szCs w:val="20"/>
              </w:rPr>
              <w:t>SOFA-2 Only</w:t>
            </w:r>
          </w:p>
        </w:tc>
        <w:tc>
          <w:tcPr>
            <w:tcW w:w="1357" w:type="dxa"/>
            <w:tcBorders>
              <w:top w:val="single" w:color="auto" w:sz="12" w:space="0"/>
              <w:bottom w:val="single" w:color="auto" w:sz="12" w:space="0"/>
            </w:tcBorders>
            <w:vAlign w:val="center"/>
          </w:tcPr>
          <w:p w14:paraId="5DD46D32">
            <w:pPr>
              <w:pStyle w:val="2"/>
              <w:tabs>
                <w:tab w:val="left" w:pos="9120"/>
              </w:tabs>
              <w:spacing w:before="0"/>
              <w:rPr>
                <w:rFonts w:ascii="Arial" w:hAnsi="Arial" w:cs="Arial"/>
                <w:sz w:val="20"/>
                <w:szCs w:val="20"/>
              </w:rPr>
            </w:pPr>
            <w:r>
              <w:rPr>
                <w:rFonts w:ascii="Arial" w:hAnsi="Arial" w:cs="Arial"/>
                <w:sz w:val="20"/>
                <w:szCs w:val="20"/>
              </w:rPr>
              <w:t>SOFA-1 Only</w:t>
            </w:r>
          </w:p>
        </w:tc>
        <w:tc>
          <w:tcPr>
            <w:tcW w:w="622" w:type="dxa"/>
            <w:tcBorders>
              <w:top w:val="single" w:color="auto" w:sz="12" w:space="0"/>
              <w:bottom w:val="single" w:color="auto" w:sz="12" w:space="0"/>
            </w:tcBorders>
            <w:vAlign w:val="center"/>
          </w:tcPr>
          <w:p w14:paraId="3E51BFF7">
            <w:pPr>
              <w:pStyle w:val="2"/>
              <w:tabs>
                <w:tab w:val="left" w:pos="9120"/>
              </w:tabs>
              <w:spacing w:before="0"/>
              <w:rPr>
                <w:rFonts w:ascii="Arial" w:hAnsi="Arial" w:cs="Arial"/>
                <w:sz w:val="20"/>
                <w:szCs w:val="20"/>
              </w:rPr>
            </w:pPr>
            <w:r>
              <w:rPr>
                <w:rFonts w:ascii="Arial" w:hAnsi="Arial" w:cs="Arial"/>
                <w:sz w:val="20"/>
                <w:szCs w:val="20"/>
              </w:rPr>
              <w:t>P value</w:t>
            </w:r>
          </w:p>
        </w:tc>
      </w:tr>
      <w:tr w14:paraId="42BA4C46">
        <w:trPr>
          <w:cantSplit/>
        </w:trPr>
        <w:tc>
          <w:tcPr>
            <w:tcW w:w="2671" w:type="dxa"/>
            <w:vAlign w:val="center"/>
          </w:tcPr>
          <w:p w14:paraId="7F95E55E">
            <w:pPr>
              <w:pStyle w:val="2"/>
              <w:tabs>
                <w:tab w:val="left" w:pos="9120"/>
              </w:tabs>
              <w:spacing w:before="0"/>
              <w:rPr>
                <w:rFonts w:ascii="Arial" w:hAnsi="Arial" w:cs="Arial"/>
                <w:b w:val="0"/>
                <w:bCs w:val="0"/>
                <w:sz w:val="20"/>
                <w:szCs w:val="20"/>
              </w:rPr>
            </w:pPr>
            <w:r>
              <w:rPr>
                <w:rFonts w:ascii="Arial" w:hAnsi="Arial" w:cs="Arial"/>
                <w:b w:val="0"/>
                <w:bCs w:val="0"/>
                <w:sz w:val="20"/>
                <w:szCs w:val="20"/>
              </w:rPr>
              <w:t>No. of patients</w:t>
            </w:r>
          </w:p>
        </w:tc>
        <w:tc>
          <w:tcPr>
            <w:tcW w:w="2263" w:type="dxa"/>
            <w:vAlign w:val="center"/>
          </w:tcPr>
          <w:p w14:paraId="069B72EA">
            <w:pPr>
              <w:pStyle w:val="2"/>
              <w:tabs>
                <w:tab w:val="left" w:pos="9120"/>
              </w:tabs>
              <w:spacing w:before="0"/>
              <w:rPr>
                <w:rFonts w:ascii="Arial" w:hAnsi="Arial" w:cs="Arial"/>
                <w:b w:val="0"/>
                <w:bCs w:val="0"/>
                <w:sz w:val="20"/>
                <w:szCs w:val="20"/>
              </w:rPr>
            </w:pPr>
            <w:r>
              <w:rPr>
                <w:rFonts w:ascii="Arial" w:hAnsi="Arial" w:cs="Arial"/>
                <w:b w:val="0"/>
                <w:bCs w:val="0"/>
                <w:sz w:val="20"/>
                <w:szCs w:val="20"/>
              </w:rPr>
              <w:t>Sample size</w:t>
            </w:r>
          </w:p>
        </w:tc>
        <w:tc>
          <w:tcPr>
            <w:tcW w:w="1491" w:type="dxa"/>
            <w:vAlign w:val="center"/>
          </w:tcPr>
          <w:p w14:paraId="0C12305D">
            <w:pPr>
              <w:pStyle w:val="2"/>
              <w:tabs>
                <w:tab w:val="left" w:pos="9120"/>
              </w:tabs>
              <w:spacing w:before="0"/>
              <w:rPr>
                <w:rFonts w:ascii="Arial" w:hAnsi="Arial" w:cs="Arial"/>
                <w:b w:val="0"/>
                <w:bCs w:val="0"/>
                <w:sz w:val="20"/>
                <w:szCs w:val="20"/>
              </w:rPr>
            </w:pPr>
            <w:r>
              <w:rPr>
                <w:rFonts w:ascii="Arial" w:hAnsi="Arial" w:cs="Arial"/>
                <w:b w:val="0"/>
                <w:bCs w:val="0"/>
                <w:sz w:val="20"/>
                <w:szCs w:val="20"/>
              </w:rPr>
              <w:t>4,225</w:t>
            </w:r>
          </w:p>
        </w:tc>
        <w:tc>
          <w:tcPr>
            <w:tcW w:w="1316" w:type="dxa"/>
            <w:vAlign w:val="center"/>
          </w:tcPr>
          <w:p w14:paraId="54A28DFA">
            <w:pPr>
              <w:pStyle w:val="2"/>
              <w:tabs>
                <w:tab w:val="left" w:pos="9120"/>
              </w:tabs>
              <w:spacing w:before="0"/>
              <w:rPr>
                <w:rFonts w:ascii="Arial" w:hAnsi="Arial" w:cs="Arial"/>
                <w:b w:val="0"/>
                <w:bCs w:val="0"/>
                <w:sz w:val="20"/>
                <w:szCs w:val="20"/>
              </w:rPr>
            </w:pPr>
            <w:r>
              <w:rPr>
                <w:rFonts w:ascii="Arial" w:hAnsi="Arial" w:cs="Arial"/>
                <w:b w:val="0"/>
                <w:bCs w:val="0"/>
                <w:sz w:val="20"/>
                <w:szCs w:val="20"/>
              </w:rPr>
              <w:t>373</w:t>
            </w:r>
          </w:p>
        </w:tc>
        <w:tc>
          <w:tcPr>
            <w:tcW w:w="1357" w:type="dxa"/>
            <w:vAlign w:val="center"/>
          </w:tcPr>
          <w:p w14:paraId="34CCB77C">
            <w:pPr>
              <w:pStyle w:val="2"/>
              <w:tabs>
                <w:tab w:val="left" w:pos="9120"/>
              </w:tabs>
              <w:spacing w:before="0"/>
              <w:rPr>
                <w:rFonts w:ascii="Arial" w:hAnsi="Arial" w:cs="Arial"/>
                <w:b w:val="0"/>
                <w:bCs w:val="0"/>
                <w:sz w:val="20"/>
                <w:szCs w:val="20"/>
              </w:rPr>
            </w:pPr>
            <w:r>
              <w:rPr>
                <w:rFonts w:ascii="Arial" w:hAnsi="Arial" w:cs="Arial"/>
                <w:b w:val="0"/>
                <w:bCs w:val="0"/>
                <w:sz w:val="20"/>
                <w:szCs w:val="20"/>
              </w:rPr>
              <w:t>122</w:t>
            </w:r>
          </w:p>
        </w:tc>
        <w:tc>
          <w:tcPr>
            <w:tcW w:w="622" w:type="dxa"/>
            <w:vAlign w:val="center"/>
          </w:tcPr>
          <w:p w14:paraId="377B0EE4">
            <w:pPr>
              <w:pStyle w:val="2"/>
              <w:tabs>
                <w:tab w:val="left" w:pos="9120"/>
              </w:tabs>
              <w:spacing w:before="0"/>
              <w:rPr>
                <w:rFonts w:ascii="Arial" w:hAnsi="Arial" w:cs="Arial"/>
                <w:b w:val="0"/>
                <w:bCs w:val="0"/>
                <w:sz w:val="20"/>
                <w:szCs w:val="20"/>
              </w:rPr>
            </w:pPr>
          </w:p>
        </w:tc>
      </w:tr>
      <w:tr w14:paraId="197BE8A4">
        <w:trPr>
          <w:cantSplit/>
        </w:trPr>
        <w:tc>
          <w:tcPr>
            <w:tcW w:w="2671" w:type="dxa"/>
            <w:vAlign w:val="center"/>
          </w:tcPr>
          <w:p w14:paraId="1BB5CE37">
            <w:pPr>
              <w:pStyle w:val="2"/>
              <w:tabs>
                <w:tab w:val="left" w:pos="9120"/>
              </w:tabs>
              <w:spacing w:before="0"/>
              <w:rPr>
                <w:rFonts w:ascii="Arial" w:hAnsi="Arial" w:cs="Arial"/>
                <w:b w:val="0"/>
                <w:bCs w:val="0"/>
                <w:sz w:val="20"/>
                <w:szCs w:val="20"/>
              </w:rPr>
            </w:pPr>
            <w:r>
              <w:rPr>
                <w:rFonts w:ascii="Arial" w:hAnsi="Arial" w:cs="Arial"/>
                <w:b w:val="0"/>
                <w:bCs w:val="0"/>
                <w:sz w:val="20"/>
                <w:szCs w:val="20"/>
              </w:rPr>
              <w:t>Age, y</w:t>
            </w:r>
          </w:p>
        </w:tc>
        <w:tc>
          <w:tcPr>
            <w:tcW w:w="2263" w:type="dxa"/>
            <w:vAlign w:val="center"/>
          </w:tcPr>
          <w:p w14:paraId="5F84FA2D">
            <w:pPr>
              <w:pStyle w:val="2"/>
              <w:tabs>
                <w:tab w:val="left" w:pos="9120"/>
              </w:tabs>
              <w:spacing w:before="0"/>
              <w:rPr>
                <w:rFonts w:ascii="Arial" w:hAnsi="Arial" w:cs="Arial"/>
                <w:b w:val="0"/>
                <w:bCs w:val="0"/>
                <w:sz w:val="20"/>
                <w:szCs w:val="20"/>
              </w:rPr>
            </w:pPr>
            <w:r>
              <w:rPr>
                <w:rFonts w:ascii="Arial" w:hAnsi="Arial" w:cs="Arial"/>
                <w:b w:val="0"/>
                <w:bCs w:val="0"/>
                <w:sz w:val="20"/>
                <w:szCs w:val="20"/>
              </w:rPr>
              <w:t>Demographics</w:t>
            </w:r>
          </w:p>
        </w:tc>
        <w:tc>
          <w:tcPr>
            <w:tcW w:w="1491" w:type="dxa"/>
            <w:vAlign w:val="center"/>
          </w:tcPr>
          <w:p w14:paraId="20E16114">
            <w:pPr>
              <w:pStyle w:val="2"/>
              <w:tabs>
                <w:tab w:val="left" w:pos="9120"/>
              </w:tabs>
              <w:spacing w:before="0"/>
              <w:rPr>
                <w:rFonts w:ascii="Arial" w:hAnsi="Arial" w:cs="Arial"/>
                <w:b w:val="0"/>
                <w:bCs w:val="0"/>
                <w:sz w:val="20"/>
                <w:szCs w:val="20"/>
              </w:rPr>
            </w:pPr>
            <w:r>
              <w:rPr>
                <w:rFonts w:ascii="Arial" w:hAnsi="Arial" w:cs="Arial"/>
                <w:b w:val="0"/>
                <w:bCs w:val="0"/>
                <w:sz w:val="20"/>
                <w:szCs w:val="20"/>
              </w:rPr>
              <w:t>61.61 ± 16.39</w:t>
            </w:r>
          </w:p>
        </w:tc>
        <w:tc>
          <w:tcPr>
            <w:tcW w:w="1316" w:type="dxa"/>
            <w:vAlign w:val="center"/>
          </w:tcPr>
          <w:p w14:paraId="1519ADB2">
            <w:pPr>
              <w:pStyle w:val="2"/>
              <w:tabs>
                <w:tab w:val="left" w:pos="9120"/>
              </w:tabs>
              <w:spacing w:before="0"/>
              <w:rPr>
                <w:rFonts w:ascii="Arial" w:hAnsi="Arial" w:cs="Arial"/>
                <w:b w:val="0"/>
                <w:bCs w:val="0"/>
                <w:sz w:val="20"/>
                <w:szCs w:val="20"/>
              </w:rPr>
            </w:pPr>
            <w:r>
              <w:rPr>
                <w:rFonts w:ascii="Arial" w:hAnsi="Arial" w:cs="Arial"/>
                <w:b w:val="0"/>
                <w:bCs w:val="0"/>
                <w:sz w:val="20"/>
                <w:szCs w:val="20"/>
              </w:rPr>
              <w:t>62.83 ± 15.75</w:t>
            </w:r>
          </w:p>
        </w:tc>
        <w:tc>
          <w:tcPr>
            <w:tcW w:w="1357" w:type="dxa"/>
            <w:vAlign w:val="center"/>
          </w:tcPr>
          <w:p w14:paraId="4ECDF22F">
            <w:pPr>
              <w:pStyle w:val="2"/>
              <w:tabs>
                <w:tab w:val="left" w:pos="9120"/>
              </w:tabs>
              <w:spacing w:before="0"/>
              <w:rPr>
                <w:rFonts w:ascii="Arial" w:hAnsi="Arial" w:cs="Arial"/>
                <w:b w:val="0"/>
                <w:bCs w:val="0"/>
                <w:sz w:val="20"/>
                <w:szCs w:val="20"/>
              </w:rPr>
            </w:pPr>
            <w:r>
              <w:rPr>
                <w:rFonts w:ascii="Arial" w:hAnsi="Arial" w:cs="Arial"/>
                <w:b w:val="0"/>
                <w:bCs w:val="0"/>
                <w:sz w:val="20"/>
                <w:szCs w:val="20"/>
              </w:rPr>
              <w:t>58.98 ± 18.18</w:t>
            </w:r>
          </w:p>
        </w:tc>
        <w:tc>
          <w:tcPr>
            <w:tcW w:w="622" w:type="dxa"/>
            <w:vAlign w:val="center"/>
          </w:tcPr>
          <w:p w14:paraId="614260C4">
            <w:pPr>
              <w:pStyle w:val="2"/>
              <w:tabs>
                <w:tab w:val="left" w:pos="9120"/>
              </w:tabs>
              <w:spacing w:before="0"/>
              <w:rPr>
                <w:rFonts w:ascii="Arial" w:hAnsi="Arial" w:cs="Arial"/>
                <w:b w:val="0"/>
                <w:bCs w:val="0"/>
                <w:sz w:val="20"/>
                <w:szCs w:val="20"/>
              </w:rPr>
            </w:pPr>
            <w:r>
              <w:rPr>
                <w:rFonts w:ascii="Arial" w:hAnsi="Arial" w:cs="Arial"/>
                <w:b w:val="0"/>
                <w:bCs w:val="0"/>
                <w:sz w:val="20"/>
                <w:szCs w:val="20"/>
              </w:rPr>
              <w:t>.19</w:t>
            </w:r>
          </w:p>
        </w:tc>
      </w:tr>
      <w:tr w14:paraId="545ECD96">
        <w:trPr>
          <w:cantSplit/>
        </w:trPr>
        <w:tc>
          <w:tcPr>
            <w:tcW w:w="2671" w:type="dxa"/>
            <w:vAlign w:val="center"/>
          </w:tcPr>
          <w:p w14:paraId="4D9868A1">
            <w:pPr>
              <w:pStyle w:val="2"/>
              <w:tabs>
                <w:tab w:val="left" w:pos="9120"/>
              </w:tabs>
              <w:spacing w:before="0"/>
              <w:rPr>
                <w:rFonts w:ascii="Arial" w:hAnsi="Arial" w:cs="Arial"/>
                <w:b w:val="0"/>
                <w:bCs w:val="0"/>
                <w:sz w:val="20"/>
                <w:szCs w:val="20"/>
              </w:rPr>
            </w:pPr>
            <w:r>
              <w:rPr>
                <w:rFonts w:ascii="Arial" w:hAnsi="Arial" w:cs="Arial"/>
                <w:b w:val="0"/>
                <w:bCs w:val="0"/>
                <w:sz w:val="20"/>
                <w:szCs w:val="20"/>
              </w:rPr>
              <w:t>Male sex</w:t>
            </w:r>
          </w:p>
        </w:tc>
        <w:tc>
          <w:tcPr>
            <w:tcW w:w="2263" w:type="dxa"/>
            <w:vAlign w:val="center"/>
          </w:tcPr>
          <w:p w14:paraId="070049C3">
            <w:pPr>
              <w:pStyle w:val="2"/>
              <w:tabs>
                <w:tab w:val="left" w:pos="9120"/>
              </w:tabs>
              <w:spacing w:before="0"/>
              <w:rPr>
                <w:rFonts w:ascii="Arial" w:hAnsi="Arial" w:cs="Arial"/>
                <w:b w:val="0"/>
                <w:bCs w:val="0"/>
                <w:sz w:val="20"/>
                <w:szCs w:val="20"/>
              </w:rPr>
            </w:pPr>
            <w:r>
              <w:rPr>
                <w:rFonts w:ascii="Arial" w:hAnsi="Arial" w:cs="Arial"/>
                <w:b w:val="0"/>
                <w:bCs w:val="0"/>
                <w:sz w:val="20"/>
                <w:szCs w:val="20"/>
              </w:rPr>
              <w:t>Demographics</w:t>
            </w:r>
          </w:p>
        </w:tc>
        <w:tc>
          <w:tcPr>
            <w:tcW w:w="1491" w:type="dxa"/>
            <w:vAlign w:val="center"/>
          </w:tcPr>
          <w:p w14:paraId="47B22C33">
            <w:pPr>
              <w:pStyle w:val="2"/>
              <w:tabs>
                <w:tab w:val="left" w:pos="9120"/>
              </w:tabs>
              <w:spacing w:before="0"/>
              <w:rPr>
                <w:rFonts w:ascii="Arial" w:hAnsi="Arial" w:cs="Arial"/>
                <w:b w:val="0"/>
                <w:bCs w:val="0"/>
                <w:sz w:val="20"/>
                <w:szCs w:val="20"/>
              </w:rPr>
            </w:pPr>
            <w:r>
              <w:rPr>
                <w:rFonts w:ascii="Arial" w:hAnsi="Arial" w:cs="Arial"/>
                <w:b w:val="0"/>
                <w:bCs w:val="0"/>
                <w:sz w:val="20"/>
                <w:szCs w:val="20"/>
              </w:rPr>
              <w:t>2,703 (64.9%)</w:t>
            </w:r>
          </w:p>
        </w:tc>
        <w:tc>
          <w:tcPr>
            <w:tcW w:w="1316" w:type="dxa"/>
            <w:vAlign w:val="center"/>
          </w:tcPr>
          <w:p w14:paraId="736089ED">
            <w:pPr>
              <w:pStyle w:val="2"/>
              <w:tabs>
                <w:tab w:val="left" w:pos="9120"/>
              </w:tabs>
              <w:spacing w:before="0"/>
              <w:rPr>
                <w:rFonts w:ascii="Arial" w:hAnsi="Arial" w:cs="Arial"/>
                <w:b w:val="0"/>
                <w:bCs w:val="0"/>
                <w:sz w:val="20"/>
                <w:szCs w:val="20"/>
              </w:rPr>
            </w:pPr>
            <w:r>
              <w:rPr>
                <w:rFonts w:ascii="Arial" w:hAnsi="Arial" w:cs="Arial"/>
                <w:b w:val="0"/>
                <w:bCs w:val="0"/>
                <w:sz w:val="20"/>
                <w:szCs w:val="20"/>
              </w:rPr>
              <w:t>221 (60.5%)</w:t>
            </w:r>
          </w:p>
        </w:tc>
        <w:tc>
          <w:tcPr>
            <w:tcW w:w="1357" w:type="dxa"/>
            <w:vAlign w:val="center"/>
          </w:tcPr>
          <w:p w14:paraId="31D3B36C">
            <w:pPr>
              <w:pStyle w:val="2"/>
              <w:tabs>
                <w:tab w:val="left" w:pos="9120"/>
              </w:tabs>
              <w:spacing w:before="0"/>
              <w:rPr>
                <w:rFonts w:ascii="Arial" w:hAnsi="Arial" w:cs="Arial"/>
                <w:b w:val="0"/>
                <w:bCs w:val="0"/>
                <w:sz w:val="20"/>
                <w:szCs w:val="20"/>
              </w:rPr>
            </w:pPr>
            <w:r>
              <w:rPr>
                <w:rFonts w:ascii="Arial" w:hAnsi="Arial" w:cs="Arial"/>
                <w:b w:val="0"/>
                <w:bCs w:val="0"/>
                <w:sz w:val="20"/>
                <w:szCs w:val="20"/>
              </w:rPr>
              <w:t>78 (64.5%)</w:t>
            </w:r>
          </w:p>
        </w:tc>
        <w:tc>
          <w:tcPr>
            <w:tcW w:w="622" w:type="dxa"/>
            <w:vAlign w:val="center"/>
          </w:tcPr>
          <w:p w14:paraId="1F514F4E">
            <w:pPr>
              <w:pStyle w:val="2"/>
              <w:tabs>
                <w:tab w:val="left" w:pos="9120"/>
              </w:tabs>
              <w:spacing w:before="0"/>
              <w:rPr>
                <w:rFonts w:ascii="Arial" w:hAnsi="Arial" w:cs="Arial"/>
                <w:b w:val="0"/>
                <w:bCs w:val="0"/>
                <w:sz w:val="20"/>
                <w:szCs w:val="20"/>
              </w:rPr>
            </w:pPr>
            <w:r>
              <w:rPr>
                <w:rFonts w:ascii="Arial" w:hAnsi="Arial" w:cs="Arial"/>
                <w:b w:val="0"/>
                <w:bCs w:val="0"/>
                <w:sz w:val="20"/>
                <w:szCs w:val="20"/>
              </w:rPr>
              <w:t>.25</w:t>
            </w:r>
          </w:p>
        </w:tc>
      </w:tr>
      <w:tr w14:paraId="2A025CB4">
        <w:trPr>
          <w:cantSplit/>
        </w:trPr>
        <w:tc>
          <w:tcPr>
            <w:tcW w:w="2671" w:type="dxa"/>
            <w:vAlign w:val="center"/>
          </w:tcPr>
          <w:p w14:paraId="54A7BDBA">
            <w:pPr>
              <w:pStyle w:val="2"/>
              <w:tabs>
                <w:tab w:val="left" w:pos="9120"/>
              </w:tabs>
              <w:spacing w:before="0"/>
              <w:rPr>
                <w:rFonts w:ascii="Arial" w:hAnsi="Arial" w:cs="Arial"/>
                <w:b w:val="0"/>
                <w:bCs w:val="0"/>
                <w:sz w:val="20"/>
                <w:szCs w:val="20"/>
              </w:rPr>
            </w:pPr>
            <w:r>
              <w:rPr>
                <w:rFonts w:ascii="Arial" w:hAnsi="Arial" w:cs="Arial"/>
                <w:b w:val="0"/>
                <w:bCs w:val="0"/>
                <w:sz w:val="20"/>
                <w:szCs w:val="20"/>
              </w:rPr>
              <w:t>ICU length of stay, d</w:t>
            </w:r>
            <w:r>
              <w:rPr>
                <w:rFonts w:hint="eastAsia" w:ascii="Arial" w:hAnsi="Arial" w:cs="Arial"/>
                <w:b w:val="0"/>
                <w:bCs w:val="0"/>
                <w:sz w:val="20"/>
                <w:szCs w:val="20"/>
              </w:rPr>
              <w:t xml:space="preserve"> (median)</w:t>
            </w:r>
          </w:p>
        </w:tc>
        <w:tc>
          <w:tcPr>
            <w:tcW w:w="2263" w:type="dxa"/>
            <w:vAlign w:val="center"/>
          </w:tcPr>
          <w:p w14:paraId="404B3E5B">
            <w:pPr>
              <w:pStyle w:val="2"/>
              <w:tabs>
                <w:tab w:val="left" w:pos="9120"/>
              </w:tabs>
              <w:spacing w:before="0"/>
              <w:rPr>
                <w:rFonts w:ascii="Arial" w:hAnsi="Arial" w:cs="Arial"/>
                <w:b w:val="0"/>
                <w:bCs w:val="0"/>
                <w:sz w:val="20"/>
                <w:szCs w:val="20"/>
              </w:rPr>
            </w:pPr>
            <w:r>
              <w:rPr>
                <w:rFonts w:ascii="Arial" w:hAnsi="Arial" w:cs="Arial"/>
                <w:b w:val="0"/>
                <w:bCs w:val="0"/>
                <w:sz w:val="20"/>
                <w:szCs w:val="20"/>
              </w:rPr>
              <w:t>Demographics</w:t>
            </w:r>
          </w:p>
        </w:tc>
        <w:tc>
          <w:tcPr>
            <w:tcW w:w="1491" w:type="dxa"/>
            <w:vAlign w:val="center"/>
          </w:tcPr>
          <w:p w14:paraId="2DF0E0D1">
            <w:pPr>
              <w:pStyle w:val="2"/>
              <w:tabs>
                <w:tab w:val="left" w:pos="9120"/>
              </w:tabs>
              <w:spacing w:before="0"/>
              <w:rPr>
                <w:rFonts w:ascii="Arial" w:hAnsi="Arial" w:cs="Arial"/>
                <w:b w:val="0"/>
                <w:bCs w:val="0"/>
                <w:sz w:val="20"/>
                <w:szCs w:val="20"/>
              </w:rPr>
            </w:pPr>
            <w:r>
              <w:rPr>
                <w:rFonts w:hint="eastAsia" w:ascii="Arial" w:hAnsi="Arial" w:cs="Arial"/>
                <w:b w:val="0"/>
                <w:bCs w:val="0"/>
                <w:sz w:val="20"/>
                <w:szCs w:val="20"/>
              </w:rPr>
              <w:t>6</w:t>
            </w:r>
            <w:r>
              <w:rPr>
                <w:rFonts w:ascii="Arial" w:hAnsi="Arial" w:cs="Arial"/>
                <w:b w:val="0"/>
                <w:bCs w:val="0"/>
                <w:sz w:val="20"/>
                <w:szCs w:val="20"/>
              </w:rPr>
              <w:t>.</w:t>
            </w:r>
            <w:r>
              <w:rPr>
                <w:rFonts w:hint="eastAsia" w:ascii="Arial" w:hAnsi="Arial" w:cs="Arial"/>
                <w:b w:val="0"/>
                <w:bCs w:val="0"/>
                <w:sz w:val="20"/>
                <w:szCs w:val="20"/>
              </w:rPr>
              <w:t>67</w:t>
            </w:r>
            <w:r>
              <w:rPr>
                <w:rFonts w:ascii="Arial" w:hAnsi="Arial" w:cs="Arial"/>
                <w:b w:val="0"/>
                <w:bCs w:val="0"/>
                <w:sz w:val="20"/>
                <w:szCs w:val="20"/>
              </w:rPr>
              <w:t xml:space="preserve"> (</w:t>
            </w:r>
            <w:r>
              <w:rPr>
                <w:rFonts w:hint="eastAsia" w:ascii="Arial" w:hAnsi="Arial" w:cs="Arial"/>
                <w:b w:val="0"/>
                <w:bCs w:val="0"/>
                <w:sz w:val="20"/>
                <w:szCs w:val="20"/>
              </w:rPr>
              <w:t>3</w:t>
            </w:r>
            <w:r>
              <w:rPr>
                <w:rFonts w:ascii="Arial" w:hAnsi="Arial" w:cs="Arial"/>
                <w:b w:val="0"/>
                <w:bCs w:val="0"/>
                <w:sz w:val="20"/>
                <w:szCs w:val="20"/>
              </w:rPr>
              <w:t>.</w:t>
            </w:r>
            <w:r>
              <w:rPr>
                <w:rFonts w:hint="eastAsia" w:ascii="Arial" w:hAnsi="Arial" w:cs="Arial"/>
                <w:b w:val="0"/>
                <w:bCs w:val="0"/>
                <w:sz w:val="20"/>
                <w:szCs w:val="20"/>
              </w:rPr>
              <w:t>12</w:t>
            </w:r>
            <w:r>
              <w:rPr>
                <w:rFonts w:ascii="Arial" w:hAnsi="Arial" w:cs="Arial"/>
                <w:b w:val="0"/>
                <w:bCs w:val="0"/>
                <w:sz w:val="20"/>
                <w:szCs w:val="20"/>
              </w:rPr>
              <w:t>–</w:t>
            </w:r>
            <w:r>
              <w:rPr>
                <w:rFonts w:hint="eastAsia" w:ascii="Arial" w:hAnsi="Arial" w:cs="Arial"/>
                <w:b w:val="0"/>
                <w:bCs w:val="0"/>
                <w:sz w:val="20"/>
                <w:szCs w:val="20"/>
              </w:rPr>
              <w:t>14</w:t>
            </w:r>
            <w:r>
              <w:rPr>
                <w:rFonts w:ascii="Arial" w:hAnsi="Arial" w:cs="Arial"/>
                <w:b w:val="0"/>
                <w:bCs w:val="0"/>
                <w:sz w:val="20"/>
                <w:szCs w:val="20"/>
              </w:rPr>
              <w:t>.</w:t>
            </w:r>
            <w:r>
              <w:rPr>
                <w:rFonts w:hint="eastAsia" w:ascii="Arial" w:hAnsi="Arial" w:cs="Arial"/>
                <w:b w:val="0"/>
                <w:bCs w:val="0"/>
                <w:sz w:val="20"/>
                <w:szCs w:val="20"/>
              </w:rPr>
              <w:t>25</w:t>
            </w:r>
            <w:r>
              <w:rPr>
                <w:rFonts w:ascii="Arial" w:hAnsi="Arial" w:cs="Arial"/>
                <w:b w:val="0"/>
                <w:bCs w:val="0"/>
                <w:sz w:val="20"/>
                <w:szCs w:val="20"/>
              </w:rPr>
              <w:t>)</w:t>
            </w:r>
          </w:p>
        </w:tc>
        <w:tc>
          <w:tcPr>
            <w:tcW w:w="1316" w:type="dxa"/>
            <w:vAlign w:val="center"/>
          </w:tcPr>
          <w:p w14:paraId="59F74096">
            <w:pPr>
              <w:pStyle w:val="2"/>
              <w:tabs>
                <w:tab w:val="left" w:pos="9120"/>
              </w:tabs>
              <w:spacing w:before="0"/>
              <w:rPr>
                <w:rFonts w:ascii="Arial" w:hAnsi="Arial" w:cs="Arial"/>
                <w:b w:val="0"/>
                <w:bCs w:val="0"/>
                <w:sz w:val="20"/>
                <w:szCs w:val="20"/>
              </w:rPr>
            </w:pPr>
            <w:r>
              <w:rPr>
                <w:rFonts w:ascii="Arial" w:hAnsi="Arial" w:cs="Arial"/>
                <w:b w:val="0"/>
                <w:bCs w:val="0"/>
                <w:sz w:val="20"/>
                <w:szCs w:val="20"/>
              </w:rPr>
              <w:t xml:space="preserve"> </w:t>
            </w:r>
            <w:r>
              <w:rPr>
                <w:rFonts w:hint="eastAsia" w:ascii="Arial" w:hAnsi="Arial" w:cs="Arial"/>
                <w:b w:val="0"/>
                <w:bCs w:val="0"/>
                <w:sz w:val="20"/>
                <w:szCs w:val="20"/>
              </w:rPr>
              <w:t>5</w:t>
            </w:r>
            <w:r>
              <w:rPr>
                <w:rFonts w:ascii="Arial" w:hAnsi="Arial" w:cs="Arial"/>
                <w:b w:val="0"/>
                <w:bCs w:val="0"/>
                <w:sz w:val="20"/>
                <w:szCs w:val="20"/>
              </w:rPr>
              <w:t>.</w:t>
            </w:r>
            <w:r>
              <w:rPr>
                <w:rFonts w:hint="eastAsia" w:ascii="Arial" w:hAnsi="Arial" w:cs="Arial"/>
                <w:b w:val="0"/>
                <w:bCs w:val="0"/>
                <w:sz w:val="20"/>
                <w:szCs w:val="20"/>
              </w:rPr>
              <w:t>67</w:t>
            </w:r>
            <w:r>
              <w:rPr>
                <w:rFonts w:ascii="Arial" w:hAnsi="Arial" w:cs="Arial"/>
                <w:b w:val="0"/>
                <w:bCs w:val="0"/>
                <w:sz w:val="20"/>
                <w:szCs w:val="20"/>
              </w:rPr>
              <w:t xml:space="preserve"> (</w:t>
            </w:r>
            <w:r>
              <w:rPr>
                <w:rFonts w:hint="eastAsia" w:ascii="Arial" w:hAnsi="Arial" w:cs="Arial"/>
                <w:b w:val="0"/>
                <w:bCs w:val="0"/>
                <w:sz w:val="20"/>
                <w:szCs w:val="20"/>
              </w:rPr>
              <w:t>2</w:t>
            </w:r>
            <w:r>
              <w:rPr>
                <w:rFonts w:ascii="Arial" w:hAnsi="Arial" w:cs="Arial"/>
                <w:b w:val="0"/>
                <w:bCs w:val="0"/>
                <w:sz w:val="20"/>
                <w:szCs w:val="20"/>
              </w:rPr>
              <w:t>.</w:t>
            </w:r>
            <w:r>
              <w:rPr>
                <w:rFonts w:hint="eastAsia" w:ascii="Arial" w:hAnsi="Arial" w:cs="Arial"/>
                <w:b w:val="0"/>
                <w:bCs w:val="0"/>
                <w:sz w:val="20"/>
                <w:szCs w:val="20"/>
              </w:rPr>
              <w:t>92</w:t>
            </w:r>
            <w:r>
              <w:rPr>
                <w:rFonts w:ascii="Arial" w:hAnsi="Arial" w:cs="Arial"/>
                <w:b w:val="0"/>
                <w:bCs w:val="0"/>
                <w:sz w:val="20"/>
                <w:szCs w:val="20"/>
              </w:rPr>
              <w:t>–</w:t>
            </w:r>
            <w:r>
              <w:rPr>
                <w:rFonts w:hint="eastAsia" w:ascii="Arial" w:hAnsi="Arial" w:cs="Arial"/>
                <w:b w:val="0"/>
                <w:bCs w:val="0"/>
                <w:sz w:val="20"/>
                <w:szCs w:val="20"/>
              </w:rPr>
              <w:t>11</w:t>
            </w:r>
            <w:r>
              <w:rPr>
                <w:rFonts w:ascii="Arial" w:hAnsi="Arial" w:cs="Arial"/>
                <w:b w:val="0"/>
                <w:bCs w:val="0"/>
                <w:sz w:val="20"/>
                <w:szCs w:val="20"/>
              </w:rPr>
              <w:t>.</w:t>
            </w:r>
            <w:r>
              <w:rPr>
                <w:rFonts w:hint="eastAsia" w:ascii="Arial" w:hAnsi="Arial" w:cs="Arial"/>
                <w:b w:val="0"/>
                <w:bCs w:val="0"/>
                <w:sz w:val="20"/>
                <w:szCs w:val="20"/>
              </w:rPr>
              <w:t>54</w:t>
            </w:r>
            <w:r>
              <w:rPr>
                <w:rFonts w:ascii="Arial" w:hAnsi="Arial" w:cs="Arial"/>
                <w:b w:val="0"/>
                <w:bCs w:val="0"/>
                <w:sz w:val="20"/>
                <w:szCs w:val="20"/>
              </w:rPr>
              <w:t>)</w:t>
            </w:r>
          </w:p>
        </w:tc>
        <w:tc>
          <w:tcPr>
            <w:tcW w:w="1357" w:type="dxa"/>
            <w:vAlign w:val="center"/>
          </w:tcPr>
          <w:p w14:paraId="4B03F6AD">
            <w:pPr>
              <w:pStyle w:val="2"/>
              <w:tabs>
                <w:tab w:val="left" w:pos="9120"/>
              </w:tabs>
              <w:spacing w:before="0"/>
              <w:rPr>
                <w:rFonts w:ascii="Arial" w:hAnsi="Arial" w:cs="Arial"/>
                <w:b w:val="0"/>
                <w:bCs w:val="0"/>
                <w:sz w:val="20"/>
                <w:szCs w:val="20"/>
              </w:rPr>
            </w:pPr>
            <w:r>
              <w:rPr>
                <w:rFonts w:ascii="Arial" w:hAnsi="Arial" w:cs="Arial"/>
                <w:b w:val="0"/>
                <w:bCs w:val="0"/>
                <w:sz w:val="20"/>
                <w:szCs w:val="20"/>
              </w:rPr>
              <w:t xml:space="preserve"> </w:t>
            </w:r>
            <w:r>
              <w:rPr>
                <w:rFonts w:hint="eastAsia" w:ascii="Arial" w:hAnsi="Arial" w:cs="Arial"/>
                <w:b w:val="0"/>
                <w:bCs w:val="0"/>
                <w:sz w:val="20"/>
                <w:szCs w:val="20"/>
              </w:rPr>
              <w:t>4</w:t>
            </w:r>
            <w:r>
              <w:rPr>
                <w:rFonts w:ascii="Arial" w:hAnsi="Arial" w:cs="Arial"/>
                <w:b w:val="0"/>
                <w:bCs w:val="0"/>
                <w:sz w:val="20"/>
                <w:szCs w:val="20"/>
              </w:rPr>
              <w:t>.</w:t>
            </w:r>
            <w:r>
              <w:rPr>
                <w:rFonts w:hint="eastAsia" w:ascii="Arial" w:hAnsi="Arial" w:cs="Arial"/>
                <w:b w:val="0"/>
                <w:bCs w:val="0"/>
                <w:sz w:val="20"/>
                <w:szCs w:val="20"/>
              </w:rPr>
              <w:t>65</w:t>
            </w:r>
            <w:r>
              <w:rPr>
                <w:rFonts w:ascii="Arial" w:hAnsi="Arial" w:cs="Arial"/>
                <w:b w:val="0"/>
                <w:bCs w:val="0"/>
                <w:sz w:val="20"/>
                <w:szCs w:val="20"/>
              </w:rPr>
              <w:t xml:space="preserve"> (</w:t>
            </w:r>
            <w:r>
              <w:rPr>
                <w:rFonts w:hint="eastAsia" w:ascii="Arial" w:hAnsi="Arial" w:cs="Arial"/>
                <w:b w:val="0"/>
                <w:bCs w:val="0"/>
                <w:sz w:val="20"/>
                <w:szCs w:val="20"/>
              </w:rPr>
              <w:t>2</w:t>
            </w:r>
            <w:r>
              <w:rPr>
                <w:rFonts w:ascii="Arial" w:hAnsi="Arial" w:cs="Arial"/>
                <w:b w:val="0"/>
                <w:bCs w:val="0"/>
                <w:sz w:val="20"/>
                <w:szCs w:val="20"/>
              </w:rPr>
              <w:t>.</w:t>
            </w:r>
            <w:r>
              <w:rPr>
                <w:rFonts w:hint="eastAsia" w:ascii="Arial" w:hAnsi="Arial" w:cs="Arial"/>
                <w:b w:val="0"/>
                <w:bCs w:val="0"/>
                <w:sz w:val="20"/>
                <w:szCs w:val="20"/>
              </w:rPr>
              <w:t>80</w:t>
            </w:r>
            <w:r>
              <w:rPr>
                <w:rFonts w:ascii="Arial" w:hAnsi="Arial" w:cs="Arial"/>
                <w:b w:val="0"/>
                <w:bCs w:val="0"/>
                <w:sz w:val="20"/>
                <w:szCs w:val="20"/>
              </w:rPr>
              <w:t>–</w:t>
            </w:r>
            <w:r>
              <w:rPr>
                <w:rFonts w:hint="eastAsia" w:ascii="Arial" w:hAnsi="Arial" w:cs="Arial"/>
                <w:b w:val="0"/>
                <w:bCs w:val="0"/>
                <w:sz w:val="20"/>
                <w:szCs w:val="20"/>
              </w:rPr>
              <w:t>10</w:t>
            </w:r>
            <w:r>
              <w:rPr>
                <w:rFonts w:ascii="Arial" w:hAnsi="Arial" w:cs="Arial"/>
                <w:b w:val="0"/>
                <w:bCs w:val="0"/>
                <w:sz w:val="20"/>
                <w:szCs w:val="20"/>
              </w:rPr>
              <w:t>.</w:t>
            </w:r>
            <w:r>
              <w:rPr>
                <w:rFonts w:hint="eastAsia" w:ascii="Arial" w:hAnsi="Arial" w:cs="Arial"/>
                <w:b w:val="0"/>
                <w:bCs w:val="0"/>
                <w:sz w:val="20"/>
                <w:szCs w:val="20"/>
              </w:rPr>
              <w:t>7</w:t>
            </w:r>
            <w:r>
              <w:rPr>
                <w:rFonts w:ascii="Arial" w:hAnsi="Arial" w:cs="Arial"/>
                <w:b w:val="0"/>
                <w:bCs w:val="0"/>
                <w:sz w:val="20"/>
                <w:szCs w:val="20"/>
              </w:rPr>
              <w:t>0)</w:t>
            </w:r>
          </w:p>
        </w:tc>
        <w:tc>
          <w:tcPr>
            <w:tcW w:w="622" w:type="dxa"/>
            <w:vAlign w:val="center"/>
          </w:tcPr>
          <w:p w14:paraId="6B6CB053">
            <w:pPr>
              <w:pStyle w:val="2"/>
              <w:tabs>
                <w:tab w:val="left" w:pos="9120"/>
              </w:tabs>
              <w:spacing w:before="0"/>
              <w:rPr>
                <w:rFonts w:ascii="Arial" w:hAnsi="Arial" w:cs="Arial"/>
                <w:b w:val="0"/>
                <w:bCs w:val="0"/>
                <w:sz w:val="20"/>
                <w:szCs w:val="20"/>
              </w:rPr>
            </w:pPr>
            <w:r>
              <w:rPr>
                <w:rFonts w:ascii="Arial" w:hAnsi="Arial" w:cs="Arial"/>
                <w:b w:val="0"/>
                <w:bCs w:val="0"/>
                <w:sz w:val="20"/>
                <w:szCs w:val="20"/>
              </w:rPr>
              <w:t>.0</w:t>
            </w:r>
            <w:r>
              <w:rPr>
                <w:rFonts w:hint="eastAsia" w:ascii="Arial" w:hAnsi="Arial" w:cs="Arial"/>
                <w:b w:val="0"/>
                <w:bCs w:val="0"/>
                <w:sz w:val="20"/>
                <w:szCs w:val="20"/>
              </w:rPr>
              <w:t>12</w:t>
            </w:r>
          </w:p>
        </w:tc>
      </w:tr>
      <w:tr w14:paraId="3D91FBB7">
        <w:trPr>
          <w:cantSplit/>
        </w:trPr>
        <w:tc>
          <w:tcPr>
            <w:tcW w:w="2671" w:type="dxa"/>
            <w:vAlign w:val="center"/>
          </w:tcPr>
          <w:p w14:paraId="153B94ED">
            <w:pPr>
              <w:pStyle w:val="2"/>
              <w:tabs>
                <w:tab w:val="left" w:pos="9120"/>
              </w:tabs>
              <w:spacing w:before="0"/>
              <w:rPr>
                <w:rFonts w:ascii="Arial" w:hAnsi="Arial" w:cs="Arial"/>
                <w:b w:val="0"/>
                <w:bCs w:val="0"/>
                <w:sz w:val="20"/>
                <w:szCs w:val="20"/>
              </w:rPr>
            </w:pPr>
            <w:r>
              <w:rPr>
                <w:rFonts w:ascii="Arial" w:hAnsi="Arial" w:cs="Arial"/>
                <w:b w:val="0"/>
                <w:bCs w:val="0"/>
                <w:sz w:val="20"/>
                <w:szCs w:val="20"/>
              </w:rPr>
              <w:t>PaO</w:t>
            </w:r>
            <w:r>
              <w:rPr>
                <w:rFonts w:ascii="Arial" w:hAnsi="Arial" w:eastAsia="宋体" w:cs="Arial"/>
                <w:b w:val="0"/>
                <w:bCs w:val="0"/>
                <w:sz w:val="20"/>
                <w:szCs w:val="20"/>
                <w:vertAlign w:val="subscript"/>
                <w:lang w:eastAsia="zh-CN"/>
              </w:rPr>
              <w:t>2</w:t>
            </w:r>
            <w:r>
              <w:rPr>
                <w:rFonts w:ascii="Arial" w:hAnsi="Arial" w:cs="Arial"/>
                <w:b w:val="0"/>
                <w:bCs w:val="0"/>
                <w:sz w:val="20"/>
                <w:szCs w:val="20"/>
              </w:rPr>
              <w:t>, mm Hg (mean)</w:t>
            </w:r>
          </w:p>
        </w:tc>
        <w:tc>
          <w:tcPr>
            <w:tcW w:w="2263" w:type="dxa"/>
            <w:vAlign w:val="center"/>
          </w:tcPr>
          <w:p w14:paraId="36C25AE0">
            <w:pPr>
              <w:pStyle w:val="2"/>
              <w:tabs>
                <w:tab w:val="left" w:pos="9120"/>
              </w:tabs>
              <w:spacing w:before="0"/>
              <w:rPr>
                <w:rFonts w:ascii="Arial" w:hAnsi="Arial" w:cs="Arial"/>
                <w:b w:val="0"/>
                <w:bCs w:val="0"/>
                <w:sz w:val="20"/>
                <w:szCs w:val="20"/>
              </w:rPr>
            </w:pPr>
            <w:r>
              <w:rPr>
                <w:rFonts w:ascii="Arial" w:hAnsi="Arial" w:cs="Arial"/>
                <w:b w:val="0"/>
                <w:bCs w:val="0"/>
                <w:sz w:val="20"/>
                <w:szCs w:val="20"/>
              </w:rPr>
              <w:t>SOFA-1 Respiratory</w:t>
            </w:r>
          </w:p>
        </w:tc>
        <w:tc>
          <w:tcPr>
            <w:tcW w:w="1491" w:type="dxa"/>
            <w:vAlign w:val="center"/>
          </w:tcPr>
          <w:p w14:paraId="2D400BD1">
            <w:pPr>
              <w:pStyle w:val="2"/>
              <w:tabs>
                <w:tab w:val="left" w:pos="9120"/>
              </w:tabs>
              <w:spacing w:before="0"/>
              <w:rPr>
                <w:rFonts w:ascii="Arial" w:hAnsi="Arial" w:cs="Arial"/>
                <w:b w:val="0"/>
                <w:bCs w:val="0"/>
                <w:sz w:val="20"/>
                <w:szCs w:val="20"/>
              </w:rPr>
            </w:pPr>
            <w:r>
              <w:rPr>
                <w:rFonts w:ascii="Arial" w:hAnsi="Arial" w:cs="Arial"/>
                <w:b w:val="0"/>
                <w:bCs w:val="0"/>
                <w:sz w:val="20"/>
                <w:szCs w:val="20"/>
              </w:rPr>
              <w:t>104.69 ± 27.96</w:t>
            </w:r>
          </w:p>
        </w:tc>
        <w:tc>
          <w:tcPr>
            <w:tcW w:w="1316" w:type="dxa"/>
            <w:vAlign w:val="center"/>
          </w:tcPr>
          <w:p w14:paraId="03825941">
            <w:pPr>
              <w:pStyle w:val="2"/>
              <w:tabs>
                <w:tab w:val="left" w:pos="9120"/>
              </w:tabs>
              <w:spacing w:before="0"/>
              <w:rPr>
                <w:rFonts w:ascii="Arial" w:hAnsi="Arial" w:cs="Arial"/>
                <w:b w:val="0"/>
                <w:bCs w:val="0"/>
                <w:sz w:val="20"/>
                <w:szCs w:val="20"/>
              </w:rPr>
            </w:pPr>
            <w:r>
              <w:rPr>
                <w:rFonts w:ascii="Arial" w:hAnsi="Arial" w:cs="Arial"/>
                <w:b w:val="0"/>
                <w:bCs w:val="0"/>
                <w:sz w:val="20"/>
                <w:szCs w:val="20"/>
              </w:rPr>
              <w:t>100.21 ± 23.87</w:t>
            </w:r>
          </w:p>
        </w:tc>
        <w:tc>
          <w:tcPr>
            <w:tcW w:w="1357" w:type="dxa"/>
            <w:vAlign w:val="center"/>
          </w:tcPr>
          <w:p w14:paraId="652242FE">
            <w:pPr>
              <w:pStyle w:val="2"/>
              <w:tabs>
                <w:tab w:val="left" w:pos="9120"/>
              </w:tabs>
              <w:spacing w:before="0"/>
              <w:rPr>
                <w:rFonts w:ascii="Arial" w:hAnsi="Arial" w:cs="Arial"/>
                <w:b w:val="0"/>
                <w:bCs w:val="0"/>
                <w:sz w:val="20"/>
                <w:szCs w:val="20"/>
              </w:rPr>
            </w:pPr>
            <w:r>
              <w:rPr>
                <w:rFonts w:ascii="Arial" w:hAnsi="Arial" w:cs="Arial"/>
                <w:b w:val="0"/>
                <w:bCs w:val="0"/>
                <w:sz w:val="20"/>
                <w:szCs w:val="20"/>
              </w:rPr>
              <w:t>104.27 ± 27.34</w:t>
            </w:r>
          </w:p>
        </w:tc>
        <w:tc>
          <w:tcPr>
            <w:tcW w:w="622" w:type="dxa"/>
            <w:vAlign w:val="center"/>
          </w:tcPr>
          <w:p w14:paraId="249DF2E6">
            <w:pPr>
              <w:pStyle w:val="2"/>
              <w:tabs>
                <w:tab w:val="left" w:pos="9120"/>
              </w:tabs>
              <w:spacing w:before="0"/>
              <w:rPr>
                <w:rFonts w:ascii="Arial" w:hAnsi="Arial" w:cs="Arial"/>
                <w:b w:val="0"/>
                <w:bCs w:val="0"/>
                <w:sz w:val="20"/>
                <w:szCs w:val="20"/>
              </w:rPr>
            </w:pPr>
            <w:r>
              <w:rPr>
                <w:rFonts w:ascii="Arial" w:hAnsi="Arial" w:cs="Arial"/>
                <w:b w:val="0"/>
                <w:bCs w:val="0"/>
                <w:sz w:val="20"/>
                <w:szCs w:val="20"/>
              </w:rPr>
              <w:t>.01</w:t>
            </w:r>
          </w:p>
        </w:tc>
      </w:tr>
      <w:tr w14:paraId="225A35BF">
        <w:trPr>
          <w:cantSplit/>
        </w:trPr>
        <w:tc>
          <w:tcPr>
            <w:tcW w:w="2671" w:type="dxa"/>
            <w:vAlign w:val="center"/>
          </w:tcPr>
          <w:p w14:paraId="0C8EB767">
            <w:pPr>
              <w:pStyle w:val="2"/>
              <w:tabs>
                <w:tab w:val="left" w:pos="9120"/>
              </w:tabs>
              <w:spacing w:before="0"/>
              <w:rPr>
                <w:rFonts w:ascii="Arial" w:hAnsi="Arial" w:cs="Arial"/>
                <w:b w:val="0"/>
                <w:bCs w:val="0"/>
                <w:sz w:val="20"/>
                <w:szCs w:val="20"/>
              </w:rPr>
            </w:pPr>
            <w:r>
              <w:rPr>
                <w:rFonts w:ascii="Arial" w:hAnsi="Arial" w:cs="Arial"/>
                <w:b w:val="0"/>
                <w:bCs w:val="0"/>
                <w:sz w:val="20"/>
                <w:szCs w:val="20"/>
              </w:rPr>
              <w:t>FiO</w:t>
            </w:r>
            <w:r>
              <w:rPr>
                <w:rFonts w:ascii="Arial" w:hAnsi="Arial" w:eastAsia="宋体" w:cs="Arial"/>
                <w:b w:val="0"/>
                <w:bCs w:val="0"/>
                <w:sz w:val="20"/>
                <w:szCs w:val="20"/>
                <w:vertAlign w:val="subscript"/>
                <w:lang w:eastAsia="zh-CN"/>
              </w:rPr>
              <w:t>2</w:t>
            </w:r>
            <w:r>
              <w:rPr>
                <w:rFonts w:ascii="Arial" w:hAnsi="Arial" w:cs="Arial"/>
                <w:b w:val="0"/>
                <w:bCs w:val="0"/>
                <w:sz w:val="20"/>
                <w:szCs w:val="20"/>
              </w:rPr>
              <w:t>, % (mean)</w:t>
            </w:r>
          </w:p>
        </w:tc>
        <w:tc>
          <w:tcPr>
            <w:tcW w:w="2263" w:type="dxa"/>
            <w:vAlign w:val="center"/>
          </w:tcPr>
          <w:p w14:paraId="3DA0F449">
            <w:pPr>
              <w:pStyle w:val="2"/>
              <w:tabs>
                <w:tab w:val="left" w:pos="9120"/>
              </w:tabs>
              <w:spacing w:before="0"/>
              <w:rPr>
                <w:rFonts w:ascii="Arial" w:hAnsi="Arial" w:cs="Arial"/>
                <w:b w:val="0"/>
                <w:bCs w:val="0"/>
                <w:sz w:val="20"/>
                <w:szCs w:val="20"/>
              </w:rPr>
            </w:pPr>
            <w:r>
              <w:rPr>
                <w:rFonts w:ascii="Arial" w:hAnsi="Arial" w:cs="Arial"/>
                <w:b w:val="0"/>
                <w:bCs w:val="0"/>
                <w:sz w:val="20"/>
                <w:szCs w:val="20"/>
              </w:rPr>
              <w:t>SOFA-1 Respiratory</w:t>
            </w:r>
          </w:p>
        </w:tc>
        <w:tc>
          <w:tcPr>
            <w:tcW w:w="1491" w:type="dxa"/>
            <w:vAlign w:val="center"/>
          </w:tcPr>
          <w:p w14:paraId="65DF997A">
            <w:pPr>
              <w:pStyle w:val="2"/>
              <w:tabs>
                <w:tab w:val="left" w:pos="9120"/>
              </w:tabs>
              <w:spacing w:before="0"/>
              <w:rPr>
                <w:rFonts w:ascii="Arial" w:hAnsi="Arial" w:cs="Arial"/>
                <w:b w:val="0"/>
                <w:bCs w:val="0"/>
                <w:sz w:val="20"/>
                <w:szCs w:val="20"/>
              </w:rPr>
            </w:pPr>
            <w:r>
              <w:rPr>
                <w:rFonts w:ascii="Arial" w:hAnsi="Arial" w:cs="Arial"/>
                <w:b w:val="0"/>
                <w:bCs w:val="0"/>
                <w:sz w:val="20"/>
                <w:szCs w:val="20"/>
              </w:rPr>
              <w:t>47.57 ± 11.45</w:t>
            </w:r>
          </w:p>
        </w:tc>
        <w:tc>
          <w:tcPr>
            <w:tcW w:w="1316" w:type="dxa"/>
            <w:vAlign w:val="center"/>
          </w:tcPr>
          <w:p w14:paraId="60FAAB6F">
            <w:pPr>
              <w:pStyle w:val="2"/>
              <w:tabs>
                <w:tab w:val="left" w:pos="9120"/>
              </w:tabs>
              <w:spacing w:before="0"/>
              <w:rPr>
                <w:rFonts w:ascii="Arial" w:hAnsi="Arial" w:cs="Arial"/>
                <w:b w:val="0"/>
                <w:bCs w:val="0"/>
                <w:sz w:val="20"/>
                <w:szCs w:val="20"/>
              </w:rPr>
            </w:pPr>
            <w:r>
              <w:rPr>
                <w:rFonts w:ascii="Arial" w:hAnsi="Arial" w:cs="Arial"/>
                <w:b w:val="0"/>
                <w:bCs w:val="0"/>
                <w:sz w:val="20"/>
                <w:szCs w:val="20"/>
              </w:rPr>
              <w:t>44.71 ± 9.19</w:t>
            </w:r>
          </w:p>
        </w:tc>
        <w:tc>
          <w:tcPr>
            <w:tcW w:w="1357" w:type="dxa"/>
            <w:vAlign w:val="center"/>
          </w:tcPr>
          <w:p w14:paraId="64B41AAC">
            <w:pPr>
              <w:pStyle w:val="2"/>
              <w:tabs>
                <w:tab w:val="left" w:pos="9120"/>
              </w:tabs>
              <w:spacing w:before="0"/>
              <w:rPr>
                <w:rFonts w:ascii="Arial" w:hAnsi="Arial" w:cs="Arial"/>
                <w:b w:val="0"/>
                <w:bCs w:val="0"/>
                <w:sz w:val="20"/>
                <w:szCs w:val="20"/>
              </w:rPr>
            </w:pPr>
            <w:r>
              <w:rPr>
                <w:rFonts w:ascii="Arial" w:hAnsi="Arial" w:cs="Arial"/>
                <w:b w:val="0"/>
                <w:bCs w:val="0"/>
                <w:sz w:val="20"/>
                <w:szCs w:val="20"/>
              </w:rPr>
              <w:t>45.18 ± 9.02</w:t>
            </w:r>
          </w:p>
        </w:tc>
        <w:tc>
          <w:tcPr>
            <w:tcW w:w="622" w:type="dxa"/>
            <w:vAlign w:val="center"/>
          </w:tcPr>
          <w:p w14:paraId="04A4642C">
            <w:pPr>
              <w:pStyle w:val="2"/>
              <w:tabs>
                <w:tab w:val="left" w:pos="9120"/>
              </w:tabs>
              <w:spacing w:before="0"/>
              <w:rPr>
                <w:rFonts w:ascii="Arial" w:hAnsi="Arial" w:cs="Arial"/>
                <w:b w:val="0"/>
                <w:bCs w:val="0"/>
                <w:sz w:val="20"/>
                <w:szCs w:val="20"/>
              </w:rPr>
            </w:pPr>
            <w:r>
              <w:rPr>
                <w:rFonts w:ascii="Arial" w:hAnsi="Arial" w:cs="Arial"/>
                <w:b w:val="0"/>
                <w:bCs w:val="0"/>
                <w:sz w:val="20"/>
                <w:szCs w:val="20"/>
              </w:rPr>
              <w:t>&lt;.001</w:t>
            </w:r>
          </w:p>
        </w:tc>
      </w:tr>
      <w:tr w14:paraId="0FFE8DFE">
        <w:trPr>
          <w:cantSplit/>
        </w:trPr>
        <w:tc>
          <w:tcPr>
            <w:tcW w:w="2671" w:type="dxa"/>
            <w:vAlign w:val="center"/>
          </w:tcPr>
          <w:p w14:paraId="54A57153">
            <w:pPr>
              <w:pStyle w:val="2"/>
              <w:tabs>
                <w:tab w:val="left" w:pos="9120"/>
              </w:tabs>
              <w:spacing w:before="0"/>
              <w:rPr>
                <w:rFonts w:ascii="Arial" w:hAnsi="Arial" w:cs="Arial"/>
                <w:b w:val="0"/>
                <w:bCs w:val="0"/>
                <w:sz w:val="20"/>
                <w:szCs w:val="20"/>
              </w:rPr>
            </w:pPr>
            <w:r>
              <w:rPr>
                <w:rFonts w:ascii="Arial" w:hAnsi="Arial" w:cs="Arial"/>
                <w:b w:val="0"/>
                <w:bCs w:val="0"/>
                <w:sz w:val="20"/>
                <w:szCs w:val="20"/>
              </w:rPr>
              <w:t>PaO</w:t>
            </w:r>
            <w:r>
              <w:rPr>
                <w:rFonts w:ascii="Arial" w:hAnsi="Arial" w:eastAsia="宋体" w:cs="Arial"/>
                <w:b w:val="0"/>
                <w:bCs w:val="0"/>
                <w:sz w:val="20"/>
                <w:szCs w:val="20"/>
                <w:vertAlign w:val="subscript"/>
                <w:lang w:eastAsia="zh-CN"/>
              </w:rPr>
              <w:t>2</w:t>
            </w:r>
            <w:r>
              <w:rPr>
                <w:rFonts w:ascii="Arial" w:hAnsi="Arial" w:cs="Arial"/>
                <w:b w:val="0"/>
                <w:bCs w:val="0"/>
                <w:sz w:val="20"/>
                <w:szCs w:val="20"/>
              </w:rPr>
              <w:t>/FiO</w:t>
            </w:r>
            <w:r>
              <w:rPr>
                <w:rFonts w:ascii="Arial" w:hAnsi="Arial" w:eastAsia="宋体" w:cs="Arial"/>
                <w:b w:val="0"/>
                <w:bCs w:val="0"/>
                <w:sz w:val="20"/>
                <w:szCs w:val="20"/>
                <w:vertAlign w:val="subscript"/>
                <w:lang w:eastAsia="zh-CN"/>
              </w:rPr>
              <w:t>2</w:t>
            </w:r>
            <w:r>
              <w:rPr>
                <w:rFonts w:ascii="Arial" w:hAnsi="Arial" w:cs="Arial"/>
                <w:b w:val="0"/>
                <w:bCs w:val="0"/>
                <w:sz w:val="20"/>
                <w:szCs w:val="20"/>
              </w:rPr>
              <w:t xml:space="preserve"> ratio (mean)</w:t>
            </w:r>
          </w:p>
        </w:tc>
        <w:tc>
          <w:tcPr>
            <w:tcW w:w="2263" w:type="dxa"/>
            <w:vAlign w:val="center"/>
          </w:tcPr>
          <w:p w14:paraId="60F11782">
            <w:pPr>
              <w:pStyle w:val="2"/>
              <w:tabs>
                <w:tab w:val="left" w:pos="9120"/>
              </w:tabs>
              <w:spacing w:before="0"/>
              <w:rPr>
                <w:rFonts w:ascii="Arial" w:hAnsi="Arial" w:cs="Arial"/>
                <w:b w:val="0"/>
                <w:bCs w:val="0"/>
                <w:sz w:val="20"/>
                <w:szCs w:val="20"/>
              </w:rPr>
            </w:pPr>
            <w:r>
              <w:rPr>
                <w:rFonts w:ascii="Arial" w:hAnsi="Arial" w:cs="Arial"/>
                <w:b w:val="0"/>
                <w:bCs w:val="0"/>
                <w:sz w:val="20"/>
                <w:szCs w:val="20"/>
              </w:rPr>
              <w:t>SOFA-1 Respiratory</w:t>
            </w:r>
          </w:p>
        </w:tc>
        <w:tc>
          <w:tcPr>
            <w:tcW w:w="1491" w:type="dxa"/>
            <w:vAlign w:val="center"/>
          </w:tcPr>
          <w:p w14:paraId="3A316329">
            <w:pPr>
              <w:pStyle w:val="2"/>
              <w:tabs>
                <w:tab w:val="left" w:pos="9120"/>
              </w:tabs>
              <w:spacing w:before="0"/>
              <w:rPr>
                <w:rFonts w:ascii="Arial" w:hAnsi="Arial" w:cs="Arial"/>
                <w:b w:val="0"/>
                <w:bCs w:val="0"/>
                <w:sz w:val="20"/>
                <w:szCs w:val="20"/>
              </w:rPr>
            </w:pPr>
            <w:r>
              <w:rPr>
                <w:rFonts w:ascii="Arial" w:hAnsi="Arial" w:cs="Arial"/>
                <w:b w:val="0"/>
                <w:bCs w:val="0"/>
                <w:sz w:val="20"/>
                <w:szCs w:val="20"/>
              </w:rPr>
              <w:t>270.33 ± 113.70</w:t>
            </w:r>
          </w:p>
        </w:tc>
        <w:tc>
          <w:tcPr>
            <w:tcW w:w="1316" w:type="dxa"/>
            <w:vAlign w:val="center"/>
          </w:tcPr>
          <w:p w14:paraId="555DD877">
            <w:pPr>
              <w:pStyle w:val="2"/>
              <w:tabs>
                <w:tab w:val="left" w:pos="9120"/>
              </w:tabs>
              <w:spacing w:before="0"/>
              <w:rPr>
                <w:rFonts w:ascii="Arial" w:hAnsi="Arial" w:cs="Arial"/>
                <w:b w:val="0"/>
                <w:bCs w:val="0"/>
                <w:sz w:val="20"/>
                <w:szCs w:val="20"/>
              </w:rPr>
            </w:pPr>
            <w:r>
              <w:rPr>
                <w:rFonts w:ascii="Arial" w:hAnsi="Arial" w:cs="Arial"/>
                <w:b w:val="0"/>
                <w:bCs w:val="0"/>
                <w:sz w:val="20"/>
                <w:szCs w:val="20"/>
              </w:rPr>
              <w:t>276.22 ± 111.82</w:t>
            </w:r>
          </w:p>
        </w:tc>
        <w:tc>
          <w:tcPr>
            <w:tcW w:w="1357" w:type="dxa"/>
            <w:vAlign w:val="center"/>
          </w:tcPr>
          <w:p w14:paraId="6D726C64">
            <w:pPr>
              <w:pStyle w:val="2"/>
              <w:tabs>
                <w:tab w:val="left" w:pos="9120"/>
              </w:tabs>
              <w:spacing w:before="0"/>
              <w:rPr>
                <w:rFonts w:ascii="Arial" w:hAnsi="Arial" w:cs="Arial"/>
                <w:b w:val="0"/>
                <w:bCs w:val="0"/>
                <w:sz w:val="20"/>
                <w:szCs w:val="20"/>
              </w:rPr>
            </w:pPr>
            <w:r>
              <w:rPr>
                <w:rFonts w:ascii="Arial" w:hAnsi="Arial" w:cs="Arial"/>
                <w:b w:val="0"/>
                <w:bCs w:val="0"/>
                <w:sz w:val="20"/>
                <w:szCs w:val="20"/>
              </w:rPr>
              <w:t>334.71 ± 125.46</w:t>
            </w:r>
          </w:p>
        </w:tc>
        <w:tc>
          <w:tcPr>
            <w:tcW w:w="622" w:type="dxa"/>
            <w:vAlign w:val="center"/>
          </w:tcPr>
          <w:p w14:paraId="53E8AE46">
            <w:pPr>
              <w:pStyle w:val="2"/>
              <w:tabs>
                <w:tab w:val="left" w:pos="9120"/>
              </w:tabs>
              <w:spacing w:before="0"/>
              <w:rPr>
                <w:rFonts w:ascii="Arial" w:hAnsi="Arial" w:cs="Arial"/>
                <w:b w:val="0"/>
                <w:bCs w:val="0"/>
                <w:sz w:val="20"/>
                <w:szCs w:val="20"/>
              </w:rPr>
            </w:pPr>
            <w:r>
              <w:rPr>
                <w:rFonts w:ascii="Arial" w:hAnsi="Arial" w:cs="Arial"/>
                <w:b w:val="0"/>
                <w:bCs w:val="0"/>
                <w:sz w:val="20"/>
                <w:szCs w:val="20"/>
              </w:rPr>
              <w:t>&lt;.001</w:t>
            </w:r>
          </w:p>
        </w:tc>
      </w:tr>
      <w:tr w14:paraId="1031DE16">
        <w:trPr>
          <w:cantSplit/>
        </w:trPr>
        <w:tc>
          <w:tcPr>
            <w:tcW w:w="2671" w:type="dxa"/>
            <w:vAlign w:val="center"/>
          </w:tcPr>
          <w:p w14:paraId="71E7E6C7">
            <w:pPr>
              <w:pStyle w:val="2"/>
              <w:tabs>
                <w:tab w:val="left" w:pos="9120"/>
              </w:tabs>
              <w:spacing w:before="0"/>
              <w:rPr>
                <w:rFonts w:ascii="Arial" w:hAnsi="Arial" w:cs="Arial"/>
                <w:b w:val="0"/>
                <w:bCs w:val="0"/>
                <w:sz w:val="20"/>
                <w:szCs w:val="20"/>
              </w:rPr>
            </w:pPr>
            <w:r>
              <w:rPr>
                <w:rFonts w:ascii="Arial" w:hAnsi="Arial" w:cs="Arial"/>
                <w:b w:val="0"/>
                <w:bCs w:val="0"/>
                <w:sz w:val="20"/>
                <w:szCs w:val="20"/>
              </w:rPr>
              <w:t>Mechanical ventilation, any</w:t>
            </w:r>
          </w:p>
        </w:tc>
        <w:tc>
          <w:tcPr>
            <w:tcW w:w="2263" w:type="dxa"/>
            <w:vAlign w:val="center"/>
          </w:tcPr>
          <w:p w14:paraId="355F62D8">
            <w:pPr>
              <w:pStyle w:val="2"/>
              <w:tabs>
                <w:tab w:val="left" w:pos="9120"/>
              </w:tabs>
              <w:spacing w:before="0"/>
              <w:rPr>
                <w:rFonts w:ascii="Arial" w:hAnsi="Arial" w:cs="Arial"/>
                <w:b w:val="0"/>
                <w:bCs w:val="0"/>
                <w:sz w:val="20"/>
                <w:szCs w:val="20"/>
              </w:rPr>
            </w:pPr>
            <w:r>
              <w:rPr>
                <w:rFonts w:ascii="Arial" w:hAnsi="Arial" w:cs="Arial"/>
                <w:b w:val="0"/>
                <w:bCs w:val="0"/>
                <w:sz w:val="20"/>
                <w:szCs w:val="20"/>
              </w:rPr>
              <w:t>SOFA-1 Respiratory</w:t>
            </w:r>
          </w:p>
        </w:tc>
        <w:tc>
          <w:tcPr>
            <w:tcW w:w="1491" w:type="dxa"/>
            <w:vAlign w:val="center"/>
          </w:tcPr>
          <w:p w14:paraId="6947300F">
            <w:pPr>
              <w:pStyle w:val="2"/>
              <w:tabs>
                <w:tab w:val="left" w:pos="9120"/>
              </w:tabs>
              <w:spacing w:before="0"/>
              <w:rPr>
                <w:rFonts w:ascii="Arial" w:hAnsi="Arial" w:cs="Arial"/>
                <w:b w:val="0"/>
                <w:bCs w:val="0"/>
                <w:sz w:val="20"/>
                <w:szCs w:val="20"/>
              </w:rPr>
            </w:pPr>
            <w:r>
              <w:rPr>
                <w:rFonts w:ascii="Arial" w:hAnsi="Arial" w:cs="Arial"/>
                <w:b w:val="0"/>
                <w:bCs w:val="0"/>
                <w:sz w:val="20"/>
                <w:szCs w:val="20"/>
              </w:rPr>
              <w:t>3,871 (91.6%)</w:t>
            </w:r>
          </w:p>
        </w:tc>
        <w:tc>
          <w:tcPr>
            <w:tcW w:w="1316" w:type="dxa"/>
            <w:vAlign w:val="center"/>
          </w:tcPr>
          <w:p w14:paraId="3B34C9E6">
            <w:pPr>
              <w:pStyle w:val="2"/>
              <w:tabs>
                <w:tab w:val="left" w:pos="9120"/>
              </w:tabs>
              <w:spacing w:before="0"/>
              <w:rPr>
                <w:rFonts w:ascii="Arial" w:hAnsi="Arial" w:cs="Arial"/>
                <w:b w:val="0"/>
                <w:bCs w:val="0"/>
                <w:sz w:val="20"/>
                <w:szCs w:val="20"/>
              </w:rPr>
            </w:pPr>
            <w:r>
              <w:rPr>
                <w:rFonts w:ascii="Arial" w:hAnsi="Arial" w:cs="Arial"/>
                <w:b w:val="0"/>
                <w:bCs w:val="0"/>
                <w:sz w:val="20"/>
                <w:szCs w:val="20"/>
              </w:rPr>
              <w:t>321 (86.1%)</w:t>
            </w:r>
          </w:p>
        </w:tc>
        <w:tc>
          <w:tcPr>
            <w:tcW w:w="1357" w:type="dxa"/>
            <w:vAlign w:val="center"/>
          </w:tcPr>
          <w:p w14:paraId="2C540599">
            <w:pPr>
              <w:pStyle w:val="2"/>
              <w:tabs>
                <w:tab w:val="left" w:pos="9120"/>
              </w:tabs>
              <w:spacing w:before="0"/>
              <w:rPr>
                <w:rFonts w:ascii="Arial" w:hAnsi="Arial" w:cs="Arial"/>
                <w:b w:val="0"/>
                <w:bCs w:val="0"/>
                <w:sz w:val="20"/>
                <w:szCs w:val="20"/>
              </w:rPr>
            </w:pPr>
            <w:r>
              <w:rPr>
                <w:rFonts w:ascii="Arial" w:hAnsi="Arial" w:cs="Arial"/>
                <w:b w:val="0"/>
                <w:bCs w:val="0"/>
                <w:sz w:val="20"/>
                <w:szCs w:val="20"/>
              </w:rPr>
              <w:t>85 (69.7%)</w:t>
            </w:r>
          </w:p>
        </w:tc>
        <w:tc>
          <w:tcPr>
            <w:tcW w:w="622" w:type="dxa"/>
            <w:vAlign w:val="center"/>
          </w:tcPr>
          <w:p w14:paraId="1A9EAFD7">
            <w:pPr>
              <w:pStyle w:val="2"/>
              <w:tabs>
                <w:tab w:val="left" w:pos="9120"/>
              </w:tabs>
              <w:spacing w:before="0"/>
              <w:rPr>
                <w:rFonts w:ascii="Arial" w:hAnsi="Arial" w:cs="Arial"/>
                <w:b w:val="0"/>
                <w:bCs w:val="0"/>
                <w:sz w:val="20"/>
                <w:szCs w:val="20"/>
              </w:rPr>
            </w:pPr>
            <w:r>
              <w:rPr>
                <w:rFonts w:ascii="Arial" w:hAnsi="Arial" w:cs="Arial"/>
                <w:b w:val="0"/>
                <w:bCs w:val="0"/>
                <w:sz w:val="20"/>
                <w:szCs w:val="20"/>
              </w:rPr>
              <w:t>&lt;.001</w:t>
            </w:r>
          </w:p>
        </w:tc>
      </w:tr>
      <w:tr w14:paraId="2B9FE556">
        <w:trPr>
          <w:cantSplit/>
        </w:trPr>
        <w:tc>
          <w:tcPr>
            <w:tcW w:w="2671" w:type="dxa"/>
            <w:vAlign w:val="center"/>
          </w:tcPr>
          <w:p w14:paraId="0CA7125C">
            <w:pPr>
              <w:pStyle w:val="2"/>
              <w:tabs>
                <w:tab w:val="left" w:pos="9120"/>
              </w:tabs>
              <w:spacing w:before="0"/>
              <w:rPr>
                <w:rFonts w:ascii="Arial" w:hAnsi="Arial" w:cs="Arial"/>
                <w:b w:val="0"/>
                <w:bCs w:val="0"/>
                <w:sz w:val="20"/>
                <w:szCs w:val="20"/>
              </w:rPr>
            </w:pPr>
            <w:r>
              <w:rPr>
                <w:rFonts w:ascii="Arial" w:hAnsi="Arial" w:cs="Arial"/>
                <w:b w:val="0"/>
                <w:bCs w:val="0"/>
                <w:sz w:val="20"/>
                <w:szCs w:val="20"/>
              </w:rPr>
              <w:t>SpO</w:t>
            </w:r>
            <w:r>
              <w:rPr>
                <w:rFonts w:ascii="Arial" w:hAnsi="Arial" w:eastAsia="宋体" w:cs="Arial"/>
                <w:b w:val="0"/>
                <w:bCs w:val="0"/>
                <w:sz w:val="20"/>
                <w:szCs w:val="20"/>
                <w:vertAlign w:val="subscript"/>
                <w:lang w:eastAsia="zh-CN"/>
              </w:rPr>
              <w:t>2</w:t>
            </w:r>
            <w:r>
              <w:rPr>
                <w:rFonts w:ascii="Arial" w:hAnsi="Arial" w:cs="Arial"/>
                <w:b w:val="0"/>
                <w:bCs w:val="0"/>
                <w:sz w:val="20"/>
                <w:szCs w:val="20"/>
              </w:rPr>
              <w:t>, % (mean)</w:t>
            </w:r>
          </w:p>
        </w:tc>
        <w:tc>
          <w:tcPr>
            <w:tcW w:w="2263" w:type="dxa"/>
            <w:vAlign w:val="center"/>
          </w:tcPr>
          <w:p w14:paraId="606FD63A">
            <w:pPr>
              <w:pStyle w:val="2"/>
              <w:tabs>
                <w:tab w:val="left" w:pos="9120"/>
              </w:tabs>
              <w:spacing w:before="0"/>
              <w:rPr>
                <w:rFonts w:ascii="Arial" w:hAnsi="Arial" w:cs="Arial"/>
                <w:b w:val="0"/>
                <w:bCs w:val="0"/>
                <w:sz w:val="20"/>
                <w:szCs w:val="20"/>
              </w:rPr>
            </w:pPr>
            <w:r>
              <w:rPr>
                <w:rFonts w:ascii="Arial" w:hAnsi="Arial" w:cs="Arial"/>
                <w:b w:val="0"/>
                <w:bCs w:val="0"/>
                <w:sz w:val="20"/>
                <w:szCs w:val="20"/>
              </w:rPr>
              <w:t>SOFA-2 Respiratory (updated)</w:t>
            </w:r>
          </w:p>
        </w:tc>
        <w:tc>
          <w:tcPr>
            <w:tcW w:w="1491" w:type="dxa"/>
            <w:vAlign w:val="center"/>
          </w:tcPr>
          <w:p w14:paraId="5D19ABC5">
            <w:pPr>
              <w:pStyle w:val="2"/>
              <w:tabs>
                <w:tab w:val="left" w:pos="9120"/>
              </w:tabs>
              <w:spacing w:before="0"/>
              <w:rPr>
                <w:rFonts w:ascii="Arial" w:hAnsi="Arial" w:cs="Arial"/>
                <w:b w:val="0"/>
                <w:bCs w:val="0"/>
                <w:sz w:val="20"/>
                <w:szCs w:val="20"/>
              </w:rPr>
            </w:pPr>
            <w:r>
              <w:rPr>
                <w:rFonts w:ascii="Arial" w:hAnsi="Arial" w:cs="Arial"/>
                <w:b w:val="0"/>
                <w:bCs w:val="0"/>
                <w:sz w:val="20"/>
                <w:szCs w:val="20"/>
              </w:rPr>
              <w:t>97.36 ± 2.13</w:t>
            </w:r>
          </w:p>
        </w:tc>
        <w:tc>
          <w:tcPr>
            <w:tcW w:w="1316" w:type="dxa"/>
            <w:vAlign w:val="center"/>
          </w:tcPr>
          <w:p w14:paraId="4FA8C7B3">
            <w:pPr>
              <w:pStyle w:val="2"/>
              <w:tabs>
                <w:tab w:val="left" w:pos="9120"/>
              </w:tabs>
              <w:spacing w:before="0"/>
              <w:rPr>
                <w:rFonts w:ascii="Arial" w:hAnsi="Arial" w:cs="Arial"/>
                <w:b w:val="0"/>
                <w:bCs w:val="0"/>
                <w:sz w:val="20"/>
                <w:szCs w:val="20"/>
              </w:rPr>
            </w:pPr>
            <w:r>
              <w:rPr>
                <w:rFonts w:ascii="Arial" w:hAnsi="Arial" w:cs="Arial"/>
                <w:b w:val="0"/>
                <w:bCs w:val="0"/>
                <w:sz w:val="20"/>
                <w:szCs w:val="20"/>
              </w:rPr>
              <w:t>97.02 ± 2.13</w:t>
            </w:r>
          </w:p>
        </w:tc>
        <w:tc>
          <w:tcPr>
            <w:tcW w:w="1357" w:type="dxa"/>
            <w:vAlign w:val="center"/>
          </w:tcPr>
          <w:p w14:paraId="452F55E4">
            <w:pPr>
              <w:pStyle w:val="2"/>
              <w:tabs>
                <w:tab w:val="left" w:pos="9120"/>
              </w:tabs>
              <w:spacing w:before="0"/>
              <w:rPr>
                <w:rFonts w:ascii="Arial" w:hAnsi="Arial" w:cs="Arial"/>
                <w:b w:val="0"/>
                <w:bCs w:val="0"/>
                <w:sz w:val="20"/>
                <w:szCs w:val="20"/>
              </w:rPr>
            </w:pPr>
            <w:r>
              <w:rPr>
                <w:rFonts w:ascii="Arial" w:hAnsi="Arial" w:cs="Arial"/>
                <w:b w:val="0"/>
                <w:bCs w:val="0"/>
                <w:sz w:val="20"/>
                <w:szCs w:val="20"/>
              </w:rPr>
              <w:t>97.58 ± 1.80</w:t>
            </w:r>
          </w:p>
        </w:tc>
        <w:tc>
          <w:tcPr>
            <w:tcW w:w="622" w:type="dxa"/>
            <w:vAlign w:val="center"/>
          </w:tcPr>
          <w:p w14:paraId="1FCFC4B2">
            <w:pPr>
              <w:pStyle w:val="2"/>
              <w:tabs>
                <w:tab w:val="left" w:pos="9120"/>
              </w:tabs>
              <w:spacing w:before="0"/>
              <w:rPr>
                <w:rFonts w:ascii="Arial" w:hAnsi="Arial" w:cs="Arial"/>
                <w:b w:val="0"/>
                <w:bCs w:val="0"/>
                <w:sz w:val="20"/>
                <w:szCs w:val="20"/>
              </w:rPr>
            </w:pPr>
            <w:r>
              <w:rPr>
                <w:rFonts w:ascii="Arial" w:hAnsi="Arial" w:cs="Arial"/>
                <w:b w:val="0"/>
                <w:bCs w:val="0"/>
                <w:sz w:val="20"/>
                <w:szCs w:val="20"/>
              </w:rPr>
              <w:t>&lt;.001</w:t>
            </w:r>
          </w:p>
        </w:tc>
      </w:tr>
      <w:tr w14:paraId="74155C9B">
        <w:trPr>
          <w:cantSplit/>
        </w:trPr>
        <w:tc>
          <w:tcPr>
            <w:tcW w:w="2671" w:type="dxa"/>
            <w:vAlign w:val="center"/>
          </w:tcPr>
          <w:p w14:paraId="6D8675CF">
            <w:pPr>
              <w:pStyle w:val="2"/>
              <w:tabs>
                <w:tab w:val="left" w:pos="9120"/>
              </w:tabs>
              <w:spacing w:before="0"/>
              <w:rPr>
                <w:rFonts w:ascii="Arial" w:hAnsi="Arial" w:cs="Arial"/>
                <w:b w:val="0"/>
                <w:bCs w:val="0"/>
                <w:sz w:val="20"/>
                <w:szCs w:val="20"/>
              </w:rPr>
            </w:pPr>
            <w:r>
              <w:rPr>
                <w:rFonts w:ascii="Arial" w:hAnsi="Arial" w:cs="Arial"/>
                <w:b w:val="0"/>
                <w:bCs w:val="0"/>
                <w:sz w:val="20"/>
                <w:szCs w:val="20"/>
              </w:rPr>
              <w:t>SpO</w:t>
            </w:r>
            <w:r>
              <w:rPr>
                <w:rFonts w:ascii="Arial" w:hAnsi="Arial" w:eastAsia="宋体" w:cs="Arial"/>
                <w:b w:val="0"/>
                <w:bCs w:val="0"/>
                <w:sz w:val="20"/>
                <w:szCs w:val="20"/>
                <w:vertAlign w:val="subscript"/>
                <w:lang w:eastAsia="zh-CN"/>
              </w:rPr>
              <w:t>2</w:t>
            </w:r>
            <w:r>
              <w:rPr>
                <w:rFonts w:ascii="Arial" w:hAnsi="Arial" w:cs="Arial"/>
                <w:b w:val="0"/>
                <w:bCs w:val="0"/>
                <w:sz w:val="20"/>
                <w:szCs w:val="20"/>
              </w:rPr>
              <w:t>/FiO</w:t>
            </w:r>
            <w:r>
              <w:rPr>
                <w:rFonts w:ascii="Arial" w:hAnsi="Arial" w:eastAsia="宋体" w:cs="Arial"/>
                <w:b w:val="0"/>
                <w:bCs w:val="0"/>
                <w:sz w:val="20"/>
                <w:szCs w:val="20"/>
                <w:vertAlign w:val="subscript"/>
                <w:lang w:eastAsia="zh-CN"/>
              </w:rPr>
              <w:t>2</w:t>
            </w:r>
            <w:r>
              <w:rPr>
                <w:rFonts w:ascii="Arial" w:hAnsi="Arial" w:cs="Arial"/>
                <w:b w:val="0"/>
                <w:bCs w:val="0"/>
                <w:sz w:val="20"/>
                <w:szCs w:val="20"/>
              </w:rPr>
              <w:t xml:space="preserve"> ratio (mean)</w:t>
            </w:r>
          </w:p>
        </w:tc>
        <w:tc>
          <w:tcPr>
            <w:tcW w:w="2263" w:type="dxa"/>
            <w:vAlign w:val="center"/>
          </w:tcPr>
          <w:p w14:paraId="53106428">
            <w:pPr>
              <w:pStyle w:val="2"/>
              <w:tabs>
                <w:tab w:val="left" w:pos="9120"/>
              </w:tabs>
              <w:spacing w:before="0"/>
              <w:rPr>
                <w:rFonts w:ascii="Arial" w:hAnsi="Arial" w:cs="Arial"/>
                <w:b w:val="0"/>
                <w:bCs w:val="0"/>
                <w:sz w:val="20"/>
                <w:szCs w:val="20"/>
              </w:rPr>
            </w:pPr>
            <w:r>
              <w:rPr>
                <w:rFonts w:ascii="Arial" w:hAnsi="Arial" w:cs="Arial"/>
                <w:b w:val="0"/>
                <w:bCs w:val="0"/>
                <w:sz w:val="20"/>
                <w:szCs w:val="20"/>
              </w:rPr>
              <w:t>SOFA-2 Respiratory (updated)</w:t>
            </w:r>
          </w:p>
        </w:tc>
        <w:tc>
          <w:tcPr>
            <w:tcW w:w="1491" w:type="dxa"/>
            <w:vAlign w:val="center"/>
          </w:tcPr>
          <w:p w14:paraId="7533BCBE">
            <w:pPr>
              <w:pStyle w:val="2"/>
              <w:tabs>
                <w:tab w:val="left" w:pos="9120"/>
              </w:tabs>
              <w:spacing w:before="0"/>
              <w:rPr>
                <w:rFonts w:ascii="Arial" w:hAnsi="Arial" w:cs="Arial"/>
                <w:b w:val="0"/>
                <w:bCs w:val="0"/>
                <w:sz w:val="20"/>
                <w:szCs w:val="20"/>
              </w:rPr>
            </w:pPr>
            <w:r>
              <w:rPr>
                <w:rFonts w:ascii="Arial" w:hAnsi="Arial" w:cs="Arial"/>
                <w:b w:val="0"/>
                <w:bCs w:val="0"/>
                <w:sz w:val="20"/>
                <w:szCs w:val="20"/>
              </w:rPr>
              <w:t>216.60 ± 49.92</w:t>
            </w:r>
          </w:p>
        </w:tc>
        <w:tc>
          <w:tcPr>
            <w:tcW w:w="1316" w:type="dxa"/>
            <w:vAlign w:val="center"/>
          </w:tcPr>
          <w:p w14:paraId="45461CFC">
            <w:pPr>
              <w:pStyle w:val="2"/>
              <w:tabs>
                <w:tab w:val="left" w:pos="9120"/>
              </w:tabs>
              <w:spacing w:before="0"/>
              <w:rPr>
                <w:rFonts w:ascii="Arial" w:hAnsi="Arial" w:cs="Arial"/>
                <w:b w:val="0"/>
                <w:bCs w:val="0"/>
                <w:sz w:val="20"/>
                <w:szCs w:val="20"/>
              </w:rPr>
            </w:pPr>
            <w:r>
              <w:rPr>
                <w:rFonts w:ascii="Arial" w:hAnsi="Arial" w:cs="Arial"/>
                <w:b w:val="0"/>
                <w:bCs w:val="0"/>
                <w:sz w:val="20"/>
                <w:szCs w:val="20"/>
              </w:rPr>
              <w:t>225.91 ± 45.29</w:t>
            </w:r>
          </w:p>
        </w:tc>
        <w:tc>
          <w:tcPr>
            <w:tcW w:w="1357" w:type="dxa"/>
            <w:vAlign w:val="center"/>
          </w:tcPr>
          <w:p w14:paraId="6A13A5E0">
            <w:pPr>
              <w:pStyle w:val="2"/>
              <w:tabs>
                <w:tab w:val="left" w:pos="9120"/>
              </w:tabs>
              <w:spacing w:before="0"/>
              <w:rPr>
                <w:rFonts w:ascii="Arial" w:hAnsi="Arial" w:cs="Arial"/>
                <w:b w:val="0"/>
                <w:bCs w:val="0"/>
                <w:sz w:val="20"/>
                <w:szCs w:val="20"/>
              </w:rPr>
            </w:pPr>
            <w:r>
              <w:rPr>
                <w:rFonts w:ascii="Arial" w:hAnsi="Arial" w:cs="Arial"/>
                <w:b w:val="0"/>
                <w:bCs w:val="0"/>
                <w:sz w:val="20"/>
                <w:szCs w:val="20"/>
              </w:rPr>
              <w:t>225.16 ± 42.20</w:t>
            </w:r>
          </w:p>
        </w:tc>
        <w:tc>
          <w:tcPr>
            <w:tcW w:w="622" w:type="dxa"/>
            <w:vAlign w:val="center"/>
          </w:tcPr>
          <w:p w14:paraId="50BE2937">
            <w:pPr>
              <w:pStyle w:val="2"/>
              <w:tabs>
                <w:tab w:val="left" w:pos="9120"/>
              </w:tabs>
              <w:spacing w:before="0"/>
              <w:rPr>
                <w:rFonts w:ascii="Arial" w:hAnsi="Arial" w:cs="Arial"/>
                <w:b w:val="0"/>
                <w:bCs w:val="0"/>
                <w:sz w:val="20"/>
                <w:szCs w:val="20"/>
              </w:rPr>
            </w:pPr>
            <w:r>
              <w:rPr>
                <w:rFonts w:ascii="Arial" w:hAnsi="Arial" w:cs="Arial"/>
                <w:b w:val="0"/>
                <w:bCs w:val="0"/>
                <w:sz w:val="20"/>
                <w:szCs w:val="20"/>
              </w:rPr>
              <w:t>&lt;.001</w:t>
            </w:r>
          </w:p>
        </w:tc>
      </w:tr>
      <w:tr w14:paraId="486E25CA">
        <w:trPr>
          <w:cantSplit/>
        </w:trPr>
        <w:tc>
          <w:tcPr>
            <w:tcW w:w="2671" w:type="dxa"/>
            <w:vAlign w:val="center"/>
          </w:tcPr>
          <w:p w14:paraId="2AE3F2E3">
            <w:pPr>
              <w:pStyle w:val="2"/>
              <w:tabs>
                <w:tab w:val="left" w:pos="9120"/>
              </w:tabs>
              <w:spacing w:before="0"/>
              <w:rPr>
                <w:rFonts w:ascii="Arial" w:hAnsi="Arial" w:cs="Arial"/>
                <w:b w:val="0"/>
                <w:bCs w:val="0"/>
                <w:sz w:val="20"/>
                <w:szCs w:val="20"/>
              </w:rPr>
            </w:pPr>
            <w:r>
              <w:rPr>
                <w:rFonts w:ascii="Arial" w:hAnsi="Arial" w:cs="Arial"/>
                <w:b w:val="0"/>
                <w:bCs w:val="0"/>
                <w:sz w:val="20"/>
                <w:szCs w:val="20"/>
              </w:rPr>
              <w:t>Advanced respiratory support, any</w:t>
            </w:r>
          </w:p>
        </w:tc>
        <w:tc>
          <w:tcPr>
            <w:tcW w:w="2263" w:type="dxa"/>
            <w:vAlign w:val="center"/>
          </w:tcPr>
          <w:p w14:paraId="697B4900">
            <w:pPr>
              <w:pStyle w:val="2"/>
              <w:tabs>
                <w:tab w:val="left" w:pos="9120"/>
              </w:tabs>
              <w:spacing w:before="0"/>
              <w:rPr>
                <w:rFonts w:ascii="Arial" w:hAnsi="Arial" w:cs="Arial"/>
                <w:b w:val="0"/>
                <w:bCs w:val="0"/>
                <w:sz w:val="20"/>
                <w:szCs w:val="20"/>
              </w:rPr>
            </w:pPr>
            <w:r>
              <w:rPr>
                <w:rFonts w:ascii="Arial" w:hAnsi="Arial" w:cs="Arial"/>
                <w:b w:val="0"/>
                <w:bCs w:val="0"/>
                <w:sz w:val="20"/>
                <w:szCs w:val="20"/>
              </w:rPr>
              <w:t>SOFA-2 Respiratory (updated)</w:t>
            </w:r>
          </w:p>
        </w:tc>
        <w:tc>
          <w:tcPr>
            <w:tcW w:w="1491" w:type="dxa"/>
            <w:vAlign w:val="center"/>
          </w:tcPr>
          <w:p w14:paraId="3E81844B">
            <w:pPr>
              <w:pStyle w:val="2"/>
              <w:tabs>
                <w:tab w:val="left" w:pos="9120"/>
              </w:tabs>
              <w:spacing w:before="0"/>
              <w:rPr>
                <w:rFonts w:ascii="Arial" w:hAnsi="Arial" w:cs="Arial"/>
                <w:b w:val="0"/>
                <w:bCs w:val="0"/>
                <w:sz w:val="20"/>
                <w:szCs w:val="20"/>
              </w:rPr>
            </w:pPr>
            <w:r>
              <w:rPr>
                <w:rFonts w:ascii="Arial" w:hAnsi="Arial" w:cs="Arial"/>
                <w:b w:val="0"/>
                <w:bCs w:val="0"/>
                <w:sz w:val="20"/>
                <w:szCs w:val="20"/>
              </w:rPr>
              <w:t>3,895 (92.2%)</w:t>
            </w:r>
          </w:p>
        </w:tc>
        <w:tc>
          <w:tcPr>
            <w:tcW w:w="1316" w:type="dxa"/>
            <w:vAlign w:val="center"/>
          </w:tcPr>
          <w:p w14:paraId="0734AFBC">
            <w:pPr>
              <w:pStyle w:val="2"/>
              <w:tabs>
                <w:tab w:val="left" w:pos="9120"/>
              </w:tabs>
              <w:spacing w:before="0"/>
              <w:rPr>
                <w:rFonts w:ascii="Arial" w:hAnsi="Arial" w:cs="Arial"/>
                <w:b w:val="0"/>
                <w:bCs w:val="0"/>
                <w:sz w:val="20"/>
                <w:szCs w:val="20"/>
              </w:rPr>
            </w:pPr>
            <w:r>
              <w:rPr>
                <w:rFonts w:ascii="Arial" w:hAnsi="Arial" w:cs="Arial"/>
                <w:b w:val="0"/>
                <w:bCs w:val="0"/>
                <w:sz w:val="20"/>
                <w:szCs w:val="20"/>
              </w:rPr>
              <w:t>325 (87.1%)</w:t>
            </w:r>
          </w:p>
        </w:tc>
        <w:tc>
          <w:tcPr>
            <w:tcW w:w="1357" w:type="dxa"/>
            <w:vAlign w:val="center"/>
          </w:tcPr>
          <w:p w14:paraId="5898BBAF">
            <w:pPr>
              <w:pStyle w:val="2"/>
              <w:tabs>
                <w:tab w:val="left" w:pos="9120"/>
              </w:tabs>
              <w:spacing w:before="0"/>
              <w:rPr>
                <w:rFonts w:ascii="Arial" w:hAnsi="Arial" w:cs="Arial"/>
                <w:b w:val="0"/>
                <w:bCs w:val="0"/>
                <w:sz w:val="20"/>
                <w:szCs w:val="20"/>
              </w:rPr>
            </w:pPr>
            <w:r>
              <w:rPr>
                <w:rFonts w:ascii="Arial" w:hAnsi="Arial" w:cs="Arial"/>
                <w:b w:val="0"/>
                <w:bCs w:val="0"/>
                <w:sz w:val="20"/>
                <w:szCs w:val="20"/>
              </w:rPr>
              <w:t>83 (68.0%)</w:t>
            </w:r>
          </w:p>
        </w:tc>
        <w:tc>
          <w:tcPr>
            <w:tcW w:w="622" w:type="dxa"/>
            <w:vAlign w:val="center"/>
          </w:tcPr>
          <w:p w14:paraId="72450314">
            <w:pPr>
              <w:pStyle w:val="2"/>
              <w:tabs>
                <w:tab w:val="left" w:pos="9120"/>
              </w:tabs>
              <w:spacing w:before="0"/>
              <w:rPr>
                <w:rFonts w:ascii="Arial" w:hAnsi="Arial" w:cs="Arial"/>
                <w:b w:val="0"/>
                <w:bCs w:val="0"/>
                <w:sz w:val="20"/>
                <w:szCs w:val="20"/>
              </w:rPr>
            </w:pPr>
            <w:r>
              <w:rPr>
                <w:rFonts w:ascii="Arial" w:hAnsi="Arial" w:cs="Arial"/>
                <w:b w:val="0"/>
                <w:bCs w:val="0"/>
                <w:sz w:val="20"/>
                <w:szCs w:val="20"/>
              </w:rPr>
              <w:t>&lt;.001</w:t>
            </w:r>
          </w:p>
        </w:tc>
      </w:tr>
      <w:tr w14:paraId="06685C94">
        <w:trPr>
          <w:cantSplit/>
        </w:trPr>
        <w:tc>
          <w:tcPr>
            <w:tcW w:w="2671" w:type="dxa"/>
            <w:vAlign w:val="center"/>
          </w:tcPr>
          <w:p w14:paraId="02F32B64">
            <w:pPr>
              <w:pStyle w:val="2"/>
              <w:tabs>
                <w:tab w:val="left" w:pos="9120"/>
              </w:tabs>
              <w:spacing w:before="0"/>
              <w:rPr>
                <w:rFonts w:ascii="Arial" w:hAnsi="Arial" w:cs="Arial"/>
                <w:b w:val="0"/>
                <w:bCs w:val="0"/>
                <w:sz w:val="20"/>
                <w:szCs w:val="20"/>
              </w:rPr>
            </w:pPr>
            <w:r>
              <w:rPr>
                <w:rFonts w:ascii="Arial" w:hAnsi="Arial" w:cs="Arial"/>
                <w:b w:val="0"/>
                <w:bCs w:val="0"/>
                <w:sz w:val="20"/>
                <w:szCs w:val="20"/>
              </w:rPr>
              <w:t>ECMO, any</w:t>
            </w:r>
          </w:p>
        </w:tc>
        <w:tc>
          <w:tcPr>
            <w:tcW w:w="2263" w:type="dxa"/>
            <w:vAlign w:val="center"/>
          </w:tcPr>
          <w:p w14:paraId="4D8B4B90">
            <w:pPr>
              <w:pStyle w:val="2"/>
              <w:tabs>
                <w:tab w:val="left" w:pos="9120"/>
              </w:tabs>
              <w:spacing w:before="0"/>
              <w:rPr>
                <w:rFonts w:ascii="Arial" w:hAnsi="Arial" w:cs="Arial"/>
                <w:b w:val="0"/>
                <w:bCs w:val="0"/>
                <w:sz w:val="20"/>
                <w:szCs w:val="20"/>
              </w:rPr>
            </w:pPr>
            <w:r>
              <w:rPr>
                <w:rFonts w:ascii="Arial" w:hAnsi="Arial" w:cs="Arial"/>
                <w:b w:val="0"/>
                <w:bCs w:val="0"/>
                <w:sz w:val="20"/>
                <w:szCs w:val="20"/>
              </w:rPr>
              <w:t>SOFA-2 Respiratory (updated)</w:t>
            </w:r>
          </w:p>
        </w:tc>
        <w:tc>
          <w:tcPr>
            <w:tcW w:w="1491" w:type="dxa"/>
            <w:vAlign w:val="center"/>
          </w:tcPr>
          <w:p w14:paraId="077F3BDE">
            <w:pPr>
              <w:pStyle w:val="2"/>
              <w:tabs>
                <w:tab w:val="left" w:pos="9120"/>
              </w:tabs>
              <w:spacing w:before="0"/>
              <w:rPr>
                <w:rFonts w:ascii="Arial" w:hAnsi="Arial" w:cs="Arial"/>
                <w:b w:val="0"/>
                <w:bCs w:val="0"/>
                <w:sz w:val="20"/>
                <w:szCs w:val="20"/>
              </w:rPr>
            </w:pPr>
            <w:r>
              <w:rPr>
                <w:rFonts w:ascii="Arial" w:hAnsi="Arial" w:cs="Arial"/>
                <w:b w:val="0"/>
                <w:bCs w:val="0"/>
                <w:sz w:val="20"/>
                <w:szCs w:val="20"/>
              </w:rPr>
              <w:t>2 (0.0%)</w:t>
            </w:r>
          </w:p>
        </w:tc>
        <w:tc>
          <w:tcPr>
            <w:tcW w:w="1316" w:type="dxa"/>
            <w:vAlign w:val="center"/>
          </w:tcPr>
          <w:p w14:paraId="114AFDF5">
            <w:pPr>
              <w:pStyle w:val="2"/>
              <w:tabs>
                <w:tab w:val="left" w:pos="9120"/>
              </w:tabs>
              <w:spacing w:before="0"/>
              <w:rPr>
                <w:rFonts w:ascii="Arial" w:hAnsi="Arial" w:cs="Arial"/>
                <w:b w:val="0"/>
                <w:bCs w:val="0"/>
                <w:sz w:val="20"/>
                <w:szCs w:val="20"/>
              </w:rPr>
            </w:pPr>
            <w:r>
              <w:rPr>
                <w:rFonts w:ascii="Arial" w:hAnsi="Arial" w:cs="Arial"/>
                <w:b w:val="0"/>
                <w:bCs w:val="0"/>
                <w:sz w:val="20"/>
                <w:szCs w:val="20"/>
              </w:rPr>
              <w:t>0 (0.0%)</w:t>
            </w:r>
          </w:p>
        </w:tc>
        <w:tc>
          <w:tcPr>
            <w:tcW w:w="1357" w:type="dxa"/>
            <w:vAlign w:val="center"/>
          </w:tcPr>
          <w:p w14:paraId="2EE7AD2C">
            <w:pPr>
              <w:pStyle w:val="2"/>
              <w:tabs>
                <w:tab w:val="left" w:pos="9120"/>
              </w:tabs>
              <w:spacing w:before="0"/>
              <w:rPr>
                <w:rFonts w:ascii="Arial" w:hAnsi="Arial" w:cs="Arial"/>
                <w:b w:val="0"/>
                <w:bCs w:val="0"/>
                <w:sz w:val="20"/>
                <w:szCs w:val="20"/>
              </w:rPr>
            </w:pPr>
            <w:r>
              <w:rPr>
                <w:rFonts w:ascii="Arial" w:hAnsi="Arial" w:cs="Arial"/>
                <w:b w:val="0"/>
                <w:bCs w:val="0"/>
                <w:sz w:val="20"/>
                <w:szCs w:val="20"/>
              </w:rPr>
              <w:t>0 (0.0%)</w:t>
            </w:r>
          </w:p>
        </w:tc>
        <w:tc>
          <w:tcPr>
            <w:tcW w:w="622" w:type="dxa"/>
            <w:vAlign w:val="center"/>
          </w:tcPr>
          <w:p w14:paraId="21D9D6C2">
            <w:pPr>
              <w:pStyle w:val="2"/>
              <w:tabs>
                <w:tab w:val="left" w:pos="9120"/>
              </w:tabs>
              <w:spacing w:before="0"/>
              <w:rPr>
                <w:rFonts w:ascii="Arial" w:hAnsi="Arial" w:cs="Arial"/>
                <w:b w:val="0"/>
                <w:bCs w:val="0"/>
                <w:sz w:val="20"/>
                <w:szCs w:val="20"/>
              </w:rPr>
            </w:pPr>
            <w:r>
              <w:rPr>
                <w:rFonts w:ascii="Arial" w:hAnsi="Arial" w:cs="Arial"/>
                <w:b w:val="0"/>
                <w:bCs w:val="0"/>
                <w:sz w:val="20"/>
                <w:szCs w:val="20"/>
              </w:rPr>
              <w:t>.89</w:t>
            </w:r>
          </w:p>
        </w:tc>
      </w:tr>
      <w:tr w14:paraId="3E2DDACC">
        <w:trPr>
          <w:cantSplit/>
        </w:trPr>
        <w:tc>
          <w:tcPr>
            <w:tcW w:w="2671" w:type="dxa"/>
            <w:vAlign w:val="center"/>
          </w:tcPr>
          <w:p w14:paraId="6FC95BA6">
            <w:pPr>
              <w:pStyle w:val="2"/>
              <w:tabs>
                <w:tab w:val="left" w:pos="9120"/>
              </w:tabs>
              <w:spacing w:before="0"/>
              <w:rPr>
                <w:rFonts w:ascii="Arial" w:hAnsi="Arial" w:cs="Arial"/>
                <w:b w:val="0"/>
                <w:bCs w:val="0"/>
                <w:sz w:val="20"/>
                <w:szCs w:val="20"/>
              </w:rPr>
            </w:pPr>
            <w:r>
              <w:rPr>
                <w:rFonts w:ascii="Arial" w:hAnsi="Arial" w:cs="Arial"/>
                <w:b w:val="0"/>
                <w:bCs w:val="0"/>
                <w:sz w:val="20"/>
                <w:szCs w:val="20"/>
              </w:rPr>
              <w:t>Platelets, ×10³/µL (mean)</w:t>
            </w:r>
          </w:p>
        </w:tc>
        <w:tc>
          <w:tcPr>
            <w:tcW w:w="2263" w:type="dxa"/>
            <w:vAlign w:val="center"/>
          </w:tcPr>
          <w:p w14:paraId="5EDF27EE">
            <w:pPr>
              <w:pStyle w:val="2"/>
              <w:tabs>
                <w:tab w:val="left" w:pos="9120"/>
              </w:tabs>
              <w:spacing w:before="0"/>
              <w:rPr>
                <w:rFonts w:ascii="Arial" w:hAnsi="Arial" w:cs="Arial"/>
                <w:b w:val="0"/>
                <w:bCs w:val="0"/>
                <w:sz w:val="20"/>
                <w:szCs w:val="20"/>
              </w:rPr>
            </w:pPr>
            <w:r>
              <w:rPr>
                <w:rFonts w:ascii="Arial" w:hAnsi="Arial" w:cs="Arial"/>
                <w:b w:val="0"/>
                <w:bCs w:val="0"/>
                <w:sz w:val="20"/>
                <w:szCs w:val="20"/>
              </w:rPr>
              <w:t>SOFA-2 Coagulation</w:t>
            </w:r>
          </w:p>
        </w:tc>
        <w:tc>
          <w:tcPr>
            <w:tcW w:w="1491" w:type="dxa"/>
            <w:vAlign w:val="center"/>
          </w:tcPr>
          <w:p w14:paraId="72AAA7B8">
            <w:pPr>
              <w:pStyle w:val="2"/>
              <w:tabs>
                <w:tab w:val="left" w:pos="9120"/>
              </w:tabs>
              <w:spacing w:before="0"/>
              <w:rPr>
                <w:rFonts w:ascii="Arial" w:hAnsi="Arial" w:cs="Arial"/>
                <w:b w:val="0"/>
                <w:bCs w:val="0"/>
                <w:sz w:val="20"/>
                <w:szCs w:val="20"/>
              </w:rPr>
            </w:pPr>
            <w:r>
              <w:rPr>
                <w:rFonts w:ascii="Arial" w:hAnsi="Arial" w:cs="Arial"/>
                <w:b w:val="0"/>
                <w:bCs w:val="0"/>
                <w:sz w:val="20"/>
                <w:szCs w:val="20"/>
              </w:rPr>
              <w:t>193.51 ± 108.72</w:t>
            </w:r>
          </w:p>
        </w:tc>
        <w:tc>
          <w:tcPr>
            <w:tcW w:w="1316" w:type="dxa"/>
            <w:vAlign w:val="center"/>
          </w:tcPr>
          <w:p w14:paraId="351AB7C5">
            <w:pPr>
              <w:pStyle w:val="2"/>
              <w:tabs>
                <w:tab w:val="left" w:pos="9120"/>
              </w:tabs>
              <w:spacing w:before="0"/>
              <w:rPr>
                <w:rFonts w:ascii="Arial" w:hAnsi="Arial" w:cs="Arial"/>
                <w:b w:val="0"/>
                <w:bCs w:val="0"/>
                <w:sz w:val="20"/>
                <w:szCs w:val="20"/>
              </w:rPr>
            </w:pPr>
            <w:r>
              <w:rPr>
                <w:rFonts w:ascii="Arial" w:hAnsi="Arial" w:cs="Arial"/>
                <w:b w:val="0"/>
                <w:bCs w:val="0"/>
                <w:sz w:val="20"/>
                <w:szCs w:val="20"/>
              </w:rPr>
              <w:t>223.80 ± 113.50</w:t>
            </w:r>
          </w:p>
        </w:tc>
        <w:tc>
          <w:tcPr>
            <w:tcW w:w="1357" w:type="dxa"/>
            <w:vAlign w:val="center"/>
          </w:tcPr>
          <w:p w14:paraId="02274C21">
            <w:pPr>
              <w:pStyle w:val="2"/>
              <w:tabs>
                <w:tab w:val="left" w:pos="9120"/>
              </w:tabs>
              <w:spacing w:before="0"/>
              <w:rPr>
                <w:rFonts w:ascii="Arial" w:hAnsi="Arial" w:cs="Arial"/>
                <w:b w:val="0"/>
                <w:bCs w:val="0"/>
                <w:sz w:val="20"/>
                <w:szCs w:val="20"/>
              </w:rPr>
            </w:pPr>
            <w:r>
              <w:rPr>
                <w:rFonts w:ascii="Arial" w:hAnsi="Arial" w:cs="Arial"/>
                <w:b w:val="0"/>
                <w:bCs w:val="0"/>
                <w:sz w:val="20"/>
                <w:szCs w:val="20"/>
              </w:rPr>
              <w:t>207.79 ± 106.60</w:t>
            </w:r>
          </w:p>
        </w:tc>
        <w:tc>
          <w:tcPr>
            <w:tcW w:w="622" w:type="dxa"/>
            <w:vAlign w:val="center"/>
          </w:tcPr>
          <w:p w14:paraId="63A15341">
            <w:pPr>
              <w:pStyle w:val="2"/>
              <w:tabs>
                <w:tab w:val="left" w:pos="9120"/>
              </w:tabs>
              <w:spacing w:before="0"/>
              <w:rPr>
                <w:rFonts w:ascii="Arial" w:hAnsi="Arial" w:cs="Arial"/>
                <w:b w:val="0"/>
                <w:bCs w:val="0"/>
                <w:sz w:val="20"/>
                <w:szCs w:val="20"/>
              </w:rPr>
            </w:pPr>
            <w:r>
              <w:rPr>
                <w:rFonts w:ascii="Arial" w:hAnsi="Arial" w:cs="Arial"/>
                <w:b w:val="0"/>
                <w:bCs w:val="0"/>
                <w:sz w:val="20"/>
                <w:szCs w:val="20"/>
              </w:rPr>
              <w:t>&lt;.001</w:t>
            </w:r>
          </w:p>
        </w:tc>
      </w:tr>
      <w:tr w14:paraId="7EE7EEC9">
        <w:trPr>
          <w:cantSplit/>
        </w:trPr>
        <w:tc>
          <w:tcPr>
            <w:tcW w:w="2671" w:type="dxa"/>
            <w:vAlign w:val="center"/>
          </w:tcPr>
          <w:p w14:paraId="73CA4787">
            <w:pPr>
              <w:pStyle w:val="2"/>
              <w:tabs>
                <w:tab w:val="left" w:pos="9120"/>
              </w:tabs>
              <w:spacing w:before="0"/>
              <w:rPr>
                <w:rFonts w:ascii="Arial" w:hAnsi="Arial" w:cs="Arial"/>
                <w:b w:val="0"/>
                <w:bCs w:val="0"/>
                <w:sz w:val="20"/>
                <w:szCs w:val="20"/>
              </w:rPr>
            </w:pPr>
            <w:r>
              <w:rPr>
                <w:rFonts w:ascii="Arial" w:hAnsi="Arial" w:cs="Arial"/>
                <w:b w:val="0"/>
                <w:bCs w:val="0"/>
                <w:sz w:val="20"/>
                <w:szCs w:val="20"/>
              </w:rPr>
              <w:t>Total bilirubin, mg/dL (mean)</w:t>
            </w:r>
          </w:p>
        </w:tc>
        <w:tc>
          <w:tcPr>
            <w:tcW w:w="2263" w:type="dxa"/>
            <w:vAlign w:val="center"/>
          </w:tcPr>
          <w:p w14:paraId="7DE5B9B4">
            <w:pPr>
              <w:pStyle w:val="2"/>
              <w:tabs>
                <w:tab w:val="left" w:pos="9120"/>
              </w:tabs>
              <w:spacing w:before="0"/>
              <w:rPr>
                <w:rFonts w:ascii="Arial" w:hAnsi="Arial" w:cs="Arial"/>
                <w:b w:val="0"/>
                <w:bCs w:val="0"/>
                <w:sz w:val="20"/>
                <w:szCs w:val="20"/>
              </w:rPr>
            </w:pPr>
            <w:r>
              <w:rPr>
                <w:rFonts w:ascii="Arial" w:hAnsi="Arial" w:cs="Arial"/>
                <w:b w:val="0"/>
                <w:bCs w:val="0"/>
                <w:sz w:val="20"/>
                <w:szCs w:val="20"/>
              </w:rPr>
              <w:t>SOFA Liver</w:t>
            </w:r>
          </w:p>
        </w:tc>
        <w:tc>
          <w:tcPr>
            <w:tcW w:w="1491" w:type="dxa"/>
            <w:vAlign w:val="center"/>
          </w:tcPr>
          <w:p w14:paraId="121BE2EA">
            <w:pPr>
              <w:pStyle w:val="2"/>
              <w:tabs>
                <w:tab w:val="left" w:pos="9120"/>
              </w:tabs>
              <w:spacing w:before="0"/>
              <w:rPr>
                <w:rFonts w:ascii="Arial" w:hAnsi="Arial" w:cs="Arial"/>
                <w:b w:val="0"/>
                <w:bCs w:val="0"/>
                <w:sz w:val="20"/>
                <w:szCs w:val="20"/>
              </w:rPr>
            </w:pPr>
            <w:r>
              <w:rPr>
                <w:rFonts w:ascii="Arial" w:hAnsi="Arial" w:cs="Arial"/>
                <w:b w:val="0"/>
                <w:bCs w:val="0"/>
                <w:sz w:val="20"/>
                <w:szCs w:val="20"/>
              </w:rPr>
              <w:t>1.07 ± 1.78</w:t>
            </w:r>
          </w:p>
        </w:tc>
        <w:tc>
          <w:tcPr>
            <w:tcW w:w="1316" w:type="dxa"/>
            <w:vAlign w:val="center"/>
          </w:tcPr>
          <w:p w14:paraId="4D56935D">
            <w:pPr>
              <w:pStyle w:val="2"/>
              <w:tabs>
                <w:tab w:val="left" w:pos="9120"/>
              </w:tabs>
              <w:spacing w:before="0"/>
              <w:rPr>
                <w:rFonts w:ascii="Arial" w:hAnsi="Arial" w:cs="Arial"/>
                <w:b w:val="0"/>
                <w:bCs w:val="0"/>
                <w:sz w:val="20"/>
                <w:szCs w:val="20"/>
              </w:rPr>
            </w:pPr>
            <w:r>
              <w:rPr>
                <w:rFonts w:ascii="Arial" w:hAnsi="Arial" w:cs="Arial"/>
                <w:b w:val="0"/>
                <w:bCs w:val="0"/>
                <w:sz w:val="20"/>
                <w:szCs w:val="20"/>
              </w:rPr>
              <w:t>0.81 ± 1.67</w:t>
            </w:r>
          </w:p>
        </w:tc>
        <w:tc>
          <w:tcPr>
            <w:tcW w:w="1357" w:type="dxa"/>
            <w:vAlign w:val="center"/>
          </w:tcPr>
          <w:p w14:paraId="55EC2C52">
            <w:pPr>
              <w:pStyle w:val="2"/>
              <w:tabs>
                <w:tab w:val="left" w:pos="9120"/>
              </w:tabs>
              <w:spacing w:before="0"/>
              <w:rPr>
                <w:rFonts w:ascii="Arial" w:hAnsi="Arial" w:cs="Arial"/>
                <w:b w:val="0"/>
                <w:bCs w:val="0"/>
                <w:sz w:val="20"/>
                <w:szCs w:val="20"/>
              </w:rPr>
            </w:pPr>
            <w:r>
              <w:rPr>
                <w:rFonts w:ascii="Arial" w:hAnsi="Arial" w:cs="Arial"/>
                <w:b w:val="0"/>
                <w:bCs w:val="0"/>
                <w:sz w:val="20"/>
                <w:szCs w:val="20"/>
              </w:rPr>
              <w:t>1.03 ± 1.74</w:t>
            </w:r>
          </w:p>
        </w:tc>
        <w:tc>
          <w:tcPr>
            <w:tcW w:w="622" w:type="dxa"/>
            <w:vAlign w:val="center"/>
          </w:tcPr>
          <w:p w14:paraId="6F506B91">
            <w:pPr>
              <w:pStyle w:val="2"/>
              <w:tabs>
                <w:tab w:val="left" w:pos="9120"/>
              </w:tabs>
              <w:spacing w:before="0"/>
              <w:rPr>
                <w:rFonts w:ascii="Arial" w:hAnsi="Arial" w:cs="Arial"/>
                <w:b w:val="0"/>
                <w:bCs w:val="0"/>
                <w:sz w:val="20"/>
                <w:szCs w:val="20"/>
              </w:rPr>
            </w:pPr>
            <w:r>
              <w:rPr>
                <w:rFonts w:ascii="Arial" w:hAnsi="Arial" w:cs="Arial"/>
                <w:b w:val="0"/>
                <w:bCs w:val="0"/>
                <w:sz w:val="20"/>
                <w:szCs w:val="20"/>
              </w:rPr>
              <w:t>&lt;.001</w:t>
            </w:r>
          </w:p>
        </w:tc>
      </w:tr>
      <w:tr w14:paraId="65BE9CB4">
        <w:trPr>
          <w:cantSplit/>
        </w:trPr>
        <w:tc>
          <w:tcPr>
            <w:tcW w:w="2671" w:type="dxa"/>
            <w:vAlign w:val="center"/>
          </w:tcPr>
          <w:p w14:paraId="4D783113">
            <w:pPr>
              <w:pStyle w:val="2"/>
              <w:tabs>
                <w:tab w:val="left" w:pos="9120"/>
              </w:tabs>
              <w:spacing w:before="0"/>
              <w:rPr>
                <w:rFonts w:ascii="Arial" w:hAnsi="Arial" w:cs="Arial"/>
                <w:b w:val="0"/>
                <w:bCs w:val="0"/>
                <w:sz w:val="20"/>
                <w:szCs w:val="20"/>
              </w:rPr>
            </w:pPr>
            <w:r>
              <w:rPr>
                <w:rFonts w:ascii="Arial" w:hAnsi="Arial" w:cs="Arial"/>
                <w:b w:val="0"/>
                <w:bCs w:val="0"/>
                <w:sz w:val="20"/>
                <w:szCs w:val="20"/>
              </w:rPr>
              <w:t>Mean arterial pressure, mm Hg (mean)</w:t>
            </w:r>
          </w:p>
        </w:tc>
        <w:tc>
          <w:tcPr>
            <w:tcW w:w="2263" w:type="dxa"/>
            <w:vAlign w:val="center"/>
          </w:tcPr>
          <w:p w14:paraId="11A9CA17">
            <w:pPr>
              <w:pStyle w:val="2"/>
              <w:tabs>
                <w:tab w:val="left" w:pos="9120"/>
              </w:tabs>
              <w:spacing w:before="0"/>
              <w:rPr>
                <w:rFonts w:ascii="Arial" w:hAnsi="Arial" w:cs="Arial"/>
                <w:b w:val="0"/>
                <w:bCs w:val="0"/>
                <w:sz w:val="20"/>
                <w:szCs w:val="20"/>
              </w:rPr>
            </w:pPr>
            <w:r>
              <w:rPr>
                <w:rFonts w:ascii="Arial" w:hAnsi="Arial" w:cs="Arial"/>
                <w:b w:val="0"/>
                <w:bCs w:val="0"/>
                <w:sz w:val="20"/>
                <w:szCs w:val="20"/>
              </w:rPr>
              <w:t>SOFA Cardiovascular (baseline)</w:t>
            </w:r>
          </w:p>
        </w:tc>
        <w:tc>
          <w:tcPr>
            <w:tcW w:w="1491" w:type="dxa"/>
            <w:vAlign w:val="center"/>
          </w:tcPr>
          <w:p w14:paraId="47657BA6">
            <w:pPr>
              <w:pStyle w:val="2"/>
              <w:tabs>
                <w:tab w:val="left" w:pos="9120"/>
              </w:tabs>
              <w:spacing w:before="0"/>
              <w:rPr>
                <w:rFonts w:ascii="Arial" w:hAnsi="Arial" w:cs="Arial"/>
                <w:b w:val="0"/>
                <w:bCs w:val="0"/>
                <w:sz w:val="20"/>
                <w:szCs w:val="20"/>
              </w:rPr>
            </w:pPr>
            <w:r>
              <w:rPr>
                <w:rFonts w:ascii="Arial" w:hAnsi="Arial" w:cs="Arial"/>
                <w:b w:val="0"/>
                <w:bCs w:val="0"/>
                <w:sz w:val="20"/>
                <w:szCs w:val="20"/>
              </w:rPr>
              <w:t>79.39 ± 9.94</w:t>
            </w:r>
          </w:p>
        </w:tc>
        <w:tc>
          <w:tcPr>
            <w:tcW w:w="1316" w:type="dxa"/>
            <w:vAlign w:val="center"/>
          </w:tcPr>
          <w:p w14:paraId="463FE5CC">
            <w:pPr>
              <w:pStyle w:val="2"/>
              <w:tabs>
                <w:tab w:val="left" w:pos="9120"/>
              </w:tabs>
              <w:spacing w:before="0"/>
              <w:rPr>
                <w:rFonts w:ascii="Arial" w:hAnsi="Arial" w:cs="Arial"/>
                <w:b w:val="0"/>
                <w:bCs w:val="0"/>
                <w:sz w:val="20"/>
                <w:szCs w:val="20"/>
              </w:rPr>
            </w:pPr>
            <w:r>
              <w:rPr>
                <w:rFonts w:ascii="Arial" w:hAnsi="Arial" w:cs="Arial"/>
                <w:b w:val="0"/>
                <w:bCs w:val="0"/>
                <w:sz w:val="20"/>
                <w:szCs w:val="20"/>
              </w:rPr>
              <w:t>81.50 ± 11.09</w:t>
            </w:r>
          </w:p>
        </w:tc>
        <w:tc>
          <w:tcPr>
            <w:tcW w:w="1357" w:type="dxa"/>
            <w:vAlign w:val="center"/>
          </w:tcPr>
          <w:p w14:paraId="7710631A">
            <w:pPr>
              <w:pStyle w:val="2"/>
              <w:tabs>
                <w:tab w:val="left" w:pos="9120"/>
              </w:tabs>
              <w:spacing w:before="0"/>
              <w:rPr>
                <w:rFonts w:ascii="Arial" w:hAnsi="Arial" w:cs="Arial"/>
                <w:b w:val="0"/>
                <w:bCs w:val="0"/>
                <w:sz w:val="20"/>
                <w:szCs w:val="20"/>
              </w:rPr>
            </w:pPr>
            <w:r>
              <w:rPr>
                <w:rFonts w:ascii="Arial" w:hAnsi="Arial" w:cs="Arial"/>
                <w:b w:val="0"/>
                <w:bCs w:val="0"/>
                <w:sz w:val="20"/>
                <w:szCs w:val="20"/>
              </w:rPr>
              <w:t>81.94 ± 10.00</w:t>
            </w:r>
          </w:p>
        </w:tc>
        <w:tc>
          <w:tcPr>
            <w:tcW w:w="622" w:type="dxa"/>
            <w:vAlign w:val="center"/>
          </w:tcPr>
          <w:p w14:paraId="78AFC741">
            <w:pPr>
              <w:pStyle w:val="2"/>
              <w:tabs>
                <w:tab w:val="left" w:pos="9120"/>
              </w:tabs>
              <w:spacing w:before="0"/>
              <w:rPr>
                <w:rFonts w:ascii="Arial" w:hAnsi="Arial" w:cs="Arial"/>
                <w:b w:val="0"/>
                <w:bCs w:val="0"/>
                <w:sz w:val="20"/>
                <w:szCs w:val="20"/>
              </w:rPr>
            </w:pPr>
            <w:r>
              <w:rPr>
                <w:rFonts w:ascii="Arial" w:hAnsi="Arial" w:cs="Arial"/>
                <w:b w:val="0"/>
                <w:bCs w:val="0"/>
                <w:sz w:val="20"/>
                <w:szCs w:val="20"/>
              </w:rPr>
              <w:t>&lt;.001</w:t>
            </w:r>
          </w:p>
        </w:tc>
      </w:tr>
      <w:tr w14:paraId="52DEC99F">
        <w:trPr>
          <w:cantSplit/>
        </w:trPr>
        <w:tc>
          <w:tcPr>
            <w:tcW w:w="2671" w:type="dxa"/>
            <w:vAlign w:val="center"/>
          </w:tcPr>
          <w:p w14:paraId="3A276CD8">
            <w:pPr>
              <w:pStyle w:val="2"/>
              <w:tabs>
                <w:tab w:val="left" w:pos="9120"/>
              </w:tabs>
              <w:spacing w:before="0"/>
              <w:rPr>
                <w:rFonts w:ascii="Arial" w:hAnsi="Arial" w:cs="Arial"/>
                <w:b w:val="0"/>
                <w:bCs w:val="0"/>
                <w:sz w:val="20"/>
                <w:szCs w:val="20"/>
              </w:rPr>
            </w:pPr>
            <w:r>
              <w:rPr>
                <w:rFonts w:ascii="Arial" w:hAnsi="Arial" w:cs="Arial"/>
                <w:b w:val="0"/>
                <w:bCs w:val="0"/>
                <w:sz w:val="20"/>
                <w:szCs w:val="20"/>
              </w:rPr>
              <w:t>Systolic blood pressure, mm Hg (mean)</w:t>
            </w:r>
          </w:p>
        </w:tc>
        <w:tc>
          <w:tcPr>
            <w:tcW w:w="2263" w:type="dxa"/>
            <w:vAlign w:val="center"/>
          </w:tcPr>
          <w:p w14:paraId="7362D4DE">
            <w:pPr>
              <w:pStyle w:val="2"/>
              <w:tabs>
                <w:tab w:val="left" w:pos="9120"/>
              </w:tabs>
              <w:spacing w:before="0"/>
              <w:rPr>
                <w:rFonts w:ascii="Arial" w:hAnsi="Arial" w:cs="Arial"/>
                <w:b w:val="0"/>
                <w:bCs w:val="0"/>
                <w:sz w:val="20"/>
                <w:szCs w:val="20"/>
              </w:rPr>
            </w:pPr>
            <w:r>
              <w:rPr>
                <w:rFonts w:ascii="Arial" w:hAnsi="Arial" w:cs="Arial"/>
                <w:b w:val="0"/>
                <w:bCs w:val="0"/>
                <w:sz w:val="20"/>
                <w:szCs w:val="20"/>
              </w:rPr>
              <w:t>SOFA Cardiovascular (baseline)</w:t>
            </w:r>
          </w:p>
        </w:tc>
        <w:tc>
          <w:tcPr>
            <w:tcW w:w="1491" w:type="dxa"/>
            <w:vAlign w:val="center"/>
          </w:tcPr>
          <w:p w14:paraId="190BFDEA">
            <w:pPr>
              <w:pStyle w:val="2"/>
              <w:tabs>
                <w:tab w:val="left" w:pos="9120"/>
              </w:tabs>
              <w:spacing w:before="0"/>
              <w:rPr>
                <w:rFonts w:ascii="Arial" w:hAnsi="Arial" w:cs="Arial"/>
                <w:b w:val="0"/>
                <w:bCs w:val="0"/>
                <w:sz w:val="20"/>
                <w:szCs w:val="20"/>
              </w:rPr>
            </w:pPr>
            <w:r>
              <w:rPr>
                <w:rFonts w:ascii="Arial" w:hAnsi="Arial" w:cs="Arial"/>
                <w:b w:val="0"/>
                <w:bCs w:val="0"/>
                <w:sz w:val="20"/>
                <w:szCs w:val="20"/>
              </w:rPr>
              <w:t>118.60 ± 18.02</w:t>
            </w:r>
          </w:p>
        </w:tc>
        <w:tc>
          <w:tcPr>
            <w:tcW w:w="1316" w:type="dxa"/>
            <w:vAlign w:val="center"/>
          </w:tcPr>
          <w:p w14:paraId="7AF705C0">
            <w:pPr>
              <w:pStyle w:val="2"/>
              <w:tabs>
                <w:tab w:val="left" w:pos="9120"/>
              </w:tabs>
              <w:spacing w:before="0"/>
              <w:rPr>
                <w:rFonts w:ascii="Arial" w:hAnsi="Arial" w:cs="Arial"/>
                <w:b w:val="0"/>
                <w:bCs w:val="0"/>
                <w:sz w:val="20"/>
                <w:szCs w:val="20"/>
              </w:rPr>
            </w:pPr>
            <w:r>
              <w:rPr>
                <w:rFonts w:ascii="Arial" w:hAnsi="Arial" w:cs="Arial"/>
                <w:b w:val="0"/>
                <w:bCs w:val="0"/>
                <w:sz w:val="20"/>
                <w:szCs w:val="20"/>
              </w:rPr>
              <w:t>123.44 ± 19.67</w:t>
            </w:r>
          </w:p>
        </w:tc>
        <w:tc>
          <w:tcPr>
            <w:tcW w:w="1357" w:type="dxa"/>
            <w:vAlign w:val="center"/>
          </w:tcPr>
          <w:p w14:paraId="022C52CD">
            <w:pPr>
              <w:pStyle w:val="2"/>
              <w:tabs>
                <w:tab w:val="left" w:pos="9120"/>
              </w:tabs>
              <w:spacing w:before="0"/>
              <w:rPr>
                <w:rFonts w:ascii="Arial" w:hAnsi="Arial" w:cs="Arial"/>
                <w:b w:val="0"/>
                <w:bCs w:val="0"/>
                <w:sz w:val="20"/>
                <w:szCs w:val="20"/>
              </w:rPr>
            </w:pPr>
            <w:r>
              <w:rPr>
                <w:rFonts w:ascii="Arial" w:hAnsi="Arial" w:cs="Arial"/>
                <w:b w:val="0"/>
                <w:bCs w:val="0"/>
                <w:sz w:val="20"/>
                <w:szCs w:val="20"/>
              </w:rPr>
              <w:t>122.11 ± 18.31</w:t>
            </w:r>
          </w:p>
        </w:tc>
        <w:tc>
          <w:tcPr>
            <w:tcW w:w="622" w:type="dxa"/>
            <w:vAlign w:val="center"/>
          </w:tcPr>
          <w:p w14:paraId="389F9DC6">
            <w:pPr>
              <w:pStyle w:val="2"/>
              <w:tabs>
                <w:tab w:val="left" w:pos="9120"/>
              </w:tabs>
              <w:spacing w:before="0"/>
              <w:rPr>
                <w:rFonts w:ascii="Arial" w:hAnsi="Arial" w:cs="Arial"/>
                <w:b w:val="0"/>
                <w:bCs w:val="0"/>
                <w:sz w:val="20"/>
                <w:szCs w:val="20"/>
              </w:rPr>
            </w:pPr>
            <w:r>
              <w:rPr>
                <w:rFonts w:ascii="Arial" w:hAnsi="Arial" w:cs="Arial"/>
                <w:b w:val="0"/>
                <w:bCs w:val="0"/>
                <w:sz w:val="20"/>
                <w:szCs w:val="20"/>
              </w:rPr>
              <w:t>&lt;.001</w:t>
            </w:r>
          </w:p>
        </w:tc>
      </w:tr>
      <w:tr w14:paraId="0551D20D">
        <w:trPr>
          <w:cantSplit/>
        </w:trPr>
        <w:tc>
          <w:tcPr>
            <w:tcW w:w="2671" w:type="dxa"/>
            <w:vAlign w:val="center"/>
          </w:tcPr>
          <w:p w14:paraId="6B5DB22A">
            <w:pPr>
              <w:pStyle w:val="2"/>
              <w:tabs>
                <w:tab w:val="left" w:pos="9120"/>
              </w:tabs>
              <w:spacing w:before="0"/>
              <w:rPr>
                <w:rFonts w:ascii="Arial" w:hAnsi="Arial" w:cs="Arial"/>
                <w:b w:val="0"/>
                <w:bCs w:val="0"/>
                <w:sz w:val="20"/>
                <w:szCs w:val="20"/>
              </w:rPr>
            </w:pPr>
            <w:r>
              <w:rPr>
                <w:rFonts w:ascii="Arial" w:hAnsi="Arial" w:cs="Arial"/>
                <w:b w:val="0"/>
                <w:bCs w:val="0"/>
                <w:sz w:val="20"/>
                <w:szCs w:val="20"/>
              </w:rPr>
              <w:t>Diastolic blood pressure, mm Hg (mean)</w:t>
            </w:r>
          </w:p>
        </w:tc>
        <w:tc>
          <w:tcPr>
            <w:tcW w:w="2263" w:type="dxa"/>
            <w:vAlign w:val="center"/>
          </w:tcPr>
          <w:p w14:paraId="0F879813">
            <w:pPr>
              <w:pStyle w:val="2"/>
              <w:tabs>
                <w:tab w:val="left" w:pos="9120"/>
              </w:tabs>
              <w:spacing w:before="0"/>
              <w:rPr>
                <w:rFonts w:ascii="Arial" w:hAnsi="Arial" w:cs="Arial"/>
                <w:b w:val="0"/>
                <w:bCs w:val="0"/>
                <w:sz w:val="20"/>
                <w:szCs w:val="20"/>
              </w:rPr>
            </w:pPr>
            <w:r>
              <w:rPr>
                <w:rFonts w:ascii="Arial" w:hAnsi="Arial" w:cs="Arial"/>
                <w:b w:val="0"/>
                <w:bCs w:val="0"/>
                <w:sz w:val="20"/>
                <w:szCs w:val="20"/>
              </w:rPr>
              <w:t>SOFA Cardiovascular (baseline)</w:t>
            </w:r>
          </w:p>
        </w:tc>
        <w:tc>
          <w:tcPr>
            <w:tcW w:w="1491" w:type="dxa"/>
            <w:vAlign w:val="center"/>
          </w:tcPr>
          <w:p w14:paraId="7A8C959E">
            <w:pPr>
              <w:pStyle w:val="2"/>
              <w:tabs>
                <w:tab w:val="left" w:pos="9120"/>
              </w:tabs>
              <w:spacing w:before="0"/>
              <w:rPr>
                <w:rFonts w:ascii="Arial" w:hAnsi="Arial" w:cs="Arial"/>
                <w:b w:val="0"/>
                <w:bCs w:val="0"/>
                <w:sz w:val="20"/>
                <w:szCs w:val="20"/>
              </w:rPr>
            </w:pPr>
            <w:r>
              <w:rPr>
                <w:rFonts w:ascii="Arial" w:hAnsi="Arial" w:cs="Arial"/>
                <w:b w:val="0"/>
                <w:bCs w:val="0"/>
                <w:sz w:val="20"/>
                <w:szCs w:val="20"/>
              </w:rPr>
              <w:t>59.85 ± 8.59</w:t>
            </w:r>
          </w:p>
        </w:tc>
        <w:tc>
          <w:tcPr>
            <w:tcW w:w="1316" w:type="dxa"/>
            <w:vAlign w:val="center"/>
          </w:tcPr>
          <w:p w14:paraId="1471815A">
            <w:pPr>
              <w:pStyle w:val="2"/>
              <w:tabs>
                <w:tab w:val="left" w:pos="9120"/>
              </w:tabs>
              <w:spacing w:before="0"/>
              <w:rPr>
                <w:rFonts w:ascii="Arial" w:hAnsi="Arial" w:cs="Arial"/>
                <w:b w:val="0"/>
                <w:bCs w:val="0"/>
                <w:sz w:val="20"/>
                <w:szCs w:val="20"/>
              </w:rPr>
            </w:pPr>
            <w:r>
              <w:rPr>
                <w:rFonts w:ascii="Arial" w:hAnsi="Arial" w:cs="Arial"/>
                <w:b w:val="0"/>
                <w:bCs w:val="0"/>
                <w:sz w:val="20"/>
                <w:szCs w:val="20"/>
              </w:rPr>
              <w:t>60.66 ± 8.90</w:t>
            </w:r>
          </w:p>
        </w:tc>
        <w:tc>
          <w:tcPr>
            <w:tcW w:w="1357" w:type="dxa"/>
            <w:vAlign w:val="center"/>
          </w:tcPr>
          <w:p w14:paraId="2A1F1CEF">
            <w:pPr>
              <w:pStyle w:val="2"/>
              <w:tabs>
                <w:tab w:val="left" w:pos="9120"/>
              </w:tabs>
              <w:spacing w:before="0"/>
              <w:rPr>
                <w:rFonts w:ascii="Arial" w:hAnsi="Arial" w:cs="Arial"/>
                <w:b w:val="0"/>
                <w:bCs w:val="0"/>
                <w:sz w:val="20"/>
                <w:szCs w:val="20"/>
              </w:rPr>
            </w:pPr>
            <w:r>
              <w:rPr>
                <w:rFonts w:ascii="Arial" w:hAnsi="Arial" w:cs="Arial"/>
                <w:b w:val="0"/>
                <w:bCs w:val="0"/>
                <w:sz w:val="20"/>
                <w:szCs w:val="20"/>
              </w:rPr>
              <w:t>61.46 ± 8.42</w:t>
            </w:r>
          </w:p>
        </w:tc>
        <w:tc>
          <w:tcPr>
            <w:tcW w:w="622" w:type="dxa"/>
            <w:vAlign w:val="center"/>
          </w:tcPr>
          <w:p w14:paraId="3179C1AC">
            <w:pPr>
              <w:pStyle w:val="2"/>
              <w:tabs>
                <w:tab w:val="left" w:pos="9120"/>
              </w:tabs>
              <w:spacing w:before="0"/>
              <w:rPr>
                <w:rFonts w:ascii="Arial" w:hAnsi="Arial" w:cs="Arial"/>
                <w:b w:val="0"/>
                <w:bCs w:val="0"/>
                <w:sz w:val="20"/>
                <w:szCs w:val="20"/>
              </w:rPr>
            </w:pPr>
            <w:r>
              <w:rPr>
                <w:rFonts w:ascii="Arial" w:hAnsi="Arial" w:cs="Arial"/>
                <w:b w:val="0"/>
                <w:bCs w:val="0"/>
                <w:sz w:val="20"/>
                <w:szCs w:val="20"/>
              </w:rPr>
              <w:t>.06</w:t>
            </w:r>
          </w:p>
        </w:tc>
      </w:tr>
      <w:tr w14:paraId="3125121A">
        <w:trPr>
          <w:cantSplit/>
        </w:trPr>
        <w:tc>
          <w:tcPr>
            <w:tcW w:w="2671" w:type="dxa"/>
            <w:vAlign w:val="center"/>
          </w:tcPr>
          <w:p w14:paraId="4AF78557">
            <w:pPr>
              <w:pStyle w:val="2"/>
              <w:tabs>
                <w:tab w:val="left" w:pos="9120"/>
              </w:tabs>
              <w:spacing w:before="0"/>
              <w:rPr>
                <w:rFonts w:ascii="Arial" w:hAnsi="Arial" w:cs="Arial"/>
                <w:b w:val="0"/>
                <w:bCs w:val="0"/>
                <w:sz w:val="20"/>
                <w:szCs w:val="20"/>
              </w:rPr>
            </w:pPr>
            <w:r>
              <w:rPr>
                <w:rFonts w:ascii="Arial" w:hAnsi="Arial" w:cs="Arial"/>
                <w:b w:val="0"/>
                <w:bCs w:val="0"/>
                <w:sz w:val="20"/>
                <w:szCs w:val="20"/>
              </w:rPr>
              <w:t>Heart rate, bpm (mean)</w:t>
            </w:r>
          </w:p>
        </w:tc>
        <w:tc>
          <w:tcPr>
            <w:tcW w:w="2263" w:type="dxa"/>
            <w:vAlign w:val="center"/>
          </w:tcPr>
          <w:p w14:paraId="395486F0">
            <w:pPr>
              <w:pStyle w:val="2"/>
              <w:tabs>
                <w:tab w:val="left" w:pos="9120"/>
              </w:tabs>
              <w:spacing w:before="0"/>
              <w:rPr>
                <w:rFonts w:ascii="Arial" w:hAnsi="Arial" w:cs="Arial"/>
                <w:b w:val="0"/>
                <w:bCs w:val="0"/>
                <w:sz w:val="20"/>
                <w:szCs w:val="20"/>
              </w:rPr>
            </w:pPr>
            <w:r>
              <w:rPr>
                <w:rFonts w:ascii="Arial" w:hAnsi="Arial" w:cs="Arial"/>
                <w:b w:val="0"/>
                <w:bCs w:val="0"/>
                <w:sz w:val="20"/>
                <w:szCs w:val="20"/>
              </w:rPr>
              <w:t>SOFA Cardiovascular (baseline)</w:t>
            </w:r>
          </w:p>
        </w:tc>
        <w:tc>
          <w:tcPr>
            <w:tcW w:w="1491" w:type="dxa"/>
            <w:vAlign w:val="center"/>
          </w:tcPr>
          <w:p w14:paraId="36A7CE6F">
            <w:pPr>
              <w:pStyle w:val="2"/>
              <w:tabs>
                <w:tab w:val="left" w:pos="9120"/>
              </w:tabs>
              <w:spacing w:before="0"/>
              <w:rPr>
                <w:rFonts w:ascii="Arial" w:hAnsi="Arial" w:cs="Arial"/>
                <w:b w:val="0"/>
                <w:bCs w:val="0"/>
                <w:sz w:val="20"/>
                <w:szCs w:val="20"/>
              </w:rPr>
            </w:pPr>
            <w:r>
              <w:rPr>
                <w:rFonts w:ascii="Arial" w:hAnsi="Arial" w:cs="Arial"/>
                <w:b w:val="0"/>
                <w:bCs w:val="0"/>
                <w:sz w:val="20"/>
                <w:szCs w:val="20"/>
              </w:rPr>
              <w:t>83.17 ± 20.19</w:t>
            </w:r>
          </w:p>
        </w:tc>
        <w:tc>
          <w:tcPr>
            <w:tcW w:w="1316" w:type="dxa"/>
            <w:vAlign w:val="center"/>
          </w:tcPr>
          <w:p w14:paraId="20391BCF">
            <w:pPr>
              <w:pStyle w:val="2"/>
              <w:tabs>
                <w:tab w:val="left" w:pos="9120"/>
              </w:tabs>
              <w:spacing w:before="0"/>
              <w:rPr>
                <w:rFonts w:ascii="Arial" w:hAnsi="Arial" w:cs="Arial"/>
                <w:b w:val="0"/>
                <w:bCs w:val="0"/>
                <w:sz w:val="20"/>
                <w:szCs w:val="20"/>
              </w:rPr>
            </w:pPr>
            <w:r>
              <w:rPr>
                <w:rFonts w:ascii="Arial" w:hAnsi="Arial" w:cs="Arial"/>
                <w:b w:val="0"/>
                <w:bCs w:val="0"/>
                <w:sz w:val="20"/>
                <w:szCs w:val="20"/>
              </w:rPr>
              <w:t>84.11 ± 17.83</w:t>
            </w:r>
          </w:p>
        </w:tc>
        <w:tc>
          <w:tcPr>
            <w:tcW w:w="1357" w:type="dxa"/>
            <w:vAlign w:val="center"/>
          </w:tcPr>
          <w:p w14:paraId="7AA6A950">
            <w:pPr>
              <w:pStyle w:val="2"/>
              <w:tabs>
                <w:tab w:val="left" w:pos="9120"/>
              </w:tabs>
              <w:spacing w:before="0"/>
              <w:rPr>
                <w:rFonts w:ascii="Arial" w:hAnsi="Arial" w:cs="Arial"/>
                <w:b w:val="0"/>
                <w:bCs w:val="0"/>
                <w:sz w:val="20"/>
                <w:szCs w:val="20"/>
              </w:rPr>
            </w:pPr>
            <w:r>
              <w:rPr>
                <w:rFonts w:ascii="Arial" w:hAnsi="Arial" w:cs="Arial"/>
                <w:b w:val="0"/>
                <w:bCs w:val="0"/>
                <w:sz w:val="20"/>
                <w:szCs w:val="20"/>
              </w:rPr>
              <w:t>85.23 ± 18.68</w:t>
            </w:r>
          </w:p>
        </w:tc>
        <w:tc>
          <w:tcPr>
            <w:tcW w:w="622" w:type="dxa"/>
            <w:vAlign w:val="center"/>
          </w:tcPr>
          <w:p w14:paraId="72E66A42">
            <w:pPr>
              <w:pStyle w:val="2"/>
              <w:tabs>
                <w:tab w:val="left" w:pos="9120"/>
              </w:tabs>
              <w:spacing w:before="0"/>
              <w:rPr>
                <w:rFonts w:ascii="Arial" w:hAnsi="Arial" w:cs="Arial"/>
                <w:b w:val="0"/>
                <w:bCs w:val="0"/>
                <w:sz w:val="20"/>
                <w:szCs w:val="20"/>
              </w:rPr>
            </w:pPr>
            <w:r>
              <w:rPr>
                <w:rFonts w:ascii="Arial" w:hAnsi="Arial" w:cs="Arial"/>
                <w:b w:val="0"/>
                <w:bCs w:val="0"/>
                <w:sz w:val="20"/>
                <w:szCs w:val="20"/>
              </w:rPr>
              <w:t>.23</w:t>
            </w:r>
          </w:p>
        </w:tc>
      </w:tr>
      <w:tr w14:paraId="61464A40">
        <w:trPr>
          <w:cantSplit/>
        </w:trPr>
        <w:tc>
          <w:tcPr>
            <w:tcW w:w="2671" w:type="dxa"/>
            <w:vAlign w:val="center"/>
          </w:tcPr>
          <w:p w14:paraId="59B9715E">
            <w:pPr>
              <w:pStyle w:val="2"/>
              <w:tabs>
                <w:tab w:val="left" w:pos="9120"/>
              </w:tabs>
              <w:spacing w:before="0"/>
              <w:rPr>
                <w:rFonts w:ascii="Arial" w:hAnsi="Arial" w:cs="Arial"/>
                <w:b w:val="0"/>
                <w:bCs w:val="0"/>
                <w:sz w:val="20"/>
                <w:szCs w:val="20"/>
              </w:rPr>
            </w:pPr>
            <w:r>
              <w:rPr>
                <w:rFonts w:ascii="Arial" w:hAnsi="Arial" w:cs="Arial"/>
                <w:b w:val="0"/>
                <w:bCs w:val="0"/>
                <w:sz w:val="20"/>
                <w:szCs w:val="20"/>
              </w:rPr>
              <w:t>Dopamine, µg/kg/min (mean)</w:t>
            </w:r>
          </w:p>
        </w:tc>
        <w:tc>
          <w:tcPr>
            <w:tcW w:w="2263" w:type="dxa"/>
            <w:vAlign w:val="center"/>
          </w:tcPr>
          <w:p w14:paraId="23A899B5">
            <w:pPr>
              <w:pStyle w:val="2"/>
              <w:tabs>
                <w:tab w:val="left" w:pos="9120"/>
              </w:tabs>
              <w:spacing w:before="0"/>
              <w:rPr>
                <w:rFonts w:ascii="Arial" w:hAnsi="Arial" w:cs="Arial"/>
                <w:b w:val="0"/>
                <w:bCs w:val="0"/>
                <w:sz w:val="20"/>
                <w:szCs w:val="20"/>
              </w:rPr>
            </w:pPr>
            <w:r>
              <w:rPr>
                <w:rFonts w:ascii="Arial" w:hAnsi="Arial" w:cs="Arial"/>
                <w:b w:val="0"/>
                <w:bCs w:val="0"/>
                <w:sz w:val="20"/>
                <w:szCs w:val="20"/>
              </w:rPr>
              <w:t>SOFA Cardiovascular (vasopressors)</w:t>
            </w:r>
          </w:p>
        </w:tc>
        <w:tc>
          <w:tcPr>
            <w:tcW w:w="1491" w:type="dxa"/>
            <w:vAlign w:val="center"/>
          </w:tcPr>
          <w:p w14:paraId="2B9979B0">
            <w:pPr>
              <w:pStyle w:val="2"/>
              <w:tabs>
                <w:tab w:val="left" w:pos="9120"/>
              </w:tabs>
              <w:spacing w:before="0"/>
              <w:rPr>
                <w:rFonts w:ascii="Arial" w:hAnsi="Arial" w:cs="Arial"/>
                <w:b w:val="0"/>
                <w:bCs w:val="0"/>
                <w:sz w:val="20"/>
                <w:szCs w:val="20"/>
              </w:rPr>
            </w:pPr>
            <w:r>
              <w:rPr>
                <w:rFonts w:ascii="Arial" w:hAnsi="Arial" w:cs="Arial"/>
                <w:b w:val="0"/>
                <w:bCs w:val="0"/>
                <w:sz w:val="20"/>
                <w:szCs w:val="20"/>
              </w:rPr>
              <w:t>3.86 ± 2.45</w:t>
            </w:r>
          </w:p>
        </w:tc>
        <w:tc>
          <w:tcPr>
            <w:tcW w:w="1316" w:type="dxa"/>
            <w:vAlign w:val="center"/>
          </w:tcPr>
          <w:p w14:paraId="27724AB6">
            <w:pPr>
              <w:pStyle w:val="2"/>
              <w:tabs>
                <w:tab w:val="left" w:pos="9120"/>
              </w:tabs>
              <w:spacing w:before="0"/>
              <w:rPr>
                <w:rFonts w:ascii="Arial" w:hAnsi="Arial" w:cs="Arial"/>
                <w:b w:val="0"/>
                <w:bCs w:val="0"/>
                <w:sz w:val="20"/>
                <w:szCs w:val="20"/>
              </w:rPr>
            </w:pPr>
            <w:r>
              <w:rPr>
                <w:rFonts w:ascii="Arial" w:hAnsi="Arial" w:cs="Arial"/>
                <w:b w:val="0"/>
                <w:bCs w:val="0"/>
                <w:sz w:val="20"/>
                <w:szCs w:val="20"/>
              </w:rPr>
              <w:t>3.52 ± 1.94</w:t>
            </w:r>
          </w:p>
        </w:tc>
        <w:tc>
          <w:tcPr>
            <w:tcW w:w="1357" w:type="dxa"/>
            <w:vAlign w:val="center"/>
          </w:tcPr>
          <w:p w14:paraId="7EAD43C6">
            <w:pPr>
              <w:pStyle w:val="2"/>
              <w:tabs>
                <w:tab w:val="left" w:pos="9120"/>
              </w:tabs>
              <w:spacing w:before="0"/>
              <w:rPr>
                <w:rFonts w:ascii="Arial" w:hAnsi="Arial" w:cs="Arial"/>
                <w:b w:val="0"/>
                <w:bCs w:val="0"/>
                <w:sz w:val="20"/>
                <w:szCs w:val="20"/>
              </w:rPr>
            </w:pPr>
            <w:r>
              <w:rPr>
                <w:rFonts w:ascii="Arial" w:hAnsi="Arial" w:cs="Arial"/>
                <w:b w:val="0"/>
                <w:bCs w:val="0"/>
                <w:sz w:val="20"/>
                <w:szCs w:val="20"/>
              </w:rPr>
              <w:t>4.45 ± 2.54</w:t>
            </w:r>
          </w:p>
        </w:tc>
        <w:tc>
          <w:tcPr>
            <w:tcW w:w="622" w:type="dxa"/>
            <w:vAlign w:val="center"/>
          </w:tcPr>
          <w:p w14:paraId="2CAD7214">
            <w:pPr>
              <w:pStyle w:val="2"/>
              <w:tabs>
                <w:tab w:val="left" w:pos="9120"/>
              </w:tabs>
              <w:spacing w:before="0"/>
              <w:rPr>
                <w:rFonts w:ascii="Arial" w:hAnsi="Arial" w:cs="Arial"/>
                <w:b w:val="0"/>
                <w:bCs w:val="0"/>
                <w:sz w:val="20"/>
                <w:szCs w:val="20"/>
              </w:rPr>
            </w:pPr>
            <w:r>
              <w:rPr>
                <w:rFonts w:ascii="Arial" w:hAnsi="Arial" w:cs="Arial"/>
                <w:b w:val="0"/>
                <w:bCs w:val="0"/>
                <w:sz w:val="20"/>
                <w:szCs w:val="20"/>
              </w:rPr>
              <w:t>.57</w:t>
            </w:r>
          </w:p>
        </w:tc>
      </w:tr>
      <w:tr w14:paraId="191CD642">
        <w:trPr>
          <w:cantSplit/>
        </w:trPr>
        <w:tc>
          <w:tcPr>
            <w:tcW w:w="2671" w:type="dxa"/>
            <w:vAlign w:val="center"/>
          </w:tcPr>
          <w:p w14:paraId="1FAB817F">
            <w:pPr>
              <w:pStyle w:val="2"/>
              <w:tabs>
                <w:tab w:val="left" w:pos="9120"/>
              </w:tabs>
              <w:spacing w:before="0"/>
              <w:rPr>
                <w:rFonts w:ascii="Arial" w:hAnsi="Arial" w:cs="Arial"/>
                <w:b w:val="0"/>
                <w:bCs w:val="0"/>
                <w:sz w:val="20"/>
                <w:szCs w:val="20"/>
              </w:rPr>
            </w:pPr>
            <w:r>
              <w:rPr>
                <w:rFonts w:ascii="Arial" w:hAnsi="Arial" w:cs="Arial"/>
                <w:b w:val="0"/>
                <w:bCs w:val="0"/>
                <w:sz w:val="20"/>
                <w:szCs w:val="20"/>
              </w:rPr>
              <w:t>Norepinephrine, µg/kg/min (mean)</w:t>
            </w:r>
          </w:p>
        </w:tc>
        <w:tc>
          <w:tcPr>
            <w:tcW w:w="2263" w:type="dxa"/>
            <w:vAlign w:val="center"/>
          </w:tcPr>
          <w:p w14:paraId="15F86DA2">
            <w:pPr>
              <w:pStyle w:val="2"/>
              <w:tabs>
                <w:tab w:val="left" w:pos="9120"/>
              </w:tabs>
              <w:spacing w:before="0"/>
              <w:rPr>
                <w:rFonts w:ascii="Arial" w:hAnsi="Arial" w:cs="Arial"/>
                <w:b w:val="0"/>
                <w:bCs w:val="0"/>
                <w:sz w:val="20"/>
                <w:szCs w:val="20"/>
              </w:rPr>
            </w:pPr>
            <w:r>
              <w:rPr>
                <w:rFonts w:ascii="Arial" w:hAnsi="Arial" w:cs="Arial"/>
                <w:b w:val="0"/>
                <w:bCs w:val="0"/>
                <w:sz w:val="20"/>
                <w:szCs w:val="20"/>
              </w:rPr>
              <w:t>SOFA Cardiovascular (vasopressors)</w:t>
            </w:r>
          </w:p>
        </w:tc>
        <w:tc>
          <w:tcPr>
            <w:tcW w:w="1491" w:type="dxa"/>
            <w:vAlign w:val="center"/>
          </w:tcPr>
          <w:p w14:paraId="29D14F3A">
            <w:pPr>
              <w:pStyle w:val="2"/>
              <w:tabs>
                <w:tab w:val="left" w:pos="9120"/>
              </w:tabs>
              <w:spacing w:before="0"/>
              <w:rPr>
                <w:rFonts w:ascii="Arial" w:hAnsi="Arial" w:cs="Arial"/>
                <w:b w:val="0"/>
                <w:bCs w:val="0"/>
                <w:sz w:val="20"/>
                <w:szCs w:val="20"/>
              </w:rPr>
            </w:pPr>
            <w:r>
              <w:rPr>
                <w:rFonts w:ascii="Arial" w:hAnsi="Arial" w:cs="Arial"/>
                <w:b w:val="0"/>
                <w:bCs w:val="0"/>
                <w:sz w:val="20"/>
                <w:szCs w:val="20"/>
              </w:rPr>
              <w:t>0.25 ± 0.27</w:t>
            </w:r>
          </w:p>
        </w:tc>
        <w:tc>
          <w:tcPr>
            <w:tcW w:w="1316" w:type="dxa"/>
            <w:vAlign w:val="center"/>
          </w:tcPr>
          <w:p w14:paraId="2A29D912">
            <w:pPr>
              <w:pStyle w:val="2"/>
              <w:tabs>
                <w:tab w:val="left" w:pos="9120"/>
              </w:tabs>
              <w:spacing w:before="0"/>
              <w:rPr>
                <w:rFonts w:ascii="Arial" w:hAnsi="Arial" w:cs="Arial"/>
                <w:b w:val="0"/>
                <w:bCs w:val="0"/>
                <w:sz w:val="20"/>
                <w:szCs w:val="20"/>
              </w:rPr>
            </w:pPr>
            <w:r>
              <w:rPr>
                <w:rFonts w:ascii="Arial" w:hAnsi="Arial" w:cs="Arial"/>
                <w:b w:val="0"/>
                <w:bCs w:val="0"/>
                <w:sz w:val="20"/>
                <w:szCs w:val="20"/>
              </w:rPr>
              <w:t>0.27 ± 0.25</w:t>
            </w:r>
          </w:p>
        </w:tc>
        <w:tc>
          <w:tcPr>
            <w:tcW w:w="1357" w:type="dxa"/>
            <w:vAlign w:val="center"/>
          </w:tcPr>
          <w:p w14:paraId="62D0BD0A">
            <w:pPr>
              <w:pStyle w:val="2"/>
              <w:tabs>
                <w:tab w:val="left" w:pos="9120"/>
              </w:tabs>
              <w:spacing w:before="0"/>
              <w:rPr>
                <w:rFonts w:ascii="Arial" w:hAnsi="Arial" w:cs="Arial"/>
                <w:b w:val="0"/>
                <w:bCs w:val="0"/>
                <w:sz w:val="20"/>
                <w:szCs w:val="20"/>
              </w:rPr>
            </w:pPr>
            <w:r>
              <w:rPr>
                <w:rFonts w:ascii="Arial" w:hAnsi="Arial" w:cs="Arial"/>
                <w:b w:val="0"/>
                <w:bCs w:val="0"/>
                <w:sz w:val="20"/>
                <w:szCs w:val="20"/>
              </w:rPr>
              <w:t>0.18 ± 0.25</w:t>
            </w:r>
          </w:p>
        </w:tc>
        <w:tc>
          <w:tcPr>
            <w:tcW w:w="622" w:type="dxa"/>
            <w:vAlign w:val="center"/>
          </w:tcPr>
          <w:p w14:paraId="7C54454E">
            <w:pPr>
              <w:pStyle w:val="2"/>
              <w:tabs>
                <w:tab w:val="left" w:pos="9120"/>
              </w:tabs>
              <w:spacing w:before="0"/>
              <w:rPr>
                <w:rFonts w:ascii="Arial" w:hAnsi="Arial" w:cs="Arial"/>
                <w:b w:val="0"/>
                <w:bCs w:val="0"/>
                <w:sz w:val="20"/>
                <w:szCs w:val="20"/>
              </w:rPr>
            </w:pPr>
            <w:r>
              <w:rPr>
                <w:rFonts w:ascii="Arial" w:hAnsi="Arial" w:cs="Arial"/>
                <w:b w:val="0"/>
                <w:bCs w:val="0"/>
                <w:sz w:val="20"/>
                <w:szCs w:val="20"/>
              </w:rPr>
              <w:t>&lt;.001</w:t>
            </w:r>
          </w:p>
        </w:tc>
      </w:tr>
      <w:tr w14:paraId="46B5BC22">
        <w:trPr>
          <w:cantSplit/>
        </w:trPr>
        <w:tc>
          <w:tcPr>
            <w:tcW w:w="2671" w:type="dxa"/>
            <w:vAlign w:val="center"/>
          </w:tcPr>
          <w:p w14:paraId="5D30FD54">
            <w:pPr>
              <w:pStyle w:val="2"/>
              <w:tabs>
                <w:tab w:val="left" w:pos="9120"/>
              </w:tabs>
              <w:spacing w:before="0"/>
              <w:rPr>
                <w:rFonts w:ascii="Arial" w:hAnsi="Arial" w:cs="Arial"/>
                <w:b w:val="0"/>
                <w:bCs w:val="0"/>
                <w:sz w:val="20"/>
                <w:szCs w:val="20"/>
              </w:rPr>
            </w:pPr>
            <w:r>
              <w:rPr>
                <w:rFonts w:ascii="Arial" w:hAnsi="Arial" w:cs="Arial"/>
                <w:b w:val="0"/>
                <w:bCs w:val="0"/>
                <w:sz w:val="20"/>
                <w:szCs w:val="20"/>
              </w:rPr>
              <w:t>Dobutamine, µg/kg/min (mean)</w:t>
            </w:r>
          </w:p>
        </w:tc>
        <w:tc>
          <w:tcPr>
            <w:tcW w:w="2263" w:type="dxa"/>
            <w:vAlign w:val="center"/>
          </w:tcPr>
          <w:p w14:paraId="7F11631A">
            <w:pPr>
              <w:pStyle w:val="2"/>
              <w:tabs>
                <w:tab w:val="left" w:pos="9120"/>
              </w:tabs>
              <w:spacing w:before="0"/>
              <w:rPr>
                <w:rFonts w:ascii="Arial" w:hAnsi="Arial" w:cs="Arial"/>
                <w:b w:val="0"/>
                <w:bCs w:val="0"/>
                <w:sz w:val="20"/>
                <w:szCs w:val="20"/>
              </w:rPr>
            </w:pPr>
            <w:r>
              <w:rPr>
                <w:rFonts w:ascii="Arial" w:hAnsi="Arial" w:cs="Arial"/>
                <w:b w:val="0"/>
                <w:bCs w:val="0"/>
                <w:sz w:val="20"/>
                <w:szCs w:val="20"/>
              </w:rPr>
              <w:t>SOFA Cardiovascular (vasopressors)</w:t>
            </w:r>
          </w:p>
        </w:tc>
        <w:tc>
          <w:tcPr>
            <w:tcW w:w="1491" w:type="dxa"/>
            <w:vAlign w:val="center"/>
          </w:tcPr>
          <w:p w14:paraId="318A320D">
            <w:pPr>
              <w:pStyle w:val="2"/>
              <w:tabs>
                <w:tab w:val="left" w:pos="9120"/>
              </w:tabs>
              <w:spacing w:before="0"/>
              <w:rPr>
                <w:rFonts w:ascii="Arial" w:hAnsi="Arial" w:cs="Arial"/>
                <w:b w:val="0"/>
                <w:bCs w:val="0"/>
                <w:sz w:val="20"/>
                <w:szCs w:val="20"/>
              </w:rPr>
            </w:pPr>
            <w:r>
              <w:rPr>
                <w:rFonts w:ascii="Arial" w:hAnsi="Arial" w:cs="Arial"/>
                <w:b w:val="0"/>
                <w:bCs w:val="0"/>
                <w:sz w:val="20"/>
                <w:szCs w:val="20"/>
              </w:rPr>
              <w:t>4.06 ± 2.50</w:t>
            </w:r>
          </w:p>
        </w:tc>
        <w:tc>
          <w:tcPr>
            <w:tcW w:w="1316" w:type="dxa"/>
            <w:vAlign w:val="center"/>
          </w:tcPr>
          <w:p w14:paraId="380DF461">
            <w:pPr>
              <w:pStyle w:val="2"/>
              <w:tabs>
                <w:tab w:val="left" w:pos="9120"/>
              </w:tabs>
              <w:spacing w:before="0"/>
              <w:rPr>
                <w:rFonts w:ascii="Arial" w:hAnsi="Arial" w:cs="Arial"/>
                <w:b w:val="0"/>
                <w:bCs w:val="0"/>
                <w:sz w:val="20"/>
                <w:szCs w:val="20"/>
              </w:rPr>
            </w:pPr>
            <w:r>
              <w:rPr>
                <w:rFonts w:ascii="Arial" w:hAnsi="Arial" w:cs="Arial"/>
                <w:b w:val="0"/>
                <w:bCs w:val="0"/>
                <w:sz w:val="20"/>
                <w:szCs w:val="20"/>
              </w:rPr>
              <w:t>4.13 ± 2.57</w:t>
            </w:r>
          </w:p>
        </w:tc>
        <w:tc>
          <w:tcPr>
            <w:tcW w:w="1357" w:type="dxa"/>
            <w:vAlign w:val="center"/>
          </w:tcPr>
          <w:p w14:paraId="10101CB5">
            <w:pPr>
              <w:pStyle w:val="2"/>
              <w:tabs>
                <w:tab w:val="left" w:pos="9120"/>
              </w:tabs>
              <w:spacing w:before="0"/>
              <w:rPr>
                <w:rFonts w:ascii="Arial" w:hAnsi="Arial" w:cs="Arial"/>
                <w:b w:val="0"/>
                <w:bCs w:val="0"/>
                <w:sz w:val="20"/>
                <w:szCs w:val="20"/>
              </w:rPr>
            </w:pPr>
            <w:r>
              <w:rPr>
                <w:rFonts w:ascii="Arial" w:hAnsi="Arial" w:cs="Arial"/>
                <w:b w:val="0"/>
                <w:bCs w:val="0"/>
                <w:sz w:val="20"/>
                <w:szCs w:val="20"/>
              </w:rPr>
              <w:t>3.59 ± 1.59</w:t>
            </w:r>
          </w:p>
        </w:tc>
        <w:tc>
          <w:tcPr>
            <w:tcW w:w="622" w:type="dxa"/>
            <w:vAlign w:val="center"/>
          </w:tcPr>
          <w:p w14:paraId="2A3149E4">
            <w:pPr>
              <w:pStyle w:val="2"/>
              <w:tabs>
                <w:tab w:val="left" w:pos="9120"/>
              </w:tabs>
              <w:spacing w:before="0"/>
              <w:rPr>
                <w:rFonts w:ascii="Arial" w:hAnsi="Arial" w:cs="Arial"/>
                <w:b w:val="0"/>
                <w:bCs w:val="0"/>
                <w:sz w:val="20"/>
                <w:szCs w:val="20"/>
              </w:rPr>
            </w:pPr>
            <w:r>
              <w:rPr>
                <w:rFonts w:ascii="Arial" w:hAnsi="Arial" w:cs="Arial"/>
                <w:b w:val="0"/>
                <w:bCs w:val="0"/>
                <w:sz w:val="20"/>
                <w:szCs w:val="20"/>
              </w:rPr>
              <w:t>.97</w:t>
            </w:r>
          </w:p>
        </w:tc>
      </w:tr>
      <w:tr w14:paraId="2F8ECBC5">
        <w:trPr>
          <w:cantSplit/>
        </w:trPr>
        <w:tc>
          <w:tcPr>
            <w:tcW w:w="2671" w:type="dxa"/>
            <w:vAlign w:val="center"/>
          </w:tcPr>
          <w:p w14:paraId="52535F65">
            <w:pPr>
              <w:pStyle w:val="2"/>
              <w:tabs>
                <w:tab w:val="left" w:pos="9120"/>
              </w:tabs>
              <w:spacing w:before="0"/>
              <w:rPr>
                <w:rFonts w:ascii="Arial" w:hAnsi="Arial" w:cs="Arial"/>
                <w:b w:val="0"/>
                <w:bCs w:val="0"/>
                <w:sz w:val="20"/>
                <w:szCs w:val="20"/>
              </w:rPr>
            </w:pPr>
            <w:r>
              <w:rPr>
                <w:rFonts w:ascii="Arial" w:hAnsi="Arial" w:cs="Arial"/>
                <w:b w:val="0"/>
                <w:bCs w:val="0"/>
                <w:sz w:val="20"/>
                <w:szCs w:val="20"/>
              </w:rPr>
              <w:t>Epinephrine, µg/kg/min (mean)</w:t>
            </w:r>
          </w:p>
        </w:tc>
        <w:tc>
          <w:tcPr>
            <w:tcW w:w="2263" w:type="dxa"/>
            <w:vAlign w:val="center"/>
          </w:tcPr>
          <w:p w14:paraId="551B1D2B">
            <w:pPr>
              <w:pStyle w:val="2"/>
              <w:tabs>
                <w:tab w:val="left" w:pos="9120"/>
              </w:tabs>
              <w:spacing w:before="0"/>
              <w:rPr>
                <w:rFonts w:ascii="Arial" w:hAnsi="Arial" w:cs="Arial"/>
                <w:b w:val="0"/>
                <w:bCs w:val="0"/>
                <w:sz w:val="20"/>
                <w:szCs w:val="20"/>
              </w:rPr>
            </w:pPr>
            <w:r>
              <w:rPr>
                <w:rFonts w:ascii="Arial" w:hAnsi="Arial" w:cs="Arial"/>
                <w:b w:val="0"/>
                <w:bCs w:val="0"/>
                <w:sz w:val="20"/>
                <w:szCs w:val="20"/>
              </w:rPr>
              <w:t>SOFA Cardiovascular (vasopressors)</w:t>
            </w:r>
          </w:p>
        </w:tc>
        <w:tc>
          <w:tcPr>
            <w:tcW w:w="1491" w:type="dxa"/>
            <w:vAlign w:val="center"/>
          </w:tcPr>
          <w:p w14:paraId="21648079">
            <w:pPr>
              <w:pStyle w:val="2"/>
              <w:tabs>
                <w:tab w:val="left" w:pos="9120"/>
              </w:tabs>
              <w:spacing w:before="0"/>
              <w:rPr>
                <w:rFonts w:ascii="Arial" w:hAnsi="Arial" w:cs="Arial"/>
                <w:b w:val="0"/>
                <w:bCs w:val="0"/>
                <w:sz w:val="20"/>
                <w:szCs w:val="20"/>
              </w:rPr>
            </w:pPr>
            <w:r>
              <w:rPr>
                <w:rFonts w:ascii="Arial" w:hAnsi="Arial" w:cs="Arial"/>
                <w:b w:val="0"/>
                <w:bCs w:val="0"/>
                <w:sz w:val="20"/>
                <w:szCs w:val="20"/>
              </w:rPr>
              <w:t>0.29 ± 0.25</w:t>
            </w:r>
          </w:p>
        </w:tc>
        <w:tc>
          <w:tcPr>
            <w:tcW w:w="1316" w:type="dxa"/>
            <w:vAlign w:val="center"/>
          </w:tcPr>
          <w:p w14:paraId="3261B526">
            <w:pPr>
              <w:pStyle w:val="2"/>
              <w:tabs>
                <w:tab w:val="left" w:pos="9120"/>
              </w:tabs>
              <w:spacing w:before="0"/>
              <w:rPr>
                <w:rFonts w:ascii="Arial" w:hAnsi="Arial" w:cs="Arial"/>
                <w:b w:val="0"/>
                <w:bCs w:val="0"/>
                <w:sz w:val="20"/>
                <w:szCs w:val="20"/>
              </w:rPr>
            </w:pPr>
            <w:r>
              <w:rPr>
                <w:rFonts w:ascii="Arial" w:hAnsi="Arial" w:cs="Arial"/>
                <w:b w:val="0"/>
                <w:bCs w:val="0"/>
                <w:sz w:val="20"/>
                <w:szCs w:val="20"/>
              </w:rPr>
              <w:t>–</w:t>
            </w:r>
          </w:p>
        </w:tc>
        <w:tc>
          <w:tcPr>
            <w:tcW w:w="1357" w:type="dxa"/>
            <w:vAlign w:val="center"/>
          </w:tcPr>
          <w:p w14:paraId="0DB1A48E">
            <w:pPr>
              <w:pStyle w:val="2"/>
              <w:tabs>
                <w:tab w:val="left" w:pos="9120"/>
              </w:tabs>
              <w:spacing w:before="0"/>
              <w:rPr>
                <w:rFonts w:ascii="Arial" w:hAnsi="Arial" w:cs="Arial"/>
                <w:b w:val="0"/>
                <w:bCs w:val="0"/>
                <w:sz w:val="20"/>
                <w:szCs w:val="20"/>
              </w:rPr>
            </w:pPr>
            <w:r>
              <w:rPr>
                <w:rFonts w:ascii="Arial" w:hAnsi="Arial" w:cs="Arial"/>
                <w:b w:val="0"/>
                <w:bCs w:val="0"/>
                <w:sz w:val="20"/>
                <w:szCs w:val="20"/>
              </w:rPr>
              <w:t>–</w:t>
            </w:r>
          </w:p>
        </w:tc>
        <w:tc>
          <w:tcPr>
            <w:tcW w:w="622" w:type="dxa"/>
            <w:vAlign w:val="center"/>
          </w:tcPr>
          <w:p w14:paraId="1F2DDBB7">
            <w:pPr>
              <w:pStyle w:val="2"/>
              <w:tabs>
                <w:tab w:val="left" w:pos="9120"/>
              </w:tabs>
              <w:spacing w:before="0"/>
              <w:rPr>
                <w:rFonts w:ascii="Arial" w:hAnsi="Arial" w:cs="Arial"/>
                <w:b w:val="0"/>
                <w:bCs w:val="0"/>
                <w:sz w:val="20"/>
                <w:szCs w:val="20"/>
              </w:rPr>
            </w:pPr>
            <w:r>
              <w:rPr>
                <w:rFonts w:ascii="Arial" w:hAnsi="Arial" w:cs="Arial"/>
                <w:b w:val="0"/>
                <w:bCs w:val="0"/>
                <w:sz w:val="20"/>
                <w:szCs w:val="20"/>
              </w:rPr>
              <w:t>.24</w:t>
            </w:r>
          </w:p>
        </w:tc>
      </w:tr>
      <w:tr w14:paraId="75F39329">
        <w:trPr>
          <w:cantSplit/>
        </w:trPr>
        <w:tc>
          <w:tcPr>
            <w:tcW w:w="2671" w:type="dxa"/>
            <w:vAlign w:val="center"/>
          </w:tcPr>
          <w:p w14:paraId="36B2CFFE">
            <w:pPr>
              <w:pStyle w:val="2"/>
              <w:tabs>
                <w:tab w:val="left" w:pos="9120"/>
              </w:tabs>
              <w:spacing w:before="0"/>
              <w:rPr>
                <w:rFonts w:ascii="Arial" w:hAnsi="Arial" w:cs="Arial"/>
                <w:b w:val="0"/>
                <w:bCs w:val="0"/>
                <w:sz w:val="20"/>
                <w:szCs w:val="20"/>
              </w:rPr>
            </w:pPr>
            <w:r>
              <w:rPr>
                <w:rFonts w:ascii="Arial" w:hAnsi="Arial" w:cs="Arial"/>
                <w:b w:val="0"/>
                <w:bCs w:val="0"/>
                <w:sz w:val="20"/>
                <w:szCs w:val="20"/>
              </w:rPr>
              <w:t>Other vasopressor/inotrope, any</w:t>
            </w:r>
          </w:p>
        </w:tc>
        <w:tc>
          <w:tcPr>
            <w:tcW w:w="2263" w:type="dxa"/>
            <w:vAlign w:val="center"/>
          </w:tcPr>
          <w:p w14:paraId="45C1BB14">
            <w:pPr>
              <w:pStyle w:val="2"/>
              <w:tabs>
                <w:tab w:val="left" w:pos="9120"/>
              </w:tabs>
              <w:spacing w:before="0"/>
              <w:rPr>
                <w:rFonts w:ascii="Arial" w:hAnsi="Arial" w:cs="Arial"/>
                <w:b w:val="0"/>
                <w:bCs w:val="0"/>
                <w:sz w:val="20"/>
                <w:szCs w:val="20"/>
              </w:rPr>
            </w:pPr>
            <w:r>
              <w:rPr>
                <w:rFonts w:ascii="Arial" w:hAnsi="Arial" w:cs="Arial"/>
                <w:b w:val="0"/>
                <w:bCs w:val="0"/>
                <w:sz w:val="20"/>
                <w:szCs w:val="20"/>
              </w:rPr>
              <w:t>SOFA Cardiovascular (vasopressors)</w:t>
            </w:r>
          </w:p>
        </w:tc>
        <w:tc>
          <w:tcPr>
            <w:tcW w:w="1491" w:type="dxa"/>
            <w:vAlign w:val="center"/>
          </w:tcPr>
          <w:p w14:paraId="1DE343CE">
            <w:pPr>
              <w:pStyle w:val="2"/>
              <w:tabs>
                <w:tab w:val="left" w:pos="9120"/>
              </w:tabs>
              <w:spacing w:before="0"/>
              <w:rPr>
                <w:rFonts w:ascii="Arial" w:hAnsi="Arial" w:cs="Arial"/>
                <w:b w:val="0"/>
                <w:bCs w:val="0"/>
                <w:sz w:val="20"/>
                <w:szCs w:val="20"/>
              </w:rPr>
            </w:pPr>
            <w:r>
              <w:rPr>
                <w:rFonts w:ascii="Arial" w:hAnsi="Arial" w:cs="Arial"/>
                <w:b w:val="0"/>
                <w:bCs w:val="0"/>
                <w:sz w:val="20"/>
                <w:szCs w:val="20"/>
              </w:rPr>
              <w:t>776 (18.4%)</w:t>
            </w:r>
          </w:p>
        </w:tc>
        <w:tc>
          <w:tcPr>
            <w:tcW w:w="1316" w:type="dxa"/>
            <w:vAlign w:val="center"/>
          </w:tcPr>
          <w:p w14:paraId="54DF138E">
            <w:pPr>
              <w:pStyle w:val="2"/>
              <w:tabs>
                <w:tab w:val="left" w:pos="9120"/>
              </w:tabs>
              <w:spacing w:before="0"/>
              <w:rPr>
                <w:rFonts w:ascii="Arial" w:hAnsi="Arial" w:cs="Arial"/>
                <w:b w:val="0"/>
                <w:bCs w:val="0"/>
                <w:sz w:val="20"/>
                <w:szCs w:val="20"/>
              </w:rPr>
            </w:pPr>
            <w:r>
              <w:rPr>
                <w:rFonts w:ascii="Arial" w:hAnsi="Arial" w:cs="Arial"/>
                <w:b w:val="0"/>
                <w:bCs w:val="0"/>
                <w:sz w:val="20"/>
                <w:szCs w:val="20"/>
              </w:rPr>
              <w:t>44 (11.8%)</w:t>
            </w:r>
          </w:p>
        </w:tc>
        <w:tc>
          <w:tcPr>
            <w:tcW w:w="1357" w:type="dxa"/>
            <w:vAlign w:val="center"/>
          </w:tcPr>
          <w:p w14:paraId="69142699">
            <w:pPr>
              <w:pStyle w:val="2"/>
              <w:tabs>
                <w:tab w:val="left" w:pos="9120"/>
              </w:tabs>
              <w:spacing w:before="0"/>
              <w:rPr>
                <w:rFonts w:ascii="Arial" w:hAnsi="Arial" w:cs="Arial"/>
                <w:b w:val="0"/>
                <w:bCs w:val="0"/>
                <w:sz w:val="20"/>
                <w:szCs w:val="20"/>
              </w:rPr>
            </w:pPr>
            <w:r>
              <w:rPr>
                <w:rFonts w:ascii="Arial" w:hAnsi="Arial" w:cs="Arial"/>
                <w:b w:val="0"/>
                <w:bCs w:val="0"/>
                <w:sz w:val="20"/>
                <w:szCs w:val="20"/>
              </w:rPr>
              <w:t>5 (4.1%)</w:t>
            </w:r>
          </w:p>
        </w:tc>
        <w:tc>
          <w:tcPr>
            <w:tcW w:w="622" w:type="dxa"/>
            <w:vAlign w:val="center"/>
          </w:tcPr>
          <w:p w14:paraId="2717DC84">
            <w:pPr>
              <w:pStyle w:val="2"/>
              <w:tabs>
                <w:tab w:val="left" w:pos="9120"/>
              </w:tabs>
              <w:spacing w:before="0"/>
              <w:rPr>
                <w:rFonts w:ascii="Arial" w:hAnsi="Arial" w:cs="Arial"/>
                <w:b w:val="0"/>
                <w:bCs w:val="0"/>
                <w:sz w:val="20"/>
                <w:szCs w:val="20"/>
              </w:rPr>
            </w:pPr>
            <w:r>
              <w:rPr>
                <w:rFonts w:ascii="Arial" w:hAnsi="Arial" w:cs="Arial"/>
                <w:b w:val="0"/>
                <w:bCs w:val="0"/>
                <w:sz w:val="20"/>
                <w:szCs w:val="20"/>
              </w:rPr>
              <w:t>&lt;.001</w:t>
            </w:r>
          </w:p>
        </w:tc>
      </w:tr>
      <w:tr w14:paraId="7E4D7827">
        <w:trPr>
          <w:cantSplit/>
        </w:trPr>
        <w:tc>
          <w:tcPr>
            <w:tcW w:w="2671" w:type="dxa"/>
            <w:vAlign w:val="center"/>
          </w:tcPr>
          <w:p w14:paraId="4F90D6A7">
            <w:pPr>
              <w:pStyle w:val="2"/>
              <w:tabs>
                <w:tab w:val="left" w:pos="9120"/>
              </w:tabs>
              <w:spacing w:before="0"/>
              <w:rPr>
                <w:rFonts w:ascii="Arial" w:hAnsi="Arial" w:cs="Arial"/>
                <w:b w:val="0"/>
                <w:bCs w:val="0"/>
                <w:sz w:val="20"/>
                <w:szCs w:val="20"/>
              </w:rPr>
            </w:pPr>
            <w:r>
              <w:rPr>
                <w:rFonts w:ascii="Arial" w:hAnsi="Arial" w:cs="Arial"/>
                <w:b w:val="0"/>
                <w:bCs w:val="0"/>
                <w:sz w:val="20"/>
                <w:szCs w:val="20"/>
              </w:rPr>
              <w:t>Mechanical circulatory support, any</w:t>
            </w:r>
          </w:p>
        </w:tc>
        <w:tc>
          <w:tcPr>
            <w:tcW w:w="2263" w:type="dxa"/>
            <w:vAlign w:val="center"/>
          </w:tcPr>
          <w:p w14:paraId="2FD8DE44">
            <w:pPr>
              <w:pStyle w:val="2"/>
              <w:tabs>
                <w:tab w:val="left" w:pos="9120"/>
              </w:tabs>
              <w:spacing w:before="0"/>
              <w:rPr>
                <w:rFonts w:ascii="Arial" w:hAnsi="Arial" w:cs="Arial"/>
                <w:b w:val="0"/>
                <w:bCs w:val="0"/>
                <w:sz w:val="20"/>
                <w:szCs w:val="20"/>
              </w:rPr>
            </w:pPr>
            <w:r>
              <w:rPr>
                <w:rFonts w:ascii="Arial" w:hAnsi="Arial" w:cs="Arial"/>
                <w:b w:val="0"/>
                <w:bCs w:val="0"/>
                <w:sz w:val="20"/>
                <w:szCs w:val="20"/>
              </w:rPr>
              <w:t>SOFA Cardiovascular (mechanical support)</w:t>
            </w:r>
          </w:p>
        </w:tc>
        <w:tc>
          <w:tcPr>
            <w:tcW w:w="1491" w:type="dxa"/>
            <w:vAlign w:val="center"/>
          </w:tcPr>
          <w:p w14:paraId="00213379">
            <w:pPr>
              <w:pStyle w:val="2"/>
              <w:tabs>
                <w:tab w:val="left" w:pos="9120"/>
              </w:tabs>
              <w:spacing w:before="0"/>
              <w:rPr>
                <w:rFonts w:ascii="Arial" w:hAnsi="Arial" w:cs="Arial"/>
                <w:b w:val="0"/>
                <w:bCs w:val="0"/>
                <w:sz w:val="20"/>
                <w:szCs w:val="20"/>
              </w:rPr>
            </w:pPr>
            <w:r>
              <w:rPr>
                <w:rFonts w:ascii="Arial" w:hAnsi="Arial" w:cs="Arial"/>
                <w:b w:val="0"/>
                <w:bCs w:val="0"/>
                <w:sz w:val="20"/>
                <w:szCs w:val="20"/>
              </w:rPr>
              <w:t>85 (2.0%)</w:t>
            </w:r>
          </w:p>
        </w:tc>
        <w:tc>
          <w:tcPr>
            <w:tcW w:w="1316" w:type="dxa"/>
            <w:vAlign w:val="center"/>
          </w:tcPr>
          <w:p w14:paraId="4EF6A1A3">
            <w:pPr>
              <w:pStyle w:val="2"/>
              <w:tabs>
                <w:tab w:val="left" w:pos="9120"/>
              </w:tabs>
              <w:spacing w:before="0"/>
              <w:rPr>
                <w:rFonts w:ascii="Arial" w:hAnsi="Arial" w:cs="Arial"/>
                <w:b w:val="0"/>
                <w:bCs w:val="0"/>
                <w:sz w:val="20"/>
                <w:szCs w:val="20"/>
              </w:rPr>
            </w:pPr>
            <w:r>
              <w:rPr>
                <w:rFonts w:ascii="Arial" w:hAnsi="Arial" w:cs="Arial"/>
                <w:b w:val="0"/>
                <w:bCs w:val="0"/>
                <w:sz w:val="20"/>
                <w:szCs w:val="20"/>
              </w:rPr>
              <w:t>2 (0.5%)</w:t>
            </w:r>
          </w:p>
        </w:tc>
        <w:tc>
          <w:tcPr>
            <w:tcW w:w="1357" w:type="dxa"/>
            <w:vAlign w:val="center"/>
          </w:tcPr>
          <w:p w14:paraId="690E756B">
            <w:pPr>
              <w:pStyle w:val="2"/>
              <w:tabs>
                <w:tab w:val="left" w:pos="9120"/>
              </w:tabs>
              <w:spacing w:before="0"/>
              <w:rPr>
                <w:rFonts w:ascii="Arial" w:hAnsi="Arial" w:cs="Arial"/>
                <w:b w:val="0"/>
                <w:bCs w:val="0"/>
                <w:sz w:val="20"/>
                <w:szCs w:val="20"/>
              </w:rPr>
            </w:pPr>
            <w:r>
              <w:rPr>
                <w:rFonts w:ascii="Arial" w:hAnsi="Arial" w:cs="Arial"/>
                <w:b w:val="0"/>
                <w:bCs w:val="0"/>
                <w:sz w:val="20"/>
                <w:szCs w:val="20"/>
              </w:rPr>
              <w:t>1 (0.8%)</w:t>
            </w:r>
          </w:p>
        </w:tc>
        <w:tc>
          <w:tcPr>
            <w:tcW w:w="622" w:type="dxa"/>
            <w:vAlign w:val="center"/>
          </w:tcPr>
          <w:p w14:paraId="7CA8132D">
            <w:pPr>
              <w:pStyle w:val="2"/>
              <w:tabs>
                <w:tab w:val="left" w:pos="9120"/>
              </w:tabs>
              <w:spacing w:before="0"/>
              <w:rPr>
                <w:rFonts w:ascii="Arial" w:hAnsi="Arial" w:cs="Arial"/>
                <w:b w:val="0"/>
                <w:bCs w:val="0"/>
                <w:sz w:val="20"/>
                <w:szCs w:val="20"/>
              </w:rPr>
            </w:pPr>
            <w:r>
              <w:rPr>
                <w:rFonts w:ascii="Arial" w:hAnsi="Arial" w:cs="Arial"/>
                <w:b w:val="0"/>
                <w:bCs w:val="0"/>
                <w:sz w:val="20"/>
                <w:szCs w:val="20"/>
              </w:rPr>
              <w:t>.09</w:t>
            </w:r>
          </w:p>
        </w:tc>
      </w:tr>
      <w:tr w14:paraId="5CE2A206">
        <w:trPr>
          <w:cantSplit/>
        </w:trPr>
        <w:tc>
          <w:tcPr>
            <w:tcW w:w="2671" w:type="dxa"/>
            <w:vAlign w:val="center"/>
          </w:tcPr>
          <w:p w14:paraId="6E045FB6">
            <w:pPr>
              <w:pStyle w:val="2"/>
              <w:tabs>
                <w:tab w:val="left" w:pos="9120"/>
              </w:tabs>
              <w:spacing w:before="0"/>
              <w:rPr>
                <w:rFonts w:ascii="Arial" w:hAnsi="Arial" w:cs="Arial"/>
                <w:b w:val="0"/>
                <w:bCs w:val="0"/>
                <w:sz w:val="20"/>
                <w:szCs w:val="20"/>
              </w:rPr>
            </w:pPr>
            <w:r>
              <w:rPr>
                <w:rFonts w:ascii="Arial" w:hAnsi="Arial" w:cs="Arial"/>
                <w:b w:val="0"/>
                <w:bCs w:val="0"/>
                <w:sz w:val="20"/>
                <w:szCs w:val="20"/>
              </w:rPr>
              <w:t>Glasgow Coma Scale score (mean)</w:t>
            </w:r>
          </w:p>
        </w:tc>
        <w:tc>
          <w:tcPr>
            <w:tcW w:w="2263" w:type="dxa"/>
            <w:vAlign w:val="center"/>
          </w:tcPr>
          <w:p w14:paraId="103975E0">
            <w:pPr>
              <w:pStyle w:val="2"/>
              <w:tabs>
                <w:tab w:val="left" w:pos="9120"/>
              </w:tabs>
              <w:spacing w:before="0"/>
              <w:rPr>
                <w:rFonts w:ascii="Arial" w:hAnsi="Arial" w:cs="Arial"/>
                <w:b w:val="0"/>
                <w:bCs w:val="0"/>
                <w:sz w:val="20"/>
                <w:szCs w:val="20"/>
              </w:rPr>
            </w:pPr>
            <w:r>
              <w:rPr>
                <w:rFonts w:ascii="Arial" w:hAnsi="Arial" w:cs="Arial"/>
                <w:b w:val="0"/>
                <w:bCs w:val="0"/>
                <w:sz w:val="20"/>
                <w:szCs w:val="20"/>
              </w:rPr>
              <w:t>SOFA CNS (baseline)</w:t>
            </w:r>
          </w:p>
        </w:tc>
        <w:tc>
          <w:tcPr>
            <w:tcW w:w="1491" w:type="dxa"/>
            <w:vAlign w:val="center"/>
          </w:tcPr>
          <w:p w14:paraId="6E64106E">
            <w:pPr>
              <w:pStyle w:val="2"/>
              <w:tabs>
                <w:tab w:val="left" w:pos="9120"/>
              </w:tabs>
              <w:spacing w:before="0"/>
              <w:rPr>
                <w:rFonts w:ascii="Arial" w:hAnsi="Arial" w:cs="Arial"/>
                <w:b w:val="0"/>
                <w:bCs w:val="0"/>
                <w:sz w:val="20"/>
                <w:szCs w:val="20"/>
              </w:rPr>
            </w:pPr>
            <w:r>
              <w:rPr>
                <w:rFonts w:ascii="Arial" w:hAnsi="Arial" w:cs="Arial"/>
                <w:b w:val="0"/>
                <w:bCs w:val="0"/>
                <w:sz w:val="20"/>
                <w:szCs w:val="20"/>
              </w:rPr>
              <w:t>13.26 ± 3.31</w:t>
            </w:r>
          </w:p>
        </w:tc>
        <w:tc>
          <w:tcPr>
            <w:tcW w:w="1316" w:type="dxa"/>
            <w:vAlign w:val="center"/>
          </w:tcPr>
          <w:p w14:paraId="068156DC">
            <w:pPr>
              <w:pStyle w:val="2"/>
              <w:tabs>
                <w:tab w:val="left" w:pos="9120"/>
              </w:tabs>
              <w:spacing w:before="0"/>
              <w:rPr>
                <w:rFonts w:ascii="Arial" w:hAnsi="Arial" w:cs="Arial"/>
                <w:b w:val="0"/>
                <w:bCs w:val="0"/>
                <w:sz w:val="20"/>
                <w:szCs w:val="20"/>
              </w:rPr>
            </w:pPr>
            <w:r>
              <w:rPr>
                <w:rFonts w:ascii="Arial" w:hAnsi="Arial" w:cs="Arial"/>
                <w:b w:val="0"/>
                <w:bCs w:val="0"/>
                <w:sz w:val="20"/>
                <w:szCs w:val="20"/>
              </w:rPr>
              <w:t>14.60 ± 1.68</w:t>
            </w:r>
          </w:p>
        </w:tc>
        <w:tc>
          <w:tcPr>
            <w:tcW w:w="1357" w:type="dxa"/>
            <w:vAlign w:val="center"/>
          </w:tcPr>
          <w:p w14:paraId="0F01CEB5">
            <w:pPr>
              <w:pStyle w:val="2"/>
              <w:tabs>
                <w:tab w:val="left" w:pos="9120"/>
              </w:tabs>
              <w:spacing w:before="0"/>
              <w:rPr>
                <w:rFonts w:ascii="Arial" w:hAnsi="Arial" w:cs="Arial"/>
                <w:b w:val="0"/>
                <w:bCs w:val="0"/>
                <w:sz w:val="20"/>
                <w:szCs w:val="20"/>
              </w:rPr>
            </w:pPr>
            <w:r>
              <w:rPr>
                <w:rFonts w:ascii="Arial" w:hAnsi="Arial" w:cs="Arial"/>
                <w:b w:val="0"/>
                <w:bCs w:val="0"/>
                <w:sz w:val="20"/>
                <w:szCs w:val="20"/>
              </w:rPr>
              <w:t>14.47 ± 1.64</w:t>
            </w:r>
          </w:p>
        </w:tc>
        <w:tc>
          <w:tcPr>
            <w:tcW w:w="622" w:type="dxa"/>
            <w:vAlign w:val="center"/>
          </w:tcPr>
          <w:p w14:paraId="651EDB6E">
            <w:pPr>
              <w:pStyle w:val="2"/>
              <w:tabs>
                <w:tab w:val="left" w:pos="9120"/>
              </w:tabs>
              <w:spacing w:before="0"/>
              <w:rPr>
                <w:rFonts w:ascii="Arial" w:hAnsi="Arial" w:cs="Arial"/>
                <w:b w:val="0"/>
                <w:bCs w:val="0"/>
                <w:sz w:val="20"/>
                <w:szCs w:val="20"/>
              </w:rPr>
            </w:pPr>
            <w:r>
              <w:rPr>
                <w:rFonts w:ascii="Arial" w:hAnsi="Arial" w:cs="Arial"/>
                <w:b w:val="0"/>
                <w:bCs w:val="0"/>
                <w:sz w:val="20"/>
                <w:szCs w:val="20"/>
              </w:rPr>
              <w:t>&lt;.001</w:t>
            </w:r>
          </w:p>
        </w:tc>
      </w:tr>
      <w:tr w14:paraId="2EABE232">
        <w:trPr>
          <w:cantSplit/>
        </w:trPr>
        <w:tc>
          <w:tcPr>
            <w:tcW w:w="2671" w:type="dxa"/>
            <w:vAlign w:val="center"/>
          </w:tcPr>
          <w:p w14:paraId="177367E4">
            <w:pPr>
              <w:pStyle w:val="2"/>
              <w:tabs>
                <w:tab w:val="left" w:pos="9120"/>
              </w:tabs>
              <w:spacing w:before="0"/>
              <w:rPr>
                <w:rFonts w:ascii="Arial" w:hAnsi="Arial" w:cs="Arial"/>
                <w:b w:val="0"/>
                <w:bCs w:val="0"/>
                <w:sz w:val="20"/>
                <w:szCs w:val="20"/>
              </w:rPr>
            </w:pPr>
            <w:r>
              <w:rPr>
                <w:rFonts w:ascii="Arial" w:hAnsi="Arial" w:cs="Arial"/>
                <w:b w:val="0"/>
                <w:bCs w:val="0"/>
                <w:sz w:val="20"/>
                <w:szCs w:val="20"/>
              </w:rPr>
              <w:t>Delirium treatment, any</w:t>
            </w:r>
          </w:p>
        </w:tc>
        <w:tc>
          <w:tcPr>
            <w:tcW w:w="2263" w:type="dxa"/>
            <w:vAlign w:val="center"/>
          </w:tcPr>
          <w:p w14:paraId="5D0DF36F">
            <w:pPr>
              <w:pStyle w:val="2"/>
              <w:tabs>
                <w:tab w:val="left" w:pos="9120"/>
              </w:tabs>
              <w:spacing w:before="0"/>
              <w:rPr>
                <w:rFonts w:ascii="Arial" w:hAnsi="Arial" w:cs="Arial"/>
                <w:b w:val="0"/>
                <w:bCs w:val="0"/>
                <w:sz w:val="20"/>
                <w:szCs w:val="20"/>
              </w:rPr>
            </w:pPr>
            <w:r>
              <w:rPr>
                <w:rFonts w:ascii="Arial" w:hAnsi="Arial" w:cs="Arial"/>
                <w:b w:val="0"/>
                <w:bCs w:val="0"/>
                <w:sz w:val="20"/>
                <w:szCs w:val="20"/>
              </w:rPr>
              <w:t>SOFA CNS (updated)</w:t>
            </w:r>
          </w:p>
        </w:tc>
        <w:tc>
          <w:tcPr>
            <w:tcW w:w="1491" w:type="dxa"/>
            <w:vAlign w:val="center"/>
          </w:tcPr>
          <w:p w14:paraId="06210355">
            <w:pPr>
              <w:pStyle w:val="2"/>
              <w:tabs>
                <w:tab w:val="left" w:pos="9120"/>
              </w:tabs>
              <w:spacing w:before="0"/>
              <w:rPr>
                <w:rFonts w:ascii="Arial" w:hAnsi="Arial" w:cs="Arial"/>
                <w:b w:val="0"/>
                <w:bCs w:val="0"/>
                <w:sz w:val="20"/>
                <w:szCs w:val="20"/>
              </w:rPr>
            </w:pPr>
            <w:r>
              <w:rPr>
                <w:rFonts w:ascii="Arial" w:hAnsi="Arial" w:cs="Arial"/>
                <w:b w:val="0"/>
                <w:bCs w:val="0"/>
                <w:sz w:val="20"/>
                <w:szCs w:val="20"/>
              </w:rPr>
              <w:t>273 (6.5%)</w:t>
            </w:r>
          </w:p>
        </w:tc>
        <w:tc>
          <w:tcPr>
            <w:tcW w:w="1316" w:type="dxa"/>
            <w:vAlign w:val="center"/>
          </w:tcPr>
          <w:p w14:paraId="4B4DC7D5">
            <w:pPr>
              <w:pStyle w:val="2"/>
              <w:tabs>
                <w:tab w:val="left" w:pos="9120"/>
              </w:tabs>
              <w:spacing w:before="0"/>
              <w:rPr>
                <w:rFonts w:ascii="Arial" w:hAnsi="Arial" w:cs="Arial"/>
                <w:b w:val="0"/>
                <w:bCs w:val="0"/>
                <w:sz w:val="20"/>
                <w:szCs w:val="20"/>
              </w:rPr>
            </w:pPr>
            <w:r>
              <w:rPr>
                <w:rFonts w:ascii="Arial" w:hAnsi="Arial" w:cs="Arial"/>
                <w:b w:val="0"/>
                <w:bCs w:val="0"/>
                <w:sz w:val="20"/>
                <w:szCs w:val="20"/>
              </w:rPr>
              <w:t>32 (8.6%)</w:t>
            </w:r>
          </w:p>
        </w:tc>
        <w:tc>
          <w:tcPr>
            <w:tcW w:w="1357" w:type="dxa"/>
            <w:vAlign w:val="center"/>
          </w:tcPr>
          <w:p w14:paraId="040F29BC">
            <w:pPr>
              <w:pStyle w:val="2"/>
              <w:tabs>
                <w:tab w:val="left" w:pos="9120"/>
              </w:tabs>
              <w:spacing w:before="0"/>
              <w:rPr>
                <w:rFonts w:ascii="Arial" w:hAnsi="Arial" w:cs="Arial"/>
                <w:b w:val="0"/>
                <w:bCs w:val="0"/>
                <w:sz w:val="20"/>
                <w:szCs w:val="20"/>
              </w:rPr>
            </w:pPr>
            <w:r>
              <w:rPr>
                <w:rFonts w:ascii="Arial" w:hAnsi="Arial" w:cs="Arial"/>
                <w:b w:val="0"/>
                <w:bCs w:val="0"/>
                <w:sz w:val="20"/>
                <w:szCs w:val="20"/>
              </w:rPr>
              <w:t>12 (9.8%)</w:t>
            </w:r>
          </w:p>
        </w:tc>
        <w:tc>
          <w:tcPr>
            <w:tcW w:w="622" w:type="dxa"/>
            <w:vAlign w:val="center"/>
          </w:tcPr>
          <w:p w14:paraId="6A156AA2">
            <w:pPr>
              <w:pStyle w:val="2"/>
              <w:tabs>
                <w:tab w:val="left" w:pos="9120"/>
              </w:tabs>
              <w:spacing w:before="0"/>
              <w:rPr>
                <w:rFonts w:ascii="Arial" w:hAnsi="Arial" w:cs="Arial"/>
                <w:b w:val="0"/>
                <w:bCs w:val="0"/>
                <w:sz w:val="20"/>
                <w:szCs w:val="20"/>
              </w:rPr>
            </w:pPr>
            <w:r>
              <w:rPr>
                <w:rFonts w:ascii="Arial" w:hAnsi="Arial" w:cs="Arial"/>
                <w:b w:val="0"/>
                <w:bCs w:val="0"/>
                <w:sz w:val="20"/>
                <w:szCs w:val="20"/>
              </w:rPr>
              <w:t>.11</w:t>
            </w:r>
          </w:p>
        </w:tc>
      </w:tr>
      <w:tr w14:paraId="18B1B235">
        <w:trPr>
          <w:cantSplit/>
        </w:trPr>
        <w:tc>
          <w:tcPr>
            <w:tcW w:w="2671" w:type="dxa"/>
            <w:vAlign w:val="center"/>
          </w:tcPr>
          <w:p w14:paraId="26C514EE">
            <w:pPr>
              <w:pStyle w:val="2"/>
              <w:tabs>
                <w:tab w:val="left" w:pos="9120"/>
              </w:tabs>
              <w:spacing w:before="0"/>
              <w:rPr>
                <w:rFonts w:ascii="Arial" w:hAnsi="Arial" w:cs="Arial"/>
                <w:b w:val="0"/>
                <w:bCs w:val="0"/>
                <w:sz w:val="20"/>
                <w:szCs w:val="20"/>
              </w:rPr>
            </w:pPr>
            <w:r>
              <w:rPr>
                <w:rFonts w:ascii="Arial" w:hAnsi="Arial" w:cs="Arial"/>
                <w:b w:val="0"/>
                <w:bCs w:val="0"/>
                <w:sz w:val="20"/>
                <w:szCs w:val="20"/>
              </w:rPr>
              <w:t>GCS motor score (mean)</w:t>
            </w:r>
          </w:p>
        </w:tc>
        <w:tc>
          <w:tcPr>
            <w:tcW w:w="2263" w:type="dxa"/>
            <w:vAlign w:val="center"/>
          </w:tcPr>
          <w:p w14:paraId="351D5D04">
            <w:pPr>
              <w:pStyle w:val="2"/>
              <w:tabs>
                <w:tab w:val="left" w:pos="9120"/>
              </w:tabs>
              <w:spacing w:before="0"/>
              <w:rPr>
                <w:rFonts w:ascii="Arial" w:hAnsi="Arial" w:cs="Arial"/>
                <w:b w:val="0"/>
                <w:bCs w:val="0"/>
                <w:sz w:val="20"/>
                <w:szCs w:val="20"/>
              </w:rPr>
            </w:pPr>
            <w:r>
              <w:rPr>
                <w:rFonts w:ascii="Arial" w:hAnsi="Arial" w:cs="Arial"/>
                <w:b w:val="0"/>
                <w:bCs w:val="0"/>
                <w:sz w:val="20"/>
                <w:szCs w:val="20"/>
              </w:rPr>
              <w:t>SOFA CNS (updated)</w:t>
            </w:r>
          </w:p>
        </w:tc>
        <w:tc>
          <w:tcPr>
            <w:tcW w:w="1491" w:type="dxa"/>
            <w:vAlign w:val="center"/>
          </w:tcPr>
          <w:p w14:paraId="77A7B79B">
            <w:pPr>
              <w:pStyle w:val="2"/>
              <w:tabs>
                <w:tab w:val="left" w:pos="9120"/>
              </w:tabs>
              <w:spacing w:before="0"/>
              <w:rPr>
                <w:rFonts w:ascii="Arial" w:hAnsi="Arial" w:cs="Arial"/>
                <w:b w:val="0"/>
                <w:bCs w:val="0"/>
                <w:sz w:val="20"/>
                <w:szCs w:val="20"/>
              </w:rPr>
            </w:pPr>
            <w:r>
              <w:rPr>
                <w:rFonts w:ascii="Arial" w:hAnsi="Arial" w:cs="Arial"/>
                <w:b w:val="0"/>
                <w:bCs w:val="0"/>
                <w:sz w:val="20"/>
                <w:szCs w:val="20"/>
              </w:rPr>
              <w:t>4.24 ± 2.01</w:t>
            </w:r>
          </w:p>
        </w:tc>
        <w:tc>
          <w:tcPr>
            <w:tcW w:w="1316" w:type="dxa"/>
            <w:vAlign w:val="center"/>
          </w:tcPr>
          <w:p w14:paraId="315CD309">
            <w:pPr>
              <w:pStyle w:val="2"/>
              <w:tabs>
                <w:tab w:val="left" w:pos="9120"/>
              </w:tabs>
              <w:spacing w:before="0"/>
              <w:rPr>
                <w:rFonts w:ascii="Arial" w:hAnsi="Arial" w:cs="Arial"/>
                <w:b w:val="0"/>
                <w:bCs w:val="0"/>
                <w:sz w:val="20"/>
                <w:szCs w:val="20"/>
              </w:rPr>
            </w:pPr>
            <w:r>
              <w:rPr>
                <w:rFonts w:ascii="Arial" w:hAnsi="Arial" w:cs="Arial"/>
                <w:b w:val="0"/>
                <w:bCs w:val="0"/>
                <w:sz w:val="20"/>
                <w:szCs w:val="20"/>
              </w:rPr>
              <w:t>4.88 ± 1.75</w:t>
            </w:r>
          </w:p>
        </w:tc>
        <w:tc>
          <w:tcPr>
            <w:tcW w:w="1357" w:type="dxa"/>
            <w:vAlign w:val="center"/>
          </w:tcPr>
          <w:p w14:paraId="1EF64E3F">
            <w:pPr>
              <w:pStyle w:val="2"/>
              <w:tabs>
                <w:tab w:val="left" w:pos="9120"/>
              </w:tabs>
              <w:spacing w:before="0"/>
              <w:rPr>
                <w:rFonts w:ascii="Arial" w:hAnsi="Arial" w:cs="Arial"/>
                <w:b w:val="0"/>
                <w:bCs w:val="0"/>
                <w:sz w:val="20"/>
                <w:szCs w:val="20"/>
              </w:rPr>
            </w:pPr>
            <w:r>
              <w:rPr>
                <w:rFonts w:ascii="Arial" w:hAnsi="Arial" w:cs="Arial"/>
                <w:b w:val="0"/>
                <w:bCs w:val="0"/>
                <w:sz w:val="20"/>
                <w:szCs w:val="20"/>
              </w:rPr>
              <w:t>4.89 ± 1.70</w:t>
            </w:r>
          </w:p>
        </w:tc>
        <w:tc>
          <w:tcPr>
            <w:tcW w:w="622" w:type="dxa"/>
            <w:vAlign w:val="center"/>
          </w:tcPr>
          <w:p w14:paraId="25DC2BA0">
            <w:pPr>
              <w:pStyle w:val="2"/>
              <w:tabs>
                <w:tab w:val="left" w:pos="9120"/>
              </w:tabs>
              <w:spacing w:before="0"/>
              <w:rPr>
                <w:rFonts w:ascii="Arial" w:hAnsi="Arial" w:cs="Arial"/>
                <w:b w:val="0"/>
                <w:bCs w:val="0"/>
                <w:sz w:val="20"/>
                <w:szCs w:val="20"/>
              </w:rPr>
            </w:pPr>
            <w:r>
              <w:rPr>
                <w:rFonts w:ascii="Arial" w:hAnsi="Arial" w:cs="Arial"/>
                <w:b w:val="0"/>
                <w:bCs w:val="0"/>
                <w:sz w:val="20"/>
                <w:szCs w:val="20"/>
              </w:rPr>
              <w:t>&lt;.001</w:t>
            </w:r>
          </w:p>
        </w:tc>
      </w:tr>
      <w:tr w14:paraId="37EC55B8">
        <w:trPr>
          <w:cantSplit/>
        </w:trPr>
        <w:tc>
          <w:tcPr>
            <w:tcW w:w="2671" w:type="dxa"/>
            <w:vAlign w:val="center"/>
          </w:tcPr>
          <w:p w14:paraId="51D77B51">
            <w:pPr>
              <w:pStyle w:val="2"/>
              <w:tabs>
                <w:tab w:val="left" w:pos="9120"/>
              </w:tabs>
              <w:spacing w:before="0"/>
              <w:rPr>
                <w:rFonts w:ascii="Arial" w:hAnsi="Arial" w:cs="Arial"/>
                <w:b w:val="0"/>
                <w:bCs w:val="0"/>
                <w:sz w:val="20"/>
                <w:szCs w:val="20"/>
              </w:rPr>
            </w:pPr>
            <w:r>
              <w:rPr>
                <w:rFonts w:ascii="Arial" w:hAnsi="Arial" w:cs="Arial"/>
                <w:b w:val="0"/>
                <w:bCs w:val="0"/>
                <w:sz w:val="20"/>
                <w:szCs w:val="20"/>
              </w:rPr>
              <w:t>Creatinine, mg/dL (mean)</w:t>
            </w:r>
          </w:p>
        </w:tc>
        <w:tc>
          <w:tcPr>
            <w:tcW w:w="2263" w:type="dxa"/>
            <w:vAlign w:val="center"/>
          </w:tcPr>
          <w:p w14:paraId="68190777">
            <w:pPr>
              <w:pStyle w:val="2"/>
              <w:tabs>
                <w:tab w:val="left" w:pos="9120"/>
              </w:tabs>
              <w:spacing w:before="0"/>
              <w:rPr>
                <w:rFonts w:ascii="Arial" w:hAnsi="Arial" w:cs="Arial"/>
                <w:b w:val="0"/>
                <w:bCs w:val="0"/>
                <w:sz w:val="20"/>
                <w:szCs w:val="20"/>
              </w:rPr>
            </w:pPr>
            <w:r>
              <w:rPr>
                <w:rFonts w:ascii="Arial" w:hAnsi="Arial" w:cs="Arial"/>
                <w:b w:val="0"/>
                <w:bCs w:val="0"/>
                <w:sz w:val="20"/>
                <w:szCs w:val="20"/>
              </w:rPr>
              <w:t>SOFA Renal (baseline)</w:t>
            </w:r>
          </w:p>
        </w:tc>
        <w:tc>
          <w:tcPr>
            <w:tcW w:w="1491" w:type="dxa"/>
            <w:vAlign w:val="center"/>
          </w:tcPr>
          <w:p w14:paraId="09E867CD">
            <w:pPr>
              <w:pStyle w:val="2"/>
              <w:tabs>
                <w:tab w:val="left" w:pos="9120"/>
              </w:tabs>
              <w:spacing w:before="0"/>
              <w:rPr>
                <w:rFonts w:ascii="Arial" w:hAnsi="Arial" w:cs="Arial"/>
                <w:b w:val="0"/>
                <w:bCs w:val="0"/>
                <w:sz w:val="20"/>
                <w:szCs w:val="20"/>
              </w:rPr>
            </w:pPr>
            <w:r>
              <w:rPr>
                <w:rFonts w:ascii="Arial" w:hAnsi="Arial" w:cs="Arial"/>
                <w:b w:val="0"/>
                <w:bCs w:val="0"/>
                <w:sz w:val="20"/>
                <w:szCs w:val="20"/>
              </w:rPr>
              <w:t>1.42 ± 1.21</w:t>
            </w:r>
          </w:p>
        </w:tc>
        <w:tc>
          <w:tcPr>
            <w:tcW w:w="1316" w:type="dxa"/>
            <w:vAlign w:val="center"/>
          </w:tcPr>
          <w:p w14:paraId="2F08EEC0">
            <w:pPr>
              <w:pStyle w:val="2"/>
              <w:tabs>
                <w:tab w:val="left" w:pos="9120"/>
              </w:tabs>
              <w:spacing w:before="0"/>
              <w:rPr>
                <w:rFonts w:ascii="Arial" w:hAnsi="Arial" w:cs="Arial"/>
                <w:b w:val="0"/>
                <w:bCs w:val="0"/>
                <w:sz w:val="20"/>
                <w:szCs w:val="20"/>
              </w:rPr>
            </w:pPr>
            <w:r>
              <w:rPr>
                <w:rFonts w:ascii="Arial" w:hAnsi="Arial" w:cs="Arial"/>
                <w:b w:val="0"/>
                <w:bCs w:val="0"/>
                <w:sz w:val="20"/>
                <w:szCs w:val="20"/>
              </w:rPr>
              <w:t>1.13 ± 0.84</w:t>
            </w:r>
          </w:p>
        </w:tc>
        <w:tc>
          <w:tcPr>
            <w:tcW w:w="1357" w:type="dxa"/>
            <w:vAlign w:val="center"/>
          </w:tcPr>
          <w:p w14:paraId="5493536A">
            <w:pPr>
              <w:pStyle w:val="2"/>
              <w:tabs>
                <w:tab w:val="left" w:pos="9120"/>
              </w:tabs>
              <w:spacing w:before="0"/>
              <w:rPr>
                <w:rFonts w:ascii="Arial" w:hAnsi="Arial" w:cs="Arial"/>
                <w:b w:val="0"/>
                <w:bCs w:val="0"/>
                <w:sz w:val="20"/>
                <w:szCs w:val="20"/>
              </w:rPr>
            </w:pPr>
            <w:r>
              <w:rPr>
                <w:rFonts w:ascii="Arial" w:hAnsi="Arial" w:cs="Arial"/>
                <w:b w:val="0"/>
                <w:bCs w:val="0"/>
                <w:sz w:val="20"/>
                <w:szCs w:val="20"/>
              </w:rPr>
              <w:t>1.26 ± 1.15</w:t>
            </w:r>
          </w:p>
        </w:tc>
        <w:tc>
          <w:tcPr>
            <w:tcW w:w="622" w:type="dxa"/>
            <w:vAlign w:val="center"/>
          </w:tcPr>
          <w:p w14:paraId="5BF65151">
            <w:pPr>
              <w:pStyle w:val="2"/>
              <w:tabs>
                <w:tab w:val="left" w:pos="9120"/>
              </w:tabs>
              <w:spacing w:before="0"/>
              <w:rPr>
                <w:rFonts w:ascii="Arial" w:hAnsi="Arial" w:cs="Arial"/>
                <w:b w:val="0"/>
                <w:bCs w:val="0"/>
                <w:sz w:val="20"/>
                <w:szCs w:val="20"/>
              </w:rPr>
            </w:pPr>
            <w:r>
              <w:rPr>
                <w:rFonts w:ascii="Arial" w:hAnsi="Arial" w:cs="Arial"/>
                <w:b w:val="0"/>
                <w:bCs w:val="0"/>
                <w:sz w:val="20"/>
                <w:szCs w:val="20"/>
              </w:rPr>
              <w:t>&lt;.001</w:t>
            </w:r>
          </w:p>
        </w:tc>
      </w:tr>
      <w:tr w14:paraId="2D168CFD">
        <w:trPr>
          <w:cantSplit/>
        </w:trPr>
        <w:tc>
          <w:tcPr>
            <w:tcW w:w="2671" w:type="dxa"/>
            <w:tcBorders>
              <w:bottom w:val="single" w:color="auto" w:sz="12" w:space="0"/>
            </w:tcBorders>
            <w:vAlign w:val="center"/>
          </w:tcPr>
          <w:p w14:paraId="36A9C87D">
            <w:pPr>
              <w:pStyle w:val="2"/>
              <w:tabs>
                <w:tab w:val="left" w:pos="9120"/>
              </w:tabs>
              <w:spacing w:before="0"/>
              <w:rPr>
                <w:rFonts w:ascii="Arial" w:hAnsi="Arial" w:cs="Arial"/>
                <w:b w:val="0"/>
                <w:bCs w:val="0"/>
                <w:sz w:val="20"/>
                <w:szCs w:val="20"/>
              </w:rPr>
            </w:pPr>
            <w:r>
              <w:rPr>
                <w:rFonts w:ascii="Arial" w:hAnsi="Arial" w:cs="Arial"/>
                <w:b w:val="0"/>
                <w:bCs w:val="0"/>
                <w:sz w:val="20"/>
                <w:szCs w:val="20"/>
              </w:rPr>
              <w:t>24-h urine output, mL (mean)</w:t>
            </w:r>
          </w:p>
        </w:tc>
        <w:tc>
          <w:tcPr>
            <w:tcW w:w="2263" w:type="dxa"/>
            <w:tcBorders>
              <w:bottom w:val="single" w:color="auto" w:sz="12" w:space="0"/>
            </w:tcBorders>
            <w:vAlign w:val="center"/>
          </w:tcPr>
          <w:p w14:paraId="263CD8A7">
            <w:pPr>
              <w:pStyle w:val="2"/>
              <w:tabs>
                <w:tab w:val="left" w:pos="9120"/>
              </w:tabs>
              <w:spacing w:before="0"/>
              <w:rPr>
                <w:rFonts w:ascii="Arial" w:hAnsi="Arial" w:cs="Arial"/>
                <w:b w:val="0"/>
                <w:bCs w:val="0"/>
                <w:sz w:val="20"/>
                <w:szCs w:val="20"/>
              </w:rPr>
            </w:pPr>
            <w:r>
              <w:rPr>
                <w:rFonts w:ascii="Arial" w:hAnsi="Arial" w:cs="Arial"/>
                <w:b w:val="0"/>
                <w:bCs w:val="0"/>
                <w:sz w:val="20"/>
                <w:szCs w:val="20"/>
              </w:rPr>
              <w:t>SOFA Renal (baseline)</w:t>
            </w:r>
          </w:p>
        </w:tc>
        <w:tc>
          <w:tcPr>
            <w:tcW w:w="1491" w:type="dxa"/>
            <w:tcBorders>
              <w:bottom w:val="single" w:color="auto" w:sz="12" w:space="0"/>
            </w:tcBorders>
            <w:vAlign w:val="center"/>
          </w:tcPr>
          <w:p w14:paraId="087EB3BD">
            <w:pPr>
              <w:pStyle w:val="2"/>
              <w:tabs>
                <w:tab w:val="left" w:pos="9120"/>
              </w:tabs>
              <w:spacing w:before="0"/>
              <w:rPr>
                <w:rFonts w:ascii="Arial" w:hAnsi="Arial" w:cs="Arial"/>
                <w:b w:val="0"/>
                <w:bCs w:val="0"/>
                <w:sz w:val="20"/>
                <w:szCs w:val="20"/>
              </w:rPr>
            </w:pPr>
            <w:r>
              <w:rPr>
                <w:rFonts w:ascii="Arial" w:hAnsi="Arial" w:cs="Arial"/>
                <w:b w:val="0"/>
                <w:bCs w:val="0"/>
                <w:sz w:val="20"/>
                <w:szCs w:val="20"/>
              </w:rPr>
              <w:t>1,961.01 ± 1,479.07</w:t>
            </w:r>
          </w:p>
        </w:tc>
        <w:tc>
          <w:tcPr>
            <w:tcW w:w="1316" w:type="dxa"/>
            <w:tcBorders>
              <w:bottom w:val="single" w:color="auto" w:sz="12" w:space="0"/>
            </w:tcBorders>
            <w:vAlign w:val="center"/>
          </w:tcPr>
          <w:p w14:paraId="39FD885A">
            <w:pPr>
              <w:pStyle w:val="2"/>
              <w:tabs>
                <w:tab w:val="left" w:pos="9120"/>
              </w:tabs>
              <w:spacing w:before="0"/>
              <w:rPr>
                <w:rFonts w:ascii="Arial" w:hAnsi="Arial" w:cs="Arial"/>
                <w:b w:val="0"/>
                <w:bCs w:val="0"/>
                <w:sz w:val="20"/>
                <w:szCs w:val="20"/>
              </w:rPr>
            </w:pPr>
            <w:r>
              <w:rPr>
                <w:rFonts w:ascii="Arial" w:hAnsi="Arial" w:cs="Arial"/>
                <w:b w:val="0"/>
                <w:bCs w:val="0"/>
                <w:sz w:val="20"/>
                <w:szCs w:val="20"/>
              </w:rPr>
              <w:t>1,830.94 ± 1,161.70</w:t>
            </w:r>
          </w:p>
        </w:tc>
        <w:tc>
          <w:tcPr>
            <w:tcW w:w="1357" w:type="dxa"/>
            <w:tcBorders>
              <w:bottom w:val="single" w:color="auto" w:sz="12" w:space="0"/>
            </w:tcBorders>
            <w:vAlign w:val="center"/>
          </w:tcPr>
          <w:p w14:paraId="706A1A67">
            <w:pPr>
              <w:pStyle w:val="2"/>
              <w:tabs>
                <w:tab w:val="left" w:pos="9120"/>
              </w:tabs>
              <w:spacing w:before="0"/>
              <w:rPr>
                <w:rFonts w:ascii="Arial" w:hAnsi="Arial" w:cs="Arial"/>
                <w:b w:val="0"/>
                <w:bCs w:val="0"/>
                <w:sz w:val="20"/>
                <w:szCs w:val="20"/>
              </w:rPr>
            </w:pPr>
            <w:r>
              <w:rPr>
                <w:rFonts w:ascii="Arial" w:hAnsi="Arial" w:cs="Arial"/>
                <w:b w:val="0"/>
                <w:bCs w:val="0"/>
                <w:sz w:val="20"/>
                <w:szCs w:val="20"/>
              </w:rPr>
              <w:t>2,653.68 ± 1,484.86</w:t>
            </w:r>
          </w:p>
        </w:tc>
        <w:tc>
          <w:tcPr>
            <w:tcW w:w="622" w:type="dxa"/>
            <w:tcBorders>
              <w:bottom w:val="single" w:color="auto" w:sz="12" w:space="0"/>
            </w:tcBorders>
            <w:vAlign w:val="center"/>
          </w:tcPr>
          <w:p w14:paraId="44629E9C">
            <w:pPr>
              <w:pStyle w:val="2"/>
              <w:tabs>
                <w:tab w:val="left" w:pos="9120"/>
              </w:tabs>
              <w:spacing w:before="0"/>
              <w:rPr>
                <w:rFonts w:ascii="Arial" w:hAnsi="Arial" w:cs="Arial"/>
                <w:b w:val="0"/>
                <w:bCs w:val="0"/>
                <w:sz w:val="20"/>
                <w:szCs w:val="20"/>
              </w:rPr>
            </w:pPr>
            <w:r>
              <w:rPr>
                <w:rFonts w:ascii="Arial" w:hAnsi="Arial" w:cs="Arial"/>
                <w:b w:val="0"/>
                <w:bCs w:val="0"/>
                <w:sz w:val="20"/>
                <w:szCs w:val="20"/>
              </w:rPr>
              <w:t>&lt;.001</w:t>
            </w:r>
          </w:p>
        </w:tc>
      </w:tr>
      <w:tr w14:paraId="0F91FE65">
        <w:trPr>
          <w:cantSplit/>
          <w:trHeight w:val="20" w:hRule="exact"/>
        </w:trPr>
        <w:tc>
          <w:tcPr>
            <w:tcW w:w="2671" w:type="dxa"/>
            <w:tcBorders>
              <w:top w:val="single" w:color="auto" w:sz="12" w:space="0"/>
            </w:tcBorders>
            <w:vAlign w:val="center"/>
          </w:tcPr>
          <w:p w14:paraId="26C84D93">
            <w:pPr>
              <w:pStyle w:val="2"/>
              <w:tabs>
                <w:tab w:val="left" w:pos="9120"/>
              </w:tabs>
              <w:spacing w:before="0"/>
              <w:rPr>
                <w:rFonts w:ascii="Arial" w:hAnsi="Arial" w:cs="Arial"/>
                <w:b w:val="0"/>
                <w:bCs w:val="0"/>
                <w:sz w:val="20"/>
                <w:szCs w:val="20"/>
              </w:rPr>
            </w:pPr>
          </w:p>
        </w:tc>
        <w:tc>
          <w:tcPr>
            <w:tcW w:w="2263" w:type="dxa"/>
            <w:tcBorders>
              <w:top w:val="single" w:color="auto" w:sz="12" w:space="0"/>
            </w:tcBorders>
            <w:vAlign w:val="center"/>
          </w:tcPr>
          <w:p w14:paraId="2E52EFB9">
            <w:pPr>
              <w:pStyle w:val="2"/>
              <w:tabs>
                <w:tab w:val="left" w:pos="9120"/>
              </w:tabs>
              <w:spacing w:before="0"/>
              <w:rPr>
                <w:rFonts w:ascii="Arial" w:hAnsi="Arial" w:cs="Arial"/>
                <w:b w:val="0"/>
                <w:bCs w:val="0"/>
                <w:sz w:val="20"/>
                <w:szCs w:val="20"/>
              </w:rPr>
            </w:pPr>
          </w:p>
        </w:tc>
        <w:tc>
          <w:tcPr>
            <w:tcW w:w="1491" w:type="dxa"/>
            <w:tcBorders>
              <w:top w:val="single" w:color="auto" w:sz="12" w:space="0"/>
            </w:tcBorders>
            <w:vAlign w:val="center"/>
          </w:tcPr>
          <w:p w14:paraId="2766D217">
            <w:pPr>
              <w:pStyle w:val="2"/>
              <w:tabs>
                <w:tab w:val="left" w:pos="9120"/>
              </w:tabs>
              <w:spacing w:before="0"/>
              <w:rPr>
                <w:rFonts w:ascii="Arial" w:hAnsi="Arial" w:cs="Arial"/>
                <w:b w:val="0"/>
                <w:bCs w:val="0"/>
                <w:sz w:val="20"/>
                <w:szCs w:val="20"/>
              </w:rPr>
            </w:pPr>
          </w:p>
        </w:tc>
        <w:tc>
          <w:tcPr>
            <w:tcW w:w="1316" w:type="dxa"/>
            <w:tcBorders>
              <w:top w:val="single" w:color="auto" w:sz="12" w:space="0"/>
            </w:tcBorders>
            <w:vAlign w:val="center"/>
          </w:tcPr>
          <w:p w14:paraId="04F0ABD1">
            <w:pPr>
              <w:pStyle w:val="2"/>
              <w:tabs>
                <w:tab w:val="left" w:pos="9120"/>
              </w:tabs>
              <w:spacing w:before="0"/>
              <w:rPr>
                <w:rFonts w:ascii="Arial" w:hAnsi="Arial" w:cs="Arial"/>
                <w:b w:val="0"/>
                <w:bCs w:val="0"/>
                <w:sz w:val="20"/>
                <w:szCs w:val="20"/>
              </w:rPr>
            </w:pPr>
          </w:p>
        </w:tc>
        <w:tc>
          <w:tcPr>
            <w:tcW w:w="1357" w:type="dxa"/>
            <w:tcBorders>
              <w:top w:val="single" w:color="auto" w:sz="12" w:space="0"/>
            </w:tcBorders>
            <w:vAlign w:val="center"/>
          </w:tcPr>
          <w:p w14:paraId="58650CF9">
            <w:pPr>
              <w:pStyle w:val="2"/>
              <w:tabs>
                <w:tab w:val="left" w:pos="9120"/>
              </w:tabs>
              <w:spacing w:before="0"/>
              <w:rPr>
                <w:rFonts w:ascii="Arial" w:hAnsi="Arial" w:cs="Arial"/>
                <w:b w:val="0"/>
                <w:bCs w:val="0"/>
                <w:sz w:val="20"/>
                <w:szCs w:val="20"/>
              </w:rPr>
            </w:pPr>
          </w:p>
        </w:tc>
        <w:tc>
          <w:tcPr>
            <w:tcW w:w="622" w:type="dxa"/>
            <w:tcBorders>
              <w:top w:val="single" w:color="auto" w:sz="12" w:space="0"/>
            </w:tcBorders>
            <w:vAlign w:val="center"/>
          </w:tcPr>
          <w:p w14:paraId="7821B6D1">
            <w:pPr>
              <w:pStyle w:val="2"/>
              <w:tabs>
                <w:tab w:val="left" w:pos="9120"/>
              </w:tabs>
              <w:spacing w:before="0"/>
              <w:rPr>
                <w:rFonts w:ascii="Arial" w:hAnsi="Arial" w:cs="Arial"/>
                <w:b w:val="0"/>
                <w:bCs w:val="0"/>
                <w:sz w:val="20"/>
                <w:szCs w:val="20"/>
              </w:rPr>
            </w:pPr>
          </w:p>
        </w:tc>
      </w:tr>
      <w:tr w14:paraId="252DB06B">
        <w:trPr>
          <w:cantSplit/>
        </w:trPr>
        <w:tc>
          <w:tcPr>
            <w:tcW w:w="9720" w:type="dxa"/>
            <w:gridSpan w:val="6"/>
            <w:tcBorders>
              <w:bottom w:val="single" w:color="auto" w:sz="12" w:space="0"/>
            </w:tcBorders>
            <w:vAlign w:val="center"/>
          </w:tcPr>
          <w:p w14:paraId="20BEAA66">
            <w:pPr>
              <w:pStyle w:val="2"/>
              <w:tabs>
                <w:tab w:val="left" w:pos="9120"/>
              </w:tabs>
              <w:spacing w:before="0"/>
              <w:jc w:val="center"/>
              <w:rPr>
                <w:rFonts w:ascii="Arial" w:hAnsi="Arial" w:cs="Arial"/>
                <w:b w:val="0"/>
                <w:bCs w:val="0"/>
                <w:sz w:val="20"/>
                <w:szCs w:val="20"/>
              </w:rPr>
            </w:pPr>
            <w:r>
              <w:rPr>
                <w:rFonts w:hint="eastAsia" w:ascii="Arial" w:hAnsi="Arial" w:cs="Arial" w:eastAsiaTheme="minorEastAsia"/>
                <w:b w:val="0"/>
                <w:bCs w:val="0"/>
                <w:i/>
                <w:iCs/>
                <w:sz w:val="20"/>
                <w:szCs w:val="20"/>
                <w:lang w:eastAsia="zh-CN"/>
              </w:rPr>
              <w:t>(</w:t>
            </w:r>
            <w:r>
              <w:rPr>
                <w:rFonts w:ascii="Arial" w:hAnsi="Arial" w:cs="Arial" w:eastAsiaTheme="minorEastAsia"/>
                <w:b w:val="0"/>
                <w:bCs w:val="0"/>
                <w:i/>
                <w:iCs/>
                <w:sz w:val="20"/>
                <w:szCs w:val="20"/>
                <w:lang w:eastAsia="zh-CN"/>
              </w:rPr>
              <w:t>continue</w:t>
            </w:r>
            <w:r>
              <w:rPr>
                <w:rFonts w:hint="eastAsia" w:ascii="Arial" w:hAnsi="Arial" w:cs="Arial" w:eastAsiaTheme="minorEastAsia"/>
                <w:b w:val="0"/>
                <w:bCs w:val="0"/>
                <w:i/>
                <w:iCs/>
                <w:sz w:val="20"/>
                <w:szCs w:val="20"/>
                <w:lang w:eastAsia="zh-CN"/>
              </w:rPr>
              <w:t>)</w:t>
            </w:r>
          </w:p>
        </w:tc>
      </w:tr>
      <w:tr w14:paraId="1D3D13D9">
        <w:trPr>
          <w:cantSplit/>
        </w:trPr>
        <w:tc>
          <w:tcPr>
            <w:tcW w:w="2671" w:type="dxa"/>
            <w:tcBorders>
              <w:top w:val="single" w:color="auto" w:sz="12" w:space="0"/>
              <w:bottom w:val="single" w:color="auto" w:sz="12" w:space="0"/>
            </w:tcBorders>
            <w:vAlign w:val="center"/>
          </w:tcPr>
          <w:p w14:paraId="687DF6C0">
            <w:pPr>
              <w:pStyle w:val="2"/>
              <w:tabs>
                <w:tab w:val="left" w:pos="9120"/>
              </w:tabs>
              <w:spacing w:before="0"/>
              <w:rPr>
                <w:rFonts w:ascii="Arial" w:hAnsi="Arial" w:cs="Arial"/>
                <w:b w:val="0"/>
                <w:bCs w:val="0"/>
                <w:sz w:val="20"/>
                <w:szCs w:val="20"/>
              </w:rPr>
            </w:pPr>
            <w:r>
              <w:rPr>
                <w:rFonts w:ascii="Arial" w:hAnsi="Arial" w:cs="Arial"/>
                <w:sz w:val="20"/>
                <w:szCs w:val="20"/>
              </w:rPr>
              <w:t>Characteristic</w:t>
            </w:r>
          </w:p>
        </w:tc>
        <w:tc>
          <w:tcPr>
            <w:tcW w:w="2263" w:type="dxa"/>
            <w:tcBorders>
              <w:top w:val="single" w:color="auto" w:sz="12" w:space="0"/>
              <w:bottom w:val="single" w:color="auto" w:sz="12" w:space="0"/>
            </w:tcBorders>
            <w:vAlign w:val="center"/>
          </w:tcPr>
          <w:p w14:paraId="7134E242">
            <w:pPr>
              <w:pStyle w:val="2"/>
              <w:tabs>
                <w:tab w:val="left" w:pos="9120"/>
              </w:tabs>
              <w:spacing w:before="0"/>
              <w:rPr>
                <w:rFonts w:ascii="Arial" w:hAnsi="Arial" w:cs="Arial"/>
                <w:b w:val="0"/>
                <w:bCs w:val="0"/>
                <w:sz w:val="20"/>
                <w:szCs w:val="20"/>
              </w:rPr>
            </w:pPr>
            <w:r>
              <w:rPr>
                <w:rFonts w:ascii="Arial" w:hAnsi="Arial" w:cs="Arial"/>
                <w:sz w:val="20"/>
                <w:szCs w:val="20"/>
              </w:rPr>
              <w:t>Category</w:t>
            </w:r>
          </w:p>
        </w:tc>
        <w:tc>
          <w:tcPr>
            <w:tcW w:w="1491" w:type="dxa"/>
            <w:tcBorders>
              <w:top w:val="single" w:color="auto" w:sz="12" w:space="0"/>
              <w:bottom w:val="single" w:color="auto" w:sz="12" w:space="0"/>
            </w:tcBorders>
            <w:vAlign w:val="center"/>
          </w:tcPr>
          <w:p w14:paraId="0C5A4F4F">
            <w:pPr>
              <w:pStyle w:val="2"/>
              <w:tabs>
                <w:tab w:val="left" w:pos="9120"/>
              </w:tabs>
              <w:spacing w:before="0"/>
              <w:rPr>
                <w:rFonts w:ascii="Arial" w:hAnsi="Arial" w:cs="Arial"/>
                <w:b w:val="0"/>
                <w:bCs w:val="0"/>
                <w:sz w:val="20"/>
                <w:szCs w:val="20"/>
              </w:rPr>
            </w:pPr>
            <w:r>
              <w:rPr>
                <w:rFonts w:ascii="Arial" w:hAnsi="Arial" w:cs="Arial"/>
                <w:sz w:val="20"/>
                <w:szCs w:val="20"/>
              </w:rPr>
              <w:t>Concordant Positive</w:t>
            </w:r>
          </w:p>
        </w:tc>
        <w:tc>
          <w:tcPr>
            <w:tcW w:w="1316" w:type="dxa"/>
            <w:tcBorders>
              <w:top w:val="single" w:color="auto" w:sz="12" w:space="0"/>
              <w:bottom w:val="single" w:color="auto" w:sz="12" w:space="0"/>
            </w:tcBorders>
            <w:vAlign w:val="center"/>
          </w:tcPr>
          <w:p w14:paraId="2AEBCE0A">
            <w:pPr>
              <w:pStyle w:val="2"/>
              <w:tabs>
                <w:tab w:val="left" w:pos="9120"/>
              </w:tabs>
              <w:spacing w:before="0"/>
              <w:rPr>
                <w:rFonts w:ascii="Arial" w:hAnsi="Arial" w:cs="Arial"/>
                <w:b w:val="0"/>
                <w:bCs w:val="0"/>
                <w:sz w:val="20"/>
                <w:szCs w:val="20"/>
              </w:rPr>
            </w:pPr>
            <w:r>
              <w:rPr>
                <w:rFonts w:ascii="Arial" w:hAnsi="Arial" w:cs="Arial"/>
                <w:sz w:val="20"/>
                <w:szCs w:val="20"/>
              </w:rPr>
              <w:t>SOFA-2 Only</w:t>
            </w:r>
          </w:p>
        </w:tc>
        <w:tc>
          <w:tcPr>
            <w:tcW w:w="1357" w:type="dxa"/>
            <w:tcBorders>
              <w:top w:val="single" w:color="auto" w:sz="12" w:space="0"/>
              <w:bottom w:val="single" w:color="auto" w:sz="12" w:space="0"/>
            </w:tcBorders>
            <w:vAlign w:val="center"/>
          </w:tcPr>
          <w:p w14:paraId="70A3F1C5">
            <w:pPr>
              <w:pStyle w:val="2"/>
              <w:tabs>
                <w:tab w:val="left" w:pos="9120"/>
              </w:tabs>
              <w:spacing w:before="0"/>
              <w:rPr>
                <w:rFonts w:ascii="Arial" w:hAnsi="Arial" w:cs="Arial"/>
                <w:b w:val="0"/>
                <w:bCs w:val="0"/>
                <w:sz w:val="20"/>
                <w:szCs w:val="20"/>
              </w:rPr>
            </w:pPr>
            <w:r>
              <w:rPr>
                <w:rFonts w:ascii="Arial" w:hAnsi="Arial" w:cs="Arial"/>
                <w:sz w:val="20"/>
                <w:szCs w:val="20"/>
              </w:rPr>
              <w:t>SOFA-1 Only</w:t>
            </w:r>
          </w:p>
        </w:tc>
        <w:tc>
          <w:tcPr>
            <w:tcW w:w="622" w:type="dxa"/>
            <w:tcBorders>
              <w:top w:val="single" w:color="auto" w:sz="12" w:space="0"/>
              <w:bottom w:val="single" w:color="auto" w:sz="12" w:space="0"/>
            </w:tcBorders>
            <w:vAlign w:val="center"/>
          </w:tcPr>
          <w:p w14:paraId="61262541">
            <w:pPr>
              <w:pStyle w:val="2"/>
              <w:tabs>
                <w:tab w:val="left" w:pos="9120"/>
              </w:tabs>
              <w:spacing w:before="0"/>
              <w:rPr>
                <w:rFonts w:ascii="Arial" w:hAnsi="Arial" w:cs="Arial"/>
                <w:b w:val="0"/>
                <w:bCs w:val="0"/>
                <w:sz w:val="20"/>
                <w:szCs w:val="20"/>
              </w:rPr>
            </w:pPr>
            <w:r>
              <w:rPr>
                <w:rFonts w:ascii="Arial" w:hAnsi="Arial" w:cs="Arial"/>
                <w:sz w:val="20"/>
                <w:szCs w:val="20"/>
              </w:rPr>
              <w:t>P value</w:t>
            </w:r>
          </w:p>
        </w:tc>
      </w:tr>
      <w:tr w14:paraId="0018F93B">
        <w:trPr>
          <w:cantSplit/>
        </w:trPr>
        <w:tc>
          <w:tcPr>
            <w:tcW w:w="2671" w:type="dxa"/>
            <w:tcBorders>
              <w:top w:val="single" w:color="auto" w:sz="12" w:space="0"/>
            </w:tcBorders>
            <w:vAlign w:val="center"/>
          </w:tcPr>
          <w:p w14:paraId="4246C7CC">
            <w:pPr>
              <w:pStyle w:val="2"/>
              <w:tabs>
                <w:tab w:val="left" w:pos="9120"/>
              </w:tabs>
              <w:spacing w:before="0"/>
              <w:rPr>
                <w:rFonts w:ascii="Arial" w:hAnsi="Arial" w:cs="Arial"/>
                <w:b w:val="0"/>
                <w:bCs w:val="0"/>
                <w:sz w:val="20"/>
                <w:szCs w:val="20"/>
              </w:rPr>
            </w:pPr>
            <w:r>
              <w:rPr>
                <w:rFonts w:ascii="Arial" w:hAnsi="Arial" w:cs="Arial"/>
                <w:b w:val="0"/>
                <w:bCs w:val="0"/>
                <w:sz w:val="20"/>
                <w:szCs w:val="20"/>
              </w:rPr>
              <w:t>6-h urine output, mL/kg/h (mean)</w:t>
            </w:r>
          </w:p>
        </w:tc>
        <w:tc>
          <w:tcPr>
            <w:tcW w:w="2263" w:type="dxa"/>
            <w:tcBorders>
              <w:top w:val="single" w:color="auto" w:sz="12" w:space="0"/>
            </w:tcBorders>
            <w:vAlign w:val="center"/>
          </w:tcPr>
          <w:p w14:paraId="5F2897FF">
            <w:pPr>
              <w:pStyle w:val="2"/>
              <w:tabs>
                <w:tab w:val="left" w:pos="9120"/>
              </w:tabs>
              <w:spacing w:before="0"/>
              <w:rPr>
                <w:rFonts w:ascii="Arial" w:hAnsi="Arial" w:cs="Arial"/>
                <w:b w:val="0"/>
                <w:bCs w:val="0"/>
                <w:sz w:val="20"/>
                <w:szCs w:val="20"/>
              </w:rPr>
            </w:pPr>
            <w:r>
              <w:rPr>
                <w:rFonts w:ascii="Arial" w:hAnsi="Arial" w:cs="Arial"/>
                <w:b w:val="0"/>
                <w:bCs w:val="0"/>
                <w:sz w:val="20"/>
                <w:szCs w:val="20"/>
              </w:rPr>
              <w:t>SOFA Renal (updated)</w:t>
            </w:r>
          </w:p>
        </w:tc>
        <w:tc>
          <w:tcPr>
            <w:tcW w:w="1491" w:type="dxa"/>
            <w:tcBorders>
              <w:top w:val="single" w:color="auto" w:sz="12" w:space="0"/>
            </w:tcBorders>
            <w:vAlign w:val="center"/>
          </w:tcPr>
          <w:p w14:paraId="46B45E17">
            <w:pPr>
              <w:pStyle w:val="2"/>
              <w:tabs>
                <w:tab w:val="left" w:pos="9120"/>
              </w:tabs>
              <w:spacing w:before="0"/>
              <w:rPr>
                <w:rFonts w:ascii="Arial" w:hAnsi="Arial" w:cs="Arial"/>
                <w:b w:val="0"/>
                <w:bCs w:val="0"/>
                <w:sz w:val="20"/>
                <w:szCs w:val="20"/>
              </w:rPr>
            </w:pPr>
            <w:r>
              <w:rPr>
                <w:rFonts w:ascii="Arial" w:hAnsi="Arial" w:cs="Arial"/>
                <w:b w:val="0"/>
                <w:bCs w:val="0"/>
                <w:sz w:val="20"/>
                <w:szCs w:val="20"/>
              </w:rPr>
              <w:t>1.23 ± 0.94</w:t>
            </w:r>
          </w:p>
        </w:tc>
        <w:tc>
          <w:tcPr>
            <w:tcW w:w="1316" w:type="dxa"/>
            <w:tcBorders>
              <w:top w:val="single" w:color="auto" w:sz="12" w:space="0"/>
            </w:tcBorders>
            <w:vAlign w:val="center"/>
          </w:tcPr>
          <w:p w14:paraId="29BDD996">
            <w:pPr>
              <w:pStyle w:val="2"/>
              <w:tabs>
                <w:tab w:val="left" w:pos="9120"/>
              </w:tabs>
              <w:spacing w:before="0"/>
              <w:rPr>
                <w:rFonts w:ascii="Arial" w:hAnsi="Arial" w:cs="Arial"/>
                <w:b w:val="0"/>
                <w:bCs w:val="0"/>
                <w:sz w:val="20"/>
                <w:szCs w:val="20"/>
              </w:rPr>
            </w:pPr>
            <w:r>
              <w:rPr>
                <w:rFonts w:ascii="Arial" w:hAnsi="Arial" w:cs="Arial"/>
                <w:b w:val="0"/>
                <w:bCs w:val="0"/>
                <w:sz w:val="20"/>
                <w:szCs w:val="20"/>
              </w:rPr>
              <w:t>1.21 ± 0.79</w:t>
            </w:r>
          </w:p>
        </w:tc>
        <w:tc>
          <w:tcPr>
            <w:tcW w:w="1357" w:type="dxa"/>
            <w:tcBorders>
              <w:top w:val="single" w:color="auto" w:sz="12" w:space="0"/>
            </w:tcBorders>
            <w:vAlign w:val="center"/>
          </w:tcPr>
          <w:p w14:paraId="14EFFC35">
            <w:pPr>
              <w:pStyle w:val="2"/>
              <w:tabs>
                <w:tab w:val="left" w:pos="9120"/>
              </w:tabs>
              <w:spacing w:before="0"/>
              <w:rPr>
                <w:rFonts w:ascii="Arial" w:hAnsi="Arial" w:cs="Arial"/>
                <w:b w:val="0"/>
                <w:bCs w:val="0"/>
                <w:sz w:val="20"/>
                <w:szCs w:val="20"/>
              </w:rPr>
            </w:pPr>
            <w:r>
              <w:rPr>
                <w:rFonts w:ascii="Arial" w:hAnsi="Arial" w:cs="Arial"/>
                <w:b w:val="0"/>
                <w:bCs w:val="0"/>
                <w:sz w:val="20"/>
                <w:szCs w:val="20"/>
              </w:rPr>
              <w:t>2.01 ± 1.16</w:t>
            </w:r>
          </w:p>
        </w:tc>
        <w:tc>
          <w:tcPr>
            <w:tcW w:w="622" w:type="dxa"/>
            <w:tcBorders>
              <w:top w:val="single" w:color="auto" w:sz="12" w:space="0"/>
            </w:tcBorders>
            <w:vAlign w:val="center"/>
          </w:tcPr>
          <w:p w14:paraId="24FCCBB7">
            <w:pPr>
              <w:pStyle w:val="2"/>
              <w:tabs>
                <w:tab w:val="left" w:pos="9120"/>
              </w:tabs>
              <w:spacing w:before="0"/>
              <w:rPr>
                <w:rFonts w:ascii="Arial" w:hAnsi="Arial" w:cs="Arial"/>
                <w:b w:val="0"/>
                <w:bCs w:val="0"/>
                <w:sz w:val="20"/>
                <w:szCs w:val="20"/>
              </w:rPr>
            </w:pPr>
            <w:r>
              <w:rPr>
                <w:rFonts w:ascii="Arial" w:hAnsi="Arial" w:cs="Arial"/>
                <w:b w:val="0"/>
                <w:bCs w:val="0"/>
                <w:sz w:val="20"/>
                <w:szCs w:val="20"/>
              </w:rPr>
              <w:t>&lt;.001</w:t>
            </w:r>
          </w:p>
        </w:tc>
      </w:tr>
      <w:tr w14:paraId="09F7C6FC">
        <w:trPr>
          <w:cantSplit/>
        </w:trPr>
        <w:tc>
          <w:tcPr>
            <w:tcW w:w="2671" w:type="dxa"/>
            <w:vAlign w:val="center"/>
          </w:tcPr>
          <w:p w14:paraId="67758110">
            <w:pPr>
              <w:pStyle w:val="2"/>
              <w:tabs>
                <w:tab w:val="left" w:pos="9120"/>
              </w:tabs>
              <w:spacing w:before="0"/>
              <w:rPr>
                <w:rFonts w:ascii="Arial" w:hAnsi="Arial" w:cs="Arial"/>
                <w:b w:val="0"/>
                <w:bCs w:val="0"/>
                <w:sz w:val="20"/>
                <w:szCs w:val="20"/>
              </w:rPr>
            </w:pPr>
            <w:r>
              <w:rPr>
                <w:rFonts w:ascii="Arial" w:hAnsi="Arial" w:cs="Arial"/>
                <w:b w:val="0"/>
                <w:bCs w:val="0"/>
                <w:sz w:val="20"/>
                <w:szCs w:val="20"/>
              </w:rPr>
              <w:t>12-h urine output, mL/kg/h (mean)</w:t>
            </w:r>
          </w:p>
        </w:tc>
        <w:tc>
          <w:tcPr>
            <w:tcW w:w="2263" w:type="dxa"/>
            <w:vAlign w:val="center"/>
          </w:tcPr>
          <w:p w14:paraId="2FB94E37">
            <w:pPr>
              <w:pStyle w:val="2"/>
              <w:tabs>
                <w:tab w:val="left" w:pos="9120"/>
              </w:tabs>
              <w:spacing w:before="0"/>
              <w:rPr>
                <w:rFonts w:ascii="Arial" w:hAnsi="Arial" w:cs="Arial"/>
                <w:b w:val="0"/>
                <w:bCs w:val="0"/>
                <w:sz w:val="20"/>
                <w:szCs w:val="20"/>
              </w:rPr>
            </w:pPr>
            <w:r>
              <w:rPr>
                <w:rFonts w:ascii="Arial" w:hAnsi="Arial" w:cs="Arial"/>
                <w:b w:val="0"/>
                <w:bCs w:val="0"/>
                <w:sz w:val="20"/>
                <w:szCs w:val="20"/>
              </w:rPr>
              <w:t>SOFA Renal (updated)</w:t>
            </w:r>
          </w:p>
        </w:tc>
        <w:tc>
          <w:tcPr>
            <w:tcW w:w="1491" w:type="dxa"/>
            <w:vAlign w:val="center"/>
          </w:tcPr>
          <w:p w14:paraId="75115690">
            <w:pPr>
              <w:pStyle w:val="2"/>
              <w:tabs>
                <w:tab w:val="left" w:pos="9120"/>
              </w:tabs>
              <w:spacing w:before="0"/>
              <w:rPr>
                <w:rFonts w:ascii="Arial" w:hAnsi="Arial" w:cs="Arial"/>
                <w:b w:val="0"/>
                <w:bCs w:val="0"/>
                <w:sz w:val="20"/>
                <w:szCs w:val="20"/>
              </w:rPr>
            </w:pPr>
            <w:r>
              <w:rPr>
                <w:rFonts w:ascii="Arial" w:hAnsi="Arial" w:cs="Arial"/>
                <w:b w:val="0"/>
                <w:bCs w:val="0"/>
                <w:sz w:val="20"/>
                <w:szCs w:val="20"/>
              </w:rPr>
              <w:t>1.16 ± 0.90</w:t>
            </w:r>
          </w:p>
        </w:tc>
        <w:tc>
          <w:tcPr>
            <w:tcW w:w="1316" w:type="dxa"/>
            <w:vAlign w:val="center"/>
          </w:tcPr>
          <w:p w14:paraId="07D70BFA">
            <w:pPr>
              <w:pStyle w:val="2"/>
              <w:tabs>
                <w:tab w:val="left" w:pos="9120"/>
              </w:tabs>
              <w:spacing w:before="0"/>
              <w:rPr>
                <w:rFonts w:ascii="Arial" w:hAnsi="Arial" w:cs="Arial"/>
                <w:b w:val="0"/>
                <w:bCs w:val="0"/>
                <w:sz w:val="20"/>
                <w:szCs w:val="20"/>
              </w:rPr>
            </w:pPr>
            <w:r>
              <w:rPr>
                <w:rFonts w:ascii="Arial" w:hAnsi="Arial" w:cs="Arial"/>
                <w:b w:val="0"/>
                <w:bCs w:val="0"/>
                <w:sz w:val="20"/>
                <w:szCs w:val="20"/>
              </w:rPr>
              <w:t>1.13 ± 0.74</w:t>
            </w:r>
          </w:p>
        </w:tc>
        <w:tc>
          <w:tcPr>
            <w:tcW w:w="1357" w:type="dxa"/>
            <w:vAlign w:val="center"/>
          </w:tcPr>
          <w:p w14:paraId="406B2D24">
            <w:pPr>
              <w:pStyle w:val="2"/>
              <w:tabs>
                <w:tab w:val="left" w:pos="9120"/>
              </w:tabs>
              <w:spacing w:before="0"/>
              <w:rPr>
                <w:rFonts w:ascii="Arial" w:hAnsi="Arial" w:cs="Arial"/>
                <w:b w:val="0"/>
                <w:bCs w:val="0"/>
                <w:sz w:val="20"/>
                <w:szCs w:val="20"/>
              </w:rPr>
            </w:pPr>
            <w:r>
              <w:rPr>
                <w:rFonts w:ascii="Arial" w:hAnsi="Arial" w:cs="Arial"/>
                <w:b w:val="0"/>
                <w:bCs w:val="0"/>
                <w:sz w:val="20"/>
                <w:szCs w:val="20"/>
              </w:rPr>
              <w:t>1.91 ± 1.11</w:t>
            </w:r>
          </w:p>
        </w:tc>
        <w:tc>
          <w:tcPr>
            <w:tcW w:w="622" w:type="dxa"/>
            <w:vAlign w:val="center"/>
          </w:tcPr>
          <w:p w14:paraId="442262EE">
            <w:pPr>
              <w:pStyle w:val="2"/>
              <w:tabs>
                <w:tab w:val="left" w:pos="9120"/>
              </w:tabs>
              <w:spacing w:before="0"/>
              <w:rPr>
                <w:rFonts w:ascii="Arial" w:hAnsi="Arial" w:cs="Arial"/>
                <w:b w:val="0"/>
                <w:bCs w:val="0"/>
                <w:sz w:val="20"/>
                <w:szCs w:val="20"/>
              </w:rPr>
            </w:pPr>
            <w:r>
              <w:rPr>
                <w:rFonts w:ascii="Arial" w:hAnsi="Arial" w:cs="Arial"/>
                <w:b w:val="0"/>
                <w:bCs w:val="0"/>
                <w:sz w:val="20"/>
                <w:szCs w:val="20"/>
              </w:rPr>
              <w:t>&lt;.001</w:t>
            </w:r>
          </w:p>
        </w:tc>
      </w:tr>
      <w:tr w14:paraId="686C6FB0">
        <w:trPr>
          <w:cantSplit/>
        </w:trPr>
        <w:tc>
          <w:tcPr>
            <w:tcW w:w="2671" w:type="dxa"/>
            <w:vAlign w:val="center"/>
          </w:tcPr>
          <w:p w14:paraId="3EB166DC">
            <w:pPr>
              <w:pStyle w:val="2"/>
              <w:tabs>
                <w:tab w:val="left" w:pos="9120"/>
              </w:tabs>
              <w:spacing w:before="0"/>
              <w:rPr>
                <w:rFonts w:ascii="Arial" w:hAnsi="Arial" w:cs="Arial"/>
                <w:b w:val="0"/>
                <w:bCs w:val="0"/>
                <w:sz w:val="20"/>
                <w:szCs w:val="20"/>
              </w:rPr>
            </w:pPr>
            <w:r>
              <w:rPr>
                <w:rFonts w:ascii="Arial" w:hAnsi="Arial" w:cs="Arial"/>
                <w:b w:val="0"/>
                <w:bCs w:val="0"/>
                <w:sz w:val="20"/>
                <w:szCs w:val="20"/>
              </w:rPr>
              <w:t>24-h urine output, mL/kg/h (mean)</w:t>
            </w:r>
          </w:p>
        </w:tc>
        <w:tc>
          <w:tcPr>
            <w:tcW w:w="2263" w:type="dxa"/>
            <w:vAlign w:val="center"/>
          </w:tcPr>
          <w:p w14:paraId="41092F1A">
            <w:pPr>
              <w:pStyle w:val="2"/>
              <w:tabs>
                <w:tab w:val="left" w:pos="9120"/>
              </w:tabs>
              <w:spacing w:before="0"/>
              <w:rPr>
                <w:rFonts w:ascii="Arial" w:hAnsi="Arial" w:cs="Arial"/>
                <w:b w:val="0"/>
                <w:bCs w:val="0"/>
                <w:sz w:val="20"/>
                <w:szCs w:val="20"/>
              </w:rPr>
            </w:pPr>
            <w:r>
              <w:rPr>
                <w:rFonts w:ascii="Arial" w:hAnsi="Arial" w:cs="Arial"/>
                <w:b w:val="0"/>
                <w:bCs w:val="0"/>
                <w:sz w:val="20"/>
                <w:szCs w:val="20"/>
              </w:rPr>
              <w:t>SOFA Renal (updated)</w:t>
            </w:r>
          </w:p>
        </w:tc>
        <w:tc>
          <w:tcPr>
            <w:tcW w:w="1491" w:type="dxa"/>
            <w:vAlign w:val="center"/>
          </w:tcPr>
          <w:p w14:paraId="3A542468">
            <w:pPr>
              <w:pStyle w:val="2"/>
              <w:tabs>
                <w:tab w:val="left" w:pos="9120"/>
              </w:tabs>
              <w:spacing w:before="0"/>
              <w:rPr>
                <w:rFonts w:ascii="Arial" w:hAnsi="Arial" w:cs="Arial"/>
                <w:b w:val="0"/>
                <w:bCs w:val="0"/>
                <w:sz w:val="20"/>
                <w:szCs w:val="20"/>
              </w:rPr>
            </w:pPr>
            <w:r>
              <w:rPr>
                <w:rFonts w:ascii="Arial" w:hAnsi="Arial" w:cs="Arial"/>
                <w:b w:val="0"/>
                <w:bCs w:val="0"/>
                <w:sz w:val="20"/>
                <w:szCs w:val="20"/>
              </w:rPr>
              <w:t>0.93 ± 0.70</w:t>
            </w:r>
          </w:p>
        </w:tc>
        <w:tc>
          <w:tcPr>
            <w:tcW w:w="1316" w:type="dxa"/>
            <w:vAlign w:val="center"/>
          </w:tcPr>
          <w:p w14:paraId="374C3134">
            <w:pPr>
              <w:pStyle w:val="2"/>
              <w:tabs>
                <w:tab w:val="left" w:pos="9120"/>
              </w:tabs>
              <w:spacing w:before="0"/>
              <w:rPr>
                <w:rFonts w:ascii="Arial" w:hAnsi="Arial" w:cs="Arial"/>
                <w:b w:val="0"/>
                <w:bCs w:val="0"/>
                <w:sz w:val="20"/>
                <w:szCs w:val="20"/>
              </w:rPr>
            </w:pPr>
            <w:r>
              <w:rPr>
                <w:rFonts w:ascii="Arial" w:hAnsi="Arial" w:cs="Arial"/>
                <w:b w:val="0"/>
                <w:bCs w:val="0"/>
                <w:sz w:val="20"/>
                <w:szCs w:val="20"/>
              </w:rPr>
              <w:t>0.96 ± 0.62</w:t>
            </w:r>
          </w:p>
        </w:tc>
        <w:tc>
          <w:tcPr>
            <w:tcW w:w="1357" w:type="dxa"/>
            <w:vAlign w:val="center"/>
          </w:tcPr>
          <w:p w14:paraId="1173D145">
            <w:pPr>
              <w:pStyle w:val="2"/>
              <w:tabs>
                <w:tab w:val="left" w:pos="9120"/>
              </w:tabs>
              <w:spacing w:before="0"/>
              <w:rPr>
                <w:rFonts w:ascii="Arial" w:hAnsi="Arial" w:cs="Arial"/>
                <w:b w:val="0"/>
                <w:bCs w:val="0"/>
                <w:sz w:val="20"/>
                <w:szCs w:val="20"/>
              </w:rPr>
            </w:pPr>
            <w:r>
              <w:rPr>
                <w:rFonts w:ascii="Arial" w:hAnsi="Arial" w:cs="Arial"/>
                <w:b w:val="0"/>
                <w:bCs w:val="0"/>
                <w:sz w:val="20"/>
                <w:szCs w:val="20"/>
              </w:rPr>
              <w:t>1.54 ± 0.83</w:t>
            </w:r>
          </w:p>
        </w:tc>
        <w:tc>
          <w:tcPr>
            <w:tcW w:w="622" w:type="dxa"/>
            <w:vAlign w:val="center"/>
          </w:tcPr>
          <w:p w14:paraId="3C330E9D">
            <w:pPr>
              <w:pStyle w:val="2"/>
              <w:tabs>
                <w:tab w:val="left" w:pos="9120"/>
              </w:tabs>
              <w:spacing w:before="0"/>
              <w:rPr>
                <w:rFonts w:ascii="Arial" w:hAnsi="Arial" w:cs="Arial"/>
                <w:b w:val="0"/>
                <w:bCs w:val="0"/>
                <w:sz w:val="20"/>
                <w:szCs w:val="20"/>
              </w:rPr>
            </w:pPr>
            <w:r>
              <w:rPr>
                <w:rFonts w:ascii="Arial" w:hAnsi="Arial" w:cs="Arial"/>
                <w:b w:val="0"/>
                <w:bCs w:val="0"/>
                <w:sz w:val="20"/>
                <w:szCs w:val="20"/>
              </w:rPr>
              <w:t>&lt;.001</w:t>
            </w:r>
          </w:p>
        </w:tc>
      </w:tr>
      <w:tr w14:paraId="644D1BC4">
        <w:trPr>
          <w:cantSplit/>
        </w:trPr>
        <w:tc>
          <w:tcPr>
            <w:tcW w:w="2671" w:type="dxa"/>
            <w:vAlign w:val="center"/>
          </w:tcPr>
          <w:p w14:paraId="10B8E0B3">
            <w:pPr>
              <w:pStyle w:val="2"/>
              <w:tabs>
                <w:tab w:val="left" w:pos="9120"/>
              </w:tabs>
              <w:spacing w:before="0"/>
              <w:rPr>
                <w:rFonts w:ascii="Arial" w:hAnsi="Arial" w:cs="Arial"/>
                <w:b w:val="0"/>
                <w:bCs w:val="0"/>
                <w:sz w:val="20"/>
                <w:szCs w:val="20"/>
              </w:rPr>
            </w:pPr>
            <w:r>
              <w:rPr>
                <w:rFonts w:ascii="Arial" w:hAnsi="Arial" w:cs="Arial"/>
                <w:b w:val="0"/>
                <w:bCs w:val="0"/>
                <w:sz w:val="20"/>
                <w:szCs w:val="20"/>
              </w:rPr>
              <w:t>Met criteria for RRT, any</w:t>
            </w:r>
          </w:p>
        </w:tc>
        <w:tc>
          <w:tcPr>
            <w:tcW w:w="2263" w:type="dxa"/>
            <w:vAlign w:val="center"/>
          </w:tcPr>
          <w:p w14:paraId="54E9A050">
            <w:pPr>
              <w:pStyle w:val="2"/>
              <w:tabs>
                <w:tab w:val="left" w:pos="9120"/>
              </w:tabs>
              <w:spacing w:before="0"/>
              <w:rPr>
                <w:rFonts w:ascii="Arial" w:hAnsi="Arial" w:cs="Arial"/>
                <w:b w:val="0"/>
                <w:bCs w:val="0"/>
                <w:sz w:val="20"/>
                <w:szCs w:val="20"/>
              </w:rPr>
            </w:pPr>
            <w:r>
              <w:rPr>
                <w:rFonts w:ascii="Arial" w:hAnsi="Arial" w:cs="Arial"/>
                <w:b w:val="0"/>
                <w:bCs w:val="0"/>
                <w:sz w:val="20"/>
                <w:szCs w:val="20"/>
              </w:rPr>
              <w:t>SOFA Renal (updated)</w:t>
            </w:r>
          </w:p>
        </w:tc>
        <w:tc>
          <w:tcPr>
            <w:tcW w:w="1491" w:type="dxa"/>
            <w:vAlign w:val="center"/>
          </w:tcPr>
          <w:p w14:paraId="1370FC45">
            <w:pPr>
              <w:pStyle w:val="2"/>
              <w:tabs>
                <w:tab w:val="left" w:pos="9120"/>
              </w:tabs>
              <w:spacing w:before="0"/>
              <w:rPr>
                <w:rFonts w:ascii="Arial" w:hAnsi="Arial" w:cs="Arial"/>
                <w:b w:val="0"/>
                <w:bCs w:val="0"/>
                <w:sz w:val="20"/>
                <w:szCs w:val="20"/>
              </w:rPr>
            </w:pPr>
            <w:r>
              <w:rPr>
                <w:rFonts w:ascii="Arial" w:hAnsi="Arial" w:cs="Arial"/>
                <w:b w:val="0"/>
                <w:bCs w:val="0"/>
                <w:sz w:val="20"/>
                <w:szCs w:val="20"/>
              </w:rPr>
              <w:t>209 (4.9%)</w:t>
            </w:r>
          </w:p>
        </w:tc>
        <w:tc>
          <w:tcPr>
            <w:tcW w:w="1316" w:type="dxa"/>
            <w:vAlign w:val="center"/>
          </w:tcPr>
          <w:p w14:paraId="6AA18AD0">
            <w:pPr>
              <w:pStyle w:val="2"/>
              <w:tabs>
                <w:tab w:val="left" w:pos="9120"/>
              </w:tabs>
              <w:spacing w:before="0"/>
              <w:rPr>
                <w:rFonts w:ascii="Arial" w:hAnsi="Arial" w:cs="Arial"/>
                <w:b w:val="0"/>
                <w:bCs w:val="0"/>
                <w:sz w:val="20"/>
                <w:szCs w:val="20"/>
              </w:rPr>
            </w:pPr>
            <w:r>
              <w:rPr>
                <w:rFonts w:ascii="Arial" w:hAnsi="Arial" w:cs="Arial"/>
                <w:b w:val="0"/>
                <w:bCs w:val="0"/>
                <w:sz w:val="20"/>
                <w:szCs w:val="20"/>
              </w:rPr>
              <w:t>6 (1.6%)</w:t>
            </w:r>
          </w:p>
        </w:tc>
        <w:tc>
          <w:tcPr>
            <w:tcW w:w="1357" w:type="dxa"/>
            <w:vAlign w:val="center"/>
          </w:tcPr>
          <w:p w14:paraId="03ECCFC7">
            <w:pPr>
              <w:pStyle w:val="2"/>
              <w:tabs>
                <w:tab w:val="left" w:pos="9120"/>
              </w:tabs>
              <w:spacing w:before="0"/>
              <w:rPr>
                <w:rFonts w:ascii="Arial" w:hAnsi="Arial" w:cs="Arial"/>
                <w:b w:val="0"/>
                <w:bCs w:val="0"/>
                <w:sz w:val="20"/>
                <w:szCs w:val="20"/>
              </w:rPr>
            </w:pPr>
            <w:r>
              <w:rPr>
                <w:rFonts w:ascii="Arial" w:hAnsi="Arial" w:cs="Arial"/>
                <w:b w:val="0"/>
                <w:bCs w:val="0"/>
                <w:sz w:val="20"/>
                <w:szCs w:val="20"/>
              </w:rPr>
              <w:t>3 (2.5%)</w:t>
            </w:r>
          </w:p>
        </w:tc>
        <w:tc>
          <w:tcPr>
            <w:tcW w:w="622" w:type="dxa"/>
            <w:vAlign w:val="center"/>
          </w:tcPr>
          <w:p w14:paraId="027C18EF">
            <w:pPr>
              <w:pStyle w:val="2"/>
              <w:tabs>
                <w:tab w:val="left" w:pos="9120"/>
              </w:tabs>
              <w:spacing w:before="0"/>
              <w:rPr>
                <w:rFonts w:ascii="Arial" w:hAnsi="Arial" w:cs="Arial"/>
                <w:b w:val="0"/>
                <w:bCs w:val="0"/>
                <w:sz w:val="20"/>
                <w:szCs w:val="20"/>
              </w:rPr>
            </w:pPr>
            <w:r>
              <w:rPr>
                <w:rFonts w:ascii="Arial" w:hAnsi="Arial" w:cs="Arial"/>
                <w:b w:val="0"/>
                <w:bCs w:val="0"/>
                <w:sz w:val="20"/>
                <w:szCs w:val="20"/>
              </w:rPr>
              <w:t>.007</w:t>
            </w:r>
          </w:p>
        </w:tc>
      </w:tr>
      <w:tr w14:paraId="7579E938">
        <w:trPr>
          <w:cantSplit/>
        </w:trPr>
        <w:tc>
          <w:tcPr>
            <w:tcW w:w="2671" w:type="dxa"/>
            <w:vAlign w:val="center"/>
          </w:tcPr>
          <w:p w14:paraId="46D20DFD">
            <w:pPr>
              <w:pStyle w:val="2"/>
              <w:tabs>
                <w:tab w:val="left" w:pos="9120"/>
              </w:tabs>
              <w:spacing w:before="0"/>
              <w:rPr>
                <w:rFonts w:ascii="Arial" w:hAnsi="Arial" w:cs="Arial"/>
                <w:b w:val="0"/>
                <w:bCs w:val="0"/>
                <w:sz w:val="20"/>
                <w:szCs w:val="20"/>
              </w:rPr>
            </w:pPr>
            <w:r>
              <w:rPr>
                <w:rFonts w:ascii="Arial" w:hAnsi="Arial" w:cs="Arial"/>
                <w:b w:val="0"/>
                <w:bCs w:val="0"/>
                <w:sz w:val="20"/>
                <w:szCs w:val="20"/>
              </w:rPr>
              <w:t>Potassium, mmol/L (mean)</w:t>
            </w:r>
          </w:p>
        </w:tc>
        <w:tc>
          <w:tcPr>
            <w:tcW w:w="2263" w:type="dxa"/>
            <w:vAlign w:val="center"/>
          </w:tcPr>
          <w:p w14:paraId="616BF76A">
            <w:pPr>
              <w:pStyle w:val="2"/>
              <w:tabs>
                <w:tab w:val="left" w:pos="9120"/>
              </w:tabs>
              <w:spacing w:before="0"/>
              <w:rPr>
                <w:rFonts w:ascii="Arial" w:hAnsi="Arial" w:cs="Arial"/>
                <w:b w:val="0"/>
                <w:bCs w:val="0"/>
                <w:sz w:val="20"/>
                <w:szCs w:val="20"/>
              </w:rPr>
            </w:pPr>
            <w:r>
              <w:rPr>
                <w:rFonts w:ascii="Arial" w:hAnsi="Arial" w:cs="Arial"/>
                <w:b w:val="0"/>
                <w:bCs w:val="0"/>
                <w:sz w:val="20"/>
                <w:szCs w:val="20"/>
              </w:rPr>
              <w:t>SOFA Renal (updated)</w:t>
            </w:r>
          </w:p>
        </w:tc>
        <w:tc>
          <w:tcPr>
            <w:tcW w:w="1491" w:type="dxa"/>
            <w:vAlign w:val="center"/>
          </w:tcPr>
          <w:p w14:paraId="574152B1">
            <w:pPr>
              <w:pStyle w:val="2"/>
              <w:tabs>
                <w:tab w:val="left" w:pos="9120"/>
              </w:tabs>
              <w:spacing w:before="0"/>
              <w:rPr>
                <w:rFonts w:ascii="Arial" w:hAnsi="Arial" w:cs="Arial"/>
                <w:b w:val="0"/>
                <w:bCs w:val="0"/>
                <w:sz w:val="20"/>
                <w:szCs w:val="20"/>
              </w:rPr>
            </w:pPr>
            <w:r>
              <w:rPr>
                <w:rFonts w:ascii="Arial" w:hAnsi="Arial" w:cs="Arial"/>
                <w:b w:val="0"/>
                <w:bCs w:val="0"/>
                <w:sz w:val="20"/>
                <w:szCs w:val="20"/>
              </w:rPr>
              <w:t>4.15 ± 0.45</w:t>
            </w:r>
          </w:p>
        </w:tc>
        <w:tc>
          <w:tcPr>
            <w:tcW w:w="1316" w:type="dxa"/>
            <w:vAlign w:val="center"/>
          </w:tcPr>
          <w:p w14:paraId="5FBAE710">
            <w:pPr>
              <w:pStyle w:val="2"/>
              <w:tabs>
                <w:tab w:val="left" w:pos="9120"/>
              </w:tabs>
              <w:spacing w:before="0"/>
              <w:rPr>
                <w:rFonts w:ascii="Arial" w:hAnsi="Arial" w:cs="Arial"/>
                <w:b w:val="0"/>
                <w:bCs w:val="0"/>
                <w:sz w:val="20"/>
                <w:szCs w:val="20"/>
              </w:rPr>
            </w:pPr>
            <w:r>
              <w:rPr>
                <w:rFonts w:ascii="Arial" w:hAnsi="Arial" w:cs="Arial"/>
                <w:b w:val="0"/>
                <w:bCs w:val="0"/>
                <w:sz w:val="20"/>
                <w:szCs w:val="20"/>
              </w:rPr>
              <w:t>4.08 ± 0.37</w:t>
            </w:r>
          </w:p>
        </w:tc>
        <w:tc>
          <w:tcPr>
            <w:tcW w:w="1357" w:type="dxa"/>
            <w:vAlign w:val="center"/>
          </w:tcPr>
          <w:p w14:paraId="786B43D7">
            <w:pPr>
              <w:pStyle w:val="2"/>
              <w:tabs>
                <w:tab w:val="left" w:pos="9120"/>
              </w:tabs>
              <w:spacing w:before="0"/>
              <w:rPr>
                <w:rFonts w:ascii="Arial" w:hAnsi="Arial" w:cs="Arial"/>
                <w:b w:val="0"/>
                <w:bCs w:val="0"/>
                <w:sz w:val="20"/>
                <w:szCs w:val="20"/>
              </w:rPr>
            </w:pPr>
            <w:r>
              <w:rPr>
                <w:rFonts w:ascii="Arial" w:hAnsi="Arial" w:cs="Arial"/>
                <w:b w:val="0"/>
                <w:bCs w:val="0"/>
                <w:sz w:val="20"/>
                <w:szCs w:val="20"/>
              </w:rPr>
              <w:t>4.03 ± 0.40</w:t>
            </w:r>
          </w:p>
        </w:tc>
        <w:tc>
          <w:tcPr>
            <w:tcW w:w="622" w:type="dxa"/>
            <w:vAlign w:val="center"/>
          </w:tcPr>
          <w:p w14:paraId="7AC2DF5B">
            <w:pPr>
              <w:pStyle w:val="2"/>
              <w:tabs>
                <w:tab w:val="left" w:pos="9120"/>
              </w:tabs>
              <w:spacing w:before="0"/>
              <w:rPr>
                <w:rFonts w:ascii="Arial" w:hAnsi="Arial" w:cs="Arial"/>
                <w:b w:val="0"/>
                <w:bCs w:val="0"/>
                <w:sz w:val="20"/>
                <w:szCs w:val="20"/>
              </w:rPr>
            </w:pPr>
            <w:r>
              <w:rPr>
                <w:rFonts w:ascii="Arial" w:hAnsi="Arial" w:cs="Arial"/>
                <w:b w:val="0"/>
                <w:bCs w:val="0"/>
                <w:sz w:val="20"/>
                <w:szCs w:val="20"/>
              </w:rPr>
              <w:t>.006</w:t>
            </w:r>
          </w:p>
        </w:tc>
      </w:tr>
      <w:tr w14:paraId="3CF0E608">
        <w:trPr>
          <w:cantSplit/>
        </w:trPr>
        <w:tc>
          <w:tcPr>
            <w:tcW w:w="2671" w:type="dxa"/>
            <w:vAlign w:val="center"/>
          </w:tcPr>
          <w:p w14:paraId="3A536432">
            <w:pPr>
              <w:pStyle w:val="2"/>
              <w:tabs>
                <w:tab w:val="left" w:pos="9120"/>
              </w:tabs>
              <w:spacing w:before="0"/>
              <w:rPr>
                <w:rFonts w:ascii="Arial" w:hAnsi="Arial" w:cs="Arial"/>
                <w:b w:val="0"/>
                <w:bCs w:val="0"/>
                <w:sz w:val="20"/>
                <w:szCs w:val="20"/>
              </w:rPr>
            </w:pPr>
            <w:r>
              <w:rPr>
                <w:rFonts w:ascii="Arial" w:hAnsi="Arial" w:cs="Arial"/>
                <w:b w:val="0"/>
                <w:bCs w:val="0"/>
                <w:sz w:val="20"/>
                <w:szCs w:val="20"/>
              </w:rPr>
              <w:t>Bicarbonate, mmol/L (mean)</w:t>
            </w:r>
          </w:p>
        </w:tc>
        <w:tc>
          <w:tcPr>
            <w:tcW w:w="2263" w:type="dxa"/>
            <w:vAlign w:val="center"/>
          </w:tcPr>
          <w:p w14:paraId="2B485861">
            <w:pPr>
              <w:pStyle w:val="2"/>
              <w:tabs>
                <w:tab w:val="left" w:pos="9120"/>
              </w:tabs>
              <w:spacing w:before="0"/>
              <w:rPr>
                <w:rFonts w:ascii="Arial" w:hAnsi="Arial" w:cs="Arial"/>
                <w:b w:val="0"/>
                <w:bCs w:val="0"/>
                <w:sz w:val="20"/>
                <w:szCs w:val="20"/>
              </w:rPr>
            </w:pPr>
            <w:r>
              <w:rPr>
                <w:rFonts w:ascii="Arial" w:hAnsi="Arial" w:cs="Arial"/>
                <w:b w:val="0"/>
                <w:bCs w:val="0"/>
                <w:sz w:val="20"/>
                <w:szCs w:val="20"/>
              </w:rPr>
              <w:t>SOFA Renal (updated)</w:t>
            </w:r>
          </w:p>
        </w:tc>
        <w:tc>
          <w:tcPr>
            <w:tcW w:w="1491" w:type="dxa"/>
            <w:vAlign w:val="center"/>
          </w:tcPr>
          <w:p w14:paraId="4B5D8271">
            <w:pPr>
              <w:pStyle w:val="2"/>
              <w:tabs>
                <w:tab w:val="left" w:pos="9120"/>
              </w:tabs>
              <w:spacing w:before="0"/>
              <w:rPr>
                <w:rFonts w:ascii="Arial" w:hAnsi="Arial" w:cs="Arial"/>
                <w:b w:val="0"/>
                <w:bCs w:val="0"/>
                <w:sz w:val="20"/>
                <w:szCs w:val="20"/>
              </w:rPr>
            </w:pPr>
            <w:r>
              <w:rPr>
                <w:rFonts w:ascii="Arial" w:hAnsi="Arial" w:cs="Arial"/>
                <w:b w:val="0"/>
                <w:bCs w:val="0"/>
                <w:sz w:val="20"/>
                <w:szCs w:val="20"/>
              </w:rPr>
              <w:t>21.84 ± 4.21</w:t>
            </w:r>
          </w:p>
        </w:tc>
        <w:tc>
          <w:tcPr>
            <w:tcW w:w="1316" w:type="dxa"/>
            <w:vAlign w:val="center"/>
          </w:tcPr>
          <w:p w14:paraId="7F3C832D">
            <w:pPr>
              <w:pStyle w:val="2"/>
              <w:tabs>
                <w:tab w:val="left" w:pos="9120"/>
              </w:tabs>
              <w:spacing w:before="0"/>
              <w:rPr>
                <w:rFonts w:ascii="Arial" w:hAnsi="Arial" w:cs="Arial"/>
                <w:b w:val="0"/>
                <w:bCs w:val="0"/>
                <w:sz w:val="20"/>
                <w:szCs w:val="20"/>
              </w:rPr>
            </w:pPr>
            <w:r>
              <w:rPr>
                <w:rFonts w:ascii="Arial" w:hAnsi="Arial" w:cs="Arial"/>
                <w:b w:val="0"/>
                <w:bCs w:val="0"/>
                <w:sz w:val="20"/>
                <w:szCs w:val="20"/>
              </w:rPr>
              <w:t>23.66 ± 4.65</w:t>
            </w:r>
          </w:p>
        </w:tc>
        <w:tc>
          <w:tcPr>
            <w:tcW w:w="1357" w:type="dxa"/>
            <w:vAlign w:val="center"/>
          </w:tcPr>
          <w:p w14:paraId="653453EE">
            <w:pPr>
              <w:pStyle w:val="2"/>
              <w:tabs>
                <w:tab w:val="left" w:pos="9120"/>
              </w:tabs>
              <w:spacing w:before="0"/>
              <w:rPr>
                <w:rFonts w:ascii="Arial" w:hAnsi="Arial" w:cs="Arial"/>
                <w:b w:val="0"/>
                <w:bCs w:val="0"/>
                <w:sz w:val="20"/>
                <w:szCs w:val="20"/>
              </w:rPr>
            </w:pPr>
            <w:r>
              <w:rPr>
                <w:rFonts w:ascii="Arial" w:hAnsi="Arial" w:cs="Arial"/>
                <w:b w:val="0"/>
                <w:bCs w:val="0"/>
                <w:sz w:val="20"/>
                <w:szCs w:val="20"/>
              </w:rPr>
              <w:t>23.09 ± 4.04</w:t>
            </w:r>
          </w:p>
        </w:tc>
        <w:tc>
          <w:tcPr>
            <w:tcW w:w="622" w:type="dxa"/>
            <w:vAlign w:val="center"/>
          </w:tcPr>
          <w:p w14:paraId="06AF2C6C">
            <w:pPr>
              <w:pStyle w:val="2"/>
              <w:tabs>
                <w:tab w:val="left" w:pos="9120"/>
              </w:tabs>
              <w:spacing w:before="0"/>
              <w:rPr>
                <w:rFonts w:ascii="Arial" w:hAnsi="Arial" w:cs="Arial"/>
                <w:b w:val="0"/>
                <w:bCs w:val="0"/>
                <w:sz w:val="20"/>
                <w:szCs w:val="20"/>
              </w:rPr>
            </w:pPr>
            <w:r>
              <w:rPr>
                <w:rFonts w:ascii="Arial" w:hAnsi="Arial" w:cs="Arial"/>
                <w:b w:val="0"/>
                <w:bCs w:val="0"/>
                <w:sz w:val="20"/>
                <w:szCs w:val="20"/>
              </w:rPr>
              <w:t>&lt;.001</w:t>
            </w:r>
          </w:p>
        </w:tc>
      </w:tr>
      <w:tr w14:paraId="44687059">
        <w:trPr>
          <w:cantSplit/>
        </w:trPr>
        <w:tc>
          <w:tcPr>
            <w:tcW w:w="2671" w:type="dxa"/>
            <w:vAlign w:val="center"/>
          </w:tcPr>
          <w:p w14:paraId="155EC262">
            <w:pPr>
              <w:pStyle w:val="2"/>
              <w:tabs>
                <w:tab w:val="left" w:pos="9120"/>
              </w:tabs>
              <w:spacing w:before="0"/>
              <w:rPr>
                <w:rFonts w:ascii="Arial" w:hAnsi="Arial" w:cs="Arial"/>
                <w:b w:val="0"/>
                <w:bCs w:val="0"/>
                <w:sz w:val="20"/>
                <w:szCs w:val="20"/>
              </w:rPr>
            </w:pPr>
            <w:r>
              <w:rPr>
                <w:rFonts w:ascii="Arial" w:hAnsi="Arial" w:cs="Arial"/>
                <w:b w:val="0"/>
                <w:bCs w:val="0"/>
                <w:sz w:val="20"/>
                <w:szCs w:val="20"/>
              </w:rPr>
              <w:t>Respiratory rate, breaths/min (mean)</w:t>
            </w:r>
          </w:p>
        </w:tc>
        <w:tc>
          <w:tcPr>
            <w:tcW w:w="2263" w:type="dxa"/>
            <w:vAlign w:val="center"/>
          </w:tcPr>
          <w:p w14:paraId="65A08135">
            <w:pPr>
              <w:pStyle w:val="2"/>
              <w:tabs>
                <w:tab w:val="left" w:pos="9120"/>
              </w:tabs>
              <w:spacing w:before="0"/>
              <w:rPr>
                <w:rFonts w:ascii="Arial" w:hAnsi="Arial" w:eastAsia="宋体" w:cs="Arial"/>
                <w:b w:val="0"/>
                <w:bCs w:val="0"/>
                <w:sz w:val="20"/>
                <w:szCs w:val="20"/>
                <w:lang w:eastAsia="zh-CN"/>
              </w:rPr>
            </w:pPr>
            <w:r>
              <w:rPr>
                <w:rFonts w:ascii="Arial" w:hAnsi="Arial" w:cs="Arial"/>
                <w:b w:val="0"/>
                <w:bCs w:val="0"/>
                <w:sz w:val="20"/>
                <w:szCs w:val="20"/>
              </w:rPr>
              <w:t>Other</w:t>
            </w:r>
            <w:r>
              <w:rPr>
                <w:rFonts w:hint="eastAsia" w:ascii="Arial" w:hAnsi="Arial" w:eastAsia="宋体" w:cs="Arial"/>
                <w:b w:val="0"/>
                <w:bCs w:val="0"/>
                <w:sz w:val="20"/>
                <w:szCs w:val="20"/>
                <w:lang w:eastAsia="zh-CN"/>
              </w:rPr>
              <w:t>s</w:t>
            </w:r>
          </w:p>
        </w:tc>
        <w:tc>
          <w:tcPr>
            <w:tcW w:w="1491" w:type="dxa"/>
            <w:vAlign w:val="center"/>
          </w:tcPr>
          <w:p w14:paraId="45378147">
            <w:pPr>
              <w:pStyle w:val="2"/>
              <w:tabs>
                <w:tab w:val="left" w:pos="9120"/>
              </w:tabs>
              <w:spacing w:before="0"/>
              <w:rPr>
                <w:rFonts w:ascii="Arial" w:hAnsi="Arial" w:cs="Arial"/>
                <w:b w:val="0"/>
                <w:bCs w:val="0"/>
                <w:sz w:val="20"/>
                <w:szCs w:val="20"/>
              </w:rPr>
            </w:pPr>
            <w:r>
              <w:rPr>
                <w:rFonts w:ascii="Arial" w:hAnsi="Arial" w:cs="Arial"/>
                <w:b w:val="0"/>
                <w:bCs w:val="0"/>
                <w:sz w:val="20"/>
                <w:szCs w:val="20"/>
              </w:rPr>
              <w:t>19.42 ± 4.64</w:t>
            </w:r>
          </w:p>
        </w:tc>
        <w:tc>
          <w:tcPr>
            <w:tcW w:w="1316" w:type="dxa"/>
            <w:vAlign w:val="center"/>
          </w:tcPr>
          <w:p w14:paraId="5533694B">
            <w:pPr>
              <w:pStyle w:val="2"/>
              <w:tabs>
                <w:tab w:val="left" w:pos="9120"/>
              </w:tabs>
              <w:spacing w:before="0"/>
              <w:rPr>
                <w:rFonts w:ascii="Arial" w:hAnsi="Arial" w:cs="Arial"/>
                <w:b w:val="0"/>
                <w:bCs w:val="0"/>
                <w:sz w:val="20"/>
                <w:szCs w:val="20"/>
              </w:rPr>
            </w:pPr>
            <w:r>
              <w:rPr>
                <w:rFonts w:ascii="Arial" w:hAnsi="Arial" w:cs="Arial"/>
                <w:b w:val="0"/>
                <w:bCs w:val="0"/>
                <w:sz w:val="20"/>
                <w:szCs w:val="20"/>
              </w:rPr>
              <w:t>19.57 ± 4.85</w:t>
            </w:r>
          </w:p>
        </w:tc>
        <w:tc>
          <w:tcPr>
            <w:tcW w:w="1357" w:type="dxa"/>
            <w:vAlign w:val="center"/>
          </w:tcPr>
          <w:p w14:paraId="2319C5A0">
            <w:pPr>
              <w:pStyle w:val="2"/>
              <w:tabs>
                <w:tab w:val="left" w:pos="9120"/>
              </w:tabs>
              <w:spacing w:before="0"/>
              <w:rPr>
                <w:rFonts w:ascii="Arial" w:hAnsi="Arial" w:cs="Arial"/>
                <w:b w:val="0"/>
                <w:bCs w:val="0"/>
                <w:sz w:val="20"/>
                <w:szCs w:val="20"/>
              </w:rPr>
            </w:pPr>
            <w:r>
              <w:rPr>
                <w:rFonts w:ascii="Arial" w:hAnsi="Arial" w:cs="Arial"/>
                <w:b w:val="0"/>
                <w:bCs w:val="0"/>
                <w:sz w:val="20"/>
                <w:szCs w:val="20"/>
              </w:rPr>
              <w:t>18.68 ± 4.35</w:t>
            </w:r>
          </w:p>
        </w:tc>
        <w:tc>
          <w:tcPr>
            <w:tcW w:w="622" w:type="dxa"/>
            <w:vAlign w:val="center"/>
          </w:tcPr>
          <w:p w14:paraId="7F4F8DBE">
            <w:pPr>
              <w:pStyle w:val="2"/>
              <w:tabs>
                <w:tab w:val="left" w:pos="9120"/>
              </w:tabs>
              <w:spacing w:before="0"/>
              <w:rPr>
                <w:rFonts w:ascii="Arial" w:hAnsi="Arial" w:cs="Arial"/>
                <w:b w:val="0"/>
                <w:bCs w:val="0"/>
                <w:sz w:val="20"/>
                <w:szCs w:val="20"/>
              </w:rPr>
            </w:pPr>
            <w:r>
              <w:rPr>
                <w:rFonts w:ascii="Arial" w:hAnsi="Arial" w:cs="Arial"/>
                <w:b w:val="0"/>
                <w:bCs w:val="0"/>
                <w:sz w:val="20"/>
                <w:szCs w:val="20"/>
              </w:rPr>
              <w:t>.30</w:t>
            </w:r>
          </w:p>
        </w:tc>
      </w:tr>
      <w:tr w14:paraId="500F1889">
        <w:trPr>
          <w:cantSplit/>
        </w:trPr>
        <w:tc>
          <w:tcPr>
            <w:tcW w:w="2671" w:type="dxa"/>
            <w:vAlign w:val="center"/>
          </w:tcPr>
          <w:p w14:paraId="068938A0">
            <w:pPr>
              <w:pStyle w:val="2"/>
              <w:tabs>
                <w:tab w:val="left" w:pos="9120"/>
              </w:tabs>
              <w:spacing w:before="0"/>
              <w:rPr>
                <w:rFonts w:ascii="Arial" w:hAnsi="Arial" w:cs="Arial"/>
                <w:b w:val="0"/>
                <w:bCs w:val="0"/>
                <w:sz w:val="20"/>
                <w:szCs w:val="20"/>
              </w:rPr>
            </w:pPr>
            <w:r>
              <w:rPr>
                <w:rFonts w:ascii="Arial" w:hAnsi="Arial" w:cs="Arial"/>
                <w:b w:val="0"/>
                <w:bCs w:val="0"/>
                <w:sz w:val="20"/>
                <w:szCs w:val="20"/>
              </w:rPr>
              <w:t>Temperature, °C (mean)</w:t>
            </w:r>
          </w:p>
        </w:tc>
        <w:tc>
          <w:tcPr>
            <w:tcW w:w="2263" w:type="dxa"/>
            <w:vAlign w:val="center"/>
          </w:tcPr>
          <w:p w14:paraId="0C45A5D7">
            <w:pPr>
              <w:pStyle w:val="2"/>
              <w:tabs>
                <w:tab w:val="left" w:pos="9120"/>
              </w:tabs>
              <w:spacing w:before="0"/>
              <w:rPr>
                <w:rFonts w:ascii="Arial" w:hAnsi="Arial" w:cs="Arial"/>
                <w:b w:val="0"/>
                <w:bCs w:val="0"/>
                <w:sz w:val="20"/>
                <w:szCs w:val="20"/>
              </w:rPr>
            </w:pPr>
            <w:r>
              <w:rPr>
                <w:rFonts w:ascii="Arial" w:hAnsi="Arial" w:cs="Arial"/>
                <w:b w:val="0"/>
                <w:bCs w:val="0"/>
                <w:sz w:val="20"/>
                <w:szCs w:val="20"/>
              </w:rPr>
              <w:t>Others</w:t>
            </w:r>
          </w:p>
        </w:tc>
        <w:tc>
          <w:tcPr>
            <w:tcW w:w="1491" w:type="dxa"/>
            <w:vAlign w:val="center"/>
          </w:tcPr>
          <w:p w14:paraId="578A90A9">
            <w:pPr>
              <w:pStyle w:val="2"/>
              <w:tabs>
                <w:tab w:val="left" w:pos="9120"/>
              </w:tabs>
              <w:spacing w:before="0"/>
              <w:rPr>
                <w:rFonts w:ascii="Arial" w:hAnsi="Arial" w:cs="Arial"/>
                <w:b w:val="0"/>
                <w:bCs w:val="0"/>
                <w:sz w:val="20"/>
                <w:szCs w:val="20"/>
              </w:rPr>
            </w:pPr>
            <w:r>
              <w:rPr>
                <w:rFonts w:ascii="Arial" w:hAnsi="Arial" w:cs="Arial"/>
                <w:b w:val="0"/>
                <w:bCs w:val="0"/>
                <w:sz w:val="20"/>
                <w:szCs w:val="20"/>
              </w:rPr>
              <w:t>35.18 ± 1.96</w:t>
            </w:r>
          </w:p>
        </w:tc>
        <w:tc>
          <w:tcPr>
            <w:tcW w:w="1316" w:type="dxa"/>
            <w:vAlign w:val="center"/>
          </w:tcPr>
          <w:p w14:paraId="56410182">
            <w:pPr>
              <w:pStyle w:val="2"/>
              <w:tabs>
                <w:tab w:val="left" w:pos="9120"/>
              </w:tabs>
              <w:spacing w:before="0"/>
              <w:rPr>
                <w:rFonts w:ascii="Arial" w:hAnsi="Arial" w:cs="Arial"/>
                <w:b w:val="0"/>
                <w:bCs w:val="0"/>
                <w:sz w:val="20"/>
                <w:szCs w:val="20"/>
              </w:rPr>
            </w:pPr>
            <w:r>
              <w:rPr>
                <w:rFonts w:ascii="Arial" w:hAnsi="Arial" w:cs="Arial"/>
                <w:b w:val="0"/>
                <w:bCs w:val="0"/>
                <w:sz w:val="20"/>
                <w:szCs w:val="20"/>
              </w:rPr>
              <w:t>35.52 ± 1.96</w:t>
            </w:r>
          </w:p>
        </w:tc>
        <w:tc>
          <w:tcPr>
            <w:tcW w:w="1357" w:type="dxa"/>
            <w:vAlign w:val="center"/>
          </w:tcPr>
          <w:p w14:paraId="764EB49C">
            <w:pPr>
              <w:pStyle w:val="2"/>
              <w:tabs>
                <w:tab w:val="left" w:pos="9120"/>
              </w:tabs>
              <w:spacing w:before="0"/>
              <w:rPr>
                <w:rFonts w:ascii="Arial" w:hAnsi="Arial" w:cs="Arial"/>
                <w:b w:val="0"/>
                <w:bCs w:val="0"/>
                <w:sz w:val="20"/>
                <w:szCs w:val="20"/>
              </w:rPr>
            </w:pPr>
            <w:r>
              <w:rPr>
                <w:rFonts w:ascii="Arial" w:hAnsi="Arial" w:cs="Arial"/>
                <w:b w:val="0"/>
                <w:bCs w:val="0"/>
                <w:sz w:val="20"/>
                <w:szCs w:val="20"/>
              </w:rPr>
              <w:t>36.03 ± 1.84</w:t>
            </w:r>
          </w:p>
        </w:tc>
        <w:tc>
          <w:tcPr>
            <w:tcW w:w="622" w:type="dxa"/>
            <w:vAlign w:val="center"/>
          </w:tcPr>
          <w:p w14:paraId="6CDFE737">
            <w:pPr>
              <w:pStyle w:val="2"/>
              <w:tabs>
                <w:tab w:val="left" w:pos="9120"/>
              </w:tabs>
              <w:spacing w:before="0"/>
              <w:rPr>
                <w:rFonts w:ascii="Arial" w:hAnsi="Arial" w:cs="Arial"/>
                <w:b w:val="0"/>
                <w:bCs w:val="0"/>
                <w:sz w:val="20"/>
                <w:szCs w:val="20"/>
              </w:rPr>
            </w:pPr>
            <w:r>
              <w:rPr>
                <w:rFonts w:ascii="Arial" w:hAnsi="Arial" w:cs="Arial"/>
                <w:b w:val="0"/>
                <w:bCs w:val="0"/>
                <w:sz w:val="20"/>
                <w:szCs w:val="20"/>
              </w:rPr>
              <w:t>.008</w:t>
            </w:r>
          </w:p>
        </w:tc>
      </w:tr>
      <w:tr w14:paraId="4352474D">
        <w:trPr>
          <w:cantSplit/>
        </w:trPr>
        <w:tc>
          <w:tcPr>
            <w:tcW w:w="2671" w:type="dxa"/>
            <w:vAlign w:val="center"/>
          </w:tcPr>
          <w:p w14:paraId="45EB6CEA">
            <w:pPr>
              <w:pStyle w:val="2"/>
              <w:tabs>
                <w:tab w:val="left" w:pos="9120"/>
              </w:tabs>
              <w:spacing w:before="0"/>
              <w:rPr>
                <w:rFonts w:ascii="Arial" w:hAnsi="Arial" w:cs="Arial"/>
                <w:b w:val="0"/>
                <w:bCs w:val="0"/>
                <w:sz w:val="20"/>
                <w:szCs w:val="20"/>
              </w:rPr>
            </w:pPr>
            <w:r>
              <w:rPr>
                <w:rFonts w:ascii="Arial" w:hAnsi="Arial" w:cs="Arial"/>
                <w:b w:val="0"/>
                <w:bCs w:val="0"/>
                <w:sz w:val="20"/>
                <w:szCs w:val="20"/>
              </w:rPr>
              <w:t>Weight, kg (mean)</w:t>
            </w:r>
          </w:p>
        </w:tc>
        <w:tc>
          <w:tcPr>
            <w:tcW w:w="2263" w:type="dxa"/>
            <w:vAlign w:val="center"/>
          </w:tcPr>
          <w:p w14:paraId="38A94513">
            <w:pPr>
              <w:pStyle w:val="2"/>
              <w:tabs>
                <w:tab w:val="left" w:pos="9120"/>
              </w:tabs>
              <w:spacing w:before="0"/>
              <w:rPr>
                <w:rFonts w:ascii="Arial" w:hAnsi="Arial" w:cs="Arial"/>
                <w:b w:val="0"/>
                <w:bCs w:val="0"/>
                <w:sz w:val="20"/>
                <w:szCs w:val="20"/>
              </w:rPr>
            </w:pPr>
            <w:r>
              <w:rPr>
                <w:rFonts w:ascii="Arial" w:hAnsi="Arial" w:cs="Arial"/>
                <w:b w:val="0"/>
                <w:bCs w:val="0"/>
                <w:sz w:val="20"/>
                <w:szCs w:val="20"/>
              </w:rPr>
              <w:t>Others</w:t>
            </w:r>
          </w:p>
        </w:tc>
        <w:tc>
          <w:tcPr>
            <w:tcW w:w="1491" w:type="dxa"/>
            <w:vAlign w:val="center"/>
          </w:tcPr>
          <w:p w14:paraId="7DF4CD49">
            <w:pPr>
              <w:pStyle w:val="2"/>
              <w:tabs>
                <w:tab w:val="left" w:pos="9120"/>
              </w:tabs>
              <w:spacing w:before="0"/>
              <w:rPr>
                <w:rFonts w:ascii="Arial" w:hAnsi="Arial" w:cs="Arial"/>
                <w:b w:val="0"/>
                <w:bCs w:val="0"/>
                <w:sz w:val="20"/>
                <w:szCs w:val="20"/>
              </w:rPr>
            </w:pPr>
            <w:r>
              <w:rPr>
                <w:rFonts w:ascii="Arial" w:hAnsi="Arial" w:cs="Arial"/>
                <w:b w:val="0"/>
                <w:bCs w:val="0"/>
                <w:sz w:val="20"/>
                <w:szCs w:val="20"/>
              </w:rPr>
              <w:t>80.12 ± 15.93</w:t>
            </w:r>
          </w:p>
        </w:tc>
        <w:tc>
          <w:tcPr>
            <w:tcW w:w="1316" w:type="dxa"/>
            <w:vAlign w:val="center"/>
          </w:tcPr>
          <w:p w14:paraId="322629B6">
            <w:pPr>
              <w:pStyle w:val="2"/>
              <w:tabs>
                <w:tab w:val="left" w:pos="9120"/>
              </w:tabs>
              <w:spacing w:before="0"/>
              <w:rPr>
                <w:rFonts w:ascii="Arial" w:hAnsi="Arial" w:cs="Arial"/>
                <w:b w:val="0"/>
                <w:bCs w:val="0"/>
                <w:sz w:val="20"/>
                <w:szCs w:val="20"/>
              </w:rPr>
            </w:pPr>
            <w:r>
              <w:rPr>
                <w:rFonts w:ascii="Arial" w:hAnsi="Arial" w:cs="Arial"/>
                <w:b w:val="0"/>
                <w:bCs w:val="0"/>
                <w:sz w:val="20"/>
                <w:szCs w:val="20"/>
              </w:rPr>
              <w:t>79.74 ± 17.14</w:t>
            </w:r>
          </w:p>
        </w:tc>
        <w:tc>
          <w:tcPr>
            <w:tcW w:w="1357" w:type="dxa"/>
            <w:vAlign w:val="center"/>
          </w:tcPr>
          <w:p w14:paraId="31A8A80A">
            <w:pPr>
              <w:pStyle w:val="2"/>
              <w:tabs>
                <w:tab w:val="left" w:pos="9120"/>
              </w:tabs>
              <w:spacing w:before="0"/>
              <w:rPr>
                <w:rFonts w:ascii="Arial" w:hAnsi="Arial" w:cs="Arial"/>
                <w:b w:val="0"/>
                <w:bCs w:val="0"/>
                <w:sz w:val="20"/>
                <w:szCs w:val="20"/>
              </w:rPr>
            </w:pPr>
            <w:r>
              <w:rPr>
                <w:rFonts w:ascii="Arial" w:hAnsi="Arial" w:cs="Arial"/>
                <w:b w:val="0"/>
                <w:bCs w:val="0"/>
                <w:sz w:val="20"/>
                <w:szCs w:val="20"/>
              </w:rPr>
              <w:t>75.57 ± 16.50</w:t>
            </w:r>
          </w:p>
        </w:tc>
        <w:tc>
          <w:tcPr>
            <w:tcW w:w="622" w:type="dxa"/>
            <w:vAlign w:val="center"/>
          </w:tcPr>
          <w:p w14:paraId="3527C16B">
            <w:pPr>
              <w:pStyle w:val="2"/>
              <w:tabs>
                <w:tab w:val="left" w:pos="9120"/>
              </w:tabs>
              <w:spacing w:before="0"/>
              <w:rPr>
                <w:rFonts w:ascii="Arial" w:hAnsi="Arial" w:cs="Arial"/>
                <w:b w:val="0"/>
                <w:bCs w:val="0"/>
                <w:sz w:val="20"/>
                <w:szCs w:val="20"/>
              </w:rPr>
            </w:pPr>
            <w:r>
              <w:rPr>
                <w:rFonts w:ascii="Arial" w:hAnsi="Arial" w:cs="Arial"/>
                <w:b w:val="0"/>
                <w:bCs w:val="0"/>
                <w:sz w:val="20"/>
                <w:szCs w:val="20"/>
              </w:rPr>
              <w:t>.02</w:t>
            </w:r>
          </w:p>
        </w:tc>
      </w:tr>
      <w:tr w14:paraId="11151011">
        <w:trPr>
          <w:cantSplit/>
        </w:trPr>
        <w:tc>
          <w:tcPr>
            <w:tcW w:w="2671" w:type="dxa"/>
            <w:vAlign w:val="center"/>
          </w:tcPr>
          <w:p w14:paraId="394BBE87">
            <w:pPr>
              <w:pStyle w:val="2"/>
              <w:tabs>
                <w:tab w:val="left" w:pos="9120"/>
              </w:tabs>
              <w:spacing w:before="0"/>
              <w:rPr>
                <w:rFonts w:ascii="Arial" w:hAnsi="Arial" w:cs="Arial"/>
                <w:b w:val="0"/>
                <w:bCs w:val="0"/>
                <w:sz w:val="20"/>
                <w:szCs w:val="20"/>
              </w:rPr>
            </w:pPr>
            <w:r>
              <w:rPr>
                <w:rFonts w:ascii="Arial" w:hAnsi="Arial" w:cs="Arial"/>
                <w:b w:val="0"/>
                <w:bCs w:val="0"/>
                <w:sz w:val="20"/>
                <w:szCs w:val="20"/>
              </w:rPr>
              <w:t>White blood cell count (mean)</w:t>
            </w:r>
          </w:p>
        </w:tc>
        <w:tc>
          <w:tcPr>
            <w:tcW w:w="2263" w:type="dxa"/>
            <w:vAlign w:val="center"/>
          </w:tcPr>
          <w:p w14:paraId="29355D97">
            <w:pPr>
              <w:pStyle w:val="2"/>
              <w:tabs>
                <w:tab w:val="left" w:pos="9120"/>
              </w:tabs>
              <w:spacing w:before="0"/>
              <w:rPr>
                <w:rFonts w:ascii="Arial" w:hAnsi="Arial" w:cs="Arial"/>
                <w:b w:val="0"/>
                <w:bCs w:val="0"/>
                <w:sz w:val="20"/>
                <w:szCs w:val="20"/>
              </w:rPr>
            </w:pPr>
            <w:r>
              <w:rPr>
                <w:rFonts w:ascii="Arial" w:hAnsi="Arial" w:cs="Arial"/>
                <w:b w:val="0"/>
                <w:bCs w:val="0"/>
                <w:sz w:val="20"/>
                <w:szCs w:val="20"/>
              </w:rPr>
              <w:t>Others</w:t>
            </w:r>
          </w:p>
        </w:tc>
        <w:tc>
          <w:tcPr>
            <w:tcW w:w="1491" w:type="dxa"/>
            <w:vAlign w:val="center"/>
          </w:tcPr>
          <w:p w14:paraId="34E99884">
            <w:pPr>
              <w:pStyle w:val="2"/>
              <w:tabs>
                <w:tab w:val="left" w:pos="9120"/>
              </w:tabs>
              <w:spacing w:before="0"/>
              <w:rPr>
                <w:rFonts w:ascii="Arial" w:hAnsi="Arial" w:cs="Arial"/>
                <w:b w:val="0"/>
                <w:bCs w:val="0"/>
                <w:sz w:val="20"/>
                <w:szCs w:val="20"/>
              </w:rPr>
            </w:pPr>
            <w:r>
              <w:rPr>
                <w:rFonts w:ascii="Arial" w:hAnsi="Arial" w:cs="Arial"/>
                <w:b w:val="0"/>
                <w:bCs w:val="0"/>
                <w:sz w:val="20"/>
                <w:szCs w:val="20"/>
              </w:rPr>
              <w:t>13.59 ± 8.97</w:t>
            </w:r>
          </w:p>
        </w:tc>
        <w:tc>
          <w:tcPr>
            <w:tcW w:w="1316" w:type="dxa"/>
            <w:vAlign w:val="center"/>
          </w:tcPr>
          <w:p w14:paraId="74B55B98">
            <w:pPr>
              <w:pStyle w:val="2"/>
              <w:tabs>
                <w:tab w:val="left" w:pos="9120"/>
              </w:tabs>
              <w:spacing w:before="0"/>
              <w:rPr>
                <w:rFonts w:ascii="Arial" w:hAnsi="Arial" w:cs="Arial"/>
                <w:b w:val="0"/>
                <w:bCs w:val="0"/>
                <w:sz w:val="20"/>
                <w:szCs w:val="20"/>
              </w:rPr>
            </w:pPr>
            <w:r>
              <w:rPr>
                <w:rFonts w:ascii="Arial" w:hAnsi="Arial" w:cs="Arial"/>
                <w:b w:val="0"/>
                <w:bCs w:val="0"/>
                <w:sz w:val="20"/>
                <w:szCs w:val="20"/>
              </w:rPr>
              <w:t>14.06 ± 7.77</w:t>
            </w:r>
          </w:p>
        </w:tc>
        <w:tc>
          <w:tcPr>
            <w:tcW w:w="1357" w:type="dxa"/>
            <w:vAlign w:val="center"/>
          </w:tcPr>
          <w:p w14:paraId="1DA2E016">
            <w:pPr>
              <w:pStyle w:val="2"/>
              <w:tabs>
                <w:tab w:val="left" w:pos="9120"/>
              </w:tabs>
              <w:spacing w:before="0"/>
              <w:rPr>
                <w:rFonts w:ascii="Arial" w:hAnsi="Arial" w:cs="Arial"/>
                <w:b w:val="0"/>
                <w:bCs w:val="0"/>
                <w:sz w:val="20"/>
                <w:szCs w:val="20"/>
              </w:rPr>
            </w:pPr>
            <w:r>
              <w:rPr>
                <w:rFonts w:ascii="Arial" w:hAnsi="Arial" w:cs="Arial"/>
                <w:b w:val="0"/>
                <w:bCs w:val="0"/>
                <w:sz w:val="20"/>
                <w:szCs w:val="20"/>
              </w:rPr>
              <w:t>13.48 ± 6.92</w:t>
            </w:r>
          </w:p>
        </w:tc>
        <w:tc>
          <w:tcPr>
            <w:tcW w:w="622" w:type="dxa"/>
            <w:vAlign w:val="center"/>
          </w:tcPr>
          <w:p w14:paraId="69DDA9CD">
            <w:pPr>
              <w:pStyle w:val="2"/>
              <w:tabs>
                <w:tab w:val="left" w:pos="9120"/>
              </w:tabs>
              <w:spacing w:before="0"/>
              <w:rPr>
                <w:rFonts w:ascii="Arial" w:hAnsi="Arial" w:cs="Arial"/>
                <w:b w:val="0"/>
                <w:bCs w:val="0"/>
                <w:sz w:val="20"/>
                <w:szCs w:val="20"/>
              </w:rPr>
            </w:pPr>
            <w:r>
              <w:rPr>
                <w:rFonts w:ascii="Arial" w:hAnsi="Arial" w:cs="Arial"/>
                <w:b w:val="0"/>
                <w:bCs w:val="0"/>
                <w:sz w:val="20"/>
                <w:szCs w:val="20"/>
              </w:rPr>
              <w:t>.57</w:t>
            </w:r>
          </w:p>
        </w:tc>
      </w:tr>
      <w:tr w14:paraId="3B127F30">
        <w:trPr>
          <w:cantSplit/>
        </w:trPr>
        <w:tc>
          <w:tcPr>
            <w:tcW w:w="2671" w:type="dxa"/>
            <w:vAlign w:val="center"/>
          </w:tcPr>
          <w:p w14:paraId="4FD1CFCB">
            <w:pPr>
              <w:pStyle w:val="2"/>
              <w:tabs>
                <w:tab w:val="left" w:pos="9120"/>
              </w:tabs>
              <w:spacing w:before="0"/>
              <w:rPr>
                <w:rFonts w:ascii="Arial" w:hAnsi="Arial" w:cs="Arial"/>
                <w:b w:val="0"/>
                <w:bCs w:val="0"/>
                <w:sz w:val="20"/>
                <w:szCs w:val="20"/>
              </w:rPr>
            </w:pPr>
            <w:r>
              <w:rPr>
                <w:rFonts w:ascii="Arial" w:hAnsi="Arial" w:cs="Arial"/>
                <w:b w:val="0"/>
                <w:bCs w:val="0"/>
                <w:sz w:val="20"/>
                <w:szCs w:val="20"/>
              </w:rPr>
              <w:t>Lactate, mmol/L (mean)</w:t>
            </w:r>
          </w:p>
        </w:tc>
        <w:tc>
          <w:tcPr>
            <w:tcW w:w="2263" w:type="dxa"/>
            <w:vAlign w:val="center"/>
          </w:tcPr>
          <w:p w14:paraId="2E4ACE4A">
            <w:pPr>
              <w:pStyle w:val="2"/>
              <w:tabs>
                <w:tab w:val="left" w:pos="9120"/>
              </w:tabs>
              <w:spacing w:before="0"/>
              <w:rPr>
                <w:rFonts w:ascii="Arial" w:hAnsi="Arial" w:cs="Arial"/>
                <w:b w:val="0"/>
                <w:bCs w:val="0"/>
                <w:sz w:val="20"/>
                <w:szCs w:val="20"/>
              </w:rPr>
            </w:pPr>
            <w:r>
              <w:rPr>
                <w:rFonts w:ascii="Arial" w:hAnsi="Arial" w:cs="Arial"/>
                <w:b w:val="0"/>
                <w:bCs w:val="0"/>
                <w:sz w:val="20"/>
                <w:szCs w:val="20"/>
              </w:rPr>
              <w:t>Others</w:t>
            </w:r>
          </w:p>
        </w:tc>
        <w:tc>
          <w:tcPr>
            <w:tcW w:w="1491" w:type="dxa"/>
            <w:vAlign w:val="center"/>
          </w:tcPr>
          <w:p w14:paraId="6ED0BDB8">
            <w:pPr>
              <w:pStyle w:val="2"/>
              <w:tabs>
                <w:tab w:val="left" w:pos="9120"/>
              </w:tabs>
              <w:spacing w:before="0"/>
              <w:rPr>
                <w:rFonts w:ascii="Arial" w:hAnsi="Arial" w:cs="Arial"/>
                <w:b w:val="0"/>
                <w:bCs w:val="0"/>
                <w:sz w:val="20"/>
                <w:szCs w:val="20"/>
              </w:rPr>
            </w:pPr>
            <w:r>
              <w:rPr>
                <w:rFonts w:ascii="Arial" w:hAnsi="Arial" w:cs="Arial"/>
                <w:b w:val="0"/>
                <w:bCs w:val="0"/>
                <w:sz w:val="20"/>
                <w:szCs w:val="20"/>
              </w:rPr>
              <w:t>2.76 ± 2.46</w:t>
            </w:r>
          </w:p>
        </w:tc>
        <w:tc>
          <w:tcPr>
            <w:tcW w:w="1316" w:type="dxa"/>
            <w:vAlign w:val="center"/>
          </w:tcPr>
          <w:p w14:paraId="1B6A9F69">
            <w:pPr>
              <w:pStyle w:val="2"/>
              <w:tabs>
                <w:tab w:val="left" w:pos="9120"/>
              </w:tabs>
              <w:spacing w:before="0"/>
              <w:rPr>
                <w:rFonts w:ascii="Arial" w:hAnsi="Arial" w:cs="Arial"/>
                <w:b w:val="0"/>
                <w:bCs w:val="0"/>
                <w:sz w:val="20"/>
                <w:szCs w:val="20"/>
              </w:rPr>
            </w:pPr>
            <w:r>
              <w:rPr>
                <w:rFonts w:ascii="Arial" w:hAnsi="Arial" w:cs="Arial"/>
                <w:b w:val="0"/>
                <w:bCs w:val="0"/>
                <w:sz w:val="20"/>
                <w:szCs w:val="20"/>
              </w:rPr>
              <w:t>1.96 ± 1.61</w:t>
            </w:r>
          </w:p>
        </w:tc>
        <w:tc>
          <w:tcPr>
            <w:tcW w:w="1357" w:type="dxa"/>
            <w:vAlign w:val="center"/>
          </w:tcPr>
          <w:p w14:paraId="401A36ED">
            <w:pPr>
              <w:pStyle w:val="2"/>
              <w:tabs>
                <w:tab w:val="left" w:pos="9120"/>
              </w:tabs>
              <w:spacing w:before="0"/>
              <w:rPr>
                <w:rFonts w:ascii="Arial" w:hAnsi="Arial" w:cs="Arial"/>
                <w:b w:val="0"/>
                <w:bCs w:val="0"/>
                <w:sz w:val="20"/>
                <w:szCs w:val="20"/>
              </w:rPr>
            </w:pPr>
            <w:r>
              <w:rPr>
                <w:rFonts w:ascii="Arial" w:hAnsi="Arial" w:cs="Arial"/>
                <w:b w:val="0"/>
                <w:bCs w:val="0"/>
                <w:sz w:val="20"/>
                <w:szCs w:val="20"/>
              </w:rPr>
              <w:t>2.15 ± 2.09</w:t>
            </w:r>
          </w:p>
        </w:tc>
        <w:tc>
          <w:tcPr>
            <w:tcW w:w="622" w:type="dxa"/>
            <w:vAlign w:val="center"/>
          </w:tcPr>
          <w:p w14:paraId="4A093E40">
            <w:pPr>
              <w:pStyle w:val="2"/>
              <w:tabs>
                <w:tab w:val="left" w:pos="9120"/>
              </w:tabs>
              <w:spacing w:before="0"/>
              <w:rPr>
                <w:rFonts w:ascii="Arial" w:hAnsi="Arial" w:cs="Arial"/>
                <w:b w:val="0"/>
                <w:bCs w:val="0"/>
                <w:sz w:val="20"/>
                <w:szCs w:val="20"/>
              </w:rPr>
            </w:pPr>
            <w:r>
              <w:rPr>
                <w:rFonts w:ascii="Arial" w:hAnsi="Arial" w:cs="Arial"/>
                <w:b w:val="0"/>
                <w:bCs w:val="0"/>
                <w:sz w:val="20"/>
                <w:szCs w:val="20"/>
              </w:rPr>
              <w:t>&lt;.001</w:t>
            </w:r>
          </w:p>
        </w:tc>
      </w:tr>
      <w:tr w14:paraId="53B9E0A6">
        <w:trPr>
          <w:cantSplit/>
        </w:trPr>
        <w:tc>
          <w:tcPr>
            <w:tcW w:w="2671" w:type="dxa"/>
            <w:vAlign w:val="center"/>
          </w:tcPr>
          <w:p w14:paraId="09D2C90C">
            <w:pPr>
              <w:pStyle w:val="2"/>
              <w:tabs>
                <w:tab w:val="left" w:pos="9120"/>
              </w:tabs>
              <w:spacing w:before="0"/>
              <w:rPr>
                <w:rFonts w:ascii="Arial" w:hAnsi="Arial" w:cs="Arial"/>
                <w:b w:val="0"/>
                <w:bCs w:val="0"/>
                <w:sz w:val="20"/>
                <w:szCs w:val="20"/>
              </w:rPr>
            </w:pPr>
            <w:r>
              <w:rPr>
                <w:rFonts w:ascii="Arial" w:hAnsi="Arial" w:cs="Arial"/>
                <w:b w:val="0"/>
                <w:bCs w:val="0"/>
                <w:sz w:val="20"/>
                <w:szCs w:val="20"/>
              </w:rPr>
              <w:t>PaCO</w:t>
            </w:r>
            <w:r>
              <w:rPr>
                <w:rFonts w:ascii="Arial" w:hAnsi="Arial" w:eastAsia="宋体" w:cs="Arial"/>
                <w:b w:val="0"/>
                <w:bCs w:val="0"/>
                <w:sz w:val="20"/>
                <w:szCs w:val="20"/>
                <w:vertAlign w:val="subscript"/>
                <w:lang w:eastAsia="zh-CN"/>
              </w:rPr>
              <w:t>2</w:t>
            </w:r>
            <w:r>
              <w:rPr>
                <w:rFonts w:ascii="Arial" w:hAnsi="Arial" w:cs="Arial"/>
                <w:b w:val="0"/>
                <w:bCs w:val="0"/>
                <w:sz w:val="20"/>
                <w:szCs w:val="20"/>
              </w:rPr>
              <w:t>, mm Hg (mean)</w:t>
            </w:r>
          </w:p>
        </w:tc>
        <w:tc>
          <w:tcPr>
            <w:tcW w:w="2263" w:type="dxa"/>
            <w:vAlign w:val="center"/>
          </w:tcPr>
          <w:p w14:paraId="09259CF4">
            <w:pPr>
              <w:pStyle w:val="2"/>
              <w:tabs>
                <w:tab w:val="left" w:pos="9120"/>
              </w:tabs>
              <w:spacing w:before="0"/>
              <w:rPr>
                <w:rFonts w:ascii="Arial" w:hAnsi="Arial" w:cs="Arial"/>
                <w:b w:val="0"/>
                <w:bCs w:val="0"/>
                <w:sz w:val="20"/>
                <w:szCs w:val="20"/>
              </w:rPr>
            </w:pPr>
            <w:r>
              <w:rPr>
                <w:rFonts w:ascii="Arial" w:hAnsi="Arial" w:cs="Arial"/>
                <w:b w:val="0"/>
                <w:bCs w:val="0"/>
                <w:sz w:val="20"/>
                <w:szCs w:val="20"/>
              </w:rPr>
              <w:t>Others</w:t>
            </w:r>
          </w:p>
        </w:tc>
        <w:tc>
          <w:tcPr>
            <w:tcW w:w="1491" w:type="dxa"/>
            <w:vAlign w:val="center"/>
          </w:tcPr>
          <w:p w14:paraId="38C5BFC6">
            <w:pPr>
              <w:pStyle w:val="2"/>
              <w:tabs>
                <w:tab w:val="left" w:pos="9120"/>
              </w:tabs>
              <w:spacing w:before="0"/>
              <w:rPr>
                <w:rFonts w:ascii="Arial" w:hAnsi="Arial" w:cs="Arial"/>
                <w:b w:val="0"/>
                <w:bCs w:val="0"/>
                <w:sz w:val="20"/>
                <w:szCs w:val="20"/>
              </w:rPr>
            </w:pPr>
            <w:r>
              <w:rPr>
                <w:rFonts w:ascii="Arial" w:hAnsi="Arial" w:cs="Arial"/>
                <w:b w:val="0"/>
                <w:bCs w:val="0"/>
                <w:sz w:val="20"/>
                <w:szCs w:val="20"/>
              </w:rPr>
              <w:t>40.38 ± 7.38</w:t>
            </w:r>
          </w:p>
        </w:tc>
        <w:tc>
          <w:tcPr>
            <w:tcW w:w="1316" w:type="dxa"/>
            <w:vAlign w:val="center"/>
          </w:tcPr>
          <w:p w14:paraId="42C1C132">
            <w:pPr>
              <w:pStyle w:val="2"/>
              <w:tabs>
                <w:tab w:val="left" w:pos="9120"/>
              </w:tabs>
              <w:spacing w:before="0"/>
              <w:rPr>
                <w:rFonts w:ascii="Arial" w:hAnsi="Arial" w:cs="Arial"/>
                <w:b w:val="0"/>
                <w:bCs w:val="0"/>
                <w:sz w:val="20"/>
                <w:szCs w:val="20"/>
              </w:rPr>
            </w:pPr>
            <w:r>
              <w:rPr>
                <w:rFonts w:ascii="Arial" w:hAnsi="Arial" w:cs="Arial"/>
                <w:b w:val="0"/>
                <w:bCs w:val="0"/>
                <w:sz w:val="20"/>
                <w:szCs w:val="20"/>
              </w:rPr>
              <w:t>42.07 ± 9.28</w:t>
            </w:r>
          </w:p>
        </w:tc>
        <w:tc>
          <w:tcPr>
            <w:tcW w:w="1357" w:type="dxa"/>
            <w:vAlign w:val="center"/>
          </w:tcPr>
          <w:p w14:paraId="452EC387">
            <w:pPr>
              <w:pStyle w:val="2"/>
              <w:tabs>
                <w:tab w:val="left" w:pos="9120"/>
              </w:tabs>
              <w:spacing w:before="0"/>
              <w:rPr>
                <w:rFonts w:ascii="Arial" w:hAnsi="Arial" w:cs="Arial"/>
                <w:b w:val="0"/>
                <w:bCs w:val="0"/>
                <w:sz w:val="20"/>
                <w:szCs w:val="20"/>
              </w:rPr>
            </w:pPr>
            <w:r>
              <w:rPr>
                <w:rFonts w:ascii="Arial" w:hAnsi="Arial" w:cs="Arial"/>
                <w:b w:val="0"/>
                <w:bCs w:val="0"/>
                <w:sz w:val="20"/>
                <w:szCs w:val="20"/>
              </w:rPr>
              <w:t>39.77 ± 8.06</w:t>
            </w:r>
          </w:p>
        </w:tc>
        <w:tc>
          <w:tcPr>
            <w:tcW w:w="622" w:type="dxa"/>
            <w:vAlign w:val="center"/>
          </w:tcPr>
          <w:p w14:paraId="7DCED0A8">
            <w:pPr>
              <w:pStyle w:val="2"/>
              <w:tabs>
                <w:tab w:val="left" w:pos="9120"/>
              </w:tabs>
              <w:spacing w:before="0"/>
              <w:rPr>
                <w:rFonts w:ascii="Arial" w:hAnsi="Arial" w:cs="Arial"/>
                <w:b w:val="0"/>
                <w:bCs w:val="0"/>
                <w:sz w:val="20"/>
                <w:szCs w:val="20"/>
              </w:rPr>
            </w:pPr>
            <w:r>
              <w:rPr>
                <w:rFonts w:ascii="Arial" w:hAnsi="Arial" w:cs="Arial"/>
                <w:b w:val="0"/>
                <w:bCs w:val="0"/>
                <w:sz w:val="20"/>
                <w:szCs w:val="20"/>
              </w:rPr>
              <w:t>&lt;.001</w:t>
            </w:r>
          </w:p>
        </w:tc>
      </w:tr>
      <w:tr w14:paraId="48AC0CE5">
        <w:trPr>
          <w:cantSplit/>
        </w:trPr>
        <w:tc>
          <w:tcPr>
            <w:tcW w:w="2671" w:type="dxa"/>
            <w:vAlign w:val="center"/>
          </w:tcPr>
          <w:p w14:paraId="68F672AB">
            <w:pPr>
              <w:pStyle w:val="2"/>
              <w:tabs>
                <w:tab w:val="left" w:pos="9120"/>
              </w:tabs>
              <w:spacing w:before="0"/>
              <w:rPr>
                <w:rFonts w:ascii="Arial" w:hAnsi="Arial" w:cs="Arial"/>
                <w:b w:val="0"/>
                <w:bCs w:val="0"/>
                <w:sz w:val="20"/>
                <w:szCs w:val="20"/>
              </w:rPr>
            </w:pPr>
            <w:r>
              <w:rPr>
                <w:rFonts w:ascii="Arial" w:hAnsi="Arial" w:cs="Arial"/>
                <w:b w:val="0"/>
                <w:bCs w:val="0"/>
                <w:sz w:val="20"/>
                <w:szCs w:val="20"/>
              </w:rPr>
              <w:t>Arterial pH (mean)</w:t>
            </w:r>
          </w:p>
        </w:tc>
        <w:tc>
          <w:tcPr>
            <w:tcW w:w="2263" w:type="dxa"/>
            <w:vAlign w:val="center"/>
          </w:tcPr>
          <w:p w14:paraId="6A6A353B">
            <w:pPr>
              <w:pStyle w:val="2"/>
              <w:tabs>
                <w:tab w:val="left" w:pos="9120"/>
              </w:tabs>
              <w:spacing w:before="0"/>
              <w:rPr>
                <w:rFonts w:ascii="Arial" w:hAnsi="Arial" w:cs="Arial"/>
                <w:b w:val="0"/>
                <w:bCs w:val="0"/>
                <w:sz w:val="20"/>
                <w:szCs w:val="20"/>
              </w:rPr>
            </w:pPr>
            <w:r>
              <w:rPr>
                <w:rFonts w:ascii="Arial" w:hAnsi="Arial" w:cs="Arial"/>
                <w:b w:val="0"/>
                <w:bCs w:val="0"/>
                <w:sz w:val="20"/>
                <w:szCs w:val="20"/>
              </w:rPr>
              <w:t>Others</w:t>
            </w:r>
          </w:p>
        </w:tc>
        <w:tc>
          <w:tcPr>
            <w:tcW w:w="1491" w:type="dxa"/>
            <w:vAlign w:val="center"/>
          </w:tcPr>
          <w:p w14:paraId="32A3F096">
            <w:pPr>
              <w:pStyle w:val="2"/>
              <w:tabs>
                <w:tab w:val="left" w:pos="9120"/>
              </w:tabs>
              <w:spacing w:before="0"/>
              <w:rPr>
                <w:rFonts w:ascii="Arial" w:hAnsi="Arial" w:cs="Arial"/>
                <w:b w:val="0"/>
                <w:bCs w:val="0"/>
                <w:sz w:val="20"/>
                <w:szCs w:val="20"/>
              </w:rPr>
            </w:pPr>
            <w:r>
              <w:rPr>
                <w:rFonts w:ascii="Arial" w:hAnsi="Arial" w:cs="Arial"/>
                <w:b w:val="0"/>
                <w:bCs w:val="0"/>
                <w:sz w:val="20"/>
                <w:szCs w:val="20"/>
              </w:rPr>
              <w:t>7.35 ± 0.07</w:t>
            </w:r>
          </w:p>
        </w:tc>
        <w:tc>
          <w:tcPr>
            <w:tcW w:w="1316" w:type="dxa"/>
            <w:vAlign w:val="center"/>
          </w:tcPr>
          <w:p w14:paraId="3F7C96B2">
            <w:pPr>
              <w:pStyle w:val="2"/>
              <w:tabs>
                <w:tab w:val="left" w:pos="9120"/>
              </w:tabs>
              <w:spacing w:before="0"/>
              <w:rPr>
                <w:rFonts w:ascii="Arial" w:hAnsi="Arial" w:cs="Arial"/>
                <w:b w:val="0"/>
                <w:bCs w:val="0"/>
                <w:sz w:val="20"/>
                <w:szCs w:val="20"/>
              </w:rPr>
            </w:pPr>
            <w:r>
              <w:rPr>
                <w:rFonts w:ascii="Arial" w:hAnsi="Arial" w:cs="Arial"/>
                <w:b w:val="0"/>
                <w:bCs w:val="0"/>
                <w:sz w:val="20"/>
                <w:szCs w:val="20"/>
              </w:rPr>
              <w:t>7.37 ± 0.06</w:t>
            </w:r>
          </w:p>
        </w:tc>
        <w:tc>
          <w:tcPr>
            <w:tcW w:w="1357" w:type="dxa"/>
            <w:vAlign w:val="center"/>
          </w:tcPr>
          <w:p w14:paraId="01A20E71">
            <w:pPr>
              <w:pStyle w:val="2"/>
              <w:tabs>
                <w:tab w:val="left" w:pos="9120"/>
              </w:tabs>
              <w:spacing w:before="0"/>
              <w:rPr>
                <w:rFonts w:ascii="Arial" w:hAnsi="Arial" w:cs="Arial"/>
                <w:b w:val="0"/>
                <w:bCs w:val="0"/>
                <w:sz w:val="20"/>
                <w:szCs w:val="20"/>
              </w:rPr>
            </w:pPr>
            <w:r>
              <w:rPr>
                <w:rFonts w:ascii="Arial" w:hAnsi="Arial" w:cs="Arial"/>
                <w:b w:val="0"/>
                <w:bCs w:val="0"/>
                <w:sz w:val="20"/>
                <w:szCs w:val="20"/>
              </w:rPr>
              <w:t>7.38 ± 0.07</w:t>
            </w:r>
          </w:p>
        </w:tc>
        <w:tc>
          <w:tcPr>
            <w:tcW w:w="622" w:type="dxa"/>
            <w:vAlign w:val="center"/>
          </w:tcPr>
          <w:p w14:paraId="549E9064">
            <w:pPr>
              <w:pStyle w:val="2"/>
              <w:tabs>
                <w:tab w:val="left" w:pos="9120"/>
              </w:tabs>
              <w:spacing w:before="0"/>
              <w:rPr>
                <w:rFonts w:ascii="Arial" w:hAnsi="Arial" w:cs="Arial"/>
                <w:b w:val="0"/>
                <w:bCs w:val="0"/>
                <w:sz w:val="20"/>
                <w:szCs w:val="20"/>
              </w:rPr>
            </w:pPr>
            <w:r>
              <w:rPr>
                <w:rFonts w:ascii="Arial" w:hAnsi="Arial" w:cs="Arial"/>
                <w:b w:val="0"/>
                <w:bCs w:val="0"/>
                <w:sz w:val="20"/>
                <w:szCs w:val="20"/>
              </w:rPr>
              <w:t>&lt;.001</w:t>
            </w:r>
          </w:p>
        </w:tc>
      </w:tr>
      <w:tr w14:paraId="6B7B51F6">
        <w:trPr>
          <w:cantSplit/>
        </w:trPr>
        <w:tc>
          <w:tcPr>
            <w:tcW w:w="2671" w:type="dxa"/>
            <w:tcBorders>
              <w:bottom w:val="single" w:color="auto" w:sz="12" w:space="0"/>
            </w:tcBorders>
            <w:vAlign w:val="center"/>
          </w:tcPr>
          <w:p w14:paraId="30D3B517">
            <w:pPr>
              <w:pStyle w:val="2"/>
              <w:tabs>
                <w:tab w:val="left" w:pos="9120"/>
              </w:tabs>
              <w:spacing w:before="0"/>
              <w:rPr>
                <w:rFonts w:ascii="Arial" w:hAnsi="Arial" w:cs="Arial"/>
                <w:b w:val="0"/>
                <w:bCs w:val="0"/>
                <w:sz w:val="20"/>
                <w:szCs w:val="20"/>
              </w:rPr>
            </w:pPr>
            <w:r>
              <w:rPr>
                <w:rFonts w:ascii="Arial" w:hAnsi="Arial" w:cs="Arial"/>
                <w:b w:val="0"/>
                <w:bCs w:val="0"/>
                <w:sz w:val="20"/>
                <w:szCs w:val="20"/>
              </w:rPr>
              <w:t>Urine output, mL/h (mean)</w:t>
            </w:r>
          </w:p>
        </w:tc>
        <w:tc>
          <w:tcPr>
            <w:tcW w:w="2263" w:type="dxa"/>
            <w:tcBorders>
              <w:bottom w:val="single" w:color="auto" w:sz="12" w:space="0"/>
            </w:tcBorders>
            <w:vAlign w:val="center"/>
          </w:tcPr>
          <w:p w14:paraId="2EC18C5D">
            <w:pPr>
              <w:pStyle w:val="2"/>
              <w:tabs>
                <w:tab w:val="left" w:pos="9120"/>
              </w:tabs>
              <w:spacing w:before="0"/>
              <w:rPr>
                <w:rFonts w:ascii="Arial" w:hAnsi="Arial" w:cs="Arial"/>
                <w:b w:val="0"/>
                <w:bCs w:val="0"/>
                <w:sz w:val="20"/>
                <w:szCs w:val="20"/>
              </w:rPr>
            </w:pPr>
            <w:r>
              <w:rPr>
                <w:rFonts w:ascii="Arial" w:hAnsi="Arial" w:cs="Arial"/>
                <w:b w:val="0"/>
                <w:bCs w:val="0"/>
                <w:sz w:val="20"/>
                <w:szCs w:val="20"/>
              </w:rPr>
              <w:t>Others</w:t>
            </w:r>
          </w:p>
        </w:tc>
        <w:tc>
          <w:tcPr>
            <w:tcW w:w="1491" w:type="dxa"/>
            <w:tcBorders>
              <w:bottom w:val="single" w:color="auto" w:sz="12" w:space="0"/>
            </w:tcBorders>
            <w:vAlign w:val="center"/>
          </w:tcPr>
          <w:p w14:paraId="4FC80C4C">
            <w:pPr>
              <w:pStyle w:val="2"/>
              <w:tabs>
                <w:tab w:val="left" w:pos="9120"/>
              </w:tabs>
              <w:spacing w:before="0"/>
              <w:rPr>
                <w:rFonts w:ascii="Arial" w:hAnsi="Arial" w:cs="Arial"/>
                <w:b w:val="0"/>
                <w:bCs w:val="0"/>
                <w:sz w:val="20"/>
                <w:szCs w:val="20"/>
              </w:rPr>
            </w:pPr>
            <w:r>
              <w:rPr>
                <w:rFonts w:ascii="Arial" w:hAnsi="Arial" w:cs="Arial"/>
                <w:b w:val="0"/>
                <w:bCs w:val="0"/>
                <w:sz w:val="20"/>
                <w:szCs w:val="20"/>
              </w:rPr>
              <w:t>96.92 ± 69.10</w:t>
            </w:r>
          </w:p>
        </w:tc>
        <w:tc>
          <w:tcPr>
            <w:tcW w:w="1316" w:type="dxa"/>
            <w:tcBorders>
              <w:bottom w:val="single" w:color="auto" w:sz="12" w:space="0"/>
            </w:tcBorders>
            <w:vAlign w:val="center"/>
          </w:tcPr>
          <w:p w14:paraId="1077FFCB">
            <w:pPr>
              <w:pStyle w:val="2"/>
              <w:tabs>
                <w:tab w:val="left" w:pos="9120"/>
              </w:tabs>
              <w:spacing w:before="0"/>
              <w:rPr>
                <w:rFonts w:ascii="Arial" w:hAnsi="Arial" w:cs="Arial"/>
                <w:b w:val="0"/>
                <w:bCs w:val="0"/>
                <w:sz w:val="20"/>
                <w:szCs w:val="20"/>
              </w:rPr>
            </w:pPr>
            <w:r>
              <w:rPr>
                <w:rFonts w:ascii="Arial" w:hAnsi="Arial" w:cs="Arial"/>
                <w:b w:val="0"/>
                <w:bCs w:val="0"/>
                <w:sz w:val="20"/>
                <w:szCs w:val="20"/>
              </w:rPr>
              <w:t>99.11 ± 63.42</w:t>
            </w:r>
          </w:p>
        </w:tc>
        <w:tc>
          <w:tcPr>
            <w:tcW w:w="1357" w:type="dxa"/>
            <w:tcBorders>
              <w:bottom w:val="single" w:color="auto" w:sz="12" w:space="0"/>
            </w:tcBorders>
            <w:vAlign w:val="center"/>
          </w:tcPr>
          <w:p w14:paraId="69B0C006">
            <w:pPr>
              <w:pStyle w:val="2"/>
              <w:tabs>
                <w:tab w:val="left" w:pos="9120"/>
              </w:tabs>
              <w:spacing w:before="0"/>
              <w:rPr>
                <w:rFonts w:ascii="Arial" w:hAnsi="Arial" w:cs="Arial"/>
                <w:b w:val="0"/>
                <w:bCs w:val="0"/>
                <w:sz w:val="20"/>
                <w:szCs w:val="20"/>
              </w:rPr>
            </w:pPr>
            <w:r>
              <w:rPr>
                <w:rFonts w:ascii="Arial" w:hAnsi="Arial" w:cs="Arial"/>
                <w:b w:val="0"/>
                <w:bCs w:val="0"/>
                <w:sz w:val="20"/>
                <w:szCs w:val="20"/>
              </w:rPr>
              <w:t>146.53 ± 83.44</w:t>
            </w:r>
          </w:p>
        </w:tc>
        <w:tc>
          <w:tcPr>
            <w:tcW w:w="622" w:type="dxa"/>
            <w:tcBorders>
              <w:bottom w:val="single" w:color="auto" w:sz="12" w:space="0"/>
            </w:tcBorders>
            <w:vAlign w:val="center"/>
          </w:tcPr>
          <w:p w14:paraId="282A8B14">
            <w:pPr>
              <w:pStyle w:val="2"/>
              <w:tabs>
                <w:tab w:val="left" w:pos="9120"/>
              </w:tabs>
              <w:spacing w:before="0"/>
              <w:rPr>
                <w:rFonts w:ascii="Arial" w:hAnsi="Arial" w:cs="Arial"/>
                <w:b w:val="0"/>
                <w:bCs w:val="0"/>
                <w:sz w:val="20"/>
                <w:szCs w:val="20"/>
              </w:rPr>
            </w:pPr>
            <w:r>
              <w:rPr>
                <w:rFonts w:ascii="Arial" w:hAnsi="Arial" w:cs="Arial"/>
                <w:b w:val="0"/>
                <w:bCs w:val="0"/>
                <w:sz w:val="20"/>
                <w:szCs w:val="20"/>
              </w:rPr>
              <w:t>&lt;.001</w:t>
            </w:r>
          </w:p>
        </w:tc>
      </w:tr>
    </w:tbl>
    <w:p w14:paraId="7F328FA4">
      <w:pPr>
        <w:pStyle w:val="2"/>
        <w:tabs>
          <w:tab w:val="left" w:pos="9120"/>
        </w:tabs>
        <w:spacing w:before="0"/>
        <w:rPr>
          <w:rFonts w:ascii="Arial" w:hAnsi="Arial" w:cs="Arial" w:eastAsiaTheme="minorEastAsia"/>
          <w:sz w:val="24"/>
          <w:szCs w:val="24"/>
          <w:lang w:eastAsia="zh-CN"/>
        </w:rPr>
        <w:sectPr>
          <w:pgSz w:w="12240" w:h="15840"/>
          <w:pgMar w:top="1400" w:right="1080" w:bottom="1040" w:left="1440" w:header="0" w:footer="844" w:gutter="0"/>
          <w:lnNumType w:countBy="1" w:restart="continuous"/>
          <w:cols w:space="720" w:num="1"/>
        </w:sectPr>
      </w:pPr>
    </w:p>
    <w:p w14:paraId="1B9F06EA">
      <w:pPr>
        <w:pStyle w:val="28"/>
        <w:rPr>
          <w:rFonts w:eastAsiaTheme="minorEastAsia"/>
          <w:lang w:eastAsia="zh-CN"/>
        </w:rPr>
      </w:pPr>
      <w:bookmarkStart w:id="14" w:name="_Toctgth5b"/>
      <w:bookmarkStart w:id="15" w:name="_Toc218072623"/>
      <w:r>
        <w:t>eTable 6. Clinical Severity and Organ Support</w:t>
      </w:r>
      <w:r>
        <w:rPr>
          <w:rFonts w:hint="eastAsia" w:eastAsiaTheme="minorEastAsia"/>
          <w:lang w:eastAsia="zh-CN"/>
        </w:rPr>
        <w:t xml:space="preserve"> </w:t>
      </w:r>
      <w:r>
        <w:t>Utilization Among Sepsis-Positive Patients</w:t>
      </w:r>
      <w:bookmarkEnd w:id="14"/>
      <w:bookmarkEnd w:id="15"/>
    </w:p>
    <w:tbl>
      <w:tblPr>
        <w:tblStyle w:val="22"/>
        <w:tblW w:w="0" w:type="auto"/>
        <w:tblInd w:w="55" w:type="dxa"/>
        <w:tblLayout w:type="fixed"/>
        <w:tblCellMar>
          <w:top w:w="0" w:type="dxa"/>
          <w:left w:w="28" w:type="dxa"/>
          <w:bottom w:w="0" w:type="dxa"/>
          <w:right w:w="28" w:type="dxa"/>
        </w:tblCellMar>
      </w:tblPr>
      <w:tblGrid>
        <w:gridCol w:w="3288"/>
        <w:gridCol w:w="1406"/>
        <w:gridCol w:w="1587"/>
        <w:gridCol w:w="1417"/>
        <w:gridCol w:w="1417"/>
        <w:gridCol w:w="624"/>
      </w:tblGrid>
      <w:tr w14:paraId="4D188718">
        <w:trPr>
          <w:trHeight w:val="373" w:hRule="atLeast"/>
        </w:trPr>
        <w:tc>
          <w:tcPr>
            <w:tcW w:w="3288" w:type="dxa"/>
            <w:tcBorders>
              <w:top w:val="single" w:color="auto" w:sz="12" w:space="0"/>
              <w:bottom w:val="single" w:color="auto" w:sz="12" w:space="0"/>
            </w:tcBorders>
            <w:vAlign w:val="center"/>
          </w:tcPr>
          <w:p w14:paraId="6E9B711E">
            <w:pPr>
              <w:pStyle w:val="35"/>
              <w:spacing w:before="0"/>
              <w:ind w:left="104"/>
              <w:jc w:val="both"/>
              <w:rPr>
                <w:rFonts w:ascii="Arial" w:hAnsi="Arial" w:cs="Arial"/>
                <w:b/>
                <w:sz w:val="20"/>
                <w:szCs w:val="20"/>
              </w:rPr>
            </w:pPr>
            <w:r>
              <w:rPr>
                <w:rFonts w:ascii="Arial" w:hAnsi="Arial" w:cs="Arial"/>
                <w:b/>
                <w:spacing w:val="-2"/>
                <w:sz w:val="20"/>
                <w:szCs w:val="20"/>
              </w:rPr>
              <w:t>Metric</w:t>
            </w:r>
          </w:p>
        </w:tc>
        <w:tc>
          <w:tcPr>
            <w:tcW w:w="1406" w:type="dxa"/>
            <w:tcBorders>
              <w:top w:val="single" w:color="auto" w:sz="12" w:space="0"/>
              <w:bottom w:val="single" w:color="auto" w:sz="12" w:space="0"/>
            </w:tcBorders>
            <w:vAlign w:val="center"/>
          </w:tcPr>
          <w:p w14:paraId="27185D9A">
            <w:pPr>
              <w:pStyle w:val="35"/>
              <w:spacing w:before="0"/>
              <w:ind w:left="19" w:right="22"/>
              <w:jc w:val="both"/>
              <w:rPr>
                <w:rFonts w:ascii="Arial" w:hAnsi="Arial" w:cs="Arial" w:eastAsiaTheme="minorEastAsia"/>
                <w:b/>
                <w:bCs/>
                <w:sz w:val="20"/>
                <w:szCs w:val="20"/>
                <w:lang w:eastAsia="zh-CN"/>
              </w:rPr>
            </w:pPr>
            <w:r>
              <w:rPr>
                <w:rFonts w:hint="eastAsia" w:ascii="Arial" w:hAnsi="Arial" w:cs="Arial"/>
                <w:b/>
                <w:sz w:val="20"/>
                <w:szCs w:val="20"/>
              </w:rPr>
              <w:t>Overall</w:t>
            </w:r>
          </w:p>
        </w:tc>
        <w:tc>
          <w:tcPr>
            <w:tcW w:w="1587" w:type="dxa"/>
            <w:tcBorders>
              <w:top w:val="single" w:color="auto" w:sz="12" w:space="0"/>
              <w:bottom w:val="single" w:color="auto" w:sz="12" w:space="0"/>
            </w:tcBorders>
            <w:vAlign w:val="center"/>
          </w:tcPr>
          <w:p w14:paraId="79FDB9A0">
            <w:pPr>
              <w:pStyle w:val="35"/>
              <w:spacing w:before="0"/>
              <w:ind w:left="19" w:right="22"/>
              <w:jc w:val="both"/>
              <w:rPr>
                <w:rFonts w:ascii="Arial" w:hAnsi="Arial" w:cs="Arial"/>
                <w:b/>
                <w:position w:val="7"/>
                <w:sz w:val="20"/>
                <w:szCs w:val="20"/>
              </w:rPr>
            </w:pPr>
            <w:r>
              <w:rPr>
                <w:rFonts w:ascii="Arial" w:hAnsi="Arial" w:cs="Arial"/>
                <w:b/>
                <w:sz w:val="20"/>
                <w:szCs w:val="20"/>
              </w:rPr>
              <w:t xml:space="preserve">Concordant </w:t>
            </w:r>
            <w:r>
              <w:rPr>
                <w:rFonts w:ascii="Arial" w:hAnsi="Arial" w:cs="Arial"/>
                <w:b/>
                <w:spacing w:val="-2"/>
                <w:sz w:val="20"/>
                <w:szCs w:val="20"/>
              </w:rPr>
              <w:t>Positive</w:t>
            </w:r>
            <w:r>
              <w:rPr>
                <w:rFonts w:ascii="Arial" w:hAnsi="Arial" w:cs="Arial"/>
                <w:b/>
                <w:spacing w:val="-2"/>
                <w:position w:val="7"/>
                <w:sz w:val="20"/>
                <w:szCs w:val="20"/>
              </w:rPr>
              <w:t>a</w:t>
            </w:r>
          </w:p>
        </w:tc>
        <w:tc>
          <w:tcPr>
            <w:tcW w:w="1417" w:type="dxa"/>
            <w:tcBorders>
              <w:top w:val="single" w:color="auto" w:sz="12" w:space="0"/>
              <w:bottom w:val="single" w:color="auto" w:sz="12" w:space="0"/>
            </w:tcBorders>
            <w:vAlign w:val="center"/>
          </w:tcPr>
          <w:p w14:paraId="553D9CCD">
            <w:pPr>
              <w:pStyle w:val="35"/>
              <w:spacing w:before="0"/>
              <w:ind w:left="7" w:right="8"/>
              <w:jc w:val="both"/>
              <w:rPr>
                <w:rFonts w:ascii="Arial" w:hAnsi="Arial" w:cs="Arial"/>
                <w:b/>
                <w:position w:val="7"/>
                <w:sz w:val="20"/>
                <w:szCs w:val="20"/>
              </w:rPr>
            </w:pPr>
            <w:r>
              <w:rPr>
                <w:rFonts w:ascii="Arial" w:hAnsi="Arial" w:cs="Arial"/>
                <w:b/>
                <w:spacing w:val="-2"/>
                <w:sz w:val="20"/>
                <w:szCs w:val="20"/>
              </w:rPr>
              <w:t>SOFA-2</w:t>
            </w:r>
            <w:r>
              <w:rPr>
                <w:rFonts w:ascii="Arial" w:hAnsi="Arial" w:cs="Arial"/>
                <w:b/>
                <w:spacing w:val="-6"/>
                <w:sz w:val="20"/>
                <w:szCs w:val="20"/>
              </w:rPr>
              <w:t xml:space="preserve"> </w:t>
            </w:r>
            <w:r>
              <w:rPr>
                <w:rFonts w:ascii="Arial" w:hAnsi="Arial" w:cs="Arial"/>
                <w:b/>
                <w:spacing w:val="-2"/>
                <w:sz w:val="20"/>
                <w:szCs w:val="20"/>
              </w:rPr>
              <w:t>Only</w:t>
            </w:r>
            <w:r>
              <w:rPr>
                <w:rFonts w:ascii="Arial" w:hAnsi="Arial" w:cs="Arial"/>
                <w:b/>
                <w:spacing w:val="-2"/>
                <w:position w:val="7"/>
                <w:sz w:val="20"/>
                <w:szCs w:val="20"/>
              </w:rPr>
              <w:t>a</w:t>
            </w:r>
          </w:p>
        </w:tc>
        <w:tc>
          <w:tcPr>
            <w:tcW w:w="1417" w:type="dxa"/>
            <w:tcBorders>
              <w:top w:val="single" w:color="auto" w:sz="12" w:space="0"/>
              <w:bottom w:val="single" w:color="auto" w:sz="12" w:space="0"/>
            </w:tcBorders>
            <w:vAlign w:val="center"/>
          </w:tcPr>
          <w:p w14:paraId="6A0606E7">
            <w:pPr>
              <w:pStyle w:val="35"/>
              <w:spacing w:before="0"/>
              <w:ind w:left="6" w:right="7"/>
              <w:jc w:val="both"/>
              <w:rPr>
                <w:rFonts w:ascii="Arial" w:hAnsi="Arial" w:cs="Arial"/>
                <w:b/>
                <w:position w:val="7"/>
                <w:sz w:val="20"/>
                <w:szCs w:val="20"/>
              </w:rPr>
            </w:pPr>
            <w:r>
              <w:rPr>
                <w:rFonts w:ascii="Arial" w:hAnsi="Arial" w:cs="Arial"/>
                <w:b/>
                <w:spacing w:val="-2"/>
                <w:sz w:val="20"/>
                <w:szCs w:val="20"/>
              </w:rPr>
              <w:t>SOFA-1</w:t>
            </w:r>
            <w:r>
              <w:rPr>
                <w:rFonts w:ascii="Arial" w:hAnsi="Arial" w:cs="Arial"/>
                <w:b/>
                <w:spacing w:val="-6"/>
                <w:sz w:val="20"/>
                <w:szCs w:val="20"/>
              </w:rPr>
              <w:t xml:space="preserve"> </w:t>
            </w:r>
            <w:r>
              <w:rPr>
                <w:rFonts w:ascii="Arial" w:hAnsi="Arial" w:cs="Arial"/>
                <w:b/>
                <w:spacing w:val="-2"/>
                <w:sz w:val="20"/>
                <w:szCs w:val="20"/>
              </w:rPr>
              <w:t>Only</w:t>
            </w:r>
            <w:r>
              <w:rPr>
                <w:rFonts w:ascii="Arial" w:hAnsi="Arial" w:cs="Arial"/>
                <w:b/>
                <w:spacing w:val="-2"/>
                <w:position w:val="7"/>
                <w:sz w:val="20"/>
                <w:szCs w:val="20"/>
              </w:rPr>
              <w:t>b</w:t>
            </w:r>
          </w:p>
        </w:tc>
        <w:tc>
          <w:tcPr>
            <w:tcW w:w="624" w:type="dxa"/>
            <w:tcBorders>
              <w:top w:val="single" w:color="auto" w:sz="12" w:space="0"/>
              <w:bottom w:val="single" w:color="auto" w:sz="12" w:space="0"/>
            </w:tcBorders>
            <w:vAlign w:val="center"/>
          </w:tcPr>
          <w:p w14:paraId="3F8ABAB9">
            <w:pPr>
              <w:pStyle w:val="35"/>
              <w:spacing w:before="0"/>
              <w:ind w:left="1"/>
              <w:jc w:val="both"/>
              <w:rPr>
                <w:rFonts w:ascii="Arial" w:hAnsi="Arial" w:cs="Arial"/>
                <w:b/>
                <w:sz w:val="20"/>
                <w:szCs w:val="20"/>
              </w:rPr>
            </w:pPr>
            <w:r>
              <w:rPr>
                <w:rFonts w:hint="eastAsia" w:ascii="Arial" w:hAnsi="Arial" w:cs="Arial" w:eastAsiaTheme="minorEastAsia"/>
                <w:b/>
                <w:bCs/>
                <w:iCs/>
                <w:w w:val="105"/>
                <w:sz w:val="20"/>
                <w:szCs w:val="20"/>
                <w:lang w:eastAsia="zh-CN"/>
              </w:rPr>
              <w:t>P</w:t>
            </w:r>
            <w:r>
              <w:rPr>
                <w:rFonts w:ascii="Arial" w:hAnsi="Arial" w:cs="Arial"/>
                <w:i/>
                <w:spacing w:val="4"/>
                <w:w w:val="105"/>
                <w:sz w:val="20"/>
                <w:szCs w:val="20"/>
              </w:rPr>
              <w:t xml:space="preserve"> </w:t>
            </w:r>
            <w:r>
              <w:rPr>
                <w:rFonts w:ascii="Arial" w:hAnsi="Arial" w:cs="Arial"/>
                <w:b/>
                <w:spacing w:val="-2"/>
                <w:w w:val="105"/>
                <w:sz w:val="20"/>
                <w:szCs w:val="20"/>
              </w:rPr>
              <w:t>value</w:t>
            </w:r>
          </w:p>
        </w:tc>
      </w:tr>
      <w:tr w14:paraId="7F528973">
        <w:trPr>
          <w:trHeight w:val="335" w:hRule="atLeast"/>
        </w:trPr>
        <w:tc>
          <w:tcPr>
            <w:tcW w:w="3288" w:type="dxa"/>
            <w:tcBorders>
              <w:top w:val="single" w:color="auto" w:sz="12" w:space="0"/>
            </w:tcBorders>
            <w:vAlign w:val="center"/>
          </w:tcPr>
          <w:p w14:paraId="217C93CB">
            <w:pPr>
              <w:pStyle w:val="35"/>
              <w:spacing w:before="0"/>
              <w:ind w:left="104"/>
              <w:jc w:val="both"/>
              <w:rPr>
                <w:rFonts w:ascii="Arial" w:hAnsi="Arial" w:cs="Arial"/>
                <w:b/>
                <w:bCs/>
                <w:i/>
                <w:sz w:val="20"/>
                <w:szCs w:val="20"/>
              </w:rPr>
            </w:pPr>
            <w:r>
              <w:rPr>
                <w:rFonts w:ascii="Arial" w:hAnsi="Arial" w:cs="Arial"/>
                <w:b/>
                <w:bCs/>
                <w:i/>
                <w:sz w:val="20"/>
                <w:szCs w:val="20"/>
              </w:rPr>
              <w:t xml:space="preserve">MIMIC-IV (N = </w:t>
            </w:r>
            <w:r>
              <w:rPr>
                <w:rFonts w:ascii="Arial" w:hAnsi="Arial" w:cs="Arial"/>
                <w:b/>
                <w:bCs/>
                <w:i/>
                <w:spacing w:val="-2"/>
                <w:sz w:val="20"/>
                <w:szCs w:val="20"/>
              </w:rPr>
              <w:t>24,521)</w:t>
            </w:r>
          </w:p>
        </w:tc>
        <w:tc>
          <w:tcPr>
            <w:tcW w:w="1406" w:type="dxa"/>
            <w:tcBorders>
              <w:top w:val="single" w:color="auto" w:sz="12" w:space="0"/>
            </w:tcBorders>
            <w:vAlign w:val="center"/>
          </w:tcPr>
          <w:p w14:paraId="378851AD">
            <w:pPr>
              <w:pStyle w:val="35"/>
              <w:spacing w:before="0"/>
              <w:jc w:val="both"/>
              <w:rPr>
                <w:rFonts w:ascii="Arial" w:hAnsi="Arial" w:cs="Arial"/>
                <w:spacing w:val="-8"/>
                <w:sz w:val="20"/>
                <w:szCs w:val="20"/>
              </w:rPr>
            </w:pPr>
          </w:p>
        </w:tc>
        <w:tc>
          <w:tcPr>
            <w:tcW w:w="1587" w:type="dxa"/>
            <w:tcBorders>
              <w:top w:val="single" w:color="auto" w:sz="12" w:space="0"/>
            </w:tcBorders>
            <w:vAlign w:val="center"/>
          </w:tcPr>
          <w:p w14:paraId="37171447">
            <w:pPr>
              <w:pStyle w:val="35"/>
              <w:spacing w:before="0"/>
              <w:jc w:val="both"/>
              <w:rPr>
                <w:rFonts w:ascii="Arial" w:hAnsi="Arial" w:cs="Arial"/>
                <w:sz w:val="20"/>
                <w:szCs w:val="20"/>
              </w:rPr>
            </w:pPr>
          </w:p>
        </w:tc>
        <w:tc>
          <w:tcPr>
            <w:tcW w:w="1417" w:type="dxa"/>
            <w:tcBorders>
              <w:top w:val="single" w:color="auto" w:sz="12" w:space="0"/>
            </w:tcBorders>
            <w:vAlign w:val="center"/>
          </w:tcPr>
          <w:p w14:paraId="2A89E1FE">
            <w:pPr>
              <w:pStyle w:val="35"/>
              <w:spacing w:before="0"/>
              <w:jc w:val="both"/>
              <w:rPr>
                <w:rFonts w:ascii="Arial" w:hAnsi="Arial" w:cs="Arial"/>
                <w:sz w:val="20"/>
                <w:szCs w:val="20"/>
              </w:rPr>
            </w:pPr>
          </w:p>
        </w:tc>
        <w:tc>
          <w:tcPr>
            <w:tcW w:w="1417" w:type="dxa"/>
            <w:tcBorders>
              <w:top w:val="single" w:color="auto" w:sz="12" w:space="0"/>
            </w:tcBorders>
            <w:vAlign w:val="center"/>
          </w:tcPr>
          <w:p w14:paraId="7693076D">
            <w:pPr>
              <w:pStyle w:val="35"/>
              <w:spacing w:before="0"/>
              <w:jc w:val="both"/>
              <w:rPr>
                <w:rFonts w:ascii="Arial" w:hAnsi="Arial" w:cs="Arial"/>
                <w:sz w:val="20"/>
                <w:szCs w:val="20"/>
              </w:rPr>
            </w:pPr>
          </w:p>
        </w:tc>
        <w:tc>
          <w:tcPr>
            <w:tcW w:w="624" w:type="dxa"/>
            <w:tcBorders>
              <w:top w:val="single" w:color="auto" w:sz="12" w:space="0"/>
            </w:tcBorders>
            <w:vAlign w:val="center"/>
          </w:tcPr>
          <w:p w14:paraId="303EAB93">
            <w:pPr>
              <w:pStyle w:val="35"/>
              <w:spacing w:before="0"/>
              <w:jc w:val="both"/>
              <w:rPr>
                <w:rFonts w:ascii="Arial" w:hAnsi="Arial" w:cs="Arial"/>
                <w:sz w:val="20"/>
                <w:szCs w:val="20"/>
              </w:rPr>
            </w:pPr>
          </w:p>
        </w:tc>
      </w:tr>
      <w:tr w14:paraId="25F1CC99">
        <w:trPr>
          <w:trHeight w:val="288" w:hRule="atLeast"/>
        </w:trPr>
        <w:tc>
          <w:tcPr>
            <w:tcW w:w="3288" w:type="dxa"/>
            <w:vAlign w:val="center"/>
          </w:tcPr>
          <w:p w14:paraId="21542BA2">
            <w:pPr>
              <w:pStyle w:val="35"/>
              <w:spacing w:before="0"/>
              <w:ind w:left="295"/>
              <w:jc w:val="both"/>
              <w:rPr>
                <w:rFonts w:ascii="Arial" w:hAnsi="Arial" w:cs="Arial"/>
                <w:sz w:val="20"/>
                <w:szCs w:val="20"/>
              </w:rPr>
            </w:pPr>
            <w:r>
              <w:rPr>
                <w:rFonts w:ascii="Arial" w:hAnsi="Arial" w:cs="Arial"/>
                <w:sz w:val="20"/>
                <w:szCs w:val="20"/>
              </w:rPr>
              <w:t>No.</w:t>
            </w:r>
            <w:r>
              <w:rPr>
                <w:rFonts w:ascii="Arial" w:hAnsi="Arial" w:cs="Arial"/>
                <w:spacing w:val="11"/>
                <w:sz w:val="20"/>
                <w:szCs w:val="20"/>
              </w:rPr>
              <w:t xml:space="preserve"> </w:t>
            </w:r>
            <w:r>
              <w:rPr>
                <w:rFonts w:ascii="Arial" w:hAnsi="Arial" w:cs="Arial"/>
                <w:sz w:val="20"/>
                <w:szCs w:val="20"/>
              </w:rPr>
              <w:t xml:space="preserve">of patients </w:t>
            </w:r>
            <w:r>
              <w:rPr>
                <w:rFonts w:ascii="Arial" w:hAnsi="Arial" w:cs="Arial"/>
                <w:spacing w:val="-5"/>
                <w:sz w:val="20"/>
                <w:szCs w:val="20"/>
              </w:rPr>
              <w:t>(%)</w:t>
            </w:r>
          </w:p>
        </w:tc>
        <w:tc>
          <w:tcPr>
            <w:tcW w:w="1406" w:type="dxa"/>
            <w:vAlign w:val="center"/>
          </w:tcPr>
          <w:p w14:paraId="4E3D6EA3">
            <w:pPr>
              <w:pStyle w:val="35"/>
              <w:spacing w:before="0"/>
              <w:jc w:val="both"/>
              <w:rPr>
                <w:rFonts w:ascii="Arial" w:hAnsi="Arial" w:cs="Arial"/>
                <w:spacing w:val="-8"/>
                <w:sz w:val="20"/>
                <w:szCs w:val="20"/>
              </w:rPr>
            </w:pPr>
            <w:r>
              <w:rPr>
                <w:rFonts w:hint="eastAsia" w:ascii="Arial" w:hAnsi="Arial" w:cs="Arial"/>
                <w:spacing w:val="-8"/>
                <w:sz w:val="20"/>
                <w:szCs w:val="20"/>
              </w:rPr>
              <w:t>24,521 (100.0%)</w:t>
            </w:r>
          </w:p>
        </w:tc>
        <w:tc>
          <w:tcPr>
            <w:tcW w:w="1587" w:type="dxa"/>
            <w:vAlign w:val="center"/>
          </w:tcPr>
          <w:p w14:paraId="4055C613">
            <w:pPr>
              <w:pStyle w:val="35"/>
              <w:spacing w:before="0"/>
              <w:ind w:left="19" w:right="16"/>
              <w:jc w:val="both"/>
              <w:rPr>
                <w:rFonts w:ascii="Arial" w:hAnsi="Arial" w:cs="Arial"/>
                <w:sz w:val="20"/>
                <w:szCs w:val="20"/>
              </w:rPr>
            </w:pPr>
            <w:r>
              <w:rPr>
                <w:rFonts w:ascii="Arial" w:hAnsi="Arial" w:cs="Arial"/>
                <w:sz w:val="20"/>
                <w:szCs w:val="20"/>
              </w:rPr>
              <w:t xml:space="preserve">20,635 </w:t>
            </w:r>
            <w:r>
              <w:rPr>
                <w:rFonts w:ascii="Arial" w:hAnsi="Arial" w:cs="Arial"/>
                <w:spacing w:val="-2"/>
                <w:sz w:val="20"/>
                <w:szCs w:val="20"/>
              </w:rPr>
              <w:t>(84.2%)</w:t>
            </w:r>
          </w:p>
        </w:tc>
        <w:tc>
          <w:tcPr>
            <w:tcW w:w="1417" w:type="dxa"/>
            <w:vAlign w:val="center"/>
          </w:tcPr>
          <w:p w14:paraId="3D90F969">
            <w:pPr>
              <w:pStyle w:val="35"/>
              <w:spacing w:before="0"/>
              <w:ind w:left="8" w:right="1"/>
              <w:jc w:val="both"/>
              <w:rPr>
                <w:rFonts w:ascii="Arial" w:hAnsi="Arial" w:cs="Arial"/>
                <w:sz w:val="20"/>
                <w:szCs w:val="20"/>
              </w:rPr>
            </w:pPr>
            <w:r>
              <w:rPr>
                <w:rFonts w:ascii="Arial" w:hAnsi="Arial" w:cs="Arial"/>
                <w:sz w:val="20"/>
                <w:szCs w:val="20"/>
              </w:rPr>
              <w:t xml:space="preserve">2,724 </w:t>
            </w:r>
            <w:r>
              <w:rPr>
                <w:rFonts w:ascii="Arial" w:hAnsi="Arial" w:cs="Arial"/>
                <w:spacing w:val="-2"/>
                <w:sz w:val="20"/>
                <w:szCs w:val="20"/>
              </w:rPr>
              <w:t>(11.1%)</w:t>
            </w:r>
          </w:p>
        </w:tc>
        <w:tc>
          <w:tcPr>
            <w:tcW w:w="1417" w:type="dxa"/>
            <w:vAlign w:val="center"/>
          </w:tcPr>
          <w:p w14:paraId="751E57F1">
            <w:pPr>
              <w:pStyle w:val="35"/>
              <w:spacing w:before="0"/>
              <w:ind w:left="7" w:right="1"/>
              <w:jc w:val="both"/>
              <w:rPr>
                <w:rFonts w:ascii="Arial" w:hAnsi="Arial" w:cs="Arial"/>
                <w:sz w:val="20"/>
                <w:szCs w:val="20"/>
              </w:rPr>
            </w:pPr>
            <w:r>
              <w:rPr>
                <w:rFonts w:ascii="Arial" w:hAnsi="Arial" w:cs="Arial"/>
                <w:sz w:val="20"/>
                <w:szCs w:val="20"/>
              </w:rPr>
              <w:t xml:space="preserve">1,162 </w:t>
            </w:r>
            <w:r>
              <w:rPr>
                <w:rFonts w:ascii="Arial" w:hAnsi="Arial" w:cs="Arial"/>
                <w:spacing w:val="-2"/>
                <w:sz w:val="20"/>
                <w:szCs w:val="20"/>
              </w:rPr>
              <w:t>(4.7%)</w:t>
            </w:r>
          </w:p>
        </w:tc>
        <w:tc>
          <w:tcPr>
            <w:tcW w:w="624" w:type="dxa"/>
            <w:vAlign w:val="center"/>
          </w:tcPr>
          <w:p w14:paraId="0A2F1359">
            <w:pPr>
              <w:pStyle w:val="35"/>
              <w:spacing w:before="0"/>
              <w:ind w:left="1"/>
              <w:jc w:val="both"/>
              <w:rPr>
                <w:rFonts w:ascii="Arial" w:hAnsi="Arial" w:cs="Arial"/>
                <w:sz w:val="20"/>
                <w:szCs w:val="20"/>
              </w:rPr>
            </w:pPr>
            <w:r>
              <w:rPr>
                <w:rFonts w:ascii="Arial" w:hAnsi="Arial" w:cs="Arial"/>
                <w:i/>
                <w:spacing w:val="-2"/>
                <w:sz w:val="20"/>
                <w:szCs w:val="20"/>
              </w:rPr>
              <w:t>&lt;</w:t>
            </w:r>
            <w:r>
              <w:rPr>
                <w:rFonts w:ascii="Arial" w:hAnsi="Arial" w:cs="Arial"/>
                <w:spacing w:val="-2"/>
                <w:sz w:val="20"/>
                <w:szCs w:val="20"/>
              </w:rPr>
              <w:t>.001</w:t>
            </w:r>
          </w:p>
        </w:tc>
      </w:tr>
      <w:tr w14:paraId="0657E9AC">
        <w:trPr>
          <w:trHeight w:val="283" w:hRule="atLeast"/>
        </w:trPr>
        <w:tc>
          <w:tcPr>
            <w:tcW w:w="3288" w:type="dxa"/>
            <w:vAlign w:val="center"/>
          </w:tcPr>
          <w:p w14:paraId="67673BB8">
            <w:pPr>
              <w:pStyle w:val="35"/>
              <w:spacing w:before="0"/>
              <w:ind w:left="295"/>
              <w:jc w:val="both"/>
              <w:rPr>
                <w:rFonts w:ascii="Arial" w:hAnsi="Arial" w:cs="Arial"/>
                <w:sz w:val="20"/>
                <w:szCs w:val="20"/>
              </w:rPr>
            </w:pPr>
            <w:r>
              <w:rPr>
                <w:rFonts w:ascii="Arial" w:hAnsi="Arial" w:cs="Arial"/>
                <w:sz w:val="20"/>
                <w:szCs w:val="20"/>
              </w:rPr>
              <w:t>Total</w:t>
            </w:r>
            <w:r>
              <w:rPr>
                <w:rFonts w:ascii="Arial" w:hAnsi="Arial" w:cs="Arial"/>
                <w:spacing w:val="-12"/>
                <w:sz w:val="20"/>
                <w:szCs w:val="20"/>
              </w:rPr>
              <w:t xml:space="preserve"> </w:t>
            </w:r>
            <w:r>
              <w:rPr>
                <w:rFonts w:ascii="Arial" w:hAnsi="Arial" w:cs="Arial"/>
                <w:sz w:val="20"/>
                <w:szCs w:val="20"/>
              </w:rPr>
              <w:t>SOFA</w:t>
            </w:r>
            <w:r>
              <w:rPr>
                <w:rFonts w:ascii="Arial" w:hAnsi="Arial" w:cs="Arial"/>
                <w:spacing w:val="-5"/>
                <w:sz w:val="20"/>
                <w:szCs w:val="20"/>
              </w:rPr>
              <w:t xml:space="preserve"> </w:t>
            </w:r>
            <w:r>
              <w:rPr>
                <w:rFonts w:ascii="Arial" w:hAnsi="Arial" w:cs="Arial"/>
                <w:sz w:val="20"/>
                <w:szCs w:val="20"/>
              </w:rPr>
              <w:t>score</w:t>
            </w:r>
            <w:r>
              <w:rPr>
                <w:rFonts w:ascii="Arial" w:hAnsi="Arial" w:cs="Arial"/>
                <w:spacing w:val="-6"/>
                <w:sz w:val="20"/>
                <w:szCs w:val="20"/>
              </w:rPr>
              <w:t xml:space="preserve"> </w:t>
            </w:r>
            <w:r>
              <w:rPr>
                <w:rFonts w:ascii="Arial" w:hAnsi="Arial" w:cs="Arial"/>
                <w:sz w:val="20"/>
                <w:szCs w:val="20"/>
              </w:rPr>
              <w:t>at</w:t>
            </w:r>
            <w:r>
              <w:rPr>
                <w:rFonts w:ascii="Arial" w:hAnsi="Arial" w:cs="Arial"/>
                <w:spacing w:val="-5"/>
                <w:sz w:val="20"/>
                <w:szCs w:val="20"/>
              </w:rPr>
              <w:t xml:space="preserve"> </w:t>
            </w:r>
            <w:r>
              <w:rPr>
                <w:rFonts w:ascii="Arial" w:hAnsi="Arial" w:cs="Arial"/>
                <w:sz w:val="20"/>
                <w:szCs w:val="20"/>
              </w:rPr>
              <w:t>diagnosis,</w:t>
            </w:r>
            <w:r>
              <w:rPr>
                <w:rFonts w:ascii="Arial" w:hAnsi="Arial" w:cs="Arial"/>
                <w:spacing w:val="-6"/>
                <w:sz w:val="20"/>
                <w:szCs w:val="20"/>
              </w:rPr>
              <w:t xml:space="preserve"> </w:t>
            </w:r>
            <w:r>
              <w:rPr>
                <w:rFonts w:ascii="Arial" w:hAnsi="Arial" w:cs="Arial"/>
                <w:sz w:val="20"/>
                <w:szCs w:val="20"/>
              </w:rPr>
              <w:t>mean</w:t>
            </w:r>
            <w:r>
              <w:rPr>
                <w:rFonts w:ascii="Arial" w:hAnsi="Arial" w:cs="Arial"/>
                <w:spacing w:val="-5"/>
                <w:sz w:val="20"/>
                <w:szCs w:val="20"/>
              </w:rPr>
              <w:t xml:space="preserve"> </w:t>
            </w:r>
            <w:r>
              <w:rPr>
                <w:rFonts w:ascii="Arial" w:hAnsi="Arial" w:cs="Arial"/>
                <w:i/>
                <w:sz w:val="20"/>
                <w:szCs w:val="20"/>
              </w:rPr>
              <w:t>±</w:t>
            </w:r>
            <w:r>
              <w:rPr>
                <w:rFonts w:ascii="Arial" w:hAnsi="Arial" w:cs="Arial"/>
                <w:i/>
                <w:spacing w:val="-19"/>
                <w:sz w:val="20"/>
                <w:szCs w:val="20"/>
              </w:rPr>
              <w:t xml:space="preserve"> </w:t>
            </w:r>
            <w:r>
              <w:rPr>
                <w:rFonts w:ascii="Arial" w:hAnsi="Arial" w:cs="Arial"/>
                <w:spacing w:val="-5"/>
                <w:sz w:val="20"/>
                <w:szCs w:val="20"/>
              </w:rPr>
              <w:t>SD</w:t>
            </w:r>
          </w:p>
        </w:tc>
        <w:tc>
          <w:tcPr>
            <w:tcW w:w="1406" w:type="dxa"/>
            <w:vAlign w:val="center"/>
          </w:tcPr>
          <w:p w14:paraId="765D5EE7">
            <w:pPr>
              <w:pStyle w:val="35"/>
              <w:spacing w:before="0"/>
              <w:jc w:val="both"/>
              <w:rPr>
                <w:rFonts w:ascii="Arial" w:hAnsi="Arial" w:cs="Arial"/>
                <w:spacing w:val="-8"/>
                <w:sz w:val="20"/>
                <w:szCs w:val="20"/>
              </w:rPr>
            </w:pPr>
            <w:r>
              <w:rPr>
                <w:rFonts w:hint="eastAsia" w:ascii="Arial" w:hAnsi="Arial" w:cs="Arial"/>
                <w:spacing w:val="-8"/>
                <w:sz w:val="20"/>
                <w:szCs w:val="20"/>
              </w:rPr>
              <w:t>5.4 ± 2.9</w:t>
            </w:r>
          </w:p>
        </w:tc>
        <w:tc>
          <w:tcPr>
            <w:tcW w:w="1587" w:type="dxa"/>
            <w:vAlign w:val="center"/>
          </w:tcPr>
          <w:p w14:paraId="303F1920">
            <w:pPr>
              <w:pStyle w:val="35"/>
              <w:spacing w:before="0"/>
              <w:jc w:val="both"/>
              <w:rPr>
                <w:rFonts w:ascii="Arial" w:hAnsi="Arial" w:cs="Arial"/>
                <w:sz w:val="20"/>
                <w:szCs w:val="20"/>
              </w:rPr>
            </w:pPr>
            <w:r>
              <w:rPr>
                <w:rFonts w:ascii="Arial" w:hAnsi="Arial" w:cs="Arial"/>
                <w:sz w:val="20"/>
                <w:szCs w:val="20"/>
              </w:rPr>
              <w:t>5.4</w:t>
            </w:r>
            <w:r>
              <w:rPr>
                <w:rFonts w:ascii="Arial" w:hAnsi="Arial" w:cs="Arial"/>
                <w:spacing w:val="-8"/>
                <w:sz w:val="20"/>
                <w:szCs w:val="20"/>
              </w:rPr>
              <w:t xml:space="preserve"> </w:t>
            </w:r>
            <w:r>
              <w:rPr>
                <w:rFonts w:ascii="Arial" w:hAnsi="Arial" w:cs="Arial"/>
                <w:i/>
                <w:sz w:val="20"/>
                <w:szCs w:val="20"/>
              </w:rPr>
              <w:t>±</w:t>
            </w:r>
            <w:r>
              <w:rPr>
                <w:rFonts w:ascii="Arial" w:hAnsi="Arial" w:cs="Arial"/>
                <w:i/>
                <w:spacing w:val="-19"/>
                <w:sz w:val="20"/>
                <w:szCs w:val="20"/>
              </w:rPr>
              <w:t xml:space="preserve"> </w:t>
            </w:r>
            <w:r>
              <w:rPr>
                <w:rFonts w:ascii="Arial" w:hAnsi="Arial" w:cs="Arial"/>
                <w:spacing w:val="-5"/>
                <w:sz w:val="20"/>
                <w:szCs w:val="20"/>
              </w:rPr>
              <w:t>2.9</w:t>
            </w:r>
          </w:p>
        </w:tc>
        <w:tc>
          <w:tcPr>
            <w:tcW w:w="1417" w:type="dxa"/>
            <w:vAlign w:val="center"/>
          </w:tcPr>
          <w:p w14:paraId="709DAB0E">
            <w:pPr>
              <w:pStyle w:val="35"/>
              <w:spacing w:before="0"/>
              <w:jc w:val="both"/>
              <w:rPr>
                <w:rFonts w:ascii="Arial" w:hAnsi="Arial" w:cs="Arial"/>
                <w:sz w:val="20"/>
                <w:szCs w:val="20"/>
              </w:rPr>
            </w:pPr>
            <w:r>
              <w:rPr>
                <w:rFonts w:ascii="Arial" w:hAnsi="Arial" w:cs="Arial"/>
                <w:sz w:val="20"/>
                <w:szCs w:val="20"/>
              </w:rPr>
              <w:t>5.5</w:t>
            </w:r>
            <w:r>
              <w:rPr>
                <w:rFonts w:ascii="Arial" w:hAnsi="Arial" w:cs="Arial"/>
                <w:spacing w:val="-8"/>
                <w:sz w:val="20"/>
                <w:szCs w:val="20"/>
              </w:rPr>
              <w:t xml:space="preserve"> </w:t>
            </w:r>
            <w:r>
              <w:rPr>
                <w:rFonts w:ascii="Arial" w:hAnsi="Arial" w:cs="Arial"/>
                <w:i/>
                <w:sz w:val="20"/>
                <w:szCs w:val="20"/>
              </w:rPr>
              <w:t>±</w:t>
            </w:r>
            <w:r>
              <w:rPr>
                <w:rFonts w:ascii="Arial" w:hAnsi="Arial" w:cs="Arial"/>
                <w:i/>
                <w:spacing w:val="-19"/>
                <w:sz w:val="20"/>
                <w:szCs w:val="20"/>
              </w:rPr>
              <w:t xml:space="preserve"> </w:t>
            </w:r>
            <w:r>
              <w:rPr>
                <w:rFonts w:ascii="Arial" w:hAnsi="Arial" w:cs="Arial"/>
                <w:spacing w:val="-5"/>
                <w:sz w:val="20"/>
                <w:szCs w:val="20"/>
              </w:rPr>
              <w:t>2.8</w:t>
            </w:r>
          </w:p>
        </w:tc>
        <w:tc>
          <w:tcPr>
            <w:tcW w:w="1417" w:type="dxa"/>
            <w:vAlign w:val="center"/>
          </w:tcPr>
          <w:p w14:paraId="6957181F">
            <w:pPr>
              <w:pStyle w:val="35"/>
              <w:spacing w:before="0"/>
              <w:jc w:val="both"/>
              <w:rPr>
                <w:rFonts w:ascii="Arial" w:hAnsi="Arial" w:cs="Arial"/>
                <w:sz w:val="20"/>
                <w:szCs w:val="20"/>
              </w:rPr>
            </w:pPr>
            <w:r>
              <w:rPr>
                <w:rFonts w:ascii="Arial" w:hAnsi="Arial" w:cs="Arial"/>
                <w:sz w:val="20"/>
                <w:szCs w:val="20"/>
              </w:rPr>
              <w:t>5.3</w:t>
            </w:r>
            <w:r>
              <w:rPr>
                <w:rFonts w:ascii="Arial" w:hAnsi="Arial" w:cs="Arial"/>
                <w:spacing w:val="-8"/>
                <w:sz w:val="20"/>
                <w:szCs w:val="20"/>
              </w:rPr>
              <w:t xml:space="preserve"> </w:t>
            </w:r>
            <w:r>
              <w:rPr>
                <w:rFonts w:ascii="Arial" w:hAnsi="Arial" w:cs="Arial"/>
                <w:i/>
                <w:sz w:val="20"/>
                <w:szCs w:val="20"/>
              </w:rPr>
              <w:t>±</w:t>
            </w:r>
            <w:r>
              <w:rPr>
                <w:rFonts w:ascii="Arial" w:hAnsi="Arial" w:cs="Arial"/>
                <w:i/>
                <w:spacing w:val="-19"/>
                <w:sz w:val="20"/>
                <w:szCs w:val="20"/>
              </w:rPr>
              <w:t xml:space="preserve"> </w:t>
            </w:r>
            <w:r>
              <w:rPr>
                <w:rFonts w:ascii="Arial" w:hAnsi="Arial" w:cs="Arial"/>
                <w:spacing w:val="-5"/>
                <w:sz w:val="20"/>
                <w:szCs w:val="20"/>
              </w:rPr>
              <w:t>2.8</w:t>
            </w:r>
          </w:p>
        </w:tc>
        <w:tc>
          <w:tcPr>
            <w:tcW w:w="624" w:type="dxa"/>
            <w:vAlign w:val="center"/>
          </w:tcPr>
          <w:p w14:paraId="1A54D45B">
            <w:pPr>
              <w:pStyle w:val="35"/>
              <w:spacing w:before="0"/>
              <w:ind w:left="1"/>
              <w:jc w:val="both"/>
              <w:rPr>
                <w:rFonts w:ascii="Arial" w:hAnsi="Arial" w:cs="Arial"/>
                <w:sz w:val="20"/>
                <w:szCs w:val="20"/>
              </w:rPr>
            </w:pPr>
            <w:r>
              <w:rPr>
                <w:rFonts w:ascii="Arial" w:hAnsi="Arial" w:cs="Arial"/>
                <w:i/>
                <w:spacing w:val="-2"/>
                <w:sz w:val="20"/>
                <w:szCs w:val="20"/>
              </w:rPr>
              <w:t>&lt;</w:t>
            </w:r>
            <w:r>
              <w:rPr>
                <w:rFonts w:ascii="Arial" w:hAnsi="Arial" w:cs="Arial"/>
                <w:spacing w:val="-2"/>
                <w:sz w:val="20"/>
                <w:szCs w:val="20"/>
              </w:rPr>
              <w:t>.001</w:t>
            </w:r>
          </w:p>
        </w:tc>
      </w:tr>
      <w:tr w14:paraId="67CBDBF4">
        <w:trPr>
          <w:trHeight w:val="296" w:hRule="atLeast"/>
        </w:trPr>
        <w:tc>
          <w:tcPr>
            <w:tcW w:w="3288" w:type="dxa"/>
            <w:vAlign w:val="center"/>
          </w:tcPr>
          <w:p w14:paraId="5FC319CB">
            <w:pPr>
              <w:pStyle w:val="35"/>
              <w:spacing w:before="0"/>
              <w:ind w:left="104"/>
              <w:jc w:val="both"/>
              <w:rPr>
                <w:rFonts w:ascii="Arial" w:hAnsi="Arial" w:cs="Arial"/>
                <w:b/>
                <w:sz w:val="20"/>
                <w:szCs w:val="20"/>
              </w:rPr>
            </w:pPr>
            <w:r>
              <w:rPr>
                <w:rFonts w:ascii="Arial" w:hAnsi="Arial" w:cs="Arial"/>
                <w:b/>
                <w:sz w:val="20"/>
                <w:szCs w:val="20"/>
              </w:rPr>
              <w:t>Organ</w:t>
            </w:r>
            <w:r>
              <w:rPr>
                <w:rFonts w:ascii="Arial" w:hAnsi="Arial" w:cs="Arial"/>
                <w:b/>
                <w:spacing w:val="-1"/>
                <w:sz w:val="20"/>
                <w:szCs w:val="20"/>
              </w:rPr>
              <w:t xml:space="preserve"> </w:t>
            </w:r>
            <w:r>
              <w:rPr>
                <w:rFonts w:ascii="Arial" w:hAnsi="Arial" w:cs="Arial"/>
                <w:b/>
                <w:sz w:val="20"/>
                <w:szCs w:val="20"/>
              </w:rPr>
              <w:t>Support Utilization,</w:t>
            </w:r>
            <w:r>
              <w:rPr>
                <w:rFonts w:ascii="Arial" w:hAnsi="Arial" w:cs="Arial"/>
                <w:b/>
                <w:spacing w:val="-1"/>
                <w:sz w:val="20"/>
                <w:szCs w:val="20"/>
              </w:rPr>
              <w:t xml:space="preserve"> </w:t>
            </w:r>
            <w:r>
              <w:rPr>
                <w:rFonts w:ascii="Arial" w:hAnsi="Arial" w:cs="Arial"/>
                <w:b/>
                <w:sz w:val="20"/>
                <w:szCs w:val="20"/>
              </w:rPr>
              <w:t xml:space="preserve">n </w:t>
            </w:r>
            <w:r>
              <w:rPr>
                <w:rFonts w:ascii="Arial" w:hAnsi="Arial" w:cs="Arial"/>
                <w:b/>
                <w:spacing w:val="-5"/>
                <w:sz w:val="20"/>
                <w:szCs w:val="20"/>
              </w:rPr>
              <w:t>(%)</w:t>
            </w:r>
          </w:p>
        </w:tc>
        <w:tc>
          <w:tcPr>
            <w:tcW w:w="1406" w:type="dxa"/>
            <w:vAlign w:val="center"/>
          </w:tcPr>
          <w:p w14:paraId="609E6EC5">
            <w:pPr>
              <w:pStyle w:val="35"/>
              <w:spacing w:before="0"/>
              <w:jc w:val="both"/>
              <w:rPr>
                <w:rFonts w:ascii="Arial" w:hAnsi="Arial" w:cs="Arial"/>
                <w:spacing w:val="-8"/>
                <w:sz w:val="20"/>
                <w:szCs w:val="20"/>
              </w:rPr>
            </w:pPr>
            <w:r>
              <w:rPr>
                <w:rFonts w:hint="eastAsia" w:ascii="Arial" w:hAnsi="Arial" w:cs="Arial"/>
                <w:spacing w:val="-8"/>
                <w:sz w:val="20"/>
                <w:szCs w:val="20"/>
              </w:rPr>
              <w:t> </w:t>
            </w:r>
          </w:p>
        </w:tc>
        <w:tc>
          <w:tcPr>
            <w:tcW w:w="1587" w:type="dxa"/>
            <w:vAlign w:val="center"/>
          </w:tcPr>
          <w:p w14:paraId="66F062E8">
            <w:pPr>
              <w:pStyle w:val="35"/>
              <w:spacing w:before="0"/>
              <w:jc w:val="both"/>
              <w:rPr>
                <w:rFonts w:ascii="Arial" w:hAnsi="Arial" w:cs="Arial"/>
                <w:sz w:val="20"/>
                <w:szCs w:val="20"/>
              </w:rPr>
            </w:pPr>
          </w:p>
        </w:tc>
        <w:tc>
          <w:tcPr>
            <w:tcW w:w="1417" w:type="dxa"/>
            <w:vAlign w:val="center"/>
          </w:tcPr>
          <w:p w14:paraId="36892A0B">
            <w:pPr>
              <w:pStyle w:val="35"/>
              <w:spacing w:before="0"/>
              <w:jc w:val="both"/>
              <w:rPr>
                <w:rFonts w:ascii="Arial" w:hAnsi="Arial" w:cs="Arial"/>
                <w:sz w:val="20"/>
                <w:szCs w:val="20"/>
              </w:rPr>
            </w:pPr>
          </w:p>
        </w:tc>
        <w:tc>
          <w:tcPr>
            <w:tcW w:w="1417" w:type="dxa"/>
            <w:vAlign w:val="center"/>
          </w:tcPr>
          <w:p w14:paraId="2F11B681">
            <w:pPr>
              <w:pStyle w:val="35"/>
              <w:spacing w:before="0"/>
              <w:jc w:val="both"/>
              <w:rPr>
                <w:rFonts w:ascii="Arial" w:hAnsi="Arial" w:cs="Arial"/>
                <w:sz w:val="20"/>
                <w:szCs w:val="20"/>
              </w:rPr>
            </w:pPr>
          </w:p>
        </w:tc>
        <w:tc>
          <w:tcPr>
            <w:tcW w:w="624" w:type="dxa"/>
            <w:vAlign w:val="center"/>
          </w:tcPr>
          <w:p w14:paraId="3D3D6B71">
            <w:pPr>
              <w:pStyle w:val="35"/>
              <w:spacing w:before="0"/>
              <w:jc w:val="both"/>
              <w:rPr>
                <w:rFonts w:ascii="Arial" w:hAnsi="Arial" w:cs="Arial"/>
                <w:sz w:val="20"/>
                <w:szCs w:val="20"/>
              </w:rPr>
            </w:pPr>
          </w:p>
        </w:tc>
      </w:tr>
      <w:tr w14:paraId="73F19BB3">
        <w:trPr>
          <w:trHeight w:val="281" w:hRule="atLeast"/>
        </w:trPr>
        <w:tc>
          <w:tcPr>
            <w:tcW w:w="3288" w:type="dxa"/>
            <w:vAlign w:val="center"/>
          </w:tcPr>
          <w:p w14:paraId="5B7143A5">
            <w:pPr>
              <w:pStyle w:val="35"/>
              <w:spacing w:before="0"/>
              <w:ind w:left="295"/>
              <w:jc w:val="both"/>
              <w:rPr>
                <w:rFonts w:ascii="Arial" w:hAnsi="Arial" w:cs="Arial"/>
                <w:sz w:val="20"/>
                <w:szCs w:val="20"/>
              </w:rPr>
            </w:pPr>
            <w:r>
              <w:rPr>
                <w:rFonts w:ascii="Arial" w:hAnsi="Arial" w:cs="Arial"/>
                <w:sz w:val="20"/>
                <w:szCs w:val="20"/>
              </w:rPr>
              <w:t>Invasive</w:t>
            </w:r>
            <w:r>
              <w:rPr>
                <w:rFonts w:ascii="Arial" w:hAnsi="Arial" w:cs="Arial"/>
                <w:spacing w:val="-11"/>
                <w:sz w:val="20"/>
                <w:szCs w:val="20"/>
              </w:rPr>
              <w:t xml:space="preserve"> </w:t>
            </w:r>
            <w:r>
              <w:rPr>
                <w:rFonts w:ascii="Arial" w:hAnsi="Arial" w:cs="Arial"/>
                <w:sz w:val="20"/>
                <w:szCs w:val="20"/>
              </w:rPr>
              <w:t>mechanical</w:t>
            </w:r>
            <w:r>
              <w:rPr>
                <w:rFonts w:ascii="Arial" w:hAnsi="Arial" w:cs="Arial"/>
                <w:spacing w:val="-10"/>
                <w:sz w:val="20"/>
                <w:szCs w:val="20"/>
              </w:rPr>
              <w:t xml:space="preserve"> </w:t>
            </w:r>
            <w:r>
              <w:rPr>
                <w:rFonts w:ascii="Arial" w:hAnsi="Arial" w:cs="Arial"/>
                <w:spacing w:val="-2"/>
                <w:sz w:val="20"/>
                <w:szCs w:val="20"/>
              </w:rPr>
              <w:t>ventilation</w:t>
            </w:r>
          </w:p>
        </w:tc>
        <w:tc>
          <w:tcPr>
            <w:tcW w:w="1406" w:type="dxa"/>
            <w:vAlign w:val="center"/>
          </w:tcPr>
          <w:p w14:paraId="361B62FA">
            <w:pPr>
              <w:pStyle w:val="35"/>
              <w:spacing w:before="0"/>
              <w:jc w:val="both"/>
              <w:rPr>
                <w:rFonts w:ascii="Arial" w:hAnsi="Arial" w:cs="Arial"/>
                <w:spacing w:val="-8"/>
                <w:sz w:val="20"/>
                <w:szCs w:val="20"/>
              </w:rPr>
            </w:pPr>
            <w:r>
              <w:rPr>
                <w:rFonts w:hint="eastAsia" w:ascii="Arial" w:hAnsi="Arial" w:cs="Arial"/>
                <w:spacing w:val="-8"/>
                <w:sz w:val="20"/>
                <w:szCs w:val="20"/>
              </w:rPr>
              <w:t>12,870 (52.5%)</w:t>
            </w:r>
          </w:p>
        </w:tc>
        <w:tc>
          <w:tcPr>
            <w:tcW w:w="1587" w:type="dxa"/>
            <w:vAlign w:val="center"/>
          </w:tcPr>
          <w:p w14:paraId="3BEE6253">
            <w:pPr>
              <w:pStyle w:val="35"/>
              <w:spacing w:before="0"/>
              <w:ind w:left="19" w:right="16"/>
              <w:jc w:val="both"/>
              <w:rPr>
                <w:rFonts w:ascii="Arial" w:hAnsi="Arial" w:cs="Arial"/>
                <w:sz w:val="20"/>
                <w:szCs w:val="20"/>
              </w:rPr>
            </w:pPr>
            <w:r>
              <w:rPr>
                <w:rFonts w:ascii="Arial" w:hAnsi="Arial" w:cs="Arial"/>
                <w:sz w:val="20"/>
                <w:szCs w:val="20"/>
              </w:rPr>
              <w:t xml:space="preserve">11,442 </w:t>
            </w:r>
            <w:r>
              <w:rPr>
                <w:rFonts w:ascii="Arial" w:hAnsi="Arial" w:cs="Arial"/>
                <w:spacing w:val="-2"/>
                <w:sz w:val="20"/>
                <w:szCs w:val="20"/>
              </w:rPr>
              <w:t>(55.4%)</w:t>
            </w:r>
          </w:p>
        </w:tc>
        <w:tc>
          <w:tcPr>
            <w:tcW w:w="1417" w:type="dxa"/>
            <w:vAlign w:val="center"/>
          </w:tcPr>
          <w:p w14:paraId="60064EAA">
            <w:pPr>
              <w:pStyle w:val="35"/>
              <w:spacing w:before="0"/>
              <w:ind w:left="8" w:right="1"/>
              <w:jc w:val="both"/>
              <w:rPr>
                <w:rFonts w:ascii="Arial" w:hAnsi="Arial" w:cs="Arial"/>
                <w:sz w:val="20"/>
                <w:szCs w:val="20"/>
              </w:rPr>
            </w:pPr>
            <w:r>
              <w:rPr>
                <w:rFonts w:ascii="Arial" w:hAnsi="Arial" w:cs="Arial"/>
                <w:sz w:val="20"/>
                <w:szCs w:val="20"/>
              </w:rPr>
              <w:t xml:space="preserve">1,052 </w:t>
            </w:r>
            <w:r>
              <w:rPr>
                <w:rFonts w:ascii="Arial" w:hAnsi="Arial" w:cs="Arial"/>
                <w:spacing w:val="-2"/>
                <w:sz w:val="20"/>
                <w:szCs w:val="20"/>
              </w:rPr>
              <w:t>(38.6%)</w:t>
            </w:r>
          </w:p>
        </w:tc>
        <w:tc>
          <w:tcPr>
            <w:tcW w:w="1417" w:type="dxa"/>
            <w:vAlign w:val="center"/>
          </w:tcPr>
          <w:p w14:paraId="3E53F0EB">
            <w:pPr>
              <w:pStyle w:val="35"/>
              <w:spacing w:before="0"/>
              <w:ind w:left="7" w:right="1"/>
              <w:jc w:val="both"/>
              <w:rPr>
                <w:rFonts w:ascii="Arial" w:hAnsi="Arial" w:cs="Arial"/>
                <w:sz w:val="20"/>
                <w:szCs w:val="20"/>
              </w:rPr>
            </w:pPr>
            <w:r>
              <w:rPr>
                <w:rFonts w:ascii="Arial" w:hAnsi="Arial" w:cs="Arial"/>
                <w:sz w:val="20"/>
                <w:szCs w:val="20"/>
              </w:rPr>
              <w:t xml:space="preserve">376 </w:t>
            </w:r>
            <w:r>
              <w:rPr>
                <w:rFonts w:ascii="Arial" w:hAnsi="Arial" w:cs="Arial"/>
                <w:spacing w:val="-2"/>
                <w:sz w:val="20"/>
                <w:szCs w:val="20"/>
              </w:rPr>
              <w:t>(32.4%)</w:t>
            </w:r>
          </w:p>
        </w:tc>
        <w:tc>
          <w:tcPr>
            <w:tcW w:w="624" w:type="dxa"/>
            <w:vAlign w:val="center"/>
          </w:tcPr>
          <w:p w14:paraId="28BC9BCB">
            <w:pPr>
              <w:pStyle w:val="35"/>
              <w:spacing w:before="0"/>
              <w:ind w:left="1"/>
              <w:jc w:val="both"/>
              <w:rPr>
                <w:rFonts w:ascii="Arial" w:hAnsi="Arial" w:cs="Arial"/>
                <w:sz w:val="20"/>
                <w:szCs w:val="20"/>
              </w:rPr>
            </w:pPr>
            <w:r>
              <w:rPr>
                <w:rFonts w:ascii="Arial" w:hAnsi="Arial" w:cs="Arial"/>
                <w:i/>
                <w:spacing w:val="-2"/>
                <w:sz w:val="20"/>
                <w:szCs w:val="20"/>
              </w:rPr>
              <w:t>&lt;</w:t>
            </w:r>
            <w:r>
              <w:rPr>
                <w:rFonts w:ascii="Arial" w:hAnsi="Arial" w:cs="Arial"/>
                <w:spacing w:val="-2"/>
                <w:sz w:val="20"/>
                <w:szCs w:val="20"/>
              </w:rPr>
              <w:t>.001</w:t>
            </w:r>
          </w:p>
        </w:tc>
      </w:tr>
      <w:tr w14:paraId="3D50DA8F">
        <w:trPr>
          <w:trHeight w:val="287" w:hRule="atLeast"/>
        </w:trPr>
        <w:tc>
          <w:tcPr>
            <w:tcW w:w="3288" w:type="dxa"/>
            <w:vAlign w:val="center"/>
          </w:tcPr>
          <w:p w14:paraId="63DAB626">
            <w:pPr>
              <w:pStyle w:val="35"/>
              <w:spacing w:before="0"/>
              <w:ind w:left="295"/>
              <w:jc w:val="both"/>
              <w:rPr>
                <w:rFonts w:ascii="Arial" w:hAnsi="Arial" w:cs="Arial"/>
                <w:sz w:val="20"/>
                <w:szCs w:val="20"/>
              </w:rPr>
            </w:pPr>
            <w:r>
              <w:rPr>
                <w:rFonts w:ascii="Arial" w:hAnsi="Arial" w:cs="Arial"/>
                <w:sz w:val="20"/>
                <w:szCs w:val="20"/>
              </w:rPr>
              <w:t>HFNC</w:t>
            </w:r>
            <w:r>
              <w:rPr>
                <w:rFonts w:ascii="Arial" w:hAnsi="Arial" w:cs="Arial"/>
                <w:spacing w:val="-7"/>
                <w:sz w:val="20"/>
                <w:szCs w:val="20"/>
              </w:rPr>
              <w:t xml:space="preserve"> </w:t>
            </w:r>
            <w:r>
              <w:rPr>
                <w:rFonts w:ascii="Arial" w:hAnsi="Arial" w:cs="Arial"/>
                <w:sz w:val="20"/>
                <w:szCs w:val="20"/>
              </w:rPr>
              <w:t>or</w:t>
            </w:r>
            <w:r>
              <w:rPr>
                <w:rFonts w:ascii="Arial" w:hAnsi="Arial" w:cs="Arial"/>
                <w:spacing w:val="-7"/>
                <w:sz w:val="20"/>
                <w:szCs w:val="20"/>
              </w:rPr>
              <w:t xml:space="preserve"> </w:t>
            </w:r>
            <w:r>
              <w:rPr>
                <w:rFonts w:ascii="Arial" w:hAnsi="Arial" w:cs="Arial"/>
                <w:sz w:val="20"/>
                <w:szCs w:val="20"/>
              </w:rPr>
              <w:t>noninvasive</w:t>
            </w:r>
            <w:r>
              <w:rPr>
                <w:rFonts w:ascii="Arial" w:hAnsi="Arial" w:cs="Arial"/>
                <w:spacing w:val="-7"/>
                <w:sz w:val="20"/>
                <w:szCs w:val="20"/>
              </w:rPr>
              <w:t xml:space="preserve"> </w:t>
            </w:r>
            <w:r>
              <w:rPr>
                <w:rFonts w:ascii="Arial" w:hAnsi="Arial" w:cs="Arial"/>
                <w:spacing w:val="-2"/>
                <w:sz w:val="20"/>
                <w:szCs w:val="20"/>
              </w:rPr>
              <w:t>ventilation</w:t>
            </w:r>
          </w:p>
        </w:tc>
        <w:tc>
          <w:tcPr>
            <w:tcW w:w="1406" w:type="dxa"/>
            <w:vAlign w:val="center"/>
          </w:tcPr>
          <w:p w14:paraId="40FF670D">
            <w:pPr>
              <w:pStyle w:val="35"/>
              <w:spacing w:before="0"/>
              <w:jc w:val="both"/>
              <w:rPr>
                <w:rFonts w:ascii="Arial" w:hAnsi="Arial" w:cs="Arial"/>
                <w:spacing w:val="-8"/>
                <w:sz w:val="20"/>
                <w:szCs w:val="20"/>
              </w:rPr>
            </w:pPr>
            <w:r>
              <w:rPr>
                <w:rFonts w:hint="eastAsia" w:ascii="Arial" w:hAnsi="Arial" w:cs="Arial"/>
                <w:spacing w:val="-8"/>
                <w:sz w:val="20"/>
                <w:szCs w:val="20"/>
              </w:rPr>
              <w:t>15,968 (65.1%)</w:t>
            </w:r>
          </w:p>
        </w:tc>
        <w:tc>
          <w:tcPr>
            <w:tcW w:w="1587" w:type="dxa"/>
            <w:vAlign w:val="center"/>
          </w:tcPr>
          <w:p w14:paraId="66587DF4">
            <w:pPr>
              <w:pStyle w:val="35"/>
              <w:spacing w:before="0"/>
              <w:ind w:left="19" w:right="16"/>
              <w:jc w:val="both"/>
              <w:rPr>
                <w:rFonts w:ascii="Arial" w:hAnsi="Arial" w:cs="Arial"/>
                <w:sz w:val="20"/>
                <w:szCs w:val="20"/>
              </w:rPr>
            </w:pPr>
            <w:r>
              <w:rPr>
                <w:rFonts w:ascii="Arial" w:hAnsi="Arial" w:cs="Arial"/>
                <w:sz w:val="20"/>
                <w:szCs w:val="20"/>
              </w:rPr>
              <w:t xml:space="preserve">13,903 </w:t>
            </w:r>
            <w:r>
              <w:rPr>
                <w:rFonts w:ascii="Arial" w:hAnsi="Arial" w:cs="Arial"/>
                <w:spacing w:val="-2"/>
                <w:sz w:val="20"/>
                <w:szCs w:val="20"/>
              </w:rPr>
              <w:t>(67.4%)</w:t>
            </w:r>
          </w:p>
        </w:tc>
        <w:tc>
          <w:tcPr>
            <w:tcW w:w="1417" w:type="dxa"/>
            <w:vAlign w:val="center"/>
          </w:tcPr>
          <w:p w14:paraId="5FAE86B7">
            <w:pPr>
              <w:pStyle w:val="35"/>
              <w:spacing w:before="0"/>
              <w:ind w:left="8" w:right="1"/>
              <w:jc w:val="both"/>
              <w:rPr>
                <w:rFonts w:ascii="Arial" w:hAnsi="Arial" w:cs="Arial"/>
                <w:sz w:val="20"/>
                <w:szCs w:val="20"/>
              </w:rPr>
            </w:pPr>
            <w:r>
              <w:rPr>
                <w:rFonts w:ascii="Arial" w:hAnsi="Arial" w:cs="Arial"/>
                <w:sz w:val="20"/>
                <w:szCs w:val="20"/>
              </w:rPr>
              <w:t xml:space="preserve">1,565 </w:t>
            </w:r>
            <w:r>
              <w:rPr>
                <w:rFonts w:ascii="Arial" w:hAnsi="Arial" w:cs="Arial"/>
                <w:spacing w:val="-2"/>
                <w:sz w:val="20"/>
                <w:szCs w:val="20"/>
              </w:rPr>
              <w:t>(57.5%)</w:t>
            </w:r>
          </w:p>
        </w:tc>
        <w:tc>
          <w:tcPr>
            <w:tcW w:w="1417" w:type="dxa"/>
            <w:vAlign w:val="center"/>
          </w:tcPr>
          <w:p w14:paraId="41794932">
            <w:pPr>
              <w:pStyle w:val="35"/>
              <w:spacing w:before="0"/>
              <w:ind w:left="7" w:right="1"/>
              <w:jc w:val="both"/>
              <w:rPr>
                <w:rFonts w:ascii="Arial" w:hAnsi="Arial" w:cs="Arial"/>
                <w:sz w:val="20"/>
                <w:szCs w:val="20"/>
              </w:rPr>
            </w:pPr>
            <w:r>
              <w:rPr>
                <w:rFonts w:ascii="Arial" w:hAnsi="Arial" w:cs="Arial"/>
                <w:sz w:val="20"/>
                <w:szCs w:val="20"/>
              </w:rPr>
              <w:t xml:space="preserve">500 </w:t>
            </w:r>
            <w:r>
              <w:rPr>
                <w:rFonts w:ascii="Arial" w:hAnsi="Arial" w:cs="Arial"/>
                <w:spacing w:val="-2"/>
                <w:sz w:val="20"/>
                <w:szCs w:val="20"/>
              </w:rPr>
              <w:t>(43.0%)</w:t>
            </w:r>
          </w:p>
        </w:tc>
        <w:tc>
          <w:tcPr>
            <w:tcW w:w="624" w:type="dxa"/>
            <w:vAlign w:val="center"/>
          </w:tcPr>
          <w:p w14:paraId="59A0F663">
            <w:pPr>
              <w:pStyle w:val="35"/>
              <w:spacing w:before="0"/>
              <w:ind w:left="1"/>
              <w:jc w:val="both"/>
              <w:rPr>
                <w:rFonts w:ascii="Arial" w:hAnsi="Arial" w:cs="Arial"/>
                <w:sz w:val="20"/>
                <w:szCs w:val="20"/>
              </w:rPr>
            </w:pPr>
            <w:r>
              <w:rPr>
                <w:rFonts w:ascii="Arial" w:hAnsi="Arial" w:cs="Arial"/>
                <w:i/>
                <w:spacing w:val="-2"/>
                <w:sz w:val="20"/>
                <w:szCs w:val="20"/>
              </w:rPr>
              <w:t>&lt;</w:t>
            </w:r>
            <w:r>
              <w:rPr>
                <w:rFonts w:ascii="Arial" w:hAnsi="Arial" w:cs="Arial"/>
                <w:spacing w:val="-2"/>
                <w:sz w:val="20"/>
                <w:szCs w:val="20"/>
              </w:rPr>
              <w:t>.001</w:t>
            </w:r>
          </w:p>
        </w:tc>
      </w:tr>
      <w:tr w14:paraId="14E599F3">
        <w:trPr>
          <w:trHeight w:val="287" w:hRule="atLeast"/>
        </w:trPr>
        <w:tc>
          <w:tcPr>
            <w:tcW w:w="3288" w:type="dxa"/>
            <w:vAlign w:val="center"/>
          </w:tcPr>
          <w:p w14:paraId="4A519D68">
            <w:pPr>
              <w:pStyle w:val="35"/>
              <w:spacing w:before="0"/>
              <w:ind w:left="295"/>
              <w:jc w:val="both"/>
              <w:rPr>
                <w:rFonts w:ascii="Arial" w:hAnsi="Arial" w:cs="Arial"/>
                <w:sz w:val="20"/>
                <w:szCs w:val="20"/>
              </w:rPr>
            </w:pPr>
            <w:r>
              <w:rPr>
                <w:rFonts w:ascii="Arial" w:hAnsi="Arial" w:cs="Arial"/>
                <w:spacing w:val="-2"/>
                <w:sz w:val="20"/>
                <w:szCs w:val="20"/>
              </w:rPr>
              <w:t>Vasopressors</w:t>
            </w:r>
          </w:p>
        </w:tc>
        <w:tc>
          <w:tcPr>
            <w:tcW w:w="1406" w:type="dxa"/>
            <w:vAlign w:val="center"/>
          </w:tcPr>
          <w:p w14:paraId="0EDB2A2D">
            <w:pPr>
              <w:pStyle w:val="35"/>
              <w:spacing w:before="0"/>
              <w:jc w:val="both"/>
              <w:rPr>
                <w:rFonts w:ascii="Arial" w:hAnsi="Arial" w:cs="Arial"/>
                <w:spacing w:val="-8"/>
                <w:sz w:val="20"/>
                <w:szCs w:val="20"/>
              </w:rPr>
            </w:pPr>
            <w:r>
              <w:rPr>
                <w:rFonts w:hint="eastAsia" w:ascii="Arial" w:hAnsi="Arial" w:cs="Arial"/>
                <w:spacing w:val="-8"/>
                <w:sz w:val="20"/>
                <w:szCs w:val="20"/>
              </w:rPr>
              <w:t>10,516 (42.9%)</w:t>
            </w:r>
          </w:p>
        </w:tc>
        <w:tc>
          <w:tcPr>
            <w:tcW w:w="1587" w:type="dxa"/>
            <w:vAlign w:val="center"/>
          </w:tcPr>
          <w:p w14:paraId="25D1C86D">
            <w:pPr>
              <w:pStyle w:val="35"/>
              <w:spacing w:before="0"/>
              <w:ind w:left="19" w:right="16"/>
              <w:jc w:val="both"/>
              <w:rPr>
                <w:rFonts w:ascii="Arial" w:hAnsi="Arial" w:cs="Arial"/>
                <w:sz w:val="20"/>
                <w:szCs w:val="20"/>
              </w:rPr>
            </w:pPr>
            <w:r>
              <w:rPr>
                <w:rFonts w:ascii="Arial" w:hAnsi="Arial" w:cs="Arial"/>
                <w:sz w:val="20"/>
                <w:szCs w:val="20"/>
              </w:rPr>
              <w:t xml:space="preserve">9,570 </w:t>
            </w:r>
            <w:r>
              <w:rPr>
                <w:rFonts w:ascii="Arial" w:hAnsi="Arial" w:cs="Arial"/>
                <w:spacing w:val="-2"/>
                <w:sz w:val="20"/>
                <w:szCs w:val="20"/>
              </w:rPr>
              <w:t>(46.4%)</w:t>
            </w:r>
          </w:p>
        </w:tc>
        <w:tc>
          <w:tcPr>
            <w:tcW w:w="1417" w:type="dxa"/>
            <w:vAlign w:val="center"/>
          </w:tcPr>
          <w:p w14:paraId="16F6CD37">
            <w:pPr>
              <w:pStyle w:val="35"/>
              <w:spacing w:before="0"/>
              <w:ind w:left="8" w:right="1"/>
              <w:jc w:val="both"/>
              <w:rPr>
                <w:rFonts w:ascii="Arial" w:hAnsi="Arial" w:cs="Arial"/>
                <w:sz w:val="20"/>
                <w:szCs w:val="20"/>
              </w:rPr>
            </w:pPr>
            <w:r>
              <w:rPr>
                <w:rFonts w:ascii="Arial" w:hAnsi="Arial" w:cs="Arial"/>
                <w:sz w:val="20"/>
                <w:szCs w:val="20"/>
              </w:rPr>
              <w:t xml:space="preserve">649 </w:t>
            </w:r>
            <w:r>
              <w:rPr>
                <w:rFonts w:ascii="Arial" w:hAnsi="Arial" w:cs="Arial"/>
                <w:spacing w:val="-2"/>
                <w:sz w:val="20"/>
                <w:szCs w:val="20"/>
              </w:rPr>
              <w:t>(23.8%)</w:t>
            </w:r>
          </w:p>
        </w:tc>
        <w:tc>
          <w:tcPr>
            <w:tcW w:w="1417" w:type="dxa"/>
            <w:vAlign w:val="center"/>
          </w:tcPr>
          <w:p w14:paraId="4694E2EC">
            <w:pPr>
              <w:pStyle w:val="35"/>
              <w:spacing w:before="0"/>
              <w:ind w:left="7" w:right="1"/>
              <w:jc w:val="both"/>
              <w:rPr>
                <w:rFonts w:ascii="Arial" w:hAnsi="Arial" w:cs="Arial"/>
                <w:sz w:val="20"/>
                <w:szCs w:val="20"/>
              </w:rPr>
            </w:pPr>
            <w:r>
              <w:rPr>
                <w:rFonts w:ascii="Arial" w:hAnsi="Arial" w:cs="Arial"/>
                <w:sz w:val="20"/>
                <w:szCs w:val="20"/>
              </w:rPr>
              <w:t xml:space="preserve">297 </w:t>
            </w:r>
            <w:r>
              <w:rPr>
                <w:rFonts w:ascii="Arial" w:hAnsi="Arial" w:cs="Arial"/>
                <w:spacing w:val="-2"/>
                <w:sz w:val="20"/>
                <w:szCs w:val="20"/>
              </w:rPr>
              <w:t>(25.6%)</w:t>
            </w:r>
          </w:p>
        </w:tc>
        <w:tc>
          <w:tcPr>
            <w:tcW w:w="624" w:type="dxa"/>
            <w:vAlign w:val="center"/>
          </w:tcPr>
          <w:p w14:paraId="53DE182A">
            <w:pPr>
              <w:pStyle w:val="35"/>
              <w:spacing w:before="0"/>
              <w:ind w:left="1"/>
              <w:jc w:val="both"/>
              <w:rPr>
                <w:rFonts w:ascii="Arial" w:hAnsi="Arial" w:cs="Arial"/>
                <w:sz w:val="20"/>
                <w:szCs w:val="20"/>
              </w:rPr>
            </w:pPr>
            <w:r>
              <w:rPr>
                <w:rFonts w:ascii="Arial" w:hAnsi="Arial" w:cs="Arial"/>
                <w:i/>
                <w:spacing w:val="-2"/>
                <w:sz w:val="20"/>
                <w:szCs w:val="20"/>
              </w:rPr>
              <w:t>&lt;</w:t>
            </w:r>
            <w:r>
              <w:rPr>
                <w:rFonts w:ascii="Arial" w:hAnsi="Arial" w:cs="Arial"/>
                <w:spacing w:val="-2"/>
                <w:sz w:val="20"/>
                <w:szCs w:val="20"/>
              </w:rPr>
              <w:t>.001</w:t>
            </w:r>
          </w:p>
        </w:tc>
      </w:tr>
      <w:tr w14:paraId="4625CB94">
        <w:trPr>
          <w:trHeight w:val="276" w:hRule="atLeast"/>
        </w:trPr>
        <w:tc>
          <w:tcPr>
            <w:tcW w:w="3288" w:type="dxa"/>
            <w:vAlign w:val="center"/>
          </w:tcPr>
          <w:p w14:paraId="6B7E482C">
            <w:pPr>
              <w:pStyle w:val="35"/>
              <w:spacing w:before="0"/>
              <w:ind w:left="295"/>
              <w:jc w:val="both"/>
              <w:rPr>
                <w:rFonts w:ascii="Arial" w:hAnsi="Arial" w:cs="Arial"/>
                <w:sz w:val="20"/>
                <w:szCs w:val="20"/>
              </w:rPr>
            </w:pPr>
            <w:r>
              <w:rPr>
                <w:rFonts w:ascii="Arial" w:hAnsi="Arial" w:cs="Arial"/>
                <w:sz w:val="20"/>
                <w:szCs w:val="20"/>
              </w:rPr>
              <w:t xml:space="preserve">Renal replacement </w:t>
            </w:r>
            <w:r>
              <w:rPr>
                <w:rFonts w:ascii="Arial" w:hAnsi="Arial" w:cs="Arial"/>
                <w:spacing w:val="-2"/>
                <w:sz w:val="20"/>
                <w:szCs w:val="20"/>
              </w:rPr>
              <w:t>therapy</w:t>
            </w:r>
          </w:p>
        </w:tc>
        <w:tc>
          <w:tcPr>
            <w:tcW w:w="1406" w:type="dxa"/>
            <w:vAlign w:val="center"/>
          </w:tcPr>
          <w:p w14:paraId="6D301E1E">
            <w:pPr>
              <w:pStyle w:val="35"/>
              <w:spacing w:before="0"/>
              <w:jc w:val="both"/>
              <w:rPr>
                <w:rFonts w:ascii="Arial" w:hAnsi="Arial" w:cs="Arial"/>
                <w:spacing w:val="-8"/>
                <w:sz w:val="20"/>
                <w:szCs w:val="20"/>
              </w:rPr>
            </w:pPr>
            <w:r>
              <w:rPr>
                <w:rFonts w:hint="eastAsia" w:ascii="Arial" w:hAnsi="Arial" w:cs="Arial"/>
                <w:spacing w:val="-8"/>
                <w:sz w:val="20"/>
                <w:szCs w:val="20"/>
              </w:rPr>
              <w:t>1,124 (4.6%)</w:t>
            </w:r>
          </w:p>
        </w:tc>
        <w:tc>
          <w:tcPr>
            <w:tcW w:w="1587" w:type="dxa"/>
            <w:vAlign w:val="center"/>
          </w:tcPr>
          <w:p w14:paraId="63BA9DAB">
            <w:pPr>
              <w:pStyle w:val="35"/>
              <w:spacing w:before="0"/>
              <w:ind w:left="19" w:right="16"/>
              <w:jc w:val="both"/>
              <w:rPr>
                <w:rFonts w:ascii="Arial" w:hAnsi="Arial" w:cs="Arial"/>
                <w:sz w:val="20"/>
                <w:szCs w:val="20"/>
              </w:rPr>
            </w:pPr>
            <w:r>
              <w:rPr>
                <w:rFonts w:ascii="Arial" w:hAnsi="Arial" w:cs="Arial"/>
                <w:sz w:val="20"/>
                <w:szCs w:val="20"/>
              </w:rPr>
              <w:t xml:space="preserve">1,056 </w:t>
            </w:r>
            <w:r>
              <w:rPr>
                <w:rFonts w:ascii="Arial" w:hAnsi="Arial" w:cs="Arial"/>
                <w:spacing w:val="-2"/>
                <w:sz w:val="20"/>
                <w:szCs w:val="20"/>
              </w:rPr>
              <w:t>(5.1%)</w:t>
            </w:r>
          </w:p>
        </w:tc>
        <w:tc>
          <w:tcPr>
            <w:tcW w:w="1417" w:type="dxa"/>
            <w:vAlign w:val="center"/>
          </w:tcPr>
          <w:p w14:paraId="7F15DD58">
            <w:pPr>
              <w:pStyle w:val="35"/>
              <w:spacing w:before="0"/>
              <w:ind w:left="8" w:right="1"/>
              <w:jc w:val="both"/>
              <w:rPr>
                <w:rFonts w:ascii="Arial" w:hAnsi="Arial" w:cs="Arial"/>
                <w:sz w:val="20"/>
                <w:szCs w:val="20"/>
              </w:rPr>
            </w:pPr>
            <w:r>
              <w:rPr>
                <w:rFonts w:ascii="Arial" w:hAnsi="Arial" w:cs="Arial"/>
                <w:sz w:val="20"/>
                <w:szCs w:val="20"/>
              </w:rPr>
              <w:t xml:space="preserve">58 </w:t>
            </w:r>
            <w:r>
              <w:rPr>
                <w:rFonts w:ascii="Arial" w:hAnsi="Arial" w:cs="Arial"/>
                <w:spacing w:val="-2"/>
                <w:sz w:val="20"/>
                <w:szCs w:val="20"/>
              </w:rPr>
              <w:t>(2.1%)</w:t>
            </w:r>
          </w:p>
        </w:tc>
        <w:tc>
          <w:tcPr>
            <w:tcW w:w="1417" w:type="dxa"/>
            <w:vAlign w:val="center"/>
          </w:tcPr>
          <w:p w14:paraId="24D87EE2">
            <w:pPr>
              <w:pStyle w:val="35"/>
              <w:spacing w:before="0"/>
              <w:ind w:left="7" w:right="1"/>
              <w:jc w:val="both"/>
              <w:rPr>
                <w:rFonts w:ascii="Arial" w:hAnsi="Arial" w:cs="Arial"/>
                <w:sz w:val="20"/>
                <w:szCs w:val="20"/>
              </w:rPr>
            </w:pPr>
            <w:r>
              <w:rPr>
                <w:rFonts w:ascii="Arial" w:hAnsi="Arial" w:cs="Arial"/>
                <w:sz w:val="20"/>
                <w:szCs w:val="20"/>
              </w:rPr>
              <w:t xml:space="preserve">10 </w:t>
            </w:r>
            <w:r>
              <w:rPr>
                <w:rFonts w:ascii="Arial" w:hAnsi="Arial" w:cs="Arial"/>
                <w:spacing w:val="-2"/>
                <w:sz w:val="20"/>
                <w:szCs w:val="20"/>
              </w:rPr>
              <w:t>(0.9%)</w:t>
            </w:r>
          </w:p>
        </w:tc>
        <w:tc>
          <w:tcPr>
            <w:tcW w:w="624" w:type="dxa"/>
            <w:vAlign w:val="center"/>
          </w:tcPr>
          <w:p w14:paraId="4D96ECEA">
            <w:pPr>
              <w:pStyle w:val="35"/>
              <w:spacing w:before="0"/>
              <w:ind w:left="1"/>
              <w:jc w:val="both"/>
              <w:rPr>
                <w:rFonts w:ascii="Arial" w:hAnsi="Arial" w:cs="Arial"/>
                <w:sz w:val="20"/>
                <w:szCs w:val="20"/>
              </w:rPr>
            </w:pPr>
            <w:r>
              <w:rPr>
                <w:rFonts w:ascii="Arial" w:hAnsi="Arial" w:cs="Arial"/>
                <w:i/>
                <w:spacing w:val="-2"/>
                <w:sz w:val="20"/>
                <w:szCs w:val="20"/>
              </w:rPr>
              <w:t>&lt;</w:t>
            </w:r>
            <w:r>
              <w:rPr>
                <w:rFonts w:ascii="Arial" w:hAnsi="Arial" w:cs="Arial"/>
                <w:spacing w:val="-2"/>
                <w:sz w:val="20"/>
                <w:szCs w:val="20"/>
              </w:rPr>
              <w:t>.001</w:t>
            </w:r>
          </w:p>
        </w:tc>
      </w:tr>
      <w:tr w14:paraId="196E1BF6">
        <w:trPr>
          <w:trHeight w:val="334" w:hRule="atLeast"/>
        </w:trPr>
        <w:tc>
          <w:tcPr>
            <w:tcW w:w="3288" w:type="dxa"/>
            <w:tcBorders>
              <w:bottom w:val="single" w:color="auto" w:sz="12" w:space="0"/>
            </w:tcBorders>
            <w:vAlign w:val="center"/>
          </w:tcPr>
          <w:p w14:paraId="668AC895">
            <w:pPr>
              <w:pStyle w:val="35"/>
              <w:spacing w:before="0"/>
              <w:ind w:left="295"/>
              <w:jc w:val="both"/>
              <w:rPr>
                <w:rFonts w:ascii="Arial" w:hAnsi="Arial" w:cs="Arial"/>
                <w:sz w:val="20"/>
                <w:szCs w:val="20"/>
              </w:rPr>
            </w:pPr>
            <w:r>
              <w:rPr>
                <w:rFonts w:ascii="Arial" w:hAnsi="Arial" w:cs="Arial"/>
                <w:sz w:val="20"/>
                <w:szCs w:val="20"/>
              </w:rPr>
              <w:t xml:space="preserve">Mechanical circulatory </w:t>
            </w:r>
            <w:r>
              <w:rPr>
                <w:rFonts w:ascii="Arial" w:hAnsi="Arial" w:cs="Arial"/>
                <w:spacing w:val="-2"/>
                <w:sz w:val="20"/>
                <w:szCs w:val="20"/>
              </w:rPr>
              <w:t>support</w:t>
            </w:r>
            <w:r>
              <w:rPr>
                <w:rFonts w:ascii="Arial" w:hAnsi="Arial" w:cs="Arial"/>
                <w:spacing w:val="-2"/>
                <w:sz w:val="20"/>
                <w:szCs w:val="20"/>
                <w:vertAlign w:val="superscript"/>
              </w:rPr>
              <w:t>c</w:t>
            </w:r>
          </w:p>
        </w:tc>
        <w:tc>
          <w:tcPr>
            <w:tcW w:w="1406" w:type="dxa"/>
            <w:tcBorders>
              <w:bottom w:val="single" w:color="auto" w:sz="12" w:space="0"/>
            </w:tcBorders>
            <w:vAlign w:val="center"/>
          </w:tcPr>
          <w:p w14:paraId="0020F2AD">
            <w:pPr>
              <w:pStyle w:val="35"/>
              <w:spacing w:before="0"/>
              <w:jc w:val="both"/>
              <w:rPr>
                <w:rFonts w:ascii="Arial" w:hAnsi="Arial" w:cs="Arial"/>
                <w:spacing w:val="-8"/>
                <w:sz w:val="20"/>
                <w:szCs w:val="20"/>
              </w:rPr>
            </w:pPr>
            <w:r>
              <w:rPr>
                <w:rFonts w:hint="eastAsia" w:ascii="Arial" w:hAnsi="Arial" w:cs="Arial"/>
                <w:spacing w:val="-8"/>
                <w:sz w:val="20"/>
                <w:szCs w:val="20"/>
              </w:rPr>
              <w:t>507 (2.1%)</w:t>
            </w:r>
          </w:p>
        </w:tc>
        <w:tc>
          <w:tcPr>
            <w:tcW w:w="1587" w:type="dxa"/>
            <w:tcBorders>
              <w:bottom w:val="single" w:color="auto" w:sz="12" w:space="0"/>
            </w:tcBorders>
            <w:vAlign w:val="center"/>
          </w:tcPr>
          <w:p w14:paraId="51834273">
            <w:pPr>
              <w:pStyle w:val="35"/>
              <w:spacing w:before="0"/>
              <w:ind w:left="19" w:right="16"/>
              <w:jc w:val="both"/>
              <w:rPr>
                <w:rFonts w:ascii="Arial" w:hAnsi="Arial" w:cs="Arial"/>
                <w:sz w:val="20"/>
                <w:szCs w:val="20"/>
              </w:rPr>
            </w:pPr>
            <w:r>
              <w:rPr>
                <w:rFonts w:ascii="Arial" w:hAnsi="Arial" w:cs="Arial"/>
                <w:sz w:val="20"/>
                <w:szCs w:val="20"/>
              </w:rPr>
              <w:t xml:space="preserve">459 </w:t>
            </w:r>
            <w:r>
              <w:rPr>
                <w:rFonts w:ascii="Arial" w:hAnsi="Arial" w:cs="Arial"/>
                <w:spacing w:val="-2"/>
                <w:sz w:val="20"/>
                <w:szCs w:val="20"/>
              </w:rPr>
              <w:t>(2.2%)</w:t>
            </w:r>
          </w:p>
        </w:tc>
        <w:tc>
          <w:tcPr>
            <w:tcW w:w="1417" w:type="dxa"/>
            <w:tcBorders>
              <w:bottom w:val="single" w:color="auto" w:sz="12" w:space="0"/>
            </w:tcBorders>
            <w:vAlign w:val="center"/>
          </w:tcPr>
          <w:p w14:paraId="569D6B47">
            <w:pPr>
              <w:pStyle w:val="35"/>
              <w:spacing w:before="0"/>
              <w:ind w:left="8" w:right="1"/>
              <w:jc w:val="both"/>
              <w:rPr>
                <w:rFonts w:ascii="Arial" w:hAnsi="Arial" w:cs="Arial"/>
                <w:sz w:val="20"/>
                <w:szCs w:val="20"/>
              </w:rPr>
            </w:pPr>
            <w:r>
              <w:rPr>
                <w:rFonts w:ascii="Arial" w:hAnsi="Arial" w:cs="Arial"/>
                <w:sz w:val="20"/>
                <w:szCs w:val="20"/>
              </w:rPr>
              <w:t xml:space="preserve">33 </w:t>
            </w:r>
            <w:r>
              <w:rPr>
                <w:rFonts w:ascii="Arial" w:hAnsi="Arial" w:cs="Arial"/>
                <w:spacing w:val="-2"/>
                <w:sz w:val="20"/>
                <w:szCs w:val="20"/>
              </w:rPr>
              <w:t>(1.2%)</w:t>
            </w:r>
          </w:p>
        </w:tc>
        <w:tc>
          <w:tcPr>
            <w:tcW w:w="1417" w:type="dxa"/>
            <w:tcBorders>
              <w:bottom w:val="single" w:color="auto" w:sz="12" w:space="0"/>
            </w:tcBorders>
            <w:vAlign w:val="center"/>
          </w:tcPr>
          <w:p w14:paraId="67104297">
            <w:pPr>
              <w:pStyle w:val="35"/>
              <w:spacing w:before="0"/>
              <w:ind w:left="7" w:right="1"/>
              <w:jc w:val="both"/>
              <w:rPr>
                <w:rFonts w:ascii="Arial" w:hAnsi="Arial" w:cs="Arial"/>
                <w:sz w:val="20"/>
                <w:szCs w:val="20"/>
              </w:rPr>
            </w:pPr>
            <w:r>
              <w:rPr>
                <w:rFonts w:ascii="Arial" w:hAnsi="Arial" w:cs="Arial"/>
                <w:sz w:val="20"/>
                <w:szCs w:val="20"/>
              </w:rPr>
              <w:t xml:space="preserve">15 </w:t>
            </w:r>
            <w:r>
              <w:rPr>
                <w:rFonts w:ascii="Arial" w:hAnsi="Arial" w:cs="Arial"/>
                <w:spacing w:val="-2"/>
                <w:sz w:val="20"/>
                <w:szCs w:val="20"/>
              </w:rPr>
              <w:t>(1.3%)</w:t>
            </w:r>
          </w:p>
        </w:tc>
        <w:tc>
          <w:tcPr>
            <w:tcW w:w="624" w:type="dxa"/>
            <w:tcBorders>
              <w:bottom w:val="single" w:color="auto" w:sz="12" w:space="0"/>
            </w:tcBorders>
            <w:vAlign w:val="center"/>
          </w:tcPr>
          <w:p w14:paraId="51F4C9ED">
            <w:pPr>
              <w:pStyle w:val="35"/>
              <w:spacing w:before="0"/>
              <w:ind w:left="1"/>
              <w:jc w:val="both"/>
              <w:rPr>
                <w:rFonts w:ascii="Arial" w:hAnsi="Arial" w:cs="Arial"/>
                <w:sz w:val="20"/>
                <w:szCs w:val="20"/>
              </w:rPr>
            </w:pPr>
            <w:r>
              <w:rPr>
                <w:rFonts w:ascii="Arial" w:hAnsi="Arial" w:cs="Arial"/>
                <w:i/>
                <w:spacing w:val="-2"/>
                <w:sz w:val="20"/>
                <w:szCs w:val="20"/>
              </w:rPr>
              <w:t>&lt;</w:t>
            </w:r>
            <w:r>
              <w:rPr>
                <w:rFonts w:ascii="Arial" w:hAnsi="Arial" w:cs="Arial"/>
                <w:spacing w:val="-2"/>
                <w:sz w:val="20"/>
                <w:szCs w:val="20"/>
              </w:rPr>
              <w:t>.001</w:t>
            </w:r>
          </w:p>
        </w:tc>
      </w:tr>
      <w:tr w14:paraId="74080856">
        <w:trPr>
          <w:trHeight w:val="335" w:hRule="atLeast"/>
        </w:trPr>
        <w:tc>
          <w:tcPr>
            <w:tcW w:w="3288" w:type="dxa"/>
            <w:tcBorders>
              <w:top w:val="single" w:color="auto" w:sz="12" w:space="0"/>
            </w:tcBorders>
            <w:vAlign w:val="center"/>
          </w:tcPr>
          <w:p w14:paraId="2AE38145">
            <w:pPr>
              <w:pStyle w:val="35"/>
              <w:spacing w:before="0"/>
              <w:ind w:left="104"/>
              <w:jc w:val="both"/>
              <w:rPr>
                <w:rFonts w:ascii="Arial" w:hAnsi="Arial" w:cs="Arial"/>
                <w:b/>
                <w:bCs/>
                <w:i/>
                <w:sz w:val="20"/>
                <w:szCs w:val="20"/>
              </w:rPr>
            </w:pPr>
            <w:r>
              <w:rPr>
                <w:rFonts w:ascii="Arial" w:hAnsi="Arial" w:cs="Arial"/>
                <w:b/>
                <w:bCs/>
                <w:i/>
                <w:sz w:val="20"/>
                <w:szCs w:val="20"/>
              </w:rPr>
              <w:t xml:space="preserve">eICU-CRD (N = </w:t>
            </w:r>
            <w:r>
              <w:rPr>
                <w:rFonts w:ascii="Arial" w:hAnsi="Arial" w:cs="Arial"/>
                <w:b/>
                <w:bCs/>
                <w:i/>
                <w:spacing w:val="-2"/>
                <w:sz w:val="20"/>
                <w:szCs w:val="20"/>
              </w:rPr>
              <w:t>12,209)</w:t>
            </w:r>
          </w:p>
        </w:tc>
        <w:tc>
          <w:tcPr>
            <w:tcW w:w="1406" w:type="dxa"/>
            <w:tcBorders>
              <w:top w:val="single" w:color="auto" w:sz="12" w:space="0"/>
            </w:tcBorders>
            <w:vAlign w:val="center"/>
          </w:tcPr>
          <w:p w14:paraId="7E9230C0">
            <w:pPr>
              <w:pStyle w:val="35"/>
              <w:spacing w:before="0"/>
              <w:jc w:val="both"/>
              <w:rPr>
                <w:rFonts w:ascii="Arial" w:hAnsi="Arial" w:cs="Arial"/>
                <w:spacing w:val="-8"/>
                <w:sz w:val="20"/>
                <w:szCs w:val="20"/>
              </w:rPr>
            </w:pPr>
            <w:r>
              <w:rPr>
                <w:rFonts w:hint="eastAsia" w:ascii="Arial" w:hAnsi="Arial" w:cs="Arial"/>
                <w:spacing w:val="-8"/>
                <w:sz w:val="20"/>
                <w:szCs w:val="20"/>
              </w:rPr>
              <w:t> </w:t>
            </w:r>
          </w:p>
        </w:tc>
        <w:tc>
          <w:tcPr>
            <w:tcW w:w="1587" w:type="dxa"/>
            <w:tcBorders>
              <w:top w:val="single" w:color="auto" w:sz="12" w:space="0"/>
            </w:tcBorders>
            <w:vAlign w:val="center"/>
          </w:tcPr>
          <w:p w14:paraId="10EE2696">
            <w:pPr>
              <w:pStyle w:val="35"/>
              <w:spacing w:before="0"/>
              <w:jc w:val="both"/>
              <w:rPr>
                <w:rFonts w:ascii="Arial" w:hAnsi="Arial" w:cs="Arial"/>
                <w:sz w:val="20"/>
                <w:szCs w:val="20"/>
              </w:rPr>
            </w:pPr>
          </w:p>
        </w:tc>
        <w:tc>
          <w:tcPr>
            <w:tcW w:w="1417" w:type="dxa"/>
            <w:tcBorders>
              <w:top w:val="single" w:color="auto" w:sz="12" w:space="0"/>
            </w:tcBorders>
            <w:vAlign w:val="center"/>
          </w:tcPr>
          <w:p w14:paraId="39077837">
            <w:pPr>
              <w:pStyle w:val="35"/>
              <w:spacing w:before="0"/>
              <w:jc w:val="both"/>
              <w:rPr>
                <w:rFonts w:ascii="Arial" w:hAnsi="Arial" w:cs="Arial"/>
                <w:sz w:val="20"/>
                <w:szCs w:val="20"/>
              </w:rPr>
            </w:pPr>
          </w:p>
        </w:tc>
        <w:tc>
          <w:tcPr>
            <w:tcW w:w="1417" w:type="dxa"/>
            <w:tcBorders>
              <w:top w:val="single" w:color="auto" w:sz="12" w:space="0"/>
            </w:tcBorders>
            <w:vAlign w:val="center"/>
          </w:tcPr>
          <w:p w14:paraId="5F21612C">
            <w:pPr>
              <w:pStyle w:val="35"/>
              <w:spacing w:before="0"/>
              <w:jc w:val="both"/>
              <w:rPr>
                <w:rFonts w:ascii="Arial" w:hAnsi="Arial" w:cs="Arial"/>
                <w:sz w:val="20"/>
                <w:szCs w:val="20"/>
              </w:rPr>
            </w:pPr>
          </w:p>
        </w:tc>
        <w:tc>
          <w:tcPr>
            <w:tcW w:w="624" w:type="dxa"/>
            <w:tcBorders>
              <w:top w:val="single" w:color="auto" w:sz="12" w:space="0"/>
            </w:tcBorders>
            <w:vAlign w:val="center"/>
          </w:tcPr>
          <w:p w14:paraId="7DD19E88">
            <w:pPr>
              <w:pStyle w:val="35"/>
              <w:spacing w:before="0"/>
              <w:jc w:val="both"/>
              <w:rPr>
                <w:rFonts w:ascii="Arial" w:hAnsi="Arial" w:cs="Arial"/>
                <w:sz w:val="20"/>
                <w:szCs w:val="20"/>
              </w:rPr>
            </w:pPr>
          </w:p>
        </w:tc>
      </w:tr>
      <w:tr w14:paraId="4AD54BB3">
        <w:trPr>
          <w:trHeight w:val="288" w:hRule="atLeast"/>
        </w:trPr>
        <w:tc>
          <w:tcPr>
            <w:tcW w:w="3288" w:type="dxa"/>
            <w:vAlign w:val="center"/>
          </w:tcPr>
          <w:p w14:paraId="0D0653D6">
            <w:pPr>
              <w:pStyle w:val="35"/>
              <w:spacing w:before="0"/>
              <w:ind w:left="295"/>
              <w:jc w:val="both"/>
              <w:rPr>
                <w:rFonts w:ascii="Arial" w:hAnsi="Arial" w:cs="Arial"/>
                <w:sz w:val="20"/>
                <w:szCs w:val="20"/>
              </w:rPr>
            </w:pPr>
            <w:r>
              <w:rPr>
                <w:rFonts w:ascii="Arial" w:hAnsi="Arial" w:cs="Arial"/>
                <w:sz w:val="20"/>
                <w:szCs w:val="20"/>
              </w:rPr>
              <w:t>No.</w:t>
            </w:r>
            <w:r>
              <w:rPr>
                <w:rFonts w:ascii="Arial" w:hAnsi="Arial" w:cs="Arial"/>
                <w:spacing w:val="11"/>
                <w:sz w:val="20"/>
                <w:szCs w:val="20"/>
              </w:rPr>
              <w:t xml:space="preserve"> </w:t>
            </w:r>
            <w:r>
              <w:rPr>
                <w:rFonts w:ascii="Arial" w:hAnsi="Arial" w:cs="Arial"/>
                <w:sz w:val="20"/>
                <w:szCs w:val="20"/>
              </w:rPr>
              <w:t xml:space="preserve">of patients </w:t>
            </w:r>
            <w:r>
              <w:rPr>
                <w:rFonts w:ascii="Arial" w:hAnsi="Arial" w:cs="Arial"/>
                <w:spacing w:val="-5"/>
                <w:sz w:val="20"/>
                <w:szCs w:val="20"/>
              </w:rPr>
              <w:t>(%)</w:t>
            </w:r>
          </w:p>
        </w:tc>
        <w:tc>
          <w:tcPr>
            <w:tcW w:w="1406" w:type="dxa"/>
            <w:vAlign w:val="center"/>
          </w:tcPr>
          <w:p w14:paraId="3500C864">
            <w:pPr>
              <w:pStyle w:val="35"/>
              <w:spacing w:before="0"/>
              <w:jc w:val="both"/>
              <w:rPr>
                <w:rFonts w:ascii="Arial" w:hAnsi="Arial" w:cs="Arial"/>
                <w:spacing w:val="-8"/>
                <w:sz w:val="20"/>
                <w:szCs w:val="20"/>
              </w:rPr>
            </w:pPr>
            <w:r>
              <w:rPr>
                <w:rFonts w:hint="eastAsia" w:ascii="Arial" w:hAnsi="Arial" w:cs="Arial"/>
                <w:spacing w:val="-8"/>
                <w:sz w:val="20"/>
                <w:szCs w:val="20"/>
              </w:rPr>
              <w:t>12,209 (100.0%)</w:t>
            </w:r>
          </w:p>
        </w:tc>
        <w:tc>
          <w:tcPr>
            <w:tcW w:w="1587" w:type="dxa"/>
            <w:vAlign w:val="center"/>
          </w:tcPr>
          <w:p w14:paraId="1881BE26">
            <w:pPr>
              <w:pStyle w:val="35"/>
              <w:spacing w:before="0"/>
              <w:ind w:left="19" w:right="16"/>
              <w:jc w:val="both"/>
              <w:rPr>
                <w:rFonts w:ascii="Arial" w:hAnsi="Arial" w:cs="Arial"/>
                <w:sz w:val="20"/>
                <w:szCs w:val="20"/>
              </w:rPr>
            </w:pPr>
            <w:r>
              <w:rPr>
                <w:rFonts w:ascii="Arial" w:hAnsi="Arial" w:cs="Arial"/>
                <w:sz w:val="20"/>
                <w:szCs w:val="20"/>
              </w:rPr>
              <w:t xml:space="preserve">8,841 </w:t>
            </w:r>
            <w:r>
              <w:rPr>
                <w:rFonts w:ascii="Arial" w:hAnsi="Arial" w:cs="Arial"/>
                <w:spacing w:val="-2"/>
                <w:sz w:val="20"/>
                <w:szCs w:val="20"/>
              </w:rPr>
              <w:t>(72.4%)</w:t>
            </w:r>
          </w:p>
        </w:tc>
        <w:tc>
          <w:tcPr>
            <w:tcW w:w="1417" w:type="dxa"/>
            <w:vAlign w:val="center"/>
          </w:tcPr>
          <w:p w14:paraId="1873661A">
            <w:pPr>
              <w:pStyle w:val="35"/>
              <w:spacing w:before="0"/>
              <w:ind w:left="8" w:right="1"/>
              <w:jc w:val="both"/>
              <w:rPr>
                <w:rFonts w:ascii="Arial" w:hAnsi="Arial" w:cs="Arial"/>
                <w:sz w:val="20"/>
                <w:szCs w:val="20"/>
              </w:rPr>
            </w:pPr>
            <w:r>
              <w:rPr>
                <w:rFonts w:ascii="Arial" w:hAnsi="Arial" w:cs="Arial"/>
                <w:sz w:val="20"/>
                <w:szCs w:val="20"/>
              </w:rPr>
              <w:t xml:space="preserve">2,006 </w:t>
            </w:r>
            <w:r>
              <w:rPr>
                <w:rFonts w:ascii="Arial" w:hAnsi="Arial" w:cs="Arial"/>
                <w:spacing w:val="-2"/>
                <w:sz w:val="20"/>
                <w:szCs w:val="20"/>
              </w:rPr>
              <w:t>(16.4%)</w:t>
            </w:r>
          </w:p>
        </w:tc>
        <w:tc>
          <w:tcPr>
            <w:tcW w:w="1417" w:type="dxa"/>
            <w:vAlign w:val="center"/>
          </w:tcPr>
          <w:p w14:paraId="145062A5">
            <w:pPr>
              <w:pStyle w:val="35"/>
              <w:spacing w:before="0"/>
              <w:ind w:left="7" w:right="1"/>
              <w:jc w:val="both"/>
              <w:rPr>
                <w:rFonts w:ascii="Arial" w:hAnsi="Arial" w:cs="Arial"/>
                <w:sz w:val="20"/>
                <w:szCs w:val="20"/>
              </w:rPr>
            </w:pPr>
            <w:r>
              <w:rPr>
                <w:rFonts w:ascii="Arial" w:hAnsi="Arial" w:cs="Arial"/>
                <w:sz w:val="20"/>
                <w:szCs w:val="20"/>
              </w:rPr>
              <w:t xml:space="preserve">1,362 </w:t>
            </w:r>
            <w:r>
              <w:rPr>
                <w:rFonts w:ascii="Arial" w:hAnsi="Arial" w:cs="Arial"/>
                <w:spacing w:val="-2"/>
                <w:sz w:val="20"/>
                <w:szCs w:val="20"/>
              </w:rPr>
              <w:t>(11.2%)</w:t>
            </w:r>
          </w:p>
        </w:tc>
        <w:tc>
          <w:tcPr>
            <w:tcW w:w="624" w:type="dxa"/>
            <w:vAlign w:val="center"/>
          </w:tcPr>
          <w:p w14:paraId="2F053F3C">
            <w:pPr>
              <w:pStyle w:val="35"/>
              <w:spacing w:before="0"/>
              <w:ind w:left="1"/>
              <w:jc w:val="both"/>
              <w:rPr>
                <w:rFonts w:ascii="Arial" w:hAnsi="Arial" w:cs="Arial"/>
                <w:sz w:val="20"/>
                <w:szCs w:val="20"/>
              </w:rPr>
            </w:pPr>
            <w:r>
              <w:rPr>
                <w:rFonts w:ascii="Arial" w:hAnsi="Arial" w:cs="Arial"/>
                <w:i/>
                <w:spacing w:val="-2"/>
                <w:sz w:val="20"/>
                <w:szCs w:val="20"/>
              </w:rPr>
              <w:t>&lt;</w:t>
            </w:r>
            <w:r>
              <w:rPr>
                <w:rFonts w:ascii="Arial" w:hAnsi="Arial" w:cs="Arial"/>
                <w:spacing w:val="-2"/>
                <w:sz w:val="20"/>
                <w:szCs w:val="20"/>
              </w:rPr>
              <w:t>.001</w:t>
            </w:r>
          </w:p>
        </w:tc>
      </w:tr>
      <w:tr w14:paraId="28253DC5">
        <w:trPr>
          <w:trHeight w:val="283" w:hRule="atLeast"/>
        </w:trPr>
        <w:tc>
          <w:tcPr>
            <w:tcW w:w="3288" w:type="dxa"/>
            <w:vAlign w:val="center"/>
          </w:tcPr>
          <w:p w14:paraId="1BB33F48">
            <w:pPr>
              <w:pStyle w:val="35"/>
              <w:spacing w:before="0"/>
              <w:ind w:left="295"/>
              <w:jc w:val="both"/>
              <w:rPr>
                <w:rFonts w:ascii="Arial" w:hAnsi="Arial" w:cs="Arial"/>
                <w:sz w:val="20"/>
                <w:szCs w:val="20"/>
              </w:rPr>
            </w:pPr>
            <w:r>
              <w:rPr>
                <w:rFonts w:ascii="Arial" w:hAnsi="Arial" w:cs="Arial"/>
                <w:sz w:val="20"/>
                <w:szCs w:val="20"/>
              </w:rPr>
              <w:t>Total</w:t>
            </w:r>
            <w:r>
              <w:rPr>
                <w:rFonts w:ascii="Arial" w:hAnsi="Arial" w:cs="Arial"/>
                <w:spacing w:val="-12"/>
                <w:sz w:val="20"/>
                <w:szCs w:val="20"/>
              </w:rPr>
              <w:t xml:space="preserve"> </w:t>
            </w:r>
            <w:r>
              <w:rPr>
                <w:rFonts w:ascii="Arial" w:hAnsi="Arial" w:cs="Arial"/>
                <w:sz w:val="20"/>
                <w:szCs w:val="20"/>
              </w:rPr>
              <w:t>SOFA</w:t>
            </w:r>
            <w:r>
              <w:rPr>
                <w:rFonts w:ascii="Arial" w:hAnsi="Arial" w:cs="Arial"/>
                <w:spacing w:val="-5"/>
                <w:sz w:val="20"/>
                <w:szCs w:val="20"/>
              </w:rPr>
              <w:t xml:space="preserve"> </w:t>
            </w:r>
            <w:r>
              <w:rPr>
                <w:rFonts w:ascii="Arial" w:hAnsi="Arial" w:cs="Arial"/>
                <w:sz w:val="20"/>
                <w:szCs w:val="20"/>
              </w:rPr>
              <w:t>score</w:t>
            </w:r>
            <w:r>
              <w:rPr>
                <w:rFonts w:ascii="Arial" w:hAnsi="Arial" w:cs="Arial"/>
                <w:spacing w:val="-6"/>
                <w:sz w:val="20"/>
                <w:szCs w:val="20"/>
              </w:rPr>
              <w:t xml:space="preserve"> </w:t>
            </w:r>
            <w:r>
              <w:rPr>
                <w:rFonts w:ascii="Arial" w:hAnsi="Arial" w:cs="Arial"/>
                <w:sz w:val="20"/>
                <w:szCs w:val="20"/>
              </w:rPr>
              <w:t>at</w:t>
            </w:r>
            <w:r>
              <w:rPr>
                <w:rFonts w:ascii="Arial" w:hAnsi="Arial" w:cs="Arial"/>
                <w:spacing w:val="-5"/>
                <w:sz w:val="20"/>
                <w:szCs w:val="20"/>
              </w:rPr>
              <w:t xml:space="preserve"> </w:t>
            </w:r>
            <w:r>
              <w:rPr>
                <w:rFonts w:ascii="Arial" w:hAnsi="Arial" w:cs="Arial"/>
                <w:sz w:val="20"/>
                <w:szCs w:val="20"/>
              </w:rPr>
              <w:t>diagnosis,</w:t>
            </w:r>
            <w:r>
              <w:rPr>
                <w:rFonts w:ascii="Arial" w:hAnsi="Arial" w:cs="Arial"/>
                <w:spacing w:val="-6"/>
                <w:sz w:val="20"/>
                <w:szCs w:val="20"/>
              </w:rPr>
              <w:t xml:space="preserve"> </w:t>
            </w:r>
            <w:r>
              <w:rPr>
                <w:rFonts w:ascii="Arial" w:hAnsi="Arial" w:cs="Arial"/>
                <w:sz w:val="20"/>
                <w:szCs w:val="20"/>
              </w:rPr>
              <w:t>mean</w:t>
            </w:r>
            <w:r>
              <w:rPr>
                <w:rFonts w:ascii="Arial" w:hAnsi="Arial" w:cs="Arial"/>
                <w:spacing w:val="-5"/>
                <w:sz w:val="20"/>
                <w:szCs w:val="20"/>
              </w:rPr>
              <w:t xml:space="preserve"> </w:t>
            </w:r>
            <w:r>
              <w:rPr>
                <w:rFonts w:ascii="Arial" w:hAnsi="Arial" w:cs="Arial"/>
                <w:i/>
                <w:sz w:val="20"/>
                <w:szCs w:val="20"/>
              </w:rPr>
              <w:t>±</w:t>
            </w:r>
            <w:r>
              <w:rPr>
                <w:rFonts w:ascii="Arial" w:hAnsi="Arial" w:cs="Arial"/>
                <w:i/>
                <w:spacing w:val="-19"/>
                <w:sz w:val="20"/>
                <w:szCs w:val="20"/>
              </w:rPr>
              <w:t xml:space="preserve"> </w:t>
            </w:r>
            <w:r>
              <w:rPr>
                <w:rFonts w:ascii="Arial" w:hAnsi="Arial" w:cs="Arial"/>
                <w:spacing w:val="-5"/>
                <w:sz w:val="20"/>
                <w:szCs w:val="20"/>
              </w:rPr>
              <w:t>SD</w:t>
            </w:r>
          </w:p>
        </w:tc>
        <w:tc>
          <w:tcPr>
            <w:tcW w:w="1406" w:type="dxa"/>
            <w:vAlign w:val="center"/>
          </w:tcPr>
          <w:p w14:paraId="235B8326">
            <w:pPr>
              <w:pStyle w:val="35"/>
              <w:spacing w:before="0"/>
              <w:jc w:val="both"/>
              <w:rPr>
                <w:rFonts w:ascii="Arial" w:hAnsi="Arial" w:cs="Arial"/>
                <w:spacing w:val="-8"/>
                <w:sz w:val="20"/>
                <w:szCs w:val="20"/>
              </w:rPr>
            </w:pPr>
            <w:r>
              <w:rPr>
                <w:rFonts w:hint="eastAsia" w:ascii="Arial" w:hAnsi="Arial" w:cs="Arial"/>
                <w:spacing w:val="-8"/>
                <w:sz w:val="20"/>
                <w:szCs w:val="20"/>
              </w:rPr>
              <w:t>6.0 ± 2.8</w:t>
            </w:r>
          </w:p>
        </w:tc>
        <w:tc>
          <w:tcPr>
            <w:tcW w:w="1587" w:type="dxa"/>
            <w:vAlign w:val="center"/>
          </w:tcPr>
          <w:p w14:paraId="66A1E22B">
            <w:pPr>
              <w:pStyle w:val="35"/>
              <w:spacing w:before="0"/>
              <w:jc w:val="both"/>
              <w:rPr>
                <w:rFonts w:ascii="Arial" w:hAnsi="Arial" w:cs="Arial"/>
                <w:sz w:val="20"/>
                <w:szCs w:val="20"/>
              </w:rPr>
            </w:pPr>
            <w:r>
              <w:rPr>
                <w:rFonts w:ascii="Arial" w:hAnsi="Arial" w:cs="Arial"/>
                <w:sz w:val="20"/>
                <w:szCs w:val="20"/>
              </w:rPr>
              <w:t>6.0</w:t>
            </w:r>
            <w:r>
              <w:rPr>
                <w:rFonts w:ascii="Arial" w:hAnsi="Arial" w:cs="Arial"/>
                <w:spacing w:val="-8"/>
                <w:sz w:val="20"/>
                <w:szCs w:val="20"/>
              </w:rPr>
              <w:t xml:space="preserve"> </w:t>
            </w:r>
            <w:r>
              <w:rPr>
                <w:rFonts w:ascii="Arial" w:hAnsi="Arial" w:cs="Arial"/>
                <w:i/>
                <w:sz w:val="20"/>
                <w:szCs w:val="20"/>
              </w:rPr>
              <w:t>±</w:t>
            </w:r>
            <w:r>
              <w:rPr>
                <w:rFonts w:ascii="Arial" w:hAnsi="Arial" w:cs="Arial"/>
                <w:i/>
                <w:spacing w:val="-19"/>
                <w:sz w:val="20"/>
                <w:szCs w:val="20"/>
              </w:rPr>
              <w:t xml:space="preserve"> </w:t>
            </w:r>
            <w:r>
              <w:rPr>
                <w:rFonts w:ascii="Arial" w:hAnsi="Arial" w:cs="Arial"/>
                <w:spacing w:val="-5"/>
                <w:sz w:val="20"/>
                <w:szCs w:val="20"/>
              </w:rPr>
              <w:t>2.8</w:t>
            </w:r>
          </w:p>
        </w:tc>
        <w:tc>
          <w:tcPr>
            <w:tcW w:w="1417" w:type="dxa"/>
            <w:vAlign w:val="center"/>
          </w:tcPr>
          <w:p w14:paraId="6E0B70C4">
            <w:pPr>
              <w:pStyle w:val="35"/>
              <w:spacing w:before="0"/>
              <w:jc w:val="both"/>
              <w:rPr>
                <w:rFonts w:ascii="Arial" w:hAnsi="Arial" w:cs="Arial"/>
                <w:sz w:val="20"/>
                <w:szCs w:val="20"/>
              </w:rPr>
            </w:pPr>
            <w:r>
              <w:rPr>
                <w:rFonts w:ascii="Arial" w:hAnsi="Arial" w:cs="Arial"/>
                <w:sz w:val="20"/>
                <w:szCs w:val="20"/>
              </w:rPr>
              <w:t>5.9</w:t>
            </w:r>
            <w:r>
              <w:rPr>
                <w:rFonts w:ascii="Arial" w:hAnsi="Arial" w:cs="Arial"/>
                <w:spacing w:val="-8"/>
                <w:sz w:val="20"/>
                <w:szCs w:val="20"/>
              </w:rPr>
              <w:t xml:space="preserve"> </w:t>
            </w:r>
            <w:r>
              <w:rPr>
                <w:rFonts w:ascii="Arial" w:hAnsi="Arial" w:cs="Arial"/>
                <w:i/>
                <w:sz w:val="20"/>
                <w:szCs w:val="20"/>
              </w:rPr>
              <w:t>±</w:t>
            </w:r>
            <w:r>
              <w:rPr>
                <w:rFonts w:ascii="Arial" w:hAnsi="Arial" w:cs="Arial"/>
                <w:i/>
                <w:spacing w:val="-19"/>
                <w:sz w:val="20"/>
                <w:szCs w:val="20"/>
              </w:rPr>
              <w:t xml:space="preserve"> </w:t>
            </w:r>
            <w:r>
              <w:rPr>
                <w:rFonts w:ascii="Arial" w:hAnsi="Arial" w:cs="Arial"/>
                <w:spacing w:val="-5"/>
                <w:sz w:val="20"/>
                <w:szCs w:val="20"/>
              </w:rPr>
              <w:t>2.8</w:t>
            </w:r>
          </w:p>
        </w:tc>
        <w:tc>
          <w:tcPr>
            <w:tcW w:w="1417" w:type="dxa"/>
            <w:vAlign w:val="center"/>
          </w:tcPr>
          <w:p w14:paraId="4FC98C29">
            <w:pPr>
              <w:pStyle w:val="35"/>
              <w:spacing w:before="0"/>
              <w:jc w:val="both"/>
              <w:rPr>
                <w:rFonts w:ascii="Arial" w:hAnsi="Arial" w:cs="Arial"/>
                <w:sz w:val="20"/>
                <w:szCs w:val="20"/>
              </w:rPr>
            </w:pPr>
            <w:r>
              <w:rPr>
                <w:rFonts w:ascii="Arial" w:hAnsi="Arial" w:cs="Arial"/>
                <w:sz w:val="20"/>
                <w:szCs w:val="20"/>
              </w:rPr>
              <w:t>6.0</w:t>
            </w:r>
            <w:r>
              <w:rPr>
                <w:rFonts w:ascii="Arial" w:hAnsi="Arial" w:cs="Arial"/>
                <w:spacing w:val="-8"/>
                <w:sz w:val="20"/>
                <w:szCs w:val="20"/>
              </w:rPr>
              <w:t xml:space="preserve"> </w:t>
            </w:r>
            <w:r>
              <w:rPr>
                <w:rFonts w:ascii="Arial" w:hAnsi="Arial" w:cs="Arial"/>
                <w:i/>
                <w:sz w:val="20"/>
                <w:szCs w:val="20"/>
              </w:rPr>
              <w:t>±</w:t>
            </w:r>
            <w:r>
              <w:rPr>
                <w:rFonts w:ascii="Arial" w:hAnsi="Arial" w:cs="Arial"/>
                <w:i/>
                <w:spacing w:val="-19"/>
                <w:sz w:val="20"/>
                <w:szCs w:val="20"/>
              </w:rPr>
              <w:t xml:space="preserve"> </w:t>
            </w:r>
            <w:r>
              <w:rPr>
                <w:rFonts w:ascii="Arial" w:hAnsi="Arial" w:cs="Arial"/>
                <w:spacing w:val="-5"/>
                <w:sz w:val="20"/>
                <w:szCs w:val="20"/>
              </w:rPr>
              <w:t>2.6</w:t>
            </w:r>
          </w:p>
        </w:tc>
        <w:tc>
          <w:tcPr>
            <w:tcW w:w="624" w:type="dxa"/>
            <w:vAlign w:val="center"/>
          </w:tcPr>
          <w:p w14:paraId="1D2C2A5E">
            <w:pPr>
              <w:pStyle w:val="35"/>
              <w:spacing w:before="0"/>
              <w:ind w:left="1"/>
              <w:jc w:val="both"/>
              <w:rPr>
                <w:rFonts w:ascii="Arial" w:hAnsi="Arial" w:cs="Arial"/>
                <w:sz w:val="20"/>
                <w:szCs w:val="20"/>
              </w:rPr>
            </w:pPr>
            <w:r>
              <w:rPr>
                <w:rFonts w:ascii="Arial" w:hAnsi="Arial" w:cs="Arial"/>
                <w:i/>
                <w:spacing w:val="-2"/>
                <w:sz w:val="20"/>
                <w:szCs w:val="20"/>
              </w:rPr>
              <w:t>&lt;</w:t>
            </w:r>
            <w:r>
              <w:rPr>
                <w:rFonts w:ascii="Arial" w:hAnsi="Arial" w:cs="Arial"/>
                <w:spacing w:val="-2"/>
                <w:sz w:val="20"/>
                <w:szCs w:val="20"/>
              </w:rPr>
              <w:t>.001</w:t>
            </w:r>
          </w:p>
        </w:tc>
      </w:tr>
      <w:tr w14:paraId="59D10D7B">
        <w:trPr>
          <w:trHeight w:val="296" w:hRule="atLeast"/>
        </w:trPr>
        <w:tc>
          <w:tcPr>
            <w:tcW w:w="3288" w:type="dxa"/>
            <w:vAlign w:val="center"/>
          </w:tcPr>
          <w:p w14:paraId="1D679873">
            <w:pPr>
              <w:pStyle w:val="35"/>
              <w:spacing w:before="0"/>
              <w:ind w:left="104"/>
              <w:jc w:val="both"/>
              <w:rPr>
                <w:rFonts w:ascii="Arial" w:hAnsi="Arial" w:cs="Arial"/>
                <w:b/>
                <w:sz w:val="20"/>
                <w:szCs w:val="20"/>
              </w:rPr>
            </w:pPr>
            <w:r>
              <w:rPr>
                <w:rFonts w:ascii="Arial" w:hAnsi="Arial" w:cs="Arial"/>
                <w:b/>
                <w:sz w:val="20"/>
                <w:szCs w:val="20"/>
              </w:rPr>
              <w:t>Organ</w:t>
            </w:r>
            <w:r>
              <w:rPr>
                <w:rFonts w:ascii="Arial" w:hAnsi="Arial" w:cs="Arial"/>
                <w:b/>
                <w:spacing w:val="-1"/>
                <w:sz w:val="20"/>
                <w:szCs w:val="20"/>
              </w:rPr>
              <w:t xml:space="preserve"> </w:t>
            </w:r>
            <w:r>
              <w:rPr>
                <w:rFonts w:ascii="Arial" w:hAnsi="Arial" w:cs="Arial"/>
                <w:b/>
                <w:sz w:val="20"/>
                <w:szCs w:val="20"/>
              </w:rPr>
              <w:t>Support Utilization,</w:t>
            </w:r>
            <w:r>
              <w:rPr>
                <w:rFonts w:ascii="Arial" w:hAnsi="Arial" w:cs="Arial"/>
                <w:b/>
                <w:spacing w:val="-1"/>
                <w:sz w:val="20"/>
                <w:szCs w:val="20"/>
              </w:rPr>
              <w:t xml:space="preserve"> </w:t>
            </w:r>
            <w:r>
              <w:rPr>
                <w:rFonts w:ascii="Arial" w:hAnsi="Arial" w:cs="Arial"/>
                <w:b/>
                <w:sz w:val="20"/>
                <w:szCs w:val="20"/>
              </w:rPr>
              <w:t xml:space="preserve">n </w:t>
            </w:r>
            <w:r>
              <w:rPr>
                <w:rFonts w:ascii="Arial" w:hAnsi="Arial" w:cs="Arial"/>
                <w:b/>
                <w:spacing w:val="-5"/>
                <w:sz w:val="20"/>
                <w:szCs w:val="20"/>
              </w:rPr>
              <w:t>(%)</w:t>
            </w:r>
          </w:p>
        </w:tc>
        <w:tc>
          <w:tcPr>
            <w:tcW w:w="1406" w:type="dxa"/>
            <w:vAlign w:val="center"/>
          </w:tcPr>
          <w:p w14:paraId="7670E887">
            <w:pPr>
              <w:pStyle w:val="35"/>
              <w:spacing w:before="0"/>
              <w:jc w:val="both"/>
              <w:rPr>
                <w:rFonts w:ascii="Arial" w:hAnsi="Arial" w:cs="Arial"/>
                <w:spacing w:val="-8"/>
                <w:sz w:val="20"/>
                <w:szCs w:val="20"/>
              </w:rPr>
            </w:pPr>
            <w:r>
              <w:rPr>
                <w:rFonts w:hint="eastAsia" w:ascii="Arial" w:hAnsi="Arial" w:cs="Arial"/>
                <w:spacing w:val="-8"/>
                <w:sz w:val="20"/>
                <w:szCs w:val="20"/>
              </w:rPr>
              <w:t> </w:t>
            </w:r>
          </w:p>
        </w:tc>
        <w:tc>
          <w:tcPr>
            <w:tcW w:w="1587" w:type="dxa"/>
            <w:vAlign w:val="center"/>
          </w:tcPr>
          <w:p w14:paraId="63471132">
            <w:pPr>
              <w:pStyle w:val="35"/>
              <w:spacing w:before="0"/>
              <w:jc w:val="both"/>
              <w:rPr>
                <w:rFonts w:ascii="Arial" w:hAnsi="Arial" w:cs="Arial"/>
                <w:sz w:val="20"/>
                <w:szCs w:val="20"/>
              </w:rPr>
            </w:pPr>
          </w:p>
        </w:tc>
        <w:tc>
          <w:tcPr>
            <w:tcW w:w="1417" w:type="dxa"/>
            <w:vAlign w:val="center"/>
          </w:tcPr>
          <w:p w14:paraId="5EA9CC5D">
            <w:pPr>
              <w:pStyle w:val="35"/>
              <w:spacing w:before="0"/>
              <w:jc w:val="both"/>
              <w:rPr>
                <w:rFonts w:ascii="Arial" w:hAnsi="Arial" w:cs="Arial"/>
                <w:sz w:val="20"/>
                <w:szCs w:val="20"/>
              </w:rPr>
            </w:pPr>
          </w:p>
        </w:tc>
        <w:tc>
          <w:tcPr>
            <w:tcW w:w="1417" w:type="dxa"/>
            <w:vAlign w:val="center"/>
          </w:tcPr>
          <w:p w14:paraId="68FC5501">
            <w:pPr>
              <w:pStyle w:val="35"/>
              <w:spacing w:before="0"/>
              <w:jc w:val="both"/>
              <w:rPr>
                <w:rFonts w:ascii="Arial" w:hAnsi="Arial" w:cs="Arial"/>
                <w:sz w:val="20"/>
                <w:szCs w:val="20"/>
              </w:rPr>
            </w:pPr>
          </w:p>
        </w:tc>
        <w:tc>
          <w:tcPr>
            <w:tcW w:w="624" w:type="dxa"/>
            <w:vAlign w:val="center"/>
          </w:tcPr>
          <w:p w14:paraId="1DD83D70">
            <w:pPr>
              <w:pStyle w:val="35"/>
              <w:spacing w:before="0"/>
              <w:jc w:val="both"/>
              <w:rPr>
                <w:rFonts w:ascii="Arial" w:hAnsi="Arial" w:cs="Arial"/>
                <w:sz w:val="20"/>
                <w:szCs w:val="20"/>
              </w:rPr>
            </w:pPr>
          </w:p>
        </w:tc>
      </w:tr>
      <w:tr w14:paraId="1249382B">
        <w:trPr>
          <w:trHeight w:val="281" w:hRule="atLeast"/>
        </w:trPr>
        <w:tc>
          <w:tcPr>
            <w:tcW w:w="3288" w:type="dxa"/>
            <w:vAlign w:val="center"/>
          </w:tcPr>
          <w:p w14:paraId="0A4A0AA2">
            <w:pPr>
              <w:pStyle w:val="35"/>
              <w:spacing w:before="0"/>
              <w:ind w:left="295"/>
              <w:jc w:val="both"/>
              <w:rPr>
                <w:rFonts w:ascii="Arial" w:hAnsi="Arial" w:cs="Arial"/>
                <w:sz w:val="20"/>
                <w:szCs w:val="20"/>
              </w:rPr>
            </w:pPr>
            <w:r>
              <w:rPr>
                <w:rFonts w:ascii="Arial" w:hAnsi="Arial" w:cs="Arial"/>
                <w:sz w:val="20"/>
                <w:szCs w:val="20"/>
              </w:rPr>
              <w:t>Invasive</w:t>
            </w:r>
            <w:r>
              <w:rPr>
                <w:rFonts w:ascii="Arial" w:hAnsi="Arial" w:cs="Arial"/>
                <w:spacing w:val="-11"/>
                <w:sz w:val="20"/>
                <w:szCs w:val="20"/>
              </w:rPr>
              <w:t xml:space="preserve"> </w:t>
            </w:r>
            <w:r>
              <w:rPr>
                <w:rFonts w:ascii="Arial" w:hAnsi="Arial" w:cs="Arial"/>
                <w:sz w:val="20"/>
                <w:szCs w:val="20"/>
              </w:rPr>
              <w:t>mechanical</w:t>
            </w:r>
            <w:r>
              <w:rPr>
                <w:rFonts w:ascii="Arial" w:hAnsi="Arial" w:cs="Arial"/>
                <w:spacing w:val="-10"/>
                <w:sz w:val="20"/>
                <w:szCs w:val="20"/>
              </w:rPr>
              <w:t xml:space="preserve"> </w:t>
            </w:r>
            <w:r>
              <w:rPr>
                <w:rFonts w:ascii="Arial" w:hAnsi="Arial" w:cs="Arial"/>
                <w:spacing w:val="-2"/>
                <w:sz w:val="20"/>
                <w:szCs w:val="20"/>
              </w:rPr>
              <w:t>ventilation</w:t>
            </w:r>
          </w:p>
        </w:tc>
        <w:tc>
          <w:tcPr>
            <w:tcW w:w="1406" w:type="dxa"/>
            <w:vAlign w:val="center"/>
          </w:tcPr>
          <w:p w14:paraId="30B38C31">
            <w:pPr>
              <w:pStyle w:val="35"/>
              <w:spacing w:before="0"/>
              <w:jc w:val="both"/>
              <w:rPr>
                <w:rFonts w:ascii="Arial" w:hAnsi="Arial" w:cs="Arial"/>
                <w:spacing w:val="-8"/>
                <w:sz w:val="20"/>
                <w:szCs w:val="20"/>
              </w:rPr>
            </w:pPr>
            <w:r>
              <w:rPr>
                <w:rFonts w:hint="eastAsia" w:ascii="Arial" w:hAnsi="Arial" w:cs="Arial"/>
                <w:spacing w:val="-8"/>
                <w:sz w:val="20"/>
                <w:szCs w:val="20"/>
              </w:rPr>
              <w:t>8,204 (67.2%)</w:t>
            </w:r>
          </w:p>
        </w:tc>
        <w:tc>
          <w:tcPr>
            <w:tcW w:w="1587" w:type="dxa"/>
            <w:vAlign w:val="center"/>
          </w:tcPr>
          <w:p w14:paraId="2923D894">
            <w:pPr>
              <w:pStyle w:val="35"/>
              <w:spacing w:before="0"/>
              <w:ind w:left="19" w:right="16"/>
              <w:jc w:val="both"/>
              <w:rPr>
                <w:rFonts w:ascii="Arial" w:hAnsi="Arial" w:cs="Arial"/>
                <w:sz w:val="20"/>
                <w:szCs w:val="20"/>
              </w:rPr>
            </w:pPr>
            <w:r>
              <w:rPr>
                <w:rFonts w:ascii="Arial" w:hAnsi="Arial" w:cs="Arial"/>
                <w:sz w:val="20"/>
                <w:szCs w:val="20"/>
              </w:rPr>
              <w:t xml:space="preserve">6,066 </w:t>
            </w:r>
            <w:r>
              <w:rPr>
                <w:rFonts w:ascii="Arial" w:hAnsi="Arial" w:cs="Arial"/>
                <w:spacing w:val="-2"/>
                <w:sz w:val="20"/>
                <w:szCs w:val="20"/>
              </w:rPr>
              <w:t>(68.6%)</w:t>
            </w:r>
          </w:p>
        </w:tc>
        <w:tc>
          <w:tcPr>
            <w:tcW w:w="1417" w:type="dxa"/>
            <w:vAlign w:val="center"/>
          </w:tcPr>
          <w:p w14:paraId="2291265D">
            <w:pPr>
              <w:pStyle w:val="35"/>
              <w:spacing w:before="0"/>
              <w:ind w:left="8" w:right="1"/>
              <w:jc w:val="both"/>
              <w:rPr>
                <w:rFonts w:ascii="Arial" w:hAnsi="Arial" w:cs="Arial"/>
                <w:sz w:val="20"/>
                <w:szCs w:val="20"/>
              </w:rPr>
            </w:pPr>
            <w:r>
              <w:rPr>
                <w:rFonts w:ascii="Arial" w:hAnsi="Arial" w:cs="Arial"/>
                <w:sz w:val="20"/>
                <w:szCs w:val="20"/>
              </w:rPr>
              <w:t xml:space="preserve">1,379 </w:t>
            </w:r>
            <w:r>
              <w:rPr>
                <w:rFonts w:ascii="Arial" w:hAnsi="Arial" w:cs="Arial"/>
                <w:spacing w:val="-2"/>
                <w:sz w:val="20"/>
                <w:szCs w:val="20"/>
              </w:rPr>
              <w:t>(68.7%)</w:t>
            </w:r>
          </w:p>
        </w:tc>
        <w:tc>
          <w:tcPr>
            <w:tcW w:w="1417" w:type="dxa"/>
            <w:vAlign w:val="center"/>
          </w:tcPr>
          <w:p w14:paraId="540C881F">
            <w:pPr>
              <w:pStyle w:val="35"/>
              <w:spacing w:before="0"/>
              <w:ind w:left="7" w:right="1"/>
              <w:jc w:val="both"/>
              <w:rPr>
                <w:rFonts w:ascii="Arial" w:hAnsi="Arial" w:cs="Arial"/>
                <w:sz w:val="20"/>
                <w:szCs w:val="20"/>
              </w:rPr>
            </w:pPr>
            <w:r>
              <w:rPr>
                <w:rFonts w:ascii="Arial" w:hAnsi="Arial" w:cs="Arial"/>
                <w:sz w:val="20"/>
                <w:szCs w:val="20"/>
              </w:rPr>
              <w:t xml:space="preserve">759 </w:t>
            </w:r>
            <w:r>
              <w:rPr>
                <w:rFonts w:ascii="Arial" w:hAnsi="Arial" w:cs="Arial"/>
                <w:spacing w:val="-2"/>
                <w:sz w:val="20"/>
                <w:szCs w:val="20"/>
              </w:rPr>
              <w:t>(55.7%)</w:t>
            </w:r>
          </w:p>
        </w:tc>
        <w:tc>
          <w:tcPr>
            <w:tcW w:w="624" w:type="dxa"/>
            <w:vAlign w:val="center"/>
          </w:tcPr>
          <w:p w14:paraId="154EE973">
            <w:pPr>
              <w:pStyle w:val="35"/>
              <w:spacing w:before="0"/>
              <w:ind w:left="1"/>
              <w:jc w:val="both"/>
              <w:rPr>
                <w:rFonts w:ascii="Arial" w:hAnsi="Arial" w:cs="Arial"/>
                <w:sz w:val="20"/>
                <w:szCs w:val="20"/>
              </w:rPr>
            </w:pPr>
            <w:r>
              <w:rPr>
                <w:rFonts w:ascii="Arial" w:hAnsi="Arial" w:cs="Arial"/>
                <w:i/>
                <w:spacing w:val="-2"/>
                <w:sz w:val="20"/>
                <w:szCs w:val="20"/>
              </w:rPr>
              <w:t>&lt;</w:t>
            </w:r>
            <w:r>
              <w:rPr>
                <w:rFonts w:ascii="Arial" w:hAnsi="Arial" w:cs="Arial"/>
                <w:spacing w:val="-2"/>
                <w:sz w:val="20"/>
                <w:szCs w:val="20"/>
              </w:rPr>
              <w:t>.001</w:t>
            </w:r>
          </w:p>
        </w:tc>
      </w:tr>
      <w:tr w14:paraId="3871F0E2">
        <w:trPr>
          <w:trHeight w:val="287" w:hRule="atLeast"/>
        </w:trPr>
        <w:tc>
          <w:tcPr>
            <w:tcW w:w="3288" w:type="dxa"/>
            <w:vAlign w:val="center"/>
          </w:tcPr>
          <w:p w14:paraId="4866CB5C">
            <w:pPr>
              <w:pStyle w:val="35"/>
              <w:spacing w:before="0"/>
              <w:ind w:left="295"/>
              <w:jc w:val="both"/>
              <w:rPr>
                <w:rFonts w:ascii="Arial" w:hAnsi="Arial" w:cs="Arial"/>
                <w:sz w:val="20"/>
                <w:szCs w:val="20"/>
              </w:rPr>
            </w:pPr>
            <w:r>
              <w:rPr>
                <w:rFonts w:ascii="Arial" w:hAnsi="Arial" w:cs="Arial"/>
                <w:sz w:val="20"/>
                <w:szCs w:val="20"/>
              </w:rPr>
              <w:t>HFNC</w:t>
            </w:r>
            <w:r>
              <w:rPr>
                <w:rFonts w:ascii="Arial" w:hAnsi="Arial" w:cs="Arial"/>
                <w:spacing w:val="-7"/>
                <w:sz w:val="20"/>
                <w:szCs w:val="20"/>
              </w:rPr>
              <w:t xml:space="preserve"> </w:t>
            </w:r>
            <w:r>
              <w:rPr>
                <w:rFonts w:ascii="Arial" w:hAnsi="Arial" w:cs="Arial"/>
                <w:sz w:val="20"/>
                <w:szCs w:val="20"/>
              </w:rPr>
              <w:t>or</w:t>
            </w:r>
            <w:r>
              <w:rPr>
                <w:rFonts w:ascii="Arial" w:hAnsi="Arial" w:cs="Arial"/>
                <w:spacing w:val="-7"/>
                <w:sz w:val="20"/>
                <w:szCs w:val="20"/>
              </w:rPr>
              <w:t xml:space="preserve"> </w:t>
            </w:r>
            <w:r>
              <w:rPr>
                <w:rFonts w:ascii="Arial" w:hAnsi="Arial" w:cs="Arial"/>
                <w:sz w:val="20"/>
                <w:szCs w:val="20"/>
              </w:rPr>
              <w:t>noninvasive</w:t>
            </w:r>
            <w:r>
              <w:rPr>
                <w:rFonts w:ascii="Arial" w:hAnsi="Arial" w:cs="Arial"/>
                <w:spacing w:val="-7"/>
                <w:sz w:val="20"/>
                <w:szCs w:val="20"/>
              </w:rPr>
              <w:t xml:space="preserve"> </w:t>
            </w:r>
            <w:r>
              <w:rPr>
                <w:rFonts w:ascii="Arial" w:hAnsi="Arial" w:cs="Arial"/>
                <w:spacing w:val="-2"/>
                <w:sz w:val="20"/>
                <w:szCs w:val="20"/>
              </w:rPr>
              <w:t>ventilation</w:t>
            </w:r>
          </w:p>
        </w:tc>
        <w:tc>
          <w:tcPr>
            <w:tcW w:w="1406" w:type="dxa"/>
            <w:vAlign w:val="center"/>
          </w:tcPr>
          <w:p w14:paraId="53EDADE6">
            <w:pPr>
              <w:pStyle w:val="35"/>
              <w:spacing w:before="0"/>
              <w:jc w:val="both"/>
              <w:rPr>
                <w:rFonts w:ascii="Arial" w:hAnsi="Arial" w:cs="Arial"/>
                <w:spacing w:val="-8"/>
                <w:sz w:val="20"/>
                <w:szCs w:val="20"/>
              </w:rPr>
            </w:pPr>
            <w:r>
              <w:rPr>
                <w:rFonts w:hint="eastAsia" w:ascii="Arial" w:hAnsi="Arial" w:cs="Arial"/>
                <w:spacing w:val="-8"/>
                <w:sz w:val="20"/>
                <w:szCs w:val="20"/>
              </w:rPr>
              <w:t>6,620 (54.2%)</w:t>
            </w:r>
          </w:p>
        </w:tc>
        <w:tc>
          <w:tcPr>
            <w:tcW w:w="1587" w:type="dxa"/>
            <w:vAlign w:val="center"/>
          </w:tcPr>
          <w:p w14:paraId="1D7FE099">
            <w:pPr>
              <w:pStyle w:val="35"/>
              <w:spacing w:before="0"/>
              <w:ind w:left="19" w:right="16"/>
              <w:jc w:val="both"/>
              <w:rPr>
                <w:rFonts w:ascii="Arial" w:hAnsi="Arial" w:cs="Arial"/>
                <w:sz w:val="20"/>
                <w:szCs w:val="20"/>
              </w:rPr>
            </w:pPr>
            <w:r>
              <w:rPr>
                <w:rFonts w:ascii="Arial" w:hAnsi="Arial" w:cs="Arial"/>
                <w:sz w:val="20"/>
                <w:szCs w:val="20"/>
              </w:rPr>
              <w:t xml:space="preserve">5,189 </w:t>
            </w:r>
            <w:r>
              <w:rPr>
                <w:rFonts w:ascii="Arial" w:hAnsi="Arial" w:cs="Arial"/>
                <w:spacing w:val="-2"/>
                <w:sz w:val="20"/>
                <w:szCs w:val="20"/>
              </w:rPr>
              <w:t>(58.7%)</w:t>
            </w:r>
          </w:p>
        </w:tc>
        <w:tc>
          <w:tcPr>
            <w:tcW w:w="1417" w:type="dxa"/>
            <w:vAlign w:val="center"/>
          </w:tcPr>
          <w:p w14:paraId="5DAC5230">
            <w:pPr>
              <w:pStyle w:val="35"/>
              <w:spacing w:before="0"/>
              <w:ind w:left="8" w:right="1"/>
              <w:jc w:val="both"/>
              <w:rPr>
                <w:rFonts w:ascii="Arial" w:hAnsi="Arial" w:cs="Arial"/>
                <w:sz w:val="20"/>
                <w:szCs w:val="20"/>
              </w:rPr>
            </w:pPr>
            <w:r>
              <w:rPr>
                <w:rFonts w:ascii="Arial" w:hAnsi="Arial" w:cs="Arial"/>
                <w:sz w:val="20"/>
                <w:szCs w:val="20"/>
              </w:rPr>
              <w:t xml:space="preserve">991 </w:t>
            </w:r>
            <w:r>
              <w:rPr>
                <w:rFonts w:ascii="Arial" w:hAnsi="Arial" w:cs="Arial"/>
                <w:spacing w:val="-2"/>
                <w:sz w:val="20"/>
                <w:szCs w:val="20"/>
              </w:rPr>
              <w:t>(49.4%)</w:t>
            </w:r>
          </w:p>
        </w:tc>
        <w:tc>
          <w:tcPr>
            <w:tcW w:w="1417" w:type="dxa"/>
            <w:vAlign w:val="center"/>
          </w:tcPr>
          <w:p w14:paraId="2A1F3EBE">
            <w:pPr>
              <w:pStyle w:val="35"/>
              <w:spacing w:before="0"/>
              <w:ind w:left="7" w:right="1"/>
              <w:jc w:val="both"/>
              <w:rPr>
                <w:rFonts w:ascii="Arial" w:hAnsi="Arial" w:cs="Arial"/>
                <w:sz w:val="20"/>
                <w:szCs w:val="20"/>
              </w:rPr>
            </w:pPr>
            <w:r>
              <w:rPr>
                <w:rFonts w:ascii="Arial" w:hAnsi="Arial" w:cs="Arial"/>
                <w:sz w:val="20"/>
                <w:szCs w:val="20"/>
              </w:rPr>
              <w:t xml:space="preserve">440 </w:t>
            </w:r>
            <w:r>
              <w:rPr>
                <w:rFonts w:ascii="Arial" w:hAnsi="Arial" w:cs="Arial"/>
                <w:spacing w:val="-2"/>
                <w:sz w:val="20"/>
                <w:szCs w:val="20"/>
              </w:rPr>
              <w:t>(32.3%)</w:t>
            </w:r>
          </w:p>
        </w:tc>
        <w:tc>
          <w:tcPr>
            <w:tcW w:w="624" w:type="dxa"/>
            <w:vAlign w:val="center"/>
          </w:tcPr>
          <w:p w14:paraId="5AA4460C">
            <w:pPr>
              <w:pStyle w:val="35"/>
              <w:spacing w:before="0"/>
              <w:ind w:left="1"/>
              <w:jc w:val="both"/>
              <w:rPr>
                <w:rFonts w:ascii="Arial" w:hAnsi="Arial" w:cs="Arial"/>
                <w:sz w:val="20"/>
                <w:szCs w:val="20"/>
              </w:rPr>
            </w:pPr>
            <w:r>
              <w:rPr>
                <w:rFonts w:ascii="Arial" w:hAnsi="Arial" w:cs="Arial"/>
                <w:i/>
                <w:spacing w:val="-2"/>
                <w:sz w:val="20"/>
                <w:szCs w:val="20"/>
              </w:rPr>
              <w:t>&lt;</w:t>
            </w:r>
            <w:r>
              <w:rPr>
                <w:rFonts w:ascii="Arial" w:hAnsi="Arial" w:cs="Arial"/>
                <w:spacing w:val="-2"/>
                <w:sz w:val="20"/>
                <w:szCs w:val="20"/>
              </w:rPr>
              <w:t>.001</w:t>
            </w:r>
          </w:p>
        </w:tc>
      </w:tr>
      <w:tr w14:paraId="1A97DC1B">
        <w:trPr>
          <w:trHeight w:val="287" w:hRule="atLeast"/>
        </w:trPr>
        <w:tc>
          <w:tcPr>
            <w:tcW w:w="3288" w:type="dxa"/>
            <w:vAlign w:val="center"/>
          </w:tcPr>
          <w:p w14:paraId="0CE0CB4B">
            <w:pPr>
              <w:pStyle w:val="35"/>
              <w:spacing w:before="0"/>
              <w:ind w:left="295"/>
              <w:jc w:val="both"/>
              <w:rPr>
                <w:rFonts w:ascii="Arial" w:hAnsi="Arial" w:cs="Arial"/>
                <w:sz w:val="20"/>
                <w:szCs w:val="20"/>
              </w:rPr>
            </w:pPr>
            <w:r>
              <w:rPr>
                <w:rFonts w:ascii="Arial" w:hAnsi="Arial" w:cs="Arial"/>
                <w:spacing w:val="-2"/>
                <w:sz w:val="20"/>
                <w:szCs w:val="20"/>
              </w:rPr>
              <w:t>Vasopressors</w:t>
            </w:r>
          </w:p>
        </w:tc>
        <w:tc>
          <w:tcPr>
            <w:tcW w:w="1406" w:type="dxa"/>
            <w:vAlign w:val="center"/>
          </w:tcPr>
          <w:p w14:paraId="41CCD857">
            <w:pPr>
              <w:pStyle w:val="35"/>
              <w:spacing w:before="0"/>
              <w:jc w:val="both"/>
              <w:rPr>
                <w:rFonts w:ascii="Arial" w:hAnsi="Arial" w:cs="Arial"/>
                <w:spacing w:val="-8"/>
                <w:sz w:val="20"/>
                <w:szCs w:val="20"/>
              </w:rPr>
            </w:pPr>
            <w:r>
              <w:rPr>
                <w:rFonts w:hint="eastAsia" w:ascii="Arial" w:hAnsi="Arial" w:cs="Arial"/>
                <w:spacing w:val="-8"/>
                <w:sz w:val="20"/>
                <w:szCs w:val="20"/>
              </w:rPr>
              <w:t>4,263 (34.9%)</w:t>
            </w:r>
          </w:p>
        </w:tc>
        <w:tc>
          <w:tcPr>
            <w:tcW w:w="1587" w:type="dxa"/>
            <w:vAlign w:val="center"/>
          </w:tcPr>
          <w:p w14:paraId="3C43AFE4">
            <w:pPr>
              <w:pStyle w:val="35"/>
              <w:spacing w:before="0"/>
              <w:ind w:left="19" w:right="16"/>
              <w:jc w:val="both"/>
              <w:rPr>
                <w:rFonts w:ascii="Arial" w:hAnsi="Arial" w:cs="Arial"/>
                <w:sz w:val="20"/>
                <w:szCs w:val="20"/>
              </w:rPr>
            </w:pPr>
            <w:r>
              <w:rPr>
                <w:rFonts w:ascii="Arial" w:hAnsi="Arial" w:cs="Arial"/>
                <w:sz w:val="20"/>
                <w:szCs w:val="20"/>
              </w:rPr>
              <w:t xml:space="preserve">3,619 </w:t>
            </w:r>
            <w:r>
              <w:rPr>
                <w:rFonts w:ascii="Arial" w:hAnsi="Arial" w:cs="Arial"/>
                <w:spacing w:val="-2"/>
                <w:sz w:val="20"/>
                <w:szCs w:val="20"/>
              </w:rPr>
              <w:t>(40.9%)</w:t>
            </w:r>
          </w:p>
        </w:tc>
        <w:tc>
          <w:tcPr>
            <w:tcW w:w="1417" w:type="dxa"/>
            <w:vAlign w:val="center"/>
          </w:tcPr>
          <w:p w14:paraId="0426D83B">
            <w:pPr>
              <w:pStyle w:val="35"/>
              <w:spacing w:before="0"/>
              <w:ind w:left="8" w:right="1"/>
              <w:jc w:val="both"/>
              <w:rPr>
                <w:rFonts w:ascii="Arial" w:hAnsi="Arial" w:cs="Arial"/>
                <w:sz w:val="20"/>
                <w:szCs w:val="20"/>
              </w:rPr>
            </w:pPr>
            <w:r>
              <w:rPr>
                <w:rFonts w:ascii="Arial" w:hAnsi="Arial" w:cs="Arial"/>
                <w:sz w:val="20"/>
                <w:szCs w:val="20"/>
              </w:rPr>
              <w:t xml:space="preserve">298 </w:t>
            </w:r>
            <w:r>
              <w:rPr>
                <w:rFonts w:ascii="Arial" w:hAnsi="Arial" w:cs="Arial"/>
                <w:spacing w:val="-2"/>
                <w:sz w:val="20"/>
                <w:szCs w:val="20"/>
              </w:rPr>
              <w:t>(14.9%)</w:t>
            </w:r>
          </w:p>
        </w:tc>
        <w:tc>
          <w:tcPr>
            <w:tcW w:w="1417" w:type="dxa"/>
            <w:vAlign w:val="center"/>
          </w:tcPr>
          <w:p w14:paraId="036979E2">
            <w:pPr>
              <w:pStyle w:val="35"/>
              <w:spacing w:before="0"/>
              <w:ind w:left="7" w:right="1"/>
              <w:jc w:val="both"/>
              <w:rPr>
                <w:rFonts w:ascii="Arial" w:hAnsi="Arial" w:cs="Arial"/>
                <w:sz w:val="20"/>
                <w:szCs w:val="20"/>
              </w:rPr>
            </w:pPr>
            <w:r>
              <w:rPr>
                <w:rFonts w:ascii="Arial" w:hAnsi="Arial" w:cs="Arial"/>
                <w:sz w:val="20"/>
                <w:szCs w:val="20"/>
              </w:rPr>
              <w:t xml:space="preserve">346 </w:t>
            </w:r>
            <w:r>
              <w:rPr>
                <w:rFonts w:ascii="Arial" w:hAnsi="Arial" w:cs="Arial"/>
                <w:spacing w:val="-2"/>
                <w:sz w:val="20"/>
                <w:szCs w:val="20"/>
              </w:rPr>
              <w:t>(25.4%)</w:t>
            </w:r>
          </w:p>
        </w:tc>
        <w:tc>
          <w:tcPr>
            <w:tcW w:w="624" w:type="dxa"/>
            <w:vAlign w:val="center"/>
          </w:tcPr>
          <w:p w14:paraId="56CBF0E9">
            <w:pPr>
              <w:pStyle w:val="35"/>
              <w:spacing w:before="0"/>
              <w:ind w:left="1"/>
              <w:jc w:val="both"/>
              <w:rPr>
                <w:rFonts w:ascii="Arial" w:hAnsi="Arial" w:cs="Arial"/>
                <w:sz w:val="20"/>
                <w:szCs w:val="20"/>
              </w:rPr>
            </w:pPr>
            <w:r>
              <w:rPr>
                <w:rFonts w:ascii="Arial" w:hAnsi="Arial" w:cs="Arial"/>
                <w:i/>
                <w:spacing w:val="-2"/>
                <w:sz w:val="20"/>
                <w:szCs w:val="20"/>
              </w:rPr>
              <w:t>&lt;</w:t>
            </w:r>
            <w:r>
              <w:rPr>
                <w:rFonts w:ascii="Arial" w:hAnsi="Arial" w:cs="Arial"/>
                <w:spacing w:val="-2"/>
                <w:sz w:val="20"/>
                <w:szCs w:val="20"/>
              </w:rPr>
              <w:t>.001</w:t>
            </w:r>
          </w:p>
        </w:tc>
      </w:tr>
      <w:tr w14:paraId="6AF4D082">
        <w:trPr>
          <w:trHeight w:val="276" w:hRule="atLeast"/>
        </w:trPr>
        <w:tc>
          <w:tcPr>
            <w:tcW w:w="3288" w:type="dxa"/>
            <w:vAlign w:val="center"/>
          </w:tcPr>
          <w:p w14:paraId="44EF1802">
            <w:pPr>
              <w:pStyle w:val="35"/>
              <w:spacing w:before="0"/>
              <w:ind w:left="295"/>
              <w:jc w:val="both"/>
              <w:rPr>
                <w:rFonts w:ascii="Arial" w:hAnsi="Arial" w:cs="Arial"/>
                <w:sz w:val="20"/>
                <w:szCs w:val="20"/>
              </w:rPr>
            </w:pPr>
            <w:r>
              <w:rPr>
                <w:rFonts w:ascii="Arial" w:hAnsi="Arial" w:cs="Arial"/>
                <w:sz w:val="20"/>
                <w:szCs w:val="20"/>
              </w:rPr>
              <w:t xml:space="preserve">Renal replacement </w:t>
            </w:r>
            <w:r>
              <w:rPr>
                <w:rFonts w:ascii="Arial" w:hAnsi="Arial" w:cs="Arial"/>
                <w:spacing w:val="-2"/>
                <w:sz w:val="20"/>
                <w:szCs w:val="20"/>
              </w:rPr>
              <w:t>therapy</w:t>
            </w:r>
          </w:p>
        </w:tc>
        <w:tc>
          <w:tcPr>
            <w:tcW w:w="1406" w:type="dxa"/>
            <w:vAlign w:val="center"/>
          </w:tcPr>
          <w:p w14:paraId="71CB0B93">
            <w:pPr>
              <w:pStyle w:val="35"/>
              <w:spacing w:before="0"/>
              <w:jc w:val="both"/>
              <w:rPr>
                <w:rFonts w:ascii="Arial" w:hAnsi="Arial" w:cs="Arial"/>
                <w:spacing w:val="-8"/>
                <w:sz w:val="20"/>
                <w:szCs w:val="20"/>
              </w:rPr>
            </w:pPr>
            <w:r>
              <w:rPr>
                <w:rFonts w:hint="eastAsia" w:ascii="Arial" w:hAnsi="Arial" w:cs="Arial"/>
                <w:spacing w:val="-8"/>
                <w:sz w:val="20"/>
                <w:szCs w:val="20"/>
              </w:rPr>
              <w:t>999 (8.2%)</w:t>
            </w:r>
          </w:p>
        </w:tc>
        <w:tc>
          <w:tcPr>
            <w:tcW w:w="1587" w:type="dxa"/>
            <w:vAlign w:val="center"/>
          </w:tcPr>
          <w:p w14:paraId="3A1CD928">
            <w:pPr>
              <w:pStyle w:val="35"/>
              <w:spacing w:before="0"/>
              <w:ind w:left="19" w:right="16"/>
              <w:jc w:val="both"/>
              <w:rPr>
                <w:rFonts w:ascii="Arial" w:hAnsi="Arial" w:cs="Arial"/>
                <w:sz w:val="20"/>
                <w:szCs w:val="20"/>
              </w:rPr>
            </w:pPr>
            <w:r>
              <w:rPr>
                <w:rFonts w:ascii="Arial" w:hAnsi="Arial" w:cs="Arial"/>
                <w:sz w:val="20"/>
                <w:szCs w:val="20"/>
              </w:rPr>
              <w:t xml:space="preserve">833 </w:t>
            </w:r>
            <w:r>
              <w:rPr>
                <w:rFonts w:ascii="Arial" w:hAnsi="Arial" w:cs="Arial"/>
                <w:spacing w:val="-2"/>
                <w:sz w:val="20"/>
                <w:szCs w:val="20"/>
              </w:rPr>
              <w:t>(9.4%)</w:t>
            </w:r>
          </w:p>
        </w:tc>
        <w:tc>
          <w:tcPr>
            <w:tcW w:w="1417" w:type="dxa"/>
            <w:vAlign w:val="center"/>
          </w:tcPr>
          <w:p w14:paraId="56966339">
            <w:pPr>
              <w:pStyle w:val="35"/>
              <w:spacing w:before="0"/>
              <w:ind w:left="8" w:right="1"/>
              <w:jc w:val="both"/>
              <w:rPr>
                <w:rFonts w:ascii="Arial" w:hAnsi="Arial" w:cs="Arial"/>
                <w:sz w:val="20"/>
                <w:szCs w:val="20"/>
              </w:rPr>
            </w:pPr>
            <w:r>
              <w:rPr>
                <w:rFonts w:ascii="Arial" w:hAnsi="Arial" w:cs="Arial"/>
                <w:sz w:val="20"/>
                <w:szCs w:val="20"/>
              </w:rPr>
              <w:t xml:space="preserve">121 </w:t>
            </w:r>
            <w:r>
              <w:rPr>
                <w:rFonts w:ascii="Arial" w:hAnsi="Arial" w:cs="Arial"/>
                <w:spacing w:val="-2"/>
                <w:sz w:val="20"/>
                <w:szCs w:val="20"/>
              </w:rPr>
              <w:t>(6.0%)</w:t>
            </w:r>
          </w:p>
        </w:tc>
        <w:tc>
          <w:tcPr>
            <w:tcW w:w="1417" w:type="dxa"/>
            <w:vAlign w:val="center"/>
          </w:tcPr>
          <w:p w14:paraId="22630E48">
            <w:pPr>
              <w:pStyle w:val="35"/>
              <w:spacing w:before="0"/>
              <w:ind w:left="7" w:right="1"/>
              <w:jc w:val="both"/>
              <w:rPr>
                <w:rFonts w:ascii="Arial" w:hAnsi="Arial" w:cs="Arial"/>
                <w:sz w:val="20"/>
                <w:szCs w:val="20"/>
              </w:rPr>
            </w:pPr>
            <w:r>
              <w:rPr>
                <w:rFonts w:ascii="Arial" w:hAnsi="Arial" w:cs="Arial"/>
                <w:sz w:val="20"/>
                <w:szCs w:val="20"/>
              </w:rPr>
              <w:t xml:space="preserve">45 </w:t>
            </w:r>
            <w:r>
              <w:rPr>
                <w:rFonts w:ascii="Arial" w:hAnsi="Arial" w:cs="Arial"/>
                <w:spacing w:val="-2"/>
                <w:sz w:val="20"/>
                <w:szCs w:val="20"/>
              </w:rPr>
              <w:t>(3.3%)</w:t>
            </w:r>
          </w:p>
        </w:tc>
        <w:tc>
          <w:tcPr>
            <w:tcW w:w="624" w:type="dxa"/>
            <w:vAlign w:val="center"/>
          </w:tcPr>
          <w:p w14:paraId="1F5EDF69">
            <w:pPr>
              <w:pStyle w:val="35"/>
              <w:spacing w:before="0"/>
              <w:ind w:left="1"/>
              <w:jc w:val="both"/>
              <w:rPr>
                <w:rFonts w:ascii="Arial" w:hAnsi="Arial" w:cs="Arial"/>
                <w:sz w:val="20"/>
                <w:szCs w:val="20"/>
              </w:rPr>
            </w:pPr>
            <w:r>
              <w:rPr>
                <w:rFonts w:ascii="Arial" w:hAnsi="Arial" w:cs="Arial"/>
                <w:i/>
                <w:spacing w:val="-2"/>
                <w:sz w:val="20"/>
                <w:szCs w:val="20"/>
              </w:rPr>
              <w:t>&lt;</w:t>
            </w:r>
            <w:r>
              <w:rPr>
                <w:rFonts w:ascii="Arial" w:hAnsi="Arial" w:cs="Arial"/>
                <w:spacing w:val="-2"/>
                <w:sz w:val="20"/>
                <w:szCs w:val="20"/>
              </w:rPr>
              <w:t>.001</w:t>
            </w:r>
          </w:p>
        </w:tc>
      </w:tr>
      <w:tr w14:paraId="556FFE94">
        <w:trPr>
          <w:trHeight w:val="334" w:hRule="atLeast"/>
        </w:trPr>
        <w:tc>
          <w:tcPr>
            <w:tcW w:w="3288" w:type="dxa"/>
            <w:tcBorders>
              <w:bottom w:val="single" w:color="auto" w:sz="12" w:space="0"/>
            </w:tcBorders>
            <w:vAlign w:val="center"/>
          </w:tcPr>
          <w:p w14:paraId="6E02C5B7">
            <w:pPr>
              <w:pStyle w:val="35"/>
              <w:spacing w:before="0"/>
              <w:ind w:left="295"/>
              <w:jc w:val="both"/>
              <w:rPr>
                <w:rFonts w:ascii="Arial" w:hAnsi="Arial" w:cs="Arial"/>
                <w:sz w:val="20"/>
                <w:szCs w:val="20"/>
              </w:rPr>
            </w:pPr>
            <w:r>
              <w:rPr>
                <w:rFonts w:ascii="Arial" w:hAnsi="Arial" w:cs="Arial"/>
                <w:sz w:val="20"/>
                <w:szCs w:val="20"/>
              </w:rPr>
              <w:t xml:space="preserve">Mechanical circulatory </w:t>
            </w:r>
            <w:r>
              <w:rPr>
                <w:rFonts w:ascii="Arial" w:hAnsi="Arial" w:cs="Arial"/>
                <w:spacing w:val="-2"/>
                <w:sz w:val="20"/>
                <w:szCs w:val="20"/>
              </w:rPr>
              <w:t>support</w:t>
            </w:r>
            <w:r>
              <w:rPr>
                <w:rFonts w:ascii="Arial" w:hAnsi="Arial" w:cs="Arial"/>
                <w:spacing w:val="-2"/>
                <w:sz w:val="20"/>
                <w:szCs w:val="20"/>
                <w:vertAlign w:val="superscript"/>
              </w:rPr>
              <w:t>c</w:t>
            </w:r>
          </w:p>
        </w:tc>
        <w:tc>
          <w:tcPr>
            <w:tcW w:w="1406" w:type="dxa"/>
            <w:tcBorders>
              <w:bottom w:val="single" w:color="auto" w:sz="12" w:space="0"/>
            </w:tcBorders>
            <w:vAlign w:val="center"/>
          </w:tcPr>
          <w:p w14:paraId="34F9CEAB">
            <w:pPr>
              <w:pStyle w:val="35"/>
              <w:spacing w:before="0"/>
              <w:jc w:val="both"/>
              <w:rPr>
                <w:rFonts w:ascii="Arial" w:hAnsi="Arial" w:cs="Arial"/>
                <w:spacing w:val="-8"/>
                <w:sz w:val="20"/>
                <w:szCs w:val="20"/>
              </w:rPr>
            </w:pPr>
            <w:r>
              <w:rPr>
                <w:rFonts w:hint="eastAsia" w:ascii="Arial" w:hAnsi="Arial" w:cs="Arial"/>
                <w:spacing w:val="-8"/>
                <w:sz w:val="20"/>
                <w:szCs w:val="20"/>
              </w:rPr>
              <w:t>50 (0.4%)</w:t>
            </w:r>
          </w:p>
        </w:tc>
        <w:tc>
          <w:tcPr>
            <w:tcW w:w="1587" w:type="dxa"/>
            <w:tcBorders>
              <w:bottom w:val="single" w:color="auto" w:sz="12" w:space="0"/>
            </w:tcBorders>
            <w:vAlign w:val="center"/>
          </w:tcPr>
          <w:p w14:paraId="54C6B752">
            <w:pPr>
              <w:pStyle w:val="35"/>
              <w:spacing w:before="0"/>
              <w:ind w:left="19" w:right="16"/>
              <w:jc w:val="both"/>
              <w:rPr>
                <w:rFonts w:ascii="Arial" w:hAnsi="Arial" w:cs="Arial"/>
                <w:sz w:val="20"/>
                <w:szCs w:val="20"/>
              </w:rPr>
            </w:pPr>
            <w:r>
              <w:rPr>
                <w:rFonts w:ascii="Arial" w:hAnsi="Arial" w:cs="Arial"/>
                <w:sz w:val="20"/>
                <w:szCs w:val="20"/>
              </w:rPr>
              <w:t xml:space="preserve">39 </w:t>
            </w:r>
            <w:r>
              <w:rPr>
                <w:rFonts w:ascii="Arial" w:hAnsi="Arial" w:cs="Arial"/>
                <w:spacing w:val="-2"/>
                <w:sz w:val="20"/>
                <w:szCs w:val="20"/>
              </w:rPr>
              <w:t>(0.4%)</w:t>
            </w:r>
          </w:p>
        </w:tc>
        <w:tc>
          <w:tcPr>
            <w:tcW w:w="1417" w:type="dxa"/>
            <w:tcBorders>
              <w:bottom w:val="single" w:color="auto" w:sz="12" w:space="0"/>
            </w:tcBorders>
            <w:vAlign w:val="center"/>
          </w:tcPr>
          <w:p w14:paraId="563761CC">
            <w:pPr>
              <w:pStyle w:val="35"/>
              <w:spacing w:before="0"/>
              <w:ind w:left="8" w:right="1"/>
              <w:jc w:val="both"/>
              <w:rPr>
                <w:rFonts w:ascii="Arial" w:hAnsi="Arial" w:cs="Arial"/>
                <w:sz w:val="20"/>
                <w:szCs w:val="20"/>
              </w:rPr>
            </w:pPr>
            <w:r>
              <w:rPr>
                <w:rFonts w:ascii="Arial" w:hAnsi="Arial" w:cs="Arial"/>
                <w:sz w:val="20"/>
                <w:szCs w:val="20"/>
              </w:rPr>
              <w:t xml:space="preserve">8 </w:t>
            </w:r>
            <w:r>
              <w:rPr>
                <w:rFonts w:ascii="Arial" w:hAnsi="Arial" w:cs="Arial"/>
                <w:spacing w:val="-2"/>
                <w:sz w:val="20"/>
                <w:szCs w:val="20"/>
              </w:rPr>
              <w:t>(0.4%)</w:t>
            </w:r>
          </w:p>
        </w:tc>
        <w:tc>
          <w:tcPr>
            <w:tcW w:w="1417" w:type="dxa"/>
            <w:tcBorders>
              <w:bottom w:val="single" w:color="auto" w:sz="12" w:space="0"/>
            </w:tcBorders>
            <w:vAlign w:val="center"/>
          </w:tcPr>
          <w:p w14:paraId="54406CBD">
            <w:pPr>
              <w:pStyle w:val="35"/>
              <w:spacing w:before="0"/>
              <w:ind w:left="7" w:right="1"/>
              <w:jc w:val="both"/>
              <w:rPr>
                <w:rFonts w:ascii="Arial" w:hAnsi="Arial" w:cs="Arial"/>
                <w:sz w:val="20"/>
                <w:szCs w:val="20"/>
              </w:rPr>
            </w:pPr>
            <w:r>
              <w:rPr>
                <w:rFonts w:ascii="Arial" w:hAnsi="Arial" w:cs="Arial"/>
                <w:sz w:val="20"/>
                <w:szCs w:val="20"/>
              </w:rPr>
              <w:t xml:space="preserve">3 </w:t>
            </w:r>
            <w:r>
              <w:rPr>
                <w:rFonts w:ascii="Arial" w:hAnsi="Arial" w:cs="Arial"/>
                <w:spacing w:val="-2"/>
                <w:sz w:val="20"/>
                <w:szCs w:val="20"/>
              </w:rPr>
              <w:t>(0.2%)</w:t>
            </w:r>
          </w:p>
        </w:tc>
        <w:tc>
          <w:tcPr>
            <w:tcW w:w="624" w:type="dxa"/>
            <w:tcBorders>
              <w:bottom w:val="single" w:color="auto" w:sz="12" w:space="0"/>
            </w:tcBorders>
            <w:vAlign w:val="center"/>
          </w:tcPr>
          <w:p w14:paraId="1F31359E">
            <w:pPr>
              <w:pStyle w:val="35"/>
              <w:spacing w:before="0"/>
              <w:ind w:left="1"/>
              <w:jc w:val="both"/>
              <w:rPr>
                <w:rFonts w:ascii="Arial" w:hAnsi="Arial" w:cs="Arial"/>
                <w:sz w:val="20"/>
                <w:szCs w:val="20"/>
              </w:rPr>
            </w:pPr>
            <w:r>
              <w:rPr>
                <w:rFonts w:ascii="Arial" w:hAnsi="Arial" w:cs="Arial"/>
                <w:spacing w:val="-4"/>
                <w:sz w:val="20"/>
                <w:szCs w:val="20"/>
              </w:rPr>
              <w:t>.49</w:t>
            </w:r>
          </w:p>
        </w:tc>
      </w:tr>
      <w:tr w14:paraId="5E78D72C">
        <w:trPr>
          <w:trHeight w:val="305" w:hRule="atLeast"/>
        </w:trPr>
        <w:tc>
          <w:tcPr>
            <w:tcW w:w="3288" w:type="dxa"/>
            <w:tcBorders>
              <w:top w:val="single" w:color="auto" w:sz="12" w:space="0"/>
            </w:tcBorders>
            <w:vAlign w:val="center"/>
          </w:tcPr>
          <w:p w14:paraId="7E3888D3">
            <w:pPr>
              <w:pStyle w:val="35"/>
              <w:spacing w:before="0"/>
              <w:ind w:left="104"/>
              <w:jc w:val="both"/>
              <w:rPr>
                <w:rFonts w:ascii="Arial" w:hAnsi="Arial" w:cs="Arial"/>
                <w:b/>
                <w:bCs/>
                <w:i/>
                <w:sz w:val="20"/>
                <w:szCs w:val="20"/>
              </w:rPr>
            </w:pPr>
            <w:r>
              <w:rPr>
                <w:rFonts w:ascii="Arial" w:hAnsi="Arial" w:cs="Arial"/>
                <w:b/>
                <w:bCs/>
                <w:i/>
                <w:sz w:val="20"/>
                <w:szCs w:val="20"/>
              </w:rPr>
              <w:t>AmsterdamUMCdb</w:t>
            </w:r>
            <w:r>
              <w:rPr>
                <w:rFonts w:ascii="Arial" w:hAnsi="Arial" w:cs="Arial"/>
                <w:b/>
                <w:bCs/>
                <w:i/>
                <w:spacing w:val="-3"/>
                <w:sz w:val="20"/>
                <w:szCs w:val="20"/>
              </w:rPr>
              <w:t xml:space="preserve"> </w:t>
            </w:r>
            <w:r>
              <w:rPr>
                <w:rFonts w:ascii="Arial" w:hAnsi="Arial" w:cs="Arial"/>
                <w:b/>
                <w:bCs/>
                <w:i/>
                <w:sz w:val="20"/>
                <w:szCs w:val="20"/>
              </w:rPr>
              <w:t>(N</w:t>
            </w:r>
            <w:r>
              <w:rPr>
                <w:rFonts w:ascii="Arial" w:hAnsi="Arial" w:cs="Arial"/>
                <w:b/>
                <w:bCs/>
                <w:i/>
                <w:spacing w:val="-3"/>
                <w:sz w:val="20"/>
                <w:szCs w:val="20"/>
              </w:rPr>
              <w:t xml:space="preserve"> </w:t>
            </w:r>
            <w:r>
              <w:rPr>
                <w:rFonts w:ascii="Arial" w:hAnsi="Arial" w:cs="Arial"/>
                <w:b/>
                <w:bCs/>
                <w:i/>
                <w:sz w:val="20"/>
                <w:szCs w:val="20"/>
              </w:rPr>
              <w:t>=</w:t>
            </w:r>
            <w:r>
              <w:rPr>
                <w:rFonts w:ascii="Arial" w:hAnsi="Arial" w:cs="Arial"/>
                <w:b/>
                <w:bCs/>
                <w:i/>
                <w:spacing w:val="-2"/>
                <w:sz w:val="20"/>
                <w:szCs w:val="20"/>
              </w:rPr>
              <w:t xml:space="preserve"> 4,720)</w:t>
            </w:r>
          </w:p>
        </w:tc>
        <w:tc>
          <w:tcPr>
            <w:tcW w:w="1406" w:type="dxa"/>
            <w:tcBorders>
              <w:top w:val="single" w:color="auto" w:sz="12" w:space="0"/>
            </w:tcBorders>
            <w:vAlign w:val="center"/>
          </w:tcPr>
          <w:p w14:paraId="7FA35FE2">
            <w:pPr>
              <w:pStyle w:val="35"/>
              <w:spacing w:before="0"/>
              <w:jc w:val="both"/>
              <w:rPr>
                <w:rFonts w:ascii="Arial" w:hAnsi="Arial" w:cs="Arial"/>
                <w:spacing w:val="-8"/>
                <w:sz w:val="20"/>
                <w:szCs w:val="20"/>
              </w:rPr>
            </w:pPr>
            <w:r>
              <w:rPr>
                <w:rFonts w:hint="eastAsia" w:ascii="Arial" w:hAnsi="Arial" w:cs="Arial"/>
                <w:spacing w:val="-8"/>
                <w:sz w:val="20"/>
                <w:szCs w:val="20"/>
              </w:rPr>
              <w:t> </w:t>
            </w:r>
          </w:p>
        </w:tc>
        <w:tc>
          <w:tcPr>
            <w:tcW w:w="1587" w:type="dxa"/>
            <w:tcBorders>
              <w:top w:val="single" w:color="auto" w:sz="12" w:space="0"/>
            </w:tcBorders>
            <w:vAlign w:val="center"/>
          </w:tcPr>
          <w:p w14:paraId="3CF14B5D">
            <w:pPr>
              <w:pStyle w:val="35"/>
              <w:spacing w:before="0"/>
              <w:jc w:val="both"/>
              <w:rPr>
                <w:rFonts w:ascii="Arial" w:hAnsi="Arial" w:cs="Arial"/>
                <w:sz w:val="20"/>
                <w:szCs w:val="20"/>
              </w:rPr>
            </w:pPr>
          </w:p>
        </w:tc>
        <w:tc>
          <w:tcPr>
            <w:tcW w:w="1417" w:type="dxa"/>
            <w:tcBorders>
              <w:top w:val="single" w:color="auto" w:sz="12" w:space="0"/>
            </w:tcBorders>
            <w:vAlign w:val="center"/>
          </w:tcPr>
          <w:p w14:paraId="69DAAE8F">
            <w:pPr>
              <w:pStyle w:val="35"/>
              <w:spacing w:before="0"/>
              <w:jc w:val="both"/>
              <w:rPr>
                <w:rFonts w:ascii="Arial" w:hAnsi="Arial" w:cs="Arial"/>
                <w:sz w:val="20"/>
                <w:szCs w:val="20"/>
              </w:rPr>
            </w:pPr>
          </w:p>
        </w:tc>
        <w:tc>
          <w:tcPr>
            <w:tcW w:w="1417" w:type="dxa"/>
            <w:tcBorders>
              <w:top w:val="single" w:color="auto" w:sz="12" w:space="0"/>
            </w:tcBorders>
            <w:vAlign w:val="center"/>
          </w:tcPr>
          <w:p w14:paraId="6C9DBC4F">
            <w:pPr>
              <w:pStyle w:val="35"/>
              <w:spacing w:before="0"/>
              <w:jc w:val="both"/>
              <w:rPr>
                <w:rFonts w:ascii="Arial" w:hAnsi="Arial" w:cs="Arial"/>
                <w:sz w:val="20"/>
                <w:szCs w:val="20"/>
              </w:rPr>
            </w:pPr>
          </w:p>
        </w:tc>
        <w:tc>
          <w:tcPr>
            <w:tcW w:w="624" w:type="dxa"/>
            <w:tcBorders>
              <w:top w:val="single" w:color="auto" w:sz="12" w:space="0"/>
            </w:tcBorders>
            <w:vAlign w:val="center"/>
          </w:tcPr>
          <w:p w14:paraId="4537E567">
            <w:pPr>
              <w:pStyle w:val="35"/>
              <w:spacing w:before="0"/>
              <w:jc w:val="both"/>
              <w:rPr>
                <w:rFonts w:ascii="Arial" w:hAnsi="Arial" w:cs="Arial"/>
                <w:sz w:val="20"/>
                <w:szCs w:val="20"/>
              </w:rPr>
            </w:pPr>
          </w:p>
        </w:tc>
      </w:tr>
      <w:tr w14:paraId="2711272D">
        <w:trPr>
          <w:trHeight w:val="318" w:hRule="atLeast"/>
        </w:trPr>
        <w:tc>
          <w:tcPr>
            <w:tcW w:w="3288" w:type="dxa"/>
            <w:vAlign w:val="center"/>
          </w:tcPr>
          <w:p w14:paraId="7BA956D9">
            <w:pPr>
              <w:pStyle w:val="35"/>
              <w:spacing w:before="0"/>
              <w:ind w:left="295"/>
              <w:jc w:val="both"/>
              <w:rPr>
                <w:rFonts w:ascii="Arial" w:hAnsi="Arial" w:cs="Arial"/>
                <w:sz w:val="20"/>
                <w:szCs w:val="20"/>
              </w:rPr>
            </w:pPr>
            <w:r>
              <w:rPr>
                <w:rFonts w:ascii="Arial" w:hAnsi="Arial" w:cs="Arial"/>
                <w:sz w:val="20"/>
                <w:szCs w:val="20"/>
              </w:rPr>
              <w:t>No.</w:t>
            </w:r>
            <w:r>
              <w:rPr>
                <w:rFonts w:ascii="Arial" w:hAnsi="Arial" w:cs="Arial"/>
                <w:spacing w:val="11"/>
                <w:sz w:val="20"/>
                <w:szCs w:val="20"/>
              </w:rPr>
              <w:t xml:space="preserve"> </w:t>
            </w:r>
            <w:r>
              <w:rPr>
                <w:rFonts w:ascii="Arial" w:hAnsi="Arial" w:cs="Arial"/>
                <w:sz w:val="20"/>
                <w:szCs w:val="20"/>
              </w:rPr>
              <w:t xml:space="preserve">of patients </w:t>
            </w:r>
            <w:r>
              <w:rPr>
                <w:rFonts w:ascii="Arial" w:hAnsi="Arial" w:cs="Arial"/>
                <w:spacing w:val="-5"/>
                <w:sz w:val="20"/>
                <w:szCs w:val="20"/>
              </w:rPr>
              <w:t>(%)</w:t>
            </w:r>
          </w:p>
        </w:tc>
        <w:tc>
          <w:tcPr>
            <w:tcW w:w="1406" w:type="dxa"/>
            <w:vAlign w:val="center"/>
          </w:tcPr>
          <w:p w14:paraId="483559B1">
            <w:pPr>
              <w:pStyle w:val="35"/>
              <w:spacing w:before="0"/>
              <w:jc w:val="both"/>
              <w:rPr>
                <w:rFonts w:ascii="Arial" w:hAnsi="Arial" w:cs="Arial"/>
                <w:spacing w:val="-8"/>
                <w:sz w:val="20"/>
                <w:szCs w:val="20"/>
              </w:rPr>
            </w:pPr>
            <w:r>
              <w:rPr>
                <w:rFonts w:hint="eastAsia" w:ascii="Arial" w:hAnsi="Arial" w:cs="Arial"/>
                <w:spacing w:val="-8"/>
                <w:sz w:val="20"/>
                <w:szCs w:val="20"/>
              </w:rPr>
              <w:t>4,720 (100.0%)</w:t>
            </w:r>
          </w:p>
        </w:tc>
        <w:tc>
          <w:tcPr>
            <w:tcW w:w="1587" w:type="dxa"/>
            <w:vAlign w:val="center"/>
          </w:tcPr>
          <w:p w14:paraId="10CDDE66">
            <w:pPr>
              <w:pStyle w:val="35"/>
              <w:spacing w:before="0"/>
              <w:ind w:left="19" w:right="16"/>
              <w:jc w:val="both"/>
              <w:rPr>
                <w:rFonts w:ascii="Arial" w:hAnsi="Arial" w:cs="Arial"/>
                <w:sz w:val="20"/>
                <w:szCs w:val="20"/>
              </w:rPr>
            </w:pPr>
            <w:r>
              <w:rPr>
                <w:rFonts w:ascii="Arial" w:hAnsi="Arial" w:cs="Arial"/>
                <w:sz w:val="20"/>
                <w:szCs w:val="20"/>
              </w:rPr>
              <w:t xml:space="preserve">4,225 </w:t>
            </w:r>
            <w:r>
              <w:rPr>
                <w:rFonts w:ascii="Arial" w:hAnsi="Arial" w:cs="Arial"/>
                <w:spacing w:val="-2"/>
                <w:sz w:val="20"/>
                <w:szCs w:val="20"/>
              </w:rPr>
              <w:t>(89.5%)</w:t>
            </w:r>
          </w:p>
        </w:tc>
        <w:tc>
          <w:tcPr>
            <w:tcW w:w="1417" w:type="dxa"/>
            <w:vAlign w:val="center"/>
          </w:tcPr>
          <w:p w14:paraId="1031CD32">
            <w:pPr>
              <w:pStyle w:val="35"/>
              <w:spacing w:before="0"/>
              <w:ind w:left="8" w:right="1"/>
              <w:jc w:val="both"/>
              <w:rPr>
                <w:rFonts w:ascii="Arial" w:hAnsi="Arial" w:cs="Arial"/>
                <w:sz w:val="20"/>
                <w:szCs w:val="20"/>
              </w:rPr>
            </w:pPr>
            <w:r>
              <w:rPr>
                <w:rFonts w:ascii="Arial" w:hAnsi="Arial" w:cs="Arial"/>
                <w:sz w:val="20"/>
                <w:szCs w:val="20"/>
              </w:rPr>
              <w:t xml:space="preserve">373 </w:t>
            </w:r>
            <w:r>
              <w:rPr>
                <w:rFonts w:ascii="Arial" w:hAnsi="Arial" w:cs="Arial"/>
                <w:spacing w:val="-2"/>
                <w:sz w:val="20"/>
                <w:szCs w:val="20"/>
              </w:rPr>
              <w:t>(7.9%)</w:t>
            </w:r>
          </w:p>
        </w:tc>
        <w:tc>
          <w:tcPr>
            <w:tcW w:w="1417" w:type="dxa"/>
            <w:vAlign w:val="center"/>
          </w:tcPr>
          <w:p w14:paraId="39CC582A">
            <w:pPr>
              <w:pStyle w:val="35"/>
              <w:spacing w:before="0"/>
              <w:ind w:left="7" w:right="1"/>
              <w:jc w:val="both"/>
              <w:rPr>
                <w:rFonts w:ascii="Arial" w:hAnsi="Arial" w:cs="Arial"/>
                <w:sz w:val="20"/>
                <w:szCs w:val="20"/>
              </w:rPr>
            </w:pPr>
            <w:r>
              <w:rPr>
                <w:rFonts w:ascii="Arial" w:hAnsi="Arial" w:cs="Arial"/>
                <w:sz w:val="20"/>
                <w:szCs w:val="20"/>
              </w:rPr>
              <w:t xml:space="preserve">122 </w:t>
            </w:r>
            <w:r>
              <w:rPr>
                <w:rFonts w:ascii="Arial" w:hAnsi="Arial" w:cs="Arial"/>
                <w:spacing w:val="-2"/>
                <w:sz w:val="20"/>
                <w:szCs w:val="20"/>
              </w:rPr>
              <w:t>(2.6%)</w:t>
            </w:r>
          </w:p>
        </w:tc>
        <w:tc>
          <w:tcPr>
            <w:tcW w:w="624" w:type="dxa"/>
            <w:vAlign w:val="center"/>
          </w:tcPr>
          <w:p w14:paraId="5258A918">
            <w:pPr>
              <w:pStyle w:val="35"/>
              <w:spacing w:before="0"/>
              <w:ind w:left="1"/>
              <w:jc w:val="both"/>
              <w:rPr>
                <w:rFonts w:ascii="Arial" w:hAnsi="Arial" w:cs="Arial"/>
                <w:sz w:val="20"/>
                <w:szCs w:val="20"/>
              </w:rPr>
            </w:pPr>
            <w:r>
              <w:rPr>
                <w:rFonts w:ascii="Arial" w:hAnsi="Arial" w:cs="Arial"/>
                <w:i/>
                <w:spacing w:val="-2"/>
                <w:sz w:val="20"/>
                <w:szCs w:val="20"/>
              </w:rPr>
              <w:t>&lt;</w:t>
            </w:r>
            <w:r>
              <w:rPr>
                <w:rFonts w:ascii="Arial" w:hAnsi="Arial" w:cs="Arial"/>
                <w:spacing w:val="-2"/>
                <w:sz w:val="20"/>
                <w:szCs w:val="20"/>
              </w:rPr>
              <w:t>.001</w:t>
            </w:r>
          </w:p>
        </w:tc>
      </w:tr>
      <w:tr w14:paraId="4F9CF89C">
        <w:trPr>
          <w:trHeight w:val="283" w:hRule="atLeast"/>
        </w:trPr>
        <w:tc>
          <w:tcPr>
            <w:tcW w:w="3288" w:type="dxa"/>
            <w:vAlign w:val="center"/>
          </w:tcPr>
          <w:p w14:paraId="3686C40A">
            <w:pPr>
              <w:pStyle w:val="35"/>
              <w:spacing w:before="0"/>
              <w:ind w:left="295"/>
              <w:jc w:val="both"/>
              <w:rPr>
                <w:rFonts w:ascii="Arial" w:hAnsi="Arial" w:cs="Arial"/>
                <w:sz w:val="20"/>
                <w:szCs w:val="20"/>
              </w:rPr>
            </w:pPr>
            <w:r>
              <w:rPr>
                <w:rFonts w:ascii="Arial" w:hAnsi="Arial" w:cs="Arial"/>
                <w:sz w:val="20"/>
                <w:szCs w:val="20"/>
              </w:rPr>
              <w:t>Total</w:t>
            </w:r>
            <w:r>
              <w:rPr>
                <w:rFonts w:ascii="Arial" w:hAnsi="Arial" w:cs="Arial"/>
                <w:spacing w:val="-12"/>
                <w:sz w:val="20"/>
                <w:szCs w:val="20"/>
              </w:rPr>
              <w:t xml:space="preserve"> </w:t>
            </w:r>
            <w:r>
              <w:rPr>
                <w:rFonts w:ascii="Arial" w:hAnsi="Arial" w:cs="Arial"/>
                <w:sz w:val="20"/>
                <w:szCs w:val="20"/>
              </w:rPr>
              <w:t>SOFA</w:t>
            </w:r>
            <w:r>
              <w:rPr>
                <w:rFonts w:ascii="Arial" w:hAnsi="Arial" w:cs="Arial"/>
                <w:spacing w:val="-5"/>
                <w:sz w:val="20"/>
                <w:szCs w:val="20"/>
              </w:rPr>
              <w:t xml:space="preserve"> </w:t>
            </w:r>
            <w:r>
              <w:rPr>
                <w:rFonts w:ascii="Arial" w:hAnsi="Arial" w:cs="Arial"/>
                <w:sz w:val="20"/>
                <w:szCs w:val="20"/>
              </w:rPr>
              <w:t>score</w:t>
            </w:r>
            <w:r>
              <w:rPr>
                <w:rFonts w:ascii="Arial" w:hAnsi="Arial" w:cs="Arial"/>
                <w:spacing w:val="-6"/>
                <w:sz w:val="20"/>
                <w:szCs w:val="20"/>
              </w:rPr>
              <w:t xml:space="preserve"> </w:t>
            </w:r>
            <w:r>
              <w:rPr>
                <w:rFonts w:ascii="Arial" w:hAnsi="Arial" w:cs="Arial"/>
                <w:sz w:val="20"/>
                <w:szCs w:val="20"/>
              </w:rPr>
              <w:t>at</w:t>
            </w:r>
            <w:r>
              <w:rPr>
                <w:rFonts w:ascii="Arial" w:hAnsi="Arial" w:cs="Arial"/>
                <w:spacing w:val="-5"/>
                <w:sz w:val="20"/>
                <w:szCs w:val="20"/>
              </w:rPr>
              <w:t xml:space="preserve"> </w:t>
            </w:r>
            <w:r>
              <w:rPr>
                <w:rFonts w:ascii="Arial" w:hAnsi="Arial" w:cs="Arial"/>
                <w:sz w:val="20"/>
                <w:szCs w:val="20"/>
              </w:rPr>
              <w:t>diagnosis,</w:t>
            </w:r>
            <w:r>
              <w:rPr>
                <w:rFonts w:ascii="Arial" w:hAnsi="Arial" w:cs="Arial"/>
                <w:spacing w:val="-6"/>
                <w:sz w:val="20"/>
                <w:szCs w:val="20"/>
              </w:rPr>
              <w:t xml:space="preserve"> </w:t>
            </w:r>
            <w:r>
              <w:rPr>
                <w:rFonts w:ascii="Arial" w:hAnsi="Arial" w:cs="Arial"/>
                <w:sz w:val="20"/>
                <w:szCs w:val="20"/>
              </w:rPr>
              <w:t>mean</w:t>
            </w:r>
            <w:r>
              <w:rPr>
                <w:rFonts w:ascii="Arial" w:hAnsi="Arial" w:cs="Arial"/>
                <w:spacing w:val="-5"/>
                <w:sz w:val="20"/>
                <w:szCs w:val="20"/>
              </w:rPr>
              <w:t xml:space="preserve"> </w:t>
            </w:r>
            <w:r>
              <w:rPr>
                <w:rFonts w:ascii="Arial" w:hAnsi="Arial" w:cs="Arial"/>
                <w:i/>
                <w:sz w:val="20"/>
                <w:szCs w:val="20"/>
              </w:rPr>
              <w:t>±</w:t>
            </w:r>
            <w:r>
              <w:rPr>
                <w:rFonts w:ascii="Arial" w:hAnsi="Arial" w:cs="Arial"/>
                <w:i/>
                <w:spacing w:val="-19"/>
                <w:sz w:val="20"/>
                <w:szCs w:val="20"/>
              </w:rPr>
              <w:t xml:space="preserve"> </w:t>
            </w:r>
            <w:r>
              <w:rPr>
                <w:rFonts w:ascii="Arial" w:hAnsi="Arial" w:cs="Arial"/>
                <w:spacing w:val="-5"/>
                <w:sz w:val="20"/>
                <w:szCs w:val="20"/>
              </w:rPr>
              <w:t>SD</w:t>
            </w:r>
          </w:p>
        </w:tc>
        <w:tc>
          <w:tcPr>
            <w:tcW w:w="1406" w:type="dxa"/>
            <w:vAlign w:val="center"/>
          </w:tcPr>
          <w:p w14:paraId="15F4EF86">
            <w:pPr>
              <w:pStyle w:val="35"/>
              <w:spacing w:before="0"/>
              <w:jc w:val="both"/>
              <w:rPr>
                <w:rFonts w:ascii="Arial" w:hAnsi="Arial" w:cs="Arial"/>
                <w:spacing w:val="-8"/>
                <w:sz w:val="20"/>
                <w:szCs w:val="20"/>
              </w:rPr>
            </w:pPr>
            <w:r>
              <w:rPr>
                <w:rFonts w:hint="eastAsia" w:ascii="Arial" w:hAnsi="Arial" w:cs="Arial"/>
                <w:spacing w:val="-8"/>
                <w:sz w:val="20"/>
                <w:szCs w:val="20"/>
              </w:rPr>
              <w:t>5.9 ± 2.8</w:t>
            </w:r>
          </w:p>
        </w:tc>
        <w:tc>
          <w:tcPr>
            <w:tcW w:w="1587" w:type="dxa"/>
            <w:vAlign w:val="center"/>
          </w:tcPr>
          <w:p w14:paraId="0CD88B0A">
            <w:pPr>
              <w:pStyle w:val="35"/>
              <w:spacing w:before="0"/>
              <w:jc w:val="both"/>
              <w:rPr>
                <w:rFonts w:ascii="Arial" w:hAnsi="Arial" w:cs="Arial"/>
                <w:sz w:val="20"/>
                <w:szCs w:val="20"/>
              </w:rPr>
            </w:pPr>
            <w:r>
              <w:rPr>
                <w:rFonts w:ascii="Arial" w:hAnsi="Arial" w:cs="Arial"/>
                <w:sz w:val="20"/>
                <w:szCs w:val="20"/>
              </w:rPr>
              <w:t>5.8</w:t>
            </w:r>
            <w:r>
              <w:rPr>
                <w:rFonts w:ascii="Arial" w:hAnsi="Arial" w:cs="Arial"/>
                <w:spacing w:val="-8"/>
                <w:sz w:val="20"/>
                <w:szCs w:val="20"/>
              </w:rPr>
              <w:t xml:space="preserve"> </w:t>
            </w:r>
            <w:r>
              <w:rPr>
                <w:rFonts w:ascii="Arial" w:hAnsi="Arial" w:cs="Arial"/>
                <w:i/>
                <w:sz w:val="20"/>
                <w:szCs w:val="20"/>
              </w:rPr>
              <w:t>±</w:t>
            </w:r>
            <w:r>
              <w:rPr>
                <w:rFonts w:ascii="Arial" w:hAnsi="Arial" w:cs="Arial"/>
                <w:i/>
                <w:spacing w:val="-19"/>
                <w:sz w:val="20"/>
                <w:szCs w:val="20"/>
              </w:rPr>
              <w:t xml:space="preserve"> </w:t>
            </w:r>
            <w:r>
              <w:rPr>
                <w:rFonts w:ascii="Arial" w:hAnsi="Arial" w:cs="Arial"/>
                <w:spacing w:val="-5"/>
                <w:sz w:val="20"/>
                <w:szCs w:val="20"/>
              </w:rPr>
              <w:t>2.8</w:t>
            </w:r>
          </w:p>
        </w:tc>
        <w:tc>
          <w:tcPr>
            <w:tcW w:w="1417" w:type="dxa"/>
            <w:vAlign w:val="center"/>
          </w:tcPr>
          <w:p w14:paraId="1E723443">
            <w:pPr>
              <w:pStyle w:val="35"/>
              <w:spacing w:before="0"/>
              <w:ind w:left="337"/>
              <w:jc w:val="both"/>
              <w:rPr>
                <w:rFonts w:ascii="Arial" w:hAnsi="Arial" w:cs="Arial"/>
                <w:sz w:val="20"/>
                <w:szCs w:val="20"/>
              </w:rPr>
            </w:pPr>
            <w:r>
              <w:rPr>
                <w:rFonts w:hint="eastAsia" w:ascii="Arial" w:hAnsi="Arial" w:cs="Arial" w:eastAsiaTheme="minorEastAsia"/>
                <w:sz w:val="20"/>
                <w:szCs w:val="20"/>
                <w:lang w:eastAsia="zh-CN"/>
              </w:rPr>
              <w:t>6</w:t>
            </w:r>
            <w:r>
              <w:rPr>
                <w:rFonts w:ascii="Arial" w:hAnsi="Arial" w:cs="Arial"/>
                <w:sz w:val="20"/>
                <w:szCs w:val="20"/>
              </w:rPr>
              <w:t>.8</w:t>
            </w:r>
            <w:r>
              <w:rPr>
                <w:rFonts w:ascii="Arial" w:hAnsi="Arial" w:cs="Arial"/>
                <w:spacing w:val="-8"/>
                <w:sz w:val="20"/>
                <w:szCs w:val="20"/>
              </w:rPr>
              <w:t xml:space="preserve"> </w:t>
            </w:r>
            <w:r>
              <w:rPr>
                <w:rFonts w:ascii="Arial" w:hAnsi="Arial" w:cs="Arial"/>
                <w:i/>
                <w:sz w:val="20"/>
                <w:szCs w:val="20"/>
              </w:rPr>
              <w:t>±</w:t>
            </w:r>
            <w:r>
              <w:rPr>
                <w:rFonts w:ascii="Arial" w:hAnsi="Arial" w:cs="Arial"/>
                <w:i/>
                <w:spacing w:val="-19"/>
                <w:sz w:val="20"/>
                <w:szCs w:val="20"/>
              </w:rPr>
              <w:t xml:space="preserve"> </w:t>
            </w:r>
            <w:r>
              <w:rPr>
                <w:rFonts w:ascii="Arial" w:hAnsi="Arial" w:cs="Arial"/>
                <w:spacing w:val="-5"/>
                <w:sz w:val="20"/>
                <w:szCs w:val="20"/>
              </w:rPr>
              <w:t>2.6</w:t>
            </w:r>
          </w:p>
        </w:tc>
        <w:tc>
          <w:tcPr>
            <w:tcW w:w="1417" w:type="dxa"/>
            <w:vAlign w:val="center"/>
          </w:tcPr>
          <w:p w14:paraId="17BACC08">
            <w:pPr>
              <w:pStyle w:val="35"/>
              <w:spacing w:before="0"/>
              <w:jc w:val="both"/>
              <w:rPr>
                <w:rFonts w:ascii="Arial" w:hAnsi="Arial" w:cs="Arial"/>
                <w:sz w:val="20"/>
                <w:szCs w:val="20"/>
              </w:rPr>
            </w:pPr>
            <w:r>
              <w:rPr>
                <w:rFonts w:ascii="Arial" w:hAnsi="Arial" w:cs="Arial"/>
                <w:sz w:val="20"/>
                <w:szCs w:val="20"/>
              </w:rPr>
              <w:t>6.1</w:t>
            </w:r>
            <w:r>
              <w:rPr>
                <w:rFonts w:ascii="Arial" w:hAnsi="Arial" w:cs="Arial"/>
                <w:spacing w:val="-8"/>
                <w:sz w:val="20"/>
                <w:szCs w:val="20"/>
              </w:rPr>
              <w:t xml:space="preserve"> </w:t>
            </w:r>
            <w:r>
              <w:rPr>
                <w:rFonts w:ascii="Arial" w:hAnsi="Arial" w:cs="Arial"/>
                <w:i/>
                <w:sz w:val="20"/>
                <w:szCs w:val="20"/>
              </w:rPr>
              <w:t>±</w:t>
            </w:r>
            <w:r>
              <w:rPr>
                <w:rFonts w:ascii="Arial" w:hAnsi="Arial" w:cs="Arial"/>
                <w:i/>
                <w:spacing w:val="-19"/>
                <w:sz w:val="20"/>
                <w:szCs w:val="20"/>
              </w:rPr>
              <w:t xml:space="preserve"> </w:t>
            </w:r>
            <w:r>
              <w:rPr>
                <w:rFonts w:ascii="Arial" w:hAnsi="Arial" w:cs="Arial"/>
                <w:spacing w:val="-5"/>
                <w:sz w:val="20"/>
                <w:szCs w:val="20"/>
              </w:rPr>
              <w:t>3.3</w:t>
            </w:r>
          </w:p>
        </w:tc>
        <w:tc>
          <w:tcPr>
            <w:tcW w:w="624" w:type="dxa"/>
            <w:vAlign w:val="center"/>
          </w:tcPr>
          <w:p w14:paraId="610CAD88">
            <w:pPr>
              <w:pStyle w:val="35"/>
              <w:spacing w:before="0"/>
              <w:ind w:left="1"/>
              <w:jc w:val="both"/>
              <w:rPr>
                <w:rFonts w:ascii="Arial" w:hAnsi="Arial" w:cs="Arial"/>
                <w:sz w:val="20"/>
                <w:szCs w:val="20"/>
              </w:rPr>
            </w:pPr>
            <w:r>
              <w:rPr>
                <w:rFonts w:ascii="Arial" w:hAnsi="Arial" w:cs="Arial"/>
                <w:i/>
                <w:spacing w:val="-2"/>
                <w:sz w:val="20"/>
                <w:szCs w:val="20"/>
              </w:rPr>
              <w:t>&lt;</w:t>
            </w:r>
            <w:r>
              <w:rPr>
                <w:rFonts w:ascii="Arial" w:hAnsi="Arial" w:cs="Arial"/>
                <w:spacing w:val="-2"/>
                <w:sz w:val="20"/>
                <w:szCs w:val="20"/>
              </w:rPr>
              <w:t>.001</w:t>
            </w:r>
          </w:p>
        </w:tc>
      </w:tr>
      <w:tr w14:paraId="09D0136C">
        <w:trPr>
          <w:trHeight w:val="296" w:hRule="atLeast"/>
        </w:trPr>
        <w:tc>
          <w:tcPr>
            <w:tcW w:w="3288" w:type="dxa"/>
            <w:vAlign w:val="center"/>
          </w:tcPr>
          <w:p w14:paraId="0D534587">
            <w:pPr>
              <w:pStyle w:val="35"/>
              <w:spacing w:before="0"/>
              <w:ind w:left="104"/>
              <w:jc w:val="both"/>
              <w:rPr>
                <w:rFonts w:ascii="Arial" w:hAnsi="Arial" w:cs="Arial"/>
                <w:b/>
                <w:sz w:val="20"/>
                <w:szCs w:val="20"/>
              </w:rPr>
            </w:pPr>
            <w:r>
              <w:rPr>
                <w:rFonts w:ascii="Arial" w:hAnsi="Arial" w:cs="Arial"/>
                <w:b/>
                <w:sz w:val="20"/>
                <w:szCs w:val="20"/>
              </w:rPr>
              <w:t>Organ</w:t>
            </w:r>
            <w:r>
              <w:rPr>
                <w:rFonts w:ascii="Arial" w:hAnsi="Arial" w:cs="Arial"/>
                <w:b/>
                <w:spacing w:val="-1"/>
                <w:sz w:val="20"/>
                <w:szCs w:val="20"/>
              </w:rPr>
              <w:t xml:space="preserve"> </w:t>
            </w:r>
            <w:r>
              <w:rPr>
                <w:rFonts w:ascii="Arial" w:hAnsi="Arial" w:cs="Arial"/>
                <w:b/>
                <w:sz w:val="20"/>
                <w:szCs w:val="20"/>
              </w:rPr>
              <w:t>Support Utilization,</w:t>
            </w:r>
            <w:r>
              <w:rPr>
                <w:rFonts w:ascii="Arial" w:hAnsi="Arial" w:cs="Arial"/>
                <w:b/>
                <w:spacing w:val="-1"/>
                <w:sz w:val="20"/>
                <w:szCs w:val="20"/>
              </w:rPr>
              <w:t xml:space="preserve"> </w:t>
            </w:r>
            <w:r>
              <w:rPr>
                <w:rFonts w:ascii="Arial" w:hAnsi="Arial" w:cs="Arial"/>
                <w:b/>
                <w:sz w:val="20"/>
                <w:szCs w:val="20"/>
              </w:rPr>
              <w:t xml:space="preserve">n </w:t>
            </w:r>
            <w:r>
              <w:rPr>
                <w:rFonts w:ascii="Arial" w:hAnsi="Arial" w:cs="Arial"/>
                <w:b/>
                <w:spacing w:val="-5"/>
                <w:sz w:val="20"/>
                <w:szCs w:val="20"/>
              </w:rPr>
              <w:t>(%)</w:t>
            </w:r>
          </w:p>
        </w:tc>
        <w:tc>
          <w:tcPr>
            <w:tcW w:w="1406" w:type="dxa"/>
            <w:vAlign w:val="center"/>
          </w:tcPr>
          <w:p w14:paraId="6C48AEB5">
            <w:pPr>
              <w:pStyle w:val="35"/>
              <w:spacing w:before="0"/>
              <w:jc w:val="both"/>
              <w:rPr>
                <w:rFonts w:ascii="Arial" w:hAnsi="Arial" w:cs="Arial"/>
                <w:spacing w:val="-8"/>
                <w:sz w:val="20"/>
                <w:szCs w:val="20"/>
              </w:rPr>
            </w:pPr>
            <w:r>
              <w:rPr>
                <w:rFonts w:hint="eastAsia" w:ascii="Arial" w:hAnsi="Arial" w:cs="Arial"/>
                <w:spacing w:val="-8"/>
                <w:sz w:val="20"/>
                <w:szCs w:val="20"/>
              </w:rPr>
              <w:t> </w:t>
            </w:r>
          </w:p>
        </w:tc>
        <w:tc>
          <w:tcPr>
            <w:tcW w:w="1587" w:type="dxa"/>
            <w:vAlign w:val="center"/>
          </w:tcPr>
          <w:p w14:paraId="47BC2781">
            <w:pPr>
              <w:pStyle w:val="35"/>
              <w:spacing w:before="0"/>
              <w:jc w:val="both"/>
              <w:rPr>
                <w:rFonts w:ascii="Arial" w:hAnsi="Arial" w:cs="Arial"/>
                <w:sz w:val="20"/>
                <w:szCs w:val="20"/>
              </w:rPr>
            </w:pPr>
          </w:p>
        </w:tc>
        <w:tc>
          <w:tcPr>
            <w:tcW w:w="1417" w:type="dxa"/>
            <w:vAlign w:val="center"/>
          </w:tcPr>
          <w:p w14:paraId="5C43C53A">
            <w:pPr>
              <w:pStyle w:val="35"/>
              <w:spacing w:before="0"/>
              <w:jc w:val="both"/>
              <w:rPr>
                <w:rFonts w:ascii="Arial" w:hAnsi="Arial" w:cs="Arial"/>
                <w:sz w:val="20"/>
                <w:szCs w:val="20"/>
              </w:rPr>
            </w:pPr>
          </w:p>
        </w:tc>
        <w:tc>
          <w:tcPr>
            <w:tcW w:w="1417" w:type="dxa"/>
            <w:vAlign w:val="center"/>
          </w:tcPr>
          <w:p w14:paraId="18FB1272">
            <w:pPr>
              <w:pStyle w:val="35"/>
              <w:spacing w:before="0"/>
              <w:jc w:val="both"/>
              <w:rPr>
                <w:rFonts w:ascii="Arial" w:hAnsi="Arial" w:cs="Arial"/>
                <w:sz w:val="20"/>
                <w:szCs w:val="20"/>
              </w:rPr>
            </w:pPr>
          </w:p>
        </w:tc>
        <w:tc>
          <w:tcPr>
            <w:tcW w:w="624" w:type="dxa"/>
            <w:vAlign w:val="center"/>
          </w:tcPr>
          <w:p w14:paraId="53EDC2E0">
            <w:pPr>
              <w:pStyle w:val="35"/>
              <w:spacing w:before="0"/>
              <w:jc w:val="both"/>
              <w:rPr>
                <w:rFonts w:ascii="Arial" w:hAnsi="Arial" w:cs="Arial"/>
                <w:sz w:val="20"/>
                <w:szCs w:val="20"/>
              </w:rPr>
            </w:pPr>
          </w:p>
        </w:tc>
      </w:tr>
      <w:tr w14:paraId="1D690309">
        <w:trPr>
          <w:trHeight w:val="281" w:hRule="atLeast"/>
        </w:trPr>
        <w:tc>
          <w:tcPr>
            <w:tcW w:w="3288" w:type="dxa"/>
            <w:vAlign w:val="center"/>
          </w:tcPr>
          <w:p w14:paraId="1B429D30">
            <w:pPr>
              <w:pStyle w:val="35"/>
              <w:spacing w:before="0"/>
              <w:ind w:left="295"/>
              <w:jc w:val="both"/>
              <w:rPr>
                <w:rFonts w:ascii="Arial" w:hAnsi="Arial" w:cs="Arial"/>
                <w:sz w:val="20"/>
                <w:szCs w:val="20"/>
              </w:rPr>
            </w:pPr>
            <w:r>
              <w:rPr>
                <w:rFonts w:ascii="Arial" w:hAnsi="Arial" w:cs="Arial"/>
                <w:sz w:val="20"/>
                <w:szCs w:val="20"/>
              </w:rPr>
              <w:t>Invasive</w:t>
            </w:r>
            <w:r>
              <w:rPr>
                <w:rFonts w:ascii="Arial" w:hAnsi="Arial" w:cs="Arial"/>
                <w:spacing w:val="-11"/>
                <w:sz w:val="20"/>
                <w:szCs w:val="20"/>
              </w:rPr>
              <w:t xml:space="preserve"> </w:t>
            </w:r>
            <w:r>
              <w:rPr>
                <w:rFonts w:ascii="Arial" w:hAnsi="Arial" w:cs="Arial"/>
                <w:sz w:val="20"/>
                <w:szCs w:val="20"/>
              </w:rPr>
              <w:t>mechanical</w:t>
            </w:r>
            <w:r>
              <w:rPr>
                <w:rFonts w:ascii="Arial" w:hAnsi="Arial" w:cs="Arial"/>
                <w:spacing w:val="-10"/>
                <w:sz w:val="20"/>
                <w:szCs w:val="20"/>
              </w:rPr>
              <w:t xml:space="preserve"> </w:t>
            </w:r>
            <w:r>
              <w:rPr>
                <w:rFonts w:ascii="Arial" w:hAnsi="Arial" w:cs="Arial"/>
                <w:spacing w:val="-2"/>
                <w:sz w:val="20"/>
                <w:szCs w:val="20"/>
              </w:rPr>
              <w:t>ventilation</w:t>
            </w:r>
          </w:p>
        </w:tc>
        <w:tc>
          <w:tcPr>
            <w:tcW w:w="1406" w:type="dxa"/>
            <w:vAlign w:val="center"/>
          </w:tcPr>
          <w:p w14:paraId="492C78EA">
            <w:pPr>
              <w:pStyle w:val="35"/>
              <w:spacing w:before="0"/>
              <w:jc w:val="both"/>
              <w:rPr>
                <w:rFonts w:ascii="Arial" w:hAnsi="Arial" w:cs="Arial"/>
                <w:spacing w:val="-8"/>
                <w:sz w:val="20"/>
                <w:szCs w:val="20"/>
              </w:rPr>
            </w:pPr>
            <w:r>
              <w:rPr>
                <w:rFonts w:hint="eastAsia" w:ascii="Arial" w:hAnsi="Arial" w:cs="Arial"/>
                <w:spacing w:val="-8"/>
                <w:sz w:val="20"/>
                <w:szCs w:val="20"/>
              </w:rPr>
              <w:t>4,277 (90.6%)</w:t>
            </w:r>
          </w:p>
        </w:tc>
        <w:tc>
          <w:tcPr>
            <w:tcW w:w="1587" w:type="dxa"/>
            <w:vAlign w:val="center"/>
          </w:tcPr>
          <w:p w14:paraId="0BDC9AAD">
            <w:pPr>
              <w:pStyle w:val="35"/>
              <w:spacing w:before="0"/>
              <w:ind w:left="19" w:right="16"/>
              <w:jc w:val="both"/>
              <w:rPr>
                <w:rFonts w:ascii="Arial" w:hAnsi="Arial" w:cs="Arial"/>
                <w:sz w:val="20"/>
                <w:szCs w:val="20"/>
              </w:rPr>
            </w:pPr>
            <w:r>
              <w:rPr>
                <w:rFonts w:ascii="Arial" w:hAnsi="Arial" w:cs="Arial"/>
                <w:sz w:val="20"/>
                <w:szCs w:val="20"/>
              </w:rPr>
              <w:t xml:space="preserve">3,871 </w:t>
            </w:r>
            <w:r>
              <w:rPr>
                <w:rFonts w:ascii="Arial" w:hAnsi="Arial" w:cs="Arial"/>
                <w:spacing w:val="-2"/>
                <w:sz w:val="20"/>
                <w:szCs w:val="20"/>
              </w:rPr>
              <w:t>(91.6%)</w:t>
            </w:r>
          </w:p>
        </w:tc>
        <w:tc>
          <w:tcPr>
            <w:tcW w:w="1417" w:type="dxa"/>
            <w:vAlign w:val="center"/>
          </w:tcPr>
          <w:p w14:paraId="04D6E0FF">
            <w:pPr>
              <w:pStyle w:val="35"/>
              <w:spacing w:before="0"/>
              <w:ind w:left="8" w:right="1"/>
              <w:jc w:val="both"/>
              <w:rPr>
                <w:rFonts w:ascii="Arial" w:hAnsi="Arial" w:cs="Arial"/>
                <w:sz w:val="20"/>
                <w:szCs w:val="20"/>
              </w:rPr>
            </w:pPr>
            <w:r>
              <w:rPr>
                <w:rFonts w:ascii="Arial" w:hAnsi="Arial" w:cs="Arial"/>
                <w:sz w:val="20"/>
                <w:szCs w:val="20"/>
              </w:rPr>
              <w:t xml:space="preserve">321 </w:t>
            </w:r>
            <w:r>
              <w:rPr>
                <w:rFonts w:ascii="Arial" w:hAnsi="Arial" w:cs="Arial"/>
                <w:spacing w:val="-2"/>
                <w:sz w:val="20"/>
                <w:szCs w:val="20"/>
              </w:rPr>
              <w:t>(86.1%)</w:t>
            </w:r>
          </w:p>
        </w:tc>
        <w:tc>
          <w:tcPr>
            <w:tcW w:w="1417" w:type="dxa"/>
            <w:vAlign w:val="center"/>
          </w:tcPr>
          <w:p w14:paraId="3B0CE2F8">
            <w:pPr>
              <w:pStyle w:val="35"/>
              <w:spacing w:before="0"/>
              <w:ind w:left="7" w:right="1"/>
              <w:jc w:val="both"/>
              <w:rPr>
                <w:rFonts w:ascii="Arial" w:hAnsi="Arial" w:cs="Arial"/>
                <w:sz w:val="20"/>
                <w:szCs w:val="20"/>
              </w:rPr>
            </w:pPr>
            <w:r>
              <w:rPr>
                <w:rFonts w:ascii="Arial" w:hAnsi="Arial" w:cs="Arial"/>
                <w:sz w:val="20"/>
                <w:szCs w:val="20"/>
              </w:rPr>
              <w:t xml:space="preserve">85 </w:t>
            </w:r>
            <w:r>
              <w:rPr>
                <w:rFonts w:ascii="Arial" w:hAnsi="Arial" w:cs="Arial"/>
                <w:spacing w:val="-2"/>
                <w:sz w:val="20"/>
                <w:szCs w:val="20"/>
              </w:rPr>
              <w:t>(69.7%)</w:t>
            </w:r>
          </w:p>
        </w:tc>
        <w:tc>
          <w:tcPr>
            <w:tcW w:w="624" w:type="dxa"/>
            <w:vAlign w:val="center"/>
          </w:tcPr>
          <w:p w14:paraId="1EF24B24">
            <w:pPr>
              <w:pStyle w:val="35"/>
              <w:spacing w:before="0"/>
              <w:ind w:left="1"/>
              <w:jc w:val="both"/>
              <w:rPr>
                <w:rFonts w:ascii="Arial" w:hAnsi="Arial" w:cs="Arial"/>
                <w:sz w:val="20"/>
                <w:szCs w:val="20"/>
              </w:rPr>
            </w:pPr>
            <w:r>
              <w:rPr>
                <w:rFonts w:ascii="Arial" w:hAnsi="Arial" w:cs="Arial"/>
                <w:i/>
                <w:spacing w:val="-2"/>
                <w:sz w:val="20"/>
                <w:szCs w:val="20"/>
              </w:rPr>
              <w:t>&lt;</w:t>
            </w:r>
            <w:r>
              <w:rPr>
                <w:rFonts w:ascii="Arial" w:hAnsi="Arial" w:cs="Arial"/>
                <w:spacing w:val="-2"/>
                <w:sz w:val="20"/>
                <w:szCs w:val="20"/>
              </w:rPr>
              <w:t>.001</w:t>
            </w:r>
          </w:p>
        </w:tc>
      </w:tr>
      <w:tr w14:paraId="2E2F3976">
        <w:trPr>
          <w:trHeight w:val="287" w:hRule="atLeast"/>
        </w:trPr>
        <w:tc>
          <w:tcPr>
            <w:tcW w:w="3288" w:type="dxa"/>
            <w:vAlign w:val="center"/>
          </w:tcPr>
          <w:p w14:paraId="47E4C3DA">
            <w:pPr>
              <w:pStyle w:val="35"/>
              <w:spacing w:before="0"/>
              <w:ind w:left="295"/>
              <w:jc w:val="both"/>
              <w:rPr>
                <w:rFonts w:ascii="Arial" w:hAnsi="Arial" w:cs="Arial"/>
                <w:sz w:val="20"/>
                <w:szCs w:val="20"/>
              </w:rPr>
            </w:pPr>
            <w:r>
              <w:rPr>
                <w:rFonts w:ascii="Arial" w:hAnsi="Arial" w:cs="Arial"/>
                <w:sz w:val="20"/>
                <w:szCs w:val="20"/>
              </w:rPr>
              <w:t>HFNC</w:t>
            </w:r>
            <w:r>
              <w:rPr>
                <w:rFonts w:ascii="Arial" w:hAnsi="Arial" w:cs="Arial"/>
                <w:spacing w:val="-7"/>
                <w:sz w:val="20"/>
                <w:szCs w:val="20"/>
              </w:rPr>
              <w:t xml:space="preserve"> </w:t>
            </w:r>
            <w:r>
              <w:rPr>
                <w:rFonts w:ascii="Arial" w:hAnsi="Arial" w:cs="Arial"/>
                <w:sz w:val="20"/>
                <w:szCs w:val="20"/>
              </w:rPr>
              <w:t>or</w:t>
            </w:r>
            <w:r>
              <w:rPr>
                <w:rFonts w:ascii="Arial" w:hAnsi="Arial" w:cs="Arial"/>
                <w:spacing w:val="-7"/>
                <w:sz w:val="20"/>
                <w:szCs w:val="20"/>
              </w:rPr>
              <w:t xml:space="preserve"> </w:t>
            </w:r>
            <w:r>
              <w:rPr>
                <w:rFonts w:ascii="Arial" w:hAnsi="Arial" w:cs="Arial"/>
                <w:sz w:val="20"/>
                <w:szCs w:val="20"/>
              </w:rPr>
              <w:t>noninvasive</w:t>
            </w:r>
            <w:r>
              <w:rPr>
                <w:rFonts w:ascii="Arial" w:hAnsi="Arial" w:cs="Arial"/>
                <w:spacing w:val="-7"/>
                <w:sz w:val="20"/>
                <w:szCs w:val="20"/>
              </w:rPr>
              <w:t xml:space="preserve"> </w:t>
            </w:r>
            <w:r>
              <w:rPr>
                <w:rFonts w:ascii="Arial" w:hAnsi="Arial" w:cs="Arial"/>
                <w:spacing w:val="-2"/>
                <w:sz w:val="20"/>
                <w:szCs w:val="20"/>
              </w:rPr>
              <w:t>ventilation</w:t>
            </w:r>
          </w:p>
        </w:tc>
        <w:tc>
          <w:tcPr>
            <w:tcW w:w="1406" w:type="dxa"/>
            <w:vAlign w:val="center"/>
          </w:tcPr>
          <w:p w14:paraId="4B5B0C2D">
            <w:pPr>
              <w:pStyle w:val="35"/>
              <w:spacing w:before="0"/>
              <w:jc w:val="both"/>
              <w:rPr>
                <w:rFonts w:ascii="Arial" w:hAnsi="Arial" w:cs="Arial"/>
                <w:spacing w:val="-8"/>
                <w:sz w:val="20"/>
                <w:szCs w:val="20"/>
              </w:rPr>
            </w:pPr>
            <w:r>
              <w:rPr>
                <w:rFonts w:hint="eastAsia" w:ascii="Arial" w:hAnsi="Arial" w:cs="Arial"/>
                <w:spacing w:val="-8"/>
                <w:sz w:val="20"/>
                <w:szCs w:val="20"/>
              </w:rPr>
              <w:t>4,303 (91.2%)</w:t>
            </w:r>
          </w:p>
        </w:tc>
        <w:tc>
          <w:tcPr>
            <w:tcW w:w="1587" w:type="dxa"/>
            <w:vAlign w:val="center"/>
          </w:tcPr>
          <w:p w14:paraId="197CAC6E">
            <w:pPr>
              <w:pStyle w:val="35"/>
              <w:spacing w:before="0"/>
              <w:ind w:left="19" w:right="16"/>
              <w:jc w:val="both"/>
              <w:rPr>
                <w:rFonts w:ascii="Arial" w:hAnsi="Arial" w:cs="Arial"/>
                <w:sz w:val="20"/>
                <w:szCs w:val="20"/>
              </w:rPr>
            </w:pPr>
            <w:r>
              <w:rPr>
                <w:rFonts w:ascii="Arial" w:hAnsi="Arial" w:cs="Arial"/>
                <w:sz w:val="20"/>
                <w:szCs w:val="20"/>
              </w:rPr>
              <w:t xml:space="preserve">3,895 </w:t>
            </w:r>
            <w:r>
              <w:rPr>
                <w:rFonts w:ascii="Arial" w:hAnsi="Arial" w:cs="Arial"/>
                <w:spacing w:val="-2"/>
                <w:sz w:val="20"/>
                <w:szCs w:val="20"/>
              </w:rPr>
              <w:t>(92.2%)</w:t>
            </w:r>
          </w:p>
        </w:tc>
        <w:tc>
          <w:tcPr>
            <w:tcW w:w="1417" w:type="dxa"/>
            <w:vAlign w:val="center"/>
          </w:tcPr>
          <w:p w14:paraId="6E05E92D">
            <w:pPr>
              <w:pStyle w:val="35"/>
              <w:spacing w:before="0"/>
              <w:ind w:left="8" w:right="1"/>
              <w:jc w:val="both"/>
              <w:rPr>
                <w:rFonts w:ascii="Arial" w:hAnsi="Arial" w:cs="Arial"/>
                <w:sz w:val="20"/>
                <w:szCs w:val="20"/>
              </w:rPr>
            </w:pPr>
            <w:r>
              <w:rPr>
                <w:rFonts w:ascii="Arial" w:hAnsi="Arial" w:cs="Arial"/>
                <w:sz w:val="20"/>
                <w:szCs w:val="20"/>
              </w:rPr>
              <w:t xml:space="preserve">325 </w:t>
            </w:r>
            <w:r>
              <w:rPr>
                <w:rFonts w:ascii="Arial" w:hAnsi="Arial" w:cs="Arial"/>
                <w:spacing w:val="-2"/>
                <w:sz w:val="20"/>
                <w:szCs w:val="20"/>
              </w:rPr>
              <w:t>(87.1%)</w:t>
            </w:r>
          </w:p>
        </w:tc>
        <w:tc>
          <w:tcPr>
            <w:tcW w:w="1417" w:type="dxa"/>
            <w:vAlign w:val="center"/>
          </w:tcPr>
          <w:p w14:paraId="43E2F448">
            <w:pPr>
              <w:pStyle w:val="35"/>
              <w:spacing w:before="0"/>
              <w:ind w:left="7" w:right="1"/>
              <w:jc w:val="both"/>
              <w:rPr>
                <w:rFonts w:ascii="Arial" w:hAnsi="Arial" w:cs="Arial"/>
                <w:sz w:val="20"/>
                <w:szCs w:val="20"/>
              </w:rPr>
            </w:pPr>
            <w:r>
              <w:rPr>
                <w:rFonts w:ascii="Arial" w:hAnsi="Arial" w:cs="Arial"/>
                <w:sz w:val="20"/>
                <w:szCs w:val="20"/>
              </w:rPr>
              <w:t xml:space="preserve">83 </w:t>
            </w:r>
            <w:r>
              <w:rPr>
                <w:rFonts w:ascii="Arial" w:hAnsi="Arial" w:cs="Arial"/>
                <w:spacing w:val="-2"/>
                <w:sz w:val="20"/>
                <w:szCs w:val="20"/>
              </w:rPr>
              <w:t>(68.0%)</w:t>
            </w:r>
          </w:p>
        </w:tc>
        <w:tc>
          <w:tcPr>
            <w:tcW w:w="624" w:type="dxa"/>
            <w:vAlign w:val="center"/>
          </w:tcPr>
          <w:p w14:paraId="7420A12B">
            <w:pPr>
              <w:pStyle w:val="35"/>
              <w:spacing w:before="0"/>
              <w:ind w:left="1"/>
              <w:jc w:val="both"/>
              <w:rPr>
                <w:rFonts w:ascii="Arial" w:hAnsi="Arial" w:cs="Arial"/>
                <w:sz w:val="20"/>
                <w:szCs w:val="20"/>
              </w:rPr>
            </w:pPr>
            <w:r>
              <w:rPr>
                <w:rFonts w:ascii="Arial" w:hAnsi="Arial" w:cs="Arial"/>
                <w:i/>
                <w:spacing w:val="-2"/>
                <w:sz w:val="20"/>
                <w:szCs w:val="20"/>
              </w:rPr>
              <w:t>&lt;</w:t>
            </w:r>
            <w:r>
              <w:rPr>
                <w:rFonts w:ascii="Arial" w:hAnsi="Arial" w:cs="Arial"/>
                <w:spacing w:val="-2"/>
                <w:sz w:val="20"/>
                <w:szCs w:val="20"/>
              </w:rPr>
              <w:t>.001</w:t>
            </w:r>
          </w:p>
        </w:tc>
      </w:tr>
      <w:tr w14:paraId="04E5C23E">
        <w:trPr>
          <w:trHeight w:val="287" w:hRule="atLeast"/>
        </w:trPr>
        <w:tc>
          <w:tcPr>
            <w:tcW w:w="3288" w:type="dxa"/>
            <w:vAlign w:val="center"/>
          </w:tcPr>
          <w:p w14:paraId="5C1BB6F9">
            <w:pPr>
              <w:pStyle w:val="35"/>
              <w:spacing w:before="0"/>
              <w:ind w:left="295"/>
              <w:jc w:val="both"/>
              <w:rPr>
                <w:rFonts w:ascii="Arial" w:hAnsi="Arial" w:cs="Arial"/>
                <w:sz w:val="20"/>
                <w:szCs w:val="20"/>
              </w:rPr>
            </w:pPr>
            <w:r>
              <w:rPr>
                <w:rFonts w:ascii="Arial" w:hAnsi="Arial" w:cs="Arial"/>
                <w:spacing w:val="-2"/>
                <w:sz w:val="20"/>
                <w:szCs w:val="20"/>
              </w:rPr>
              <w:t>Vasopressors</w:t>
            </w:r>
          </w:p>
        </w:tc>
        <w:tc>
          <w:tcPr>
            <w:tcW w:w="1406" w:type="dxa"/>
            <w:vAlign w:val="center"/>
          </w:tcPr>
          <w:p w14:paraId="461A559E">
            <w:pPr>
              <w:pStyle w:val="35"/>
              <w:spacing w:before="0"/>
              <w:jc w:val="both"/>
              <w:rPr>
                <w:rFonts w:ascii="Arial" w:hAnsi="Arial" w:cs="Arial"/>
                <w:spacing w:val="-8"/>
                <w:sz w:val="20"/>
                <w:szCs w:val="20"/>
              </w:rPr>
            </w:pPr>
            <w:r>
              <w:rPr>
                <w:rFonts w:hint="eastAsia" w:ascii="Arial" w:hAnsi="Arial" w:cs="Arial"/>
                <w:spacing w:val="-8"/>
                <w:sz w:val="20"/>
                <w:szCs w:val="20"/>
              </w:rPr>
              <w:t>3,843 (81.4%)</w:t>
            </w:r>
          </w:p>
        </w:tc>
        <w:tc>
          <w:tcPr>
            <w:tcW w:w="1587" w:type="dxa"/>
            <w:vAlign w:val="center"/>
          </w:tcPr>
          <w:p w14:paraId="597362AE">
            <w:pPr>
              <w:pStyle w:val="35"/>
              <w:spacing w:before="0"/>
              <w:ind w:left="19" w:right="16"/>
              <w:jc w:val="both"/>
              <w:rPr>
                <w:rFonts w:ascii="Arial" w:hAnsi="Arial" w:cs="Arial"/>
                <w:sz w:val="20"/>
                <w:szCs w:val="20"/>
              </w:rPr>
            </w:pPr>
            <w:r>
              <w:rPr>
                <w:rFonts w:ascii="Arial" w:hAnsi="Arial" w:cs="Arial"/>
                <w:sz w:val="20"/>
                <w:szCs w:val="20"/>
              </w:rPr>
              <w:t xml:space="preserve">3,544 </w:t>
            </w:r>
            <w:r>
              <w:rPr>
                <w:rFonts w:ascii="Arial" w:hAnsi="Arial" w:cs="Arial"/>
                <w:spacing w:val="-2"/>
                <w:sz w:val="20"/>
                <w:szCs w:val="20"/>
              </w:rPr>
              <w:t>(83.9%)</w:t>
            </w:r>
          </w:p>
        </w:tc>
        <w:tc>
          <w:tcPr>
            <w:tcW w:w="1417" w:type="dxa"/>
            <w:vAlign w:val="center"/>
          </w:tcPr>
          <w:p w14:paraId="0D170402">
            <w:pPr>
              <w:pStyle w:val="35"/>
              <w:spacing w:before="0"/>
              <w:ind w:left="8" w:right="1"/>
              <w:jc w:val="both"/>
              <w:rPr>
                <w:rFonts w:ascii="Arial" w:hAnsi="Arial" w:cs="Arial"/>
                <w:sz w:val="20"/>
                <w:szCs w:val="20"/>
              </w:rPr>
            </w:pPr>
            <w:r>
              <w:rPr>
                <w:rFonts w:ascii="Arial" w:hAnsi="Arial" w:cs="Arial"/>
                <w:sz w:val="20"/>
                <w:szCs w:val="20"/>
              </w:rPr>
              <w:t xml:space="preserve">227 </w:t>
            </w:r>
            <w:r>
              <w:rPr>
                <w:rFonts w:ascii="Arial" w:hAnsi="Arial" w:cs="Arial"/>
                <w:spacing w:val="-2"/>
                <w:sz w:val="20"/>
                <w:szCs w:val="20"/>
              </w:rPr>
              <w:t>(60.9%)</w:t>
            </w:r>
          </w:p>
        </w:tc>
        <w:tc>
          <w:tcPr>
            <w:tcW w:w="1417" w:type="dxa"/>
            <w:vAlign w:val="center"/>
          </w:tcPr>
          <w:p w14:paraId="4ECEAC7C">
            <w:pPr>
              <w:pStyle w:val="35"/>
              <w:spacing w:before="0"/>
              <w:ind w:left="7" w:right="1"/>
              <w:jc w:val="both"/>
              <w:rPr>
                <w:rFonts w:ascii="Arial" w:hAnsi="Arial" w:cs="Arial"/>
                <w:sz w:val="20"/>
                <w:szCs w:val="20"/>
              </w:rPr>
            </w:pPr>
            <w:r>
              <w:rPr>
                <w:rFonts w:ascii="Arial" w:hAnsi="Arial" w:cs="Arial"/>
                <w:sz w:val="20"/>
                <w:szCs w:val="20"/>
              </w:rPr>
              <w:t xml:space="preserve">72 </w:t>
            </w:r>
            <w:r>
              <w:rPr>
                <w:rFonts w:ascii="Arial" w:hAnsi="Arial" w:cs="Arial"/>
                <w:spacing w:val="-2"/>
                <w:sz w:val="20"/>
                <w:szCs w:val="20"/>
              </w:rPr>
              <w:t>(59.0%)</w:t>
            </w:r>
          </w:p>
        </w:tc>
        <w:tc>
          <w:tcPr>
            <w:tcW w:w="624" w:type="dxa"/>
            <w:vAlign w:val="center"/>
          </w:tcPr>
          <w:p w14:paraId="2FC6E96B">
            <w:pPr>
              <w:pStyle w:val="35"/>
              <w:spacing w:before="0"/>
              <w:ind w:left="1"/>
              <w:jc w:val="both"/>
              <w:rPr>
                <w:rFonts w:ascii="Arial" w:hAnsi="Arial" w:cs="Arial"/>
                <w:sz w:val="20"/>
                <w:szCs w:val="20"/>
              </w:rPr>
            </w:pPr>
            <w:r>
              <w:rPr>
                <w:rFonts w:ascii="Arial" w:hAnsi="Arial" w:cs="Arial"/>
                <w:i/>
                <w:spacing w:val="-2"/>
                <w:sz w:val="20"/>
                <w:szCs w:val="20"/>
              </w:rPr>
              <w:t>&lt;</w:t>
            </w:r>
            <w:r>
              <w:rPr>
                <w:rFonts w:ascii="Arial" w:hAnsi="Arial" w:cs="Arial"/>
                <w:spacing w:val="-2"/>
                <w:sz w:val="20"/>
                <w:szCs w:val="20"/>
              </w:rPr>
              <w:t>.001</w:t>
            </w:r>
          </w:p>
        </w:tc>
      </w:tr>
      <w:tr w14:paraId="64C171E3">
        <w:trPr>
          <w:trHeight w:val="276" w:hRule="atLeast"/>
        </w:trPr>
        <w:tc>
          <w:tcPr>
            <w:tcW w:w="3288" w:type="dxa"/>
            <w:vAlign w:val="center"/>
          </w:tcPr>
          <w:p w14:paraId="7CC8AD62">
            <w:pPr>
              <w:pStyle w:val="35"/>
              <w:spacing w:before="0"/>
              <w:ind w:left="295"/>
              <w:jc w:val="both"/>
              <w:rPr>
                <w:rFonts w:ascii="Arial" w:hAnsi="Arial" w:cs="Arial"/>
                <w:sz w:val="20"/>
                <w:szCs w:val="20"/>
              </w:rPr>
            </w:pPr>
            <w:r>
              <w:rPr>
                <w:rFonts w:ascii="Arial" w:hAnsi="Arial" w:cs="Arial"/>
                <w:sz w:val="20"/>
                <w:szCs w:val="20"/>
              </w:rPr>
              <w:t xml:space="preserve">Renal replacement </w:t>
            </w:r>
            <w:r>
              <w:rPr>
                <w:rFonts w:ascii="Arial" w:hAnsi="Arial" w:cs="Arial"/>
                <w:spacing w:val="-2"/>
                <w:sz w:val="20"/>
                <w:szCs w:val="20"/>
              </w:rPr>
              <w:t>therapy</w:t>
            </w:r>
          </w:p>
        </w:tc>
        <w:tc>
          <w:tcPr>
            <w:tcW w:w="1406" w:type="dxa"/>
            <w:vAlign w:val="center"/>
          </w:tcPr>
          <w:p w14:paraId="3BA32FF6">
            <w:pPr>
              <w:pStyle w:val="35"/>
              <w:spacing w:before="0"/>
              <w:jc w:val="both"/>
              <w:rPr>
                <w:rFonts w:ascii="Arial" w:hAnsi="Arial" w:cs="Arial"/>
                <w:spacing w:val="-8"/>
                <w:sz w:val="20"/>
                <w:szCs w:val="20"/>
              </w:rPr>
            </w:pPr>
            <w:r>
              <w:rPr>
                <w:rFonts w:hint="eastAsia" w:ascii="Arial" w:hAnsi="Arial" w:cs="Arial"/>
                <w:spacing w:val="-8"/>
                <w:sz w:val="20"/>
                <w:szCs w:val="20"/>
              </w:rPr>
              <w:t>218 (4.6%)</w:t>
            </w:r>
          </w:p>
        </w:tc>
        <w:tc>
          <w:tcPr>
            <w:tcW w:w="1587" w:type="dxa"/>
            <w:vAlign w:val="center"/>
          </w:tcPr>
          <w:p w14:paraId="4A202848">
            <w:pPr>
              <w:pStyle w:val="35"/>
              <w:spacing w:before="0"/>
              <w:ind w:left="19" w:right="16"/>
              <w:jc w:val="both"/>
              <w:rPr>
                <w:rFonts w:ascii="Arial" w:hAnsi="Arial" w:cs="Arial"/>
                <w:sz w:val="20"/>
                <w:szCs w:val="20"/>
              </w:rPr>
            </w:pPr>
            <w:r>
              <w:rPr>
                <w:rFonts w:ascii="Arial" w:hAnsi="Arial" w:cs="Arial"/>
                <w:sz w:val="20"/>
                <w:szCs w:val="20"/>
              </w:rPr>
              <w:t xml:space="preserve">209 </w:t>
            </w:r>
            <w:r>
              <w:rPr>
                <w:rFonts w:ascii="Arial" w:hAnsi="Arial" w:cs="Arial"/>
                <w:spacing w:val="-2"/>
                <w:sz w:val="20"/>
                <w:szCs w:val="20"/>
              </w:rPr>
              <w:t>(4.9%)</w:t>
            </w:r>
          </w:p>
        </w:tc>
        <w:tc>
          <w:tcPr>
            <w:tcW w:w="1417" w:type="dxa"/>
            <w:vAlign w:val="center"/>
          </w:tcPr>
          <w:p w14:paraId="6FFD9CE3">
            <w:pPr>
              <w:pStyle w:val="35"/>
              <w:spacing w:before="0"/>
              <w:ind w:left="8" w:right="1"/>
              <w:jc w:val="both"/>
              <w:rPr>
                <w:rFonts w:ascii="Arial" w:hAnsi="Arial" w:cs="Arial"/>
                <w:sz w:val="20"/>
                <w:szCs w:val="20"/>
              </w:rPr>
            </w:pPr>
            <w:r>
              <w:rPr>
                <w:rFonts w:ascii="Arial" w:hAnsi="Arial" w:cs="Arial"/>
                <w:sz w:val="20"/>
                <w:szCs w:val="20"/>
              </w:rPr>
              <w:t xml:space="preserve">6 </w:t>
            </w:r>
            <w:r>
              <w:rPr>
                <w:rFonts w:ascii="Arial" w:hAnsi="Arial" w:cs="Arial"/>
                <w:spacing w:val="-2"/>
                <w:sz w:val="20"/>
                <w:szCs w:val="20"/>
              </w:rPr>
              <w:t>(1.6%)</w:t>
            </w:r>
          </w:p>
        </w:tc>
        <w:tc>
          <w:tcPr>
            <w:tcW w:w="1417" w:type="dxa"/>
            <w:vAlign w:val="center"/>
          </w:tcPr>
          <w:p w14:paraId="6489B355">
            <w:pPr>
              <w:pStyle w:val="35"/>
              <w:spacing w:before="0"/>
              <w:ind w:left="7" w:right="1"/>
              <w:jc w:val="both"/>
              <w:rPr>
                <w:rFonts w:ascii="Arial" w:hAnsi="Arial" w:cs="Arial"/>
                <w:sz w:val="20"/>
                <w:szCs w:val="20"/>
              </w:rPr>
            </w:pPr>
            <w:r>
              <w:rPr>
                <w:rFonts w:ascii="Arial" w:hAnsi="Arial" w:cs="Arial"/>
                <w:sz w:val="20"/>
                <w:szCs w:val="20"/>
              </w:rPr>
              <w:t xml:space="preserve">3 </w:t>
            </w:r>
            <w:r>
              <w:rPr>
                <w:rFonts w:ascii="Arial" w:hAnsi="Arial" w:cs="Arial"/>
                <w:spacing w:val="-2"/>
                <w:sz w:val="20"/>
                <w:szCs w:val="20"/>
              </w:rPr>
              <w:t>(2.5%)</w:t>
            </w:r>
          </w:p>
        </w:tc>
        <w:tc>
          <w:tcPr>
            <w:tcW w:w="624" w:type="dxa"/>
            <w:vAlign w:val="center"/>
          </w:tcPr>
          <w:p w14:paraId="27BCE7A9">
            <w:pPr>
              <w:pStyle w:val="35"/>
              <w:spacing w:before="0"/>
              <w:ind w:left="1"/>
              <w:jc w:val="both"/>
              <w:rPr>
                <w:rFonts w:ascii="Arial" w:hAnsi="Arial" w:cs="Arial"/>
                <w:sz w:val="20"/>
                <w:szCs w:val="20"/>
              </w:rPr>
            </w:pPr>
            <w:r>
              <w:rPr>
                <w:rFonts w:ascii="Arial" w:hAnsi="Arial" w:cs="Arial"/>
                <w:spacing w:val="-2"/>
                <w:sz w:val="20"/>
                <w:szCs w:val="20"/>
              </w:rPr>
              <w:t>.007</w:t>
            </w:r>
          </w:p>
        </w:tc>
      </w:tr>
      <w:tr w14:paraId="3552C69A">
        <w:trPr>
          <w:trHeight w:val="334" w:hRule="atLeast"/>
        </w:trPr>
        <w:tc>
          <w:tcPr>
            <w:tcW w:w="3288" w:type="dxa"/>
            <w:tcBorders>
              <w:bottom w:val="single" w:color="auto" w:sz="12" w:space="0"/>
            </w:tcBorders>
            <w:vAlign w:val="center"/>
          </w:tcPr>
          <w:p w14:paraId="31556A51">
            <w:pPr>
              <w:pStyle w:val="35"/>
              <w:spacing w:before="0"/>
              <w:ind w:left="295"/>
              <w:jc w:val="both"/>
              <w:rPr>
                <w:rFonts w:ascii="Arial" w:hAnsi="Arial" w:cs="Arial"/>
                <w:sz w:val="20"/>
                <w:szCs w:val="20"/>
              </w:rPr>
            </w:pPr>
            <w:r>
              <w:rPr>
                <w:rFonts w:ascii="Arial" w:hAnsi="Arial" w:cs="Arial"/>
                <w:sz w:val="20"/>
                <w:szCs w:val="20"/>
              </w:rPr>
              <w:t xml:space="preserve">Mechanical circulatory </w:t>
            </w:r>
            <w:r>
              <w:rPr>
                <w:rFonts w:ascii="Arial" w:hAnsi="Arial" w:cs="Arial"/>
                <w:spacing w:val="-2"/>
                <w:sz w:val="20"/>
                <w:szCs w:val="20"/>
              </w:rPr>
              <w:t>support</w:t>
            </w:r>
            <w:r>
              <w:rPr>
                <w:rFonts w:ascii="Arial" w:hAnsi="Arial" w:cs="Arial"/>
                <w:spacing w:val="-2"/>
                <w:sz w:val="20"/>
                <w:szCs w:val="20"/>
                <w:vertAlign w:val="superscript"/>
              </w:rPr>
              <w:t>c</w:t>
            </w:r>
          </w:p>
        </w:tc>
        <w:tc>
          <w:tcPr>
            <w:tcW w:w="1406" w:type="dxa"/>
            <w:tcBorders>
              <w:bottom w:val="single" w:color="auto" w:sz="12" w:space="0"/>
            </w:tcBorders>
            <w:vAlign w:val="center"/>
          </w:tcPr>
          <w:p w14:paraId="1F359AA6">
            <w:pPr>
              <w:pStyle w:val="35"/>
              <w:spacing w:before="0"/>
              <w:jc w:val="both"/>
              <w:rPr>
                <w:rFonts w:ascii="Arial" w:hAnsi="Arial" w:cs="Arial"/>
                <w:spacing w:val="-8"/>
                <w:sz w:val="20"/>
                <w:szCs w:val="20"/>
              </w:rPr>
            </w:pPr>
            <w:r>
              <w:rPr>
                <w:rFonts w:hint="eastAsia" w:ascii="Arial" w:hAnsi="Arial" w:cs="Arial"/>
                <w:spacing w:val="-8"/>
                <w:sz w:val="20"/>
                <w:szCs w:val="20"/>
              </w:rPr>
              <w:t>88 (1.9%)</w:t>
            </w:r>
          </w:p>
        </w:tc>
        <w:tc>
          <w:tcPr>
            <w:tcW w:w="1587" w:type="dxa"/>
            <w:tcBorders>
              <w:bottom w:val="single" w:color="auto" w:sz="12" w:space="0"/>
            </w:tcBorders>
            <w:vAlign w:val="center"/>
          </w:tcPr>
          <w:p w14:paraId="4E1268EC">
            <w:pPr>
              <w:pStyle w:val="35"/>
              <w:spacing w:before="0"/>
              <w:ind w:left="19" w:right="16"/>
              <w:jc w:val="both"/>
              <w:rPr>
                <w:rFonts w:ascii="Arial" w:hAnsi="Arial" w:cs="Arial"/>
                <w:sz w:val="20"/>
                <w:szCs w:val="20"/>
              </w:rPr>
            </w:pPr>
            <w:r>
              <w:rPr>
                <w:rFonts w:ascii="Arial" w:hAnsi="Arial" w:cs="Arial"/>
                <w:sz w:val="20"/>
                <w:szCs w:val="20"/>
              </w:rPr>
              <w:t xml:space="preserve">85 </w:t>
            </w:r>
            <w:r>
              <w:rPr>
                <w:rFonts w:ascii="Arial" w:hAnsi="Arial" w:cs="Arial"/>
                <w:spacing w:val="-2"/>
                <w:sz w:val="20"/>
                <w:szCs w:val="20"/>
              </w:rPr>
              <w:t>(2.0%)</w:t>
            </w:r>
          </w:p>
        </w:tc>
        <w:tc>
          <w:tcPr>
            <w:tcW w:w="1417" w:type="dxa"/>
            <w:tcBorders>
              <w:bottom w:val="single" w:color="auto" w:sz="12" w:space="0"/>
            </w:tcBorders>
            <w:vAlign w:val="center"/>
          </w:tcPr>
          <w:p w14:paraId="04AD6EE5">
            <w:pPr>
              <w:pStyle w:val="35"/>
              <w:spacing w:before="0"/>
              <w:ind w:left="8" w:right="1"/>
              <w:jc w:val="both"/>
              <w:rPr>
                <w:rFonts w:ascii="Arial" w:hAnsi="Arial" w:cs="Arial"/>
                <w:sz w:val="20"/>
                <w:szCs w:val="20"/>
              </w:rPr>
            </w:pPr>
            <w:r>
              <w:rPr>
                <w:rFonts w:ascii="Arial" w:hAnsi="Arial" w:cs="Arial"/>
                <w:sz w:val="20"/>
                <w:szCs w:val="20"/>
              </w:rPr>
              <w:t xml:space="preserve">2 </w:t>
            </w:r>
            <w:r>
              <w:rPr>
                <w:rFonts w:ascii="Arial" w:hAnsi="Arial" w:cs="Arial"/>
                <w:spacing w:val="-2"/>
                <w:sz w:val="20"/>
                <w:szCs w:val="20"/>
              </w:rPr>
              <w:t>(0.5%)</w:t>
            </w:r>
          </w:p>
        </w:tc>
        <w:tc>
          <w:tcPr>
            <w:tcW w:w="1417" w:type="dxa"/>
            <w:tcBorders>
              <w:bottom w:val="single" w:color="auto" w:sz="12" w:space="0"/>
            </w:tcBorders>
            <w:vAlign w:val="center"/>
          </w:tcPr>
          <w:p w14:paraId="1CD2F580">
            <w:pPr>
              <w:pStyle w:val="35"/>
              <w:spacing w:before="0"/>
              <w:ind w:left="7" w:right="1"/>
              <w:jc w:val="both"/>
              <w:rPr>
                <w:rFonts w:ascii="Arial" w:hAnsi="Arial" w:cs="Arial"/>
                <w:sz w:val="20"/>
                <w:szCs w:val="20"/>
              </w:rPr>
            </w:pPr>
            <w:r>
              <w:rPr>
                <w:rFonts w:ascii="Arial" w:hAnsi="Arial" w:cs="Arial"/>
                <w:sz w:val="20"/>
                <w:szCs w:val="20"/>
              </w:rPr>
              <w:t xml:space="preserve">1 </w:t>
            </w:r>
            <w:r>
              <w:rPr>
                <w:rFonts w:ascii="Arial" w:hAnsi="Arial" w:cs="Arial"/>
                <w:spacing w:val="-2"/>
                <w:sz w:val="20"/>
                <w:szCs w:val="20"/>
              </w:rPr>
              <w:t>(0.8%)</w:t>
            </w:r>
          </w:p>
        </w:tc>
        <w:tc>
          <w:tcPr>
            <w:tcW w:w="624" w:type="dxa"/>
            <w:tcBorders>
              <w:bottom w:val="single" w:color="auto" w:sz="12" w:space="0"/>
            </w:tcBorders>
            <w:vAlign w:val="center"/>
          </w:tcPr>
          <w:p w14:paraId="4D238446">
            <w:pPr>
              <w:pStyle w:val="35"/>
              <w:spacing w:before="0"/>
              <w:ind w:left="1"/>
              <w:jc w:val="both"/>
              <w:rPr>
                <w:rFonts w:ascii="Arial" w:hAnsi="Arial" w:cs="Arial"/>
                <w:sz w:val="20"/>
                <w:szCs w:val="20"/>
              </w:rPr>
            </w:pPr>
            <w:r>
              <w:rPr>
                <w:rFonts w:ascii="Arial" w:hAnsi="Arial" w:cs="Arial"/>
                <w:spacing w:val="-4"/>
                <w:sz w:val="20"/>
                <w:szCs w:val="20"/>
              </w:rPr>
              <w:t>.09</w:t>
            </w:r>
          </w:p>
        </w:tc>
      </w:tr>
    </w:tbl>
    <w:p w14:paraId="77C19130">
      <w:pPr>
        <w:rPr>
          <w:rFonts w:ascii="Arial" w:hAnsi="Arial" w:cs="Arial" w:eastAsiaTheme="minorEastAsia"/>
          <w:sz w:val="16"/>
          <w:szCs w:val="16"/>
          <w:lang w:eastAsia="zh-CN"/>
        </w:rPr>
      </w:pPr>
      <w:r>
        <w:rPr>
          <w:rFonts w:hint="eastAsia" w:ascii="Arial" w:hAnsi="Arial" w:cs="Arial"/>
          <w:sz w:val="16"/>
          <w:szCs w:val="16"/>
        </w:rPr>
        <w:t>Total SOFA scores were assessed at the time of sepsis diagnosis, whereas organ-support utilization was defined as the proportion of patients receiving organ-support within the first 24 hours after sepsis diagnosis.</w:t>
      </w:r>
    </w:p>
    <w:p w14:paraId="3C259279">
      <w:pPr>
        <w:rPr>
          <w:rFonts w:ascii="Arial" w:hAnsi="Arial" w:cs="Arial"/>
          <w:sz w:val="16"/>
          <w:szCs w:val="16"/>
        </w:rPr>
      </w:pPr>
      <w:r>
        <w:rPr>
          <w:rFonts w:ascii="Arial" w:hAnsi="Arial" w:cs="Arial"/>
          <w:sz w:val="16"/>
          <w:szCs w:val="16"/>
        </w:rPr>
        <w:t>Abbreviations:</w:t>
      </w:r>
      <w:r>
        <w:rPr>
          <w:rFonts w:ascii="Arial" w:hAnsi="Arial" w:cs="Arial"/>
          <w:spacing w:val="-7"/>
          <w:sz w:val="16"/>
          <w:szCs w:val="16"/>
        </w:rPr>
        <w:t xml:space="preserve"> </w:t>
      </w:r>
      <w:r>
        <w:rPr>
          <w:rFonts w:ascii="Arial" w:hAnsi="Arial" w:cs="Arial"/>
          <w:sz w:val="16"/>
          <w:szCs w:val="16"/>
        </w:rPr>
        <w:t>HFNC,</w:t>
      </w:r>
      <w:r>
        <w:rPr>
          <w:rFonts w:ascii="Arial" w:hAnsi="Arial" w:cs="Arial"/>
          <w:spacing w:val="-11"/>
          <w:sz w:val="16"/>
          <w:szCs w:val="16"/>
        </w:rPr>
        <w:t xml:space="preserve"> </w:t>
      </w:r>
      <w:r>
        <w:rPr>
          <w:rFonts w:ascii="Arial" w:hAnsi="Arial" w:cs="Arial"/>
          <w:sz w:val="16"/>
          <w:szCs w:val="16"/>
        </w:rPr>
        <w:t>high-flow</w:t>
      </w:r>
      <w:r>
        <w:rPr>
          <w:rFonts w:ascii="Arial" w:hAnsi="Arial" w:cs="Arial"/>
          <w:spacing w:val="-12"/>
          <w:sz w:val="16"/>
          <w:szCs w:val="16"/>
        </w:rPr>
        <w:t xml:space="preserve"> </w:t>
      </w:r>
      <w:r>
        <w:rPr>
          <w:rFonts w:ascii="Arial" w:hAnsi="Arial" w:cs="Arial"/>
          <w:sz w:val="16"/>
          <w:szCs w:val="16"/>
        </w:rPr>
        <w:t>nasal</w:t>
      </w:r>
      <w:r>
        <w:rPr>
          <w:rFonts w:ascii="Arial" w:hAnsi="Arial" w:cs="Arial"/>
          <w:spacing w:val="-11"/>
          <w:sz w:val="16"/>
          <w:szCs w:val="16"/>
        </w:rPr>
        <w:t xml:space="preserve"> </w:t>
      </w:r>
      <w:r>
        <w:rPr>
          <w:rFonts w:ascii="Arial" w:hAnsi="Arial" w:cs="Arial"/>
          <w:sz w:val="16"/>
          <w:szCs w:val="16"/>
        </w:rPr>
        <w:t>cannula;</w:t>
      </w:r>
      <w:r>
        <w:rPr>
          <w:rFonts w:ascii="Arial" w:hAnsi="Arial" w:cs="Arial"/>
          <w:spacing w:val="-11"/>
          <w:sz w:val="16"/>
          <w:szCs w:val="16"/>
        </w:rPr>
        <w:t xml:space="preserve"> </w:t>
      </w:r>
      <w:r>
        <w:rPr>
          <w:rFonts w:ascii="Arial" w:hAnsi="Arial" w:cs="Arial"/>
          <w:sz w:val="16"/>
          <w:szCs w:val="16"/>
        </w:rPr>
        <w:t>SOFA,</w:t>
      </w:r>
      <w:r>
        <w:rPr>
          <w:rFonts w:ascii="Arial" w:hAnsi="Arial" w:cs="Arial"/>
          <w:spacing w:val="-11"/>
          <w:sz w:val="16"/>
          <w:szCs w:val="16"/>
        </w:rPr>
        <w:t xml:space="preserve"> </w:t>
      </w:r>
      <w:r>
        <w:rPr>
          <w:rFonts w:ascii="Arial" w:hAnsi="Arial" w:cs="Arial"/>
          <w:sz w:val="16"/>
          <w:szCs w:val="16"/>
        </w:rPr>
        <w:t>Sequential</w:t>
      </w:r>
      <w:r>
        <w:rPr>
          <w:rFonts w:ascii="Arial" w:hAnsi="Arial" w:cs="Arial"/>
          <w:spacing w:val="-12"/>
          <w:sz w:val="16"/>
          <w:szCs w:val="16"/>
        </w:rPr>
        <w:t xml:space="preserve"> </w:t>
      </w:r>
      <w:r>
        <w:rPr>
          <w:rFonts w:ascii="Arial" w:hAnsi="Arial" w:cs="Arial"/>
          <w:sz w:val="16"/>
          <w:szCs w:val="16"/>
        </w:rPr>
        <w:t>Organ</w:t>
      </w:r>
      <w:r>
        <w:rPr>
          <w:rFonts w:ascii="Arial" w:hAnsi="Arial" w:cs="Arial"/>
          <w:spacing w:val="-11"/>
          <w:sz w:val="16"/>
          <w:szCs w:val="16"/>
        </w:rPr>
        <w:t xml:space="preserve"> </w:t>
      </w:r>
      <w:r>
        <w:rPr>
          <w:rFonts w:ascii="Arial" w:hAnsi="Arial" w:cs="Arial"/>
          <w:sz w:val="16"/>
          <w:szCs w:val="16"/>
        </w:rPr>
        <w:t>Failure</w:t>
      </w:r>
      <w:r>
        <w:rPr>
          <w:rFonts w:ascii="Arial" w:hAnsi="Arial" w:cs="Arial"/>
          <w:spacing w:val="-11"/>
          <w:sz w:val="16"/>
          <w:szCs w:val="16"/>
        </w:rPr>
        <w:t xml:space="preserve"> </w:t>
      </w:r>
      <w:r>
        <w:rPr>
          <w:rFonts w:ascii="Arial" w:hAnsi="Arial" w:cs="Arial"/>
          <w:spacing w:val="-2"/>
          <w:sz w:val="16"/>
          <w:szCs w:val="16"/>
        </w:rPr>
        <w:t>Assessment.</w:t>
      </w:r>
    </w:p>
    <w:p w14:paraId="42E2A095">
      <w:pPr>
        <w:rPr>
          <w:rFonts w:ascii="Arial" w:hAnsi="Arial" w:cs="Arial"/>
          <w:sz w:val="16"/>
          <w:szCs w:val="16"/>
        </w:rPr>
      </w:pPr>
      <w:r>
        <w:rPr>
          <w:rFonts w:ascii="Arial" w:hAnsi="Arial" w:cs="Arial"/>
          <w:sz w:val="16"/>
          <w:szCs w:val="16"/>
          <w:vertAlign w:val="superscript"/>
        </w:rPr>
        <w:t>a</w:t>
      </w:r>
      <w:r>
        <w:rPr>
          <w:rFonts w:ascii="Arial" w:hAnsi="Arial" w:cs="Arial"/>
          <w:spacing w:val="1"/>
          <w:sz w:val="16"/>
          <w:szCs w:val="16"/>
        </w:rPr>
        <w:t xml:space="preserve"> </w:t>
      </w:r>
      <w:r>
        <w:rPr>
          <w:rFonts w:ascii="Arial" w:hAnsi="Arial" w:cs="Arial"/>
          <w:sz w:val="16"/>
          <w:szCs w:val="16"/>
        </w:rPr>
        <w:t>Scores</w:t>
      </w:r>
      <w:r>
        <w:rPr>
          <w:rFonts w:ascii="Arial" w:hAnsi="Arial" w:cs="Arial"/>
          <w:spacing w:val="-8"/>
          <w:sz w:val="16"/>
          <w:szCs w:val="16"/>
        </w:rPr>
        <w:t xml:space="preserve"> </w:t>
      </w:r>
      <w:r>
        <w:rPr>
          <w:rFonts w:ascii="Arial" w:hAnsi="Arial" w:cs="Arial"/>
          <w:sz w:val="16"/>
          <w:szCs w:val="16"/>
        </w:rPr>
        <w:t>for</w:t>
      </w:r>
      <w:r>
        <w:rPr>
          <w:rFonts w:ascii="Arial" w:hAnsi="Arial" w:cs="Arial"/>
          <w:spacing w:val="-7"/>
          <w:sz w:val="16"/>
          <w:szCs w:val="16"/>
        </w:rPr>
        <w:t xml:space="preserve"> </w:t>
      </w:r>
      <w:r>
        <w:rPr>
          <w:rFonts w:ascii="Arial" w:hAnsi="Arial" w:cs="Arial"/>
          <w:sz w:val="16"/>
          <w:szCs w:val="16"/>
        </w:rPr>
        <w:t>the</w:t>
      </w:r>
      <w:r>
        <w:rPr>
          <w:rFonts w:ascii="Arial" w:hAnsi="Arial" w:cs="Arial"/>
          <w:spacing w:val="-8"/>
          <w:sz w:val="16"/>
          <w:szCs w:val="16"/>
        </w:rPr>
        <w:t xml:space="preserve"> </w:t>
      </w:r>
      <w:r>
        <w:rPr>
          <w:rFonts w:ascii="Arial" w:hAnsi="Arial" w:cs="Arial"/>
          <w:sz w:val="16"/>
          <w:szCs w:val="16"/>
        </w:rPr>
        <w:t>Concordant</w:t>
      </w:r>
      <w:r>
        <w:rPr>
          <w:rFonts w:ascii="Arial" w:hAnsi="Arial" w:cs="Arial"/>
          <w:spacing w:val="-7"/>
          <w:sz w:val="16"/>
          <w:szCs w:val="16"/>
        </w:rPr>
        <w:t xml:space="preserve"> </w:t>
      </w:r>
      <w:r>
        <w:rPr>
          <w:rFonts w:ascii="Arial" w:hAnsi="Arial" w:cs="Arial"/>
          <w:sz w:val="16"/>
          <w:szCs w:val="16"/>
        </w:rPr>
        <w:t>Positive</w:t>
      </w:r>
      <w:r>
        <w:rPr>
          <w:rFonts w:ascii="Arial" w:hAnsi="Arial" w:cs="Arial"/>
          <w:spacing w:val="-8"/>
          <w:sz w:val="16"/>
          <w:szCs w:val="16"/>
        </w:rPr>
        <w:t xml:space="preserve"> </w:t>
      </w:r>
      <w:r>
        <w:rPr>
          <w:rFonts w:ascii="Arial" w:hAnsi="Arial" w:cs="Arial"/>
          <w:sz w:val="16"/>
          <w:szCs w:val="16"/>
        </w:rPr>
        <w:t>and</w:t>
      </w:r>
      <w:r>
        <w:rPr>
          <w:rFonts w:ascii="Arial" w:hAnsi="Arial" w:cs="Arial"/>
          <w:spacing w:val="-7"/>
          <w:sz w:val="16"/>
          <w:szCs w:val="16"/>
        </w:rPr>
        <w:t xml:space="preserve"> </w:t>
      </w:r>
      <w:r>
        <w:rPr>
          <w:rFonts w:ascii="Arial" w:hAnsi="Arial" w:cs="Arial"/>
          <w:sz w:val="16"/>
          <w:szCs w:val="16"/>
        </w:rPr>
        <w:t>SOFA-2</w:t>
      </w:r>
      <w:r>
        <w:rPr>
          <w:rFonts w:ascii="Arial" w:hAnsi="Arial" w:cs="Arial"/>
          <w:spacing w:val="-8"/>
          <w:sz w:val="16"/>
          <w:szCs w:val="16"/>
        </w:rPr>
        <w:t xml:space="preserve"> </w:t>
      </w:r>
      <w:r>
        <w:rPr>
          <w:rFonts w:ascii="Arial" w:hAnsi="Arial" w:cs="Arial"/>
          <w:sz w:val="16"/>
          <w:szCs w:val="16"/>
        </w:rPr>
        <w:t>Only</w:t>
      </w:r>
      <w:r>
        <w:rPr>
          <w:rFonts w:ascii="Arial" w:hAnsi="Arial" w:cs="Arial"/>
          <w:spacing w:val="-7"/>
          <w:sz w:val="16"/>
          <w:szCs w:val="16"/>
        </w:rPr>
        <w:t xml:space="preserve"> </w:t>
      </w:r>
      <w:r>
        <w:rPr>
          <w:rFonts w:ascii="Arial" w:hAnsi="Arial" w:cs="Arial"/>
          <w:sz w:val="16"/>
          <w:szCs w:val="16"/>
        </w:rPr>
        <w:t>groups</w:t>
      </w:r>
      <w:r>
        <w:rPr>
          <w:rFonts w:ascii="Arial" w:hAnsi="Arial" w:cs="Arial"/>
          <w:spacing w:val="-8"/>
          <w:sz w:val="16"/>
          <w:szCs w:val="16"/>
        </w:rPr>
        <w:t xml:space="preserve"> </w:t>
      </w:r>
      <w:r>
        <w:rPr>
          <w:rFonts w:ascii="Arial" w:hAnsi="Arial" w:cs="Arial"/>
          <w:sz w:val="16"/>
          <w:szCs w:val="16"/>
        </w:rPr>
        <w:t>are</w:t>
      </w:r>
      <w:r>
        <w:rPr>
          <w:rFonts w:ascii="Arial" w:hAnsi="Arial" w:cs="Arial"/>
          <w:spacing w:val="-7"/>
          <w:sz w:val="16"/>
          <w:szCs w:val="16"/>
        </w:rPr>
        <w:t xml:space="preserve"> </w:t>
      </w:r>
      <w:r>
        <w:rPr>
          <w:rFonts w:ascii="Arial" w:hAnsi="Arial" w:cs="Arial"/>
          <w:sz w:val="16"/>
          <w:szCs w:val="16"/>
        </w:rPr>
        <w:t>calculated</w:t>
      </w:r>
      <w:r>
        <w:rPr>
          <w:rFonts w:ascii="Arial" w:hAnsi="Arial" w:cs="Arial"/>
          <w:spacing w:val="-8"/>
          <w:sz w:val="16"/>
          <w:szCs w:val="16"/>
        </w:rPr>
        <w:t xml:space="preserve"> </w:t>
      </w:r>
      <w:r>
        <w:rPr>
          <w:rFonts w:ascii="Arial" w:hAnsi="Arial" w:cs="Arial"/>
          <w:sz w:val="16"/>
          <w:szCs w:val="16"/>
        </w:rPr>
        <w:t>using</w:t>
      </w:r>
      <w:r>
        <w:rPr>
          <w:rFonts w:ascii="Arial" w:hAnsi="Arial" w:cs="Arial"/>
          <w:spacing w:val="-7"/>
          <w:sz w:val="16"/>
          <w:szCs w:val="16"/>
        </w:rPr>
        <w:t xml:space="preserve"> </w:t>
      </w:r>
      <w:r>
        <w:rPr>
          <w:rFonts w:ascii="Arial" w:hAnsi="Arial" w:cs="Arial"/>
          <w:sz w:val="16"/>
          <w:szCs w:val="16"/>
        </w:rPr>
        <w:t>the</w:t>
      </w:r>
      <w:r>
        <w:rPr>
          <w:rFonts w:ascii="Arial" w:hAnsi="Arial" w:cs="Arial"/>
          <w:spacing w:val="-8"/>
          <w:sz w:val="16"/>
          <w:szCs w:val="16"/>
        </w:rPr>
        <w:t xml:space="preserve"> </w:t>
      </w:r>
      <w:r>
        <w:rPr>
          <w:rFonts w:ascii="Arial" w:hAnsi="Arial" w:cs="Arial"/>
          <w:sz w:val="16"/>
          <w:szCs w:val="16"/>
        </w:rPr>
        <w:t>SOFA-2</w:t>
      </w:r>
      <w:r>
        <w:rPr>
          <w:rFonts w:ascii="Arial" w:hAnsi="Arial" w:cs="Arial"/>
          <w:spacing w:val="-7"/>
          <w:sz w:val="16"/>
          <w:szCs w:val="16"/>
        </w:rPr>
        <w:t xml:space="preserve"> </w:t>
      </w:r>
      <w:r>
        <w:rPr>
          <w:rFonts w:ascii="Arial" w:hAnsi="Arial" w:cs="Arial"/>
          <w:spacing w:val="-2"/>
          <w:sz w:val="16"/>
          <w:szCs w:val="16"/>
        </w:rPr>
        <w:t>criteria.</w:t>
      </w:r>
    </w:p>
    <w:p w14:paraId="75EB3EC8">
      <w:pPr>
        <w:rPr>
          <w:rFonts w:ascii="Arial" w:hAnsi="Arial" w:cs="Arial"/>
          <w:sz w:val="16"/>
          <w:szCs w:val="16"/>
        </w:rPr>
      </w:pPr>
      <w:r>
        <w:rPr>
          <w:rFonts w:ascii="Arial" w:hAnsi="Arial" w:cs="Arial"/>
          <w:sz w:val="16"/>
          <w:szCs w:val="16"/>
          <w:vertAlign w:val="superscript"/>
        </w:rPr>
        <w:t>b</w:t>
      </w:r>
      <w:r>
        <w:rPr>
          <w:rFonts w:ascii="Arial" w:hAnsi="Arial" w:cs="Arial"/>
          <w:spacing w:val="1"/>
          <w:sz w:val="16"/>
          <w:szCs w:val="16"/>
        </w:rPr>
        <w:t xml:space="preserve"> </w:t>
      </w:r>
      <w:r>
        <w:rPr>
          <w:rFonts w:ascii="Arial" w:hAnsi="Arial" w:cs="Arial"/>
          <w:sz w:val="16"/>
          <w:szCs w:val="16"/>
        </w:rPr>
        <w:t>Scores</w:t>
      </w:r>
      <w:r>
        <w:rPr>
          <w:rFonts w:ascii="Arial" w:hAnsi="Arial" w:cs="Arial"/>
          <w:spacing w:val="-7"/>
          <w:sz w:val="16"/>
          <w:szCs w:val="16"/>
        </w:rPr>
        <w:t xml:space="preserve"> </w:t>
      </w:r>
      <w:r>
        <w:rPr>
          <w:rFonts w:ascii="Arial" w:hAnsi="Arial" w:cs="Arial"/>
          <w:sz w:val="16"/>
          <w:szCs w:val="16"/>
        </w:rPr>
        <w:t>for</w:t>
      </w:r>
      <w:r>
        <w:rPr>
          <w:rFonts w:ascii="Arial" w:hAnsi="Arial" w:cs="Arial"/>
          <w:spacing w:val="-7"/>
          <w:sz w:val="16"/>
          <w:szCs w:val="16"/>
        </w:rPr>
        <w:t xml:space="preserve"> </w:t>
      </w:r>
      <w:r>
        <w:rPr>
          <w:rFonts w:ascii="Arial" w:hAnsi="Arial" w:cs="Arial"/>
          <w:sz w:val="16"/>
          <w:szCs w:val="16"/>
        </w:rPr>
        <w:t>the</w:t>
      </w:r>
      <w:r>
        <w:rPr>
          <w:rFonts w:ascii="Arial" w:hAnsi="Arial" w:cs="Arial"/>
          <w:spacing w:val="-7"/>
          <w:sz w:val="16"/>
          <w:szCs w:val="16"/>
        </w:rPr>
        <w:t xml:space="preserve"> </w:t>
      </w:r>
      <w:r>
        <w:rPr>
          <w:rFonts w:ascii="Arial" w:hAnsi="Arial" w:cs="Arial"/>
          <w:sz w:val="16"/>
          <w:szCs w:val="16"/>
        </w:rPr>
        <w:t>SOFA-1</w:t>
      </w:r>
      <w:r>
        <w:rPr>
          <w:rFonts w:ascii="Arial" w:hAnsi="Arial" w:cs="Arial"/>
          <w:spacing w:val="-7"/>
          <w:sz w:val="16"/>
          <w:szCs w:val="16"/>
        </w:rPr>
        <w:t xml:space="preserve"> </w:t>
      </w:r>
      <w:r>
        <w:rPr>
          <w:rFonts w:ascii="Arial" w:hAnsi="Arial" w:cs="Arial"/>
          <w:sz w:val="16"/>
          <w:szCs w:val="16"/>
        </w:rPr>
        <w:t>Only</w:t>
      </w:r>
      <w:r>
        <w:rPr>
          <w:rFonts w:ascii="Arial" w:hAnsi="Arial" w:cs="Arial"/>
          <w:spacing w:val="-7"/>
          <w:sz w:val="16"/>
          <w:szCs w:val="16"/>
        </w:rPr>
        <w:t xml:space="preserve"> </w:t>
      </w:r>
      <w:r>
        <w:rPr>
          <w:rFonts w:ascii="Arial" w:hAnsi="Arial" w:cs="Arial"/>
          <w:sz w:val="16"/>
          <w:szCs w:val="16"/>
        </w:rPr>
        <w:t>group</w:t>
      </w:r>
      <w:r>
        <w:rPr>
          <w:rFonts w:ascii="Arial" w:hAnsi="Arial" w:cs="Arial"/>
          <w:spacing w:val="-7"/>
          <w:sz w:val="16"/>
          <w:szCs w:val="16"/>
        </w:rPr>
        <w:t xml:space="preserve"> </w:t>
      </w:r>
      <w:r>
        <w:rPr>
          <w:rFonts w:ascii="Arial" w:hAnsi="Arial" w:cs="Arial"/>
          <w:sz w:val="16"/>
          <w:szCs w:val="16"/>
        </w:rPr>
        <w:t>are</w:t>
      </w:r>
      <w:r>
        <w:rPr>
          <w:rFonts w:ascii="Arial" w:hAnsi="Arial" w:cs="Arial"/>
          <w:spacing w:val="-7"/>
          <w:sz w:val="16"/>
          <w:szCs w:val="16"/>
        </w:rPr>
        <w:t xml:space="preserve"> </w:t>
      </w:r>
      <w:r>
        <w:rPr>
          <w:rFonts w:ascii="Arial" w:hAnsi="Arial" w:cs="Arial"/>
          <w:sz w:val="16"/>
          <w:szCs w:val="16"/>
        </w:rPr>
        <w:t>calculated</w:t>
      </w:r>
      <w:r>
        <w:rPr>
          <w:rFonts w:ascii="Arial" w:hAnsi="Arial" w:cs="Arial"/>
          <w:spacing w:val="-7"/>
          <w:sz w:val="16"/>
          <w:szCs w:val="16"/>
        </w:rPr>
        <w:t xml:space="preserve"> </w:t>
      </w:r>
      <w:r>
        <w:rPr>
          <w:rFonts w:ascii="Arial" w:hAnsi="Arial" w:cs="Arial"/>
          <w:sz w:val="16"/>
          <w:szCs w:val="16"/>
        </w:rPr>
        <w:t>using</w:t>
      </w:r>
      <w:r>
        <w:rPr>
          <w:rFonts w:ascii="Arial" w:hAnsi="Arial" w:cs="Arial"/>
          <w:spacing w:val="-7"/>
          <w:sz w:val="16"/>
          <w:szCs w:val="16"/>
        </w:rPr>
        <w:t xml:space="preserve"> </w:t>
      </w:r>
      <w:r>
        <w:rPr>
          <w:rFonts w:ascii="Arial" w:hAnsi="Arial" w:cs="Arial"/>
          <w:sz w:val="16"/>
          <w:szCs w:val="16"/>
        </w:rPr>
        <w:t>the</w:t>
      </w:r>
      <w:r>
        <w:rPr>
          <w:rFonts w:ascii="Arial" w:hAnsi="Arial" w:cs="Arial"/>
          <w:spacing w:val="-7"/>
          <w:sz w:val="16"/>
          <w:szCs w:val="16"/>
        </w:rPr>
        <w:t xml:space="preserve"> </w:t>
      </w:r>
      <w:r>
        <w:rPr>
          <w:rFonts w:ascii="Arial" w:hAnsi="Arial" w:cs="Arial"/>
          <w:sz w:val="16"/>
          <w:szCs w:val="16"/>
        </w:rPr>
        <w:t>SOFA-1</w:t>
      </w:r>
      <w:r>
        <w:rPr>
          <w:rFonts w:ascii="Arial" w:hAnsi="Arial" w:cs="Arial"/>
          <w:spacing w:val="-7"/>
          <w:sz w:val="16"/>
          <w:szCs w:val="16"/>
        </w:rPr>
        <w:t xml:space="preserve"> </w:t>
      </w:r>
      <w:r>
        <w:rPr>
          <w:rFonts w:ascii="Arial" w:hAnsi="Arial" w:cs="Arial"/>
          <w:spacing w:val="-2"/>
          <w:sz w:val="16"/>
          <w:szCs w:val="16"/>
        </w:rPr>
        <w:t>criteria.</w:t>
      </w:r>
    </w:p>
    <w:p w14:paraId="354341A7">
      <w:pPr>
        <w:rPr>
          <w:rFonts w:ascii="Arial" w:hAnsi="Arial" w:cs="Arial"/>
          <w:sz w:val="16"/>
          <w:szCs w:val="16"/>
        </w:rPr>
      </w:pPr>
      <w:r>
        <w:rPr>
          <w:rFonts w:ascii="Arial" w:hAnsi="Arial" w:cs="Arial"/>
          <w:sz w:val="16"/>
          <w:szCs w:val="16"/>
          <w:vertAlign w:val="superscript"/>
        </w:rPr>
        <w:t>c</w:t>
      </w:r>
      <w:r>
        <w:rPr>
          <w:rFonts w:ascii="Arial" w:hAnsi="Arial" w:cs="Arial"/>
          <w:spacing w:val="1"/>
          <w:sz w:val="16"/>
          <w:szCs w:val="16"/>
        </w:rPr>
        <w:t xml:space="preserve"> </w:t>
      </w:r>
      <w:r>
        <w:rPr>
          <w:rFonts w:ascii="Arial" w:hAnsi="Arial" w:cs="Arial"/>
          <w:sz w:val="16"/>
          <w:szCs w:val="16"/>
        </w:rPr>
        <w:t>Includes</w:t>
      </w:r>
      <w:r>
        <w:rPr>
          <w:rFonts w:ascii="Arial" w:hAnsi="Arial" w:cs="Arial"/>
          <w:spacing w:val="-6"/>
          <w:sz w:val="16"/>
          <w:szCs w:val="16"/>
        </w:rPr>
        <w:t xml:space="preserve"> </w:t>
      </w:r>
      <w:r>
        <w:rPr>
          <w:rFonts w:ascii="Arial" w:hAnsi="Arial" w:cs="Arial"/>
          <w:sz w:val="16"/>
          <w:szCs w:val="16"/>
        </w:rPr>
        <w:t>intra-aortic</w:t>
      </w:r>
      <w:r>
        <w:rPr>
          <w:rFonts w:ascii="Arial" w:hAnsi="Arial" w:cs="Arial"/>
          <w:spacing w:val="-7"/>
          <w:sz w:val="16"/>
          <w:szCs w:val="16"/>
        </w:rPr>
        <w:t xml:space="preserve"> </w:t>
      </w:r>
      <w:r>
        <w:rPr>
          <w:rFonts w:ascii="Arial" w:hAnsi="Arial" w:cs="Arial"/>
          <w:sz w:val="16"/>
          <w:szCs w:val="16"/>
        </w:rPr>
        <w:t>balloon</w:t>
      </w:r>
      <w:r>
        <w:rPr>
          <w:rFonts w:ascii="Arial" w:hAnsi="Arial" w:cs="Arial"/>
          <w:spacing w:val="-7"/>
          <w:sz w:val="16"/>
          <w:szCs w:val="16"/>
        </w:rPr>
        <w:t xml:space="preserve"> </w:t>
      </w:r>
      <w:r>
        <w:rPr>
          <w:rFonts w:ascii="Arial" w:hAnsi="Arial" w:cs="Arial"/>
          <w:sz w:val="16"/>
          <w:szCs w:val="16"/>
        </w:rPr>
        <w:t>pump</w:t>
      </w:r>
      <w:r>
        <w:rPr>
          <w:rFonts w:ascii="Arial" w:hAnsi="Arial" w:cs="Arial"/>
          <w:spacing w:val="-7"/>
          <w:sz w:val="16"/>
          <w:szCs w:val="16"/>
        </w:rPr>
        <w:t xml:space="preserve"> </w:t>
      </w:r>
      <w:r>
        <w:rPr>
          <w:rFonts w:ascii="Arial" w:hAnsi="Arial" w:cs="Arial"/>
          <w:sz w:val="16"/>
          <w:szCs w:val="16"/>
        </w:rPr>
        <w:t>and</w:t>
      </w:r>
      <w:r>
        <w:rPr>
          <w:rFonts w:ascii="Arial" w:hAnsi="Arial" w:cs="Arial"/>
          <w:spacing w:val="-7"/>
          <w:sz w:val="16"/>
          <w:szCs w:val="16"/>
        </w:rPr>
        <w:t xml:space="preserve"> </w:t>
      </w:r>
      <w:r>
        <w:rPr>
          <w:rFonts w:ascii="Arial" w:hAnsi="Arial" w:cs="Arial"/>
          <w:sz w:val="16"/>
          <w:szCs w:val="16"/>
        </w:rPr>
        <w:t>extracorporeal</w:t>
      </w:r>
      <w:r>
        <w:rPr>
          <w:rFonts w:ascii="Arial" w:hAnsi="Arial" w:cs="Arial"/>
          <w:spacing w:val="-6"/>
          <w:sz w:val="16"/>
          <w:szCs w:val="16"/>
        </w:rPr>
        <w:t xml:space="preserve"> </w:t>
      </w:r>
      <w:r>
        <w:rPr>
          <w:rFonts w:ascii="Arial" w:hAnsi="Arial" w:cs="Arial"/>
          <w:sz w:val="16"/>
          <w:szCs w:val="16"/>
        </w:rPr>
        <w:t>membrane</w:t>
      </w:r>
      <w:r>
        <w:rPr>
          <w:rFonts w:ascii="Arial" w:hAnsi="Arial" w:cs="Arial"/>
          <w:spacing w:val="-7"/>
          <w:sz w:val="16"/>
          <w:szCs w:val="16"/>
        </w:rPr>
        <w:t xml:space="preserve"> </w:t>
      </w:r>
      <w:r>
        <w:rPr>
          <w:rFonts w:ascii="Arial" w:hAnsi="Arial" w:cs="Arial"/>
          <w:spacing w:val="-2"/>
          <w:sz w:val="16"/>
          <w:szCs w:val="16"/>
        </w:rPr>
        <w:t>oxygenation.</w:t>
      </w:r>
    </w:p>
    <w:p w14:paraId="35779865">
      <w:pPr>
        <w:rPr>
          <w:sz w:val="18"/>
        </w:rPr>
        <w:sectPr>
          <w:pgSz w:w="12240" w:h="15840"/>
          <w:pgMar w:top="1460" w:right="1080" w:bottom="1040" w:left="1440" w:header="0" w:footer="844" w:gutter="0"/>
          <w:lnNumType w:countBy="1" w:restart="continuous"/>
          <w:cols w:space="720" w:num="1"/>
        </w:sectPr>
      </w:pPr>
    </w:p>
    <w:p w14:paraId="2E08FA1E">
      <w:pPr>
        <w:pStyle w:val="28"/>
        <w:spacing w:before="60"/>
      </w:pPr>
      <w:bookmarkStart w:id="16" w:name="_Toc218072624"/>
      <w:bookmarkStart w:id="17" w:name="_Tocu85jwp"/>
      <w:r>
        <w:t>eTable 7. SOFA-2 Only Group: Clinical Characteristics at Sepsis Diagnosis</w:t>
      </w:r>
      <w:bookmarkEnd w:id="16"/>
      <w:bookmarkEnd w:id="17"/>
    </w:p>
    <w:tbl>
      <w:tblPr>
        <w:tblStyle w:val="22"/>
        <w:tblW w:w="0" w:type="auto"/>
        <w:tblInd w:w="-142" w:type="dxa"/>
        <w:tblLayout w:type="fixed"/>
        <w:tblCellMar>
          <w:top w:w="0" w:type="dxa"/>
          <w:left w:w="0" w:type="dxa"/>
          <w:bottom w:w="0" w:type="dxa"/>
          <w:right w:w="0" w:type="dxa"/>
        </w:tblCellMar>
      </w:tblPr>
      <w:tblGrid>
        <w:gridCol w:w="3828"/>
        <w:gridCol w:w="1843"/>
        <w:gridCol w:w="1899"/>
        <w:gridCol w:w="2353"/>
        <w:gridCol w:w="57"/>
      </w:tblGrid>
      <w:tr w14:paraId="55646D08">
        <w:trPr>
          <w:trHeight w:val="324" w:hRule="atLeast"/>
        </w:trPr>
        <w:tc>
          <w:tcPr>
            <w:tcW w:w="3828" w:type="dxa"/>
            <w:tcBorders>
              <w:top w:val="single" w:color="auto" w:sz="12" w:space="0"/>
              <w:bottom w:val="single" w:color="auto" w:sz="12" w:space="0"/>
            </w:tcBorders>
            <w:vAlign w:val="center"/>
          </w:tcPr>
          <w:p w14:paraId="25B489A3">
            <w:pPr>
              <w:pStyle w:val="35"/>
              <w:spacing w:before="0"/>
              <w:ind w:left="119"/>
              <w:jc w:val="both"/>
              <w:rPr>
                <w:rFonts w:ascii="Arial" w:hAnsi="Arial" w:cs="Arial"/>
                <w:b/>
                <w:bCs/>
                <w:sz w:val="20"/>
                <w:szCs w:val="20"/>
              </w:rPr>
            </w:pPr>
            <w:r>
              <w:rPr>
                <w:rFonts w:ascii="Arial" w:hAnsi="Arial" w:cs="Arial"/>
                <w:b/>
                <w:bCs/>
                <w:spacing w:val="-2"/>
                <w:sz w:val="20"/>
                <w:szCs w:val="20"/>
              </w:rPr>
              <w:t>Characteristic</w:t>
            </w:r>
          </w:p>
        </w:tc>
        <w:tc>
          <w:tcPr>
            <w:tcW w:w="1843" w:type="dxa"/>
            <w:tcBorders>
              <w:top w:val="single" w:color="auto" w:sz="12" w:space="0"/>
              <w:bottom w:val="single" w:color="auto" w:sz="12" w:space="0"/>
            </w:tcBorders>
            <w:vAlign w:val="center"/>
          </w:tcPr>
          <w:p w14:paraId="6229D289">
            <w:pPr>
              <w:pStyle w:val="35"/>
              <w:spacing w:before="0"/>
              <w:ind w:left="1"/>
              <w:jc w:val="both"/>
              <w:rPr>
                <w:rFonts w:ascii="Arial" w:hAnsi="Arial" w:cs="Arial"/>
                <w:b/>
                <w:bCs/>
                <w:sz w:val="20"/>
                <w:szCs w:val="20"/>
              </w:rPr>
            </w:pPr>
            <w:r>
              <w:rPr>
                <w:rFonts w:ascii="Arial" w:hAnsi="Arial" w:cs="Arial"/>
                <w:b/>
                <w:bCs/>
                <w:sz w:val="20"/>
                <w:szCs w:val="20"/>
              </w:rPr>
              <w:t>MIMIC-IV</w:t>
            </w:r>
            <w:r>
              <w:rPr>
                <w:rFonts w:ascii="Arial" w:hAnsi="Arial" w:cs="Arial"/>
                <w:b/>
                <w:bCs/>
                <w:spacing w:val="-9"/>
                <w:sz w:val="20"/>
                <w:szCs w:val="20"/>
              </w:rPr>
              <w:t xml:space="preserve"> </w:t>
            </w:r>
            <w:r>
              <w:rPr>
                <w:rFonts w:ascii="Arial" w:hAnsi="Arial" w:cs="Arial"/>
                <w:b/>
                <w:bCs/>
                <w:spacing w:val="-2"/>
                <w:sz w:val="20"/>
                <w:szCs w:val="20"/>
              </w:rPr>
              <w:t>(n=2724)</w:t>
            </w:r>
          </w:p>
        </w:tc>
        <w:tc>
          <w:tcPr>
            <w:tcW w:w="1899" w:type="dxa"/>
            <w:tcBorders>
              <w:top w:val="single" w:color="auto" w:sz="12" w:space="0"/>
              <w:bottom w:val="single" w:color="auto" w:sz="12" w:space="0"/>
            </w:tcBorders>
            <w:vAlign w:val="center"/>
          </w:tcPr>
          <w:p w14:paraId="44FE3B6F">
            <w:pPr>
              <w:pStyle w:val="35"/>
              <w:spacing w:before="0"/>
              <w:ind w:left="2"/>
              <w:jc w:val="both"/>
              <w:rPr>
                <w:rFonts w:ascii="Arial" w:hAnsi="Arial" w:cs="Arial"/>
                <w:b/>
                <w:bCs/>
                <w:sz w:val="20"/>
                <w:szCs w:val="20"/>
              </w:rPr>
            </w:pPr>
            <w:r>
              <w:rPr>
                <w:rFonts w:ascii="Arial" w:hAnsi="Arial" w:cs="Arial"/>
                <w:b/>
                <w:bCs/>
                <w:sz w:val="20"/>
                <w:szCs w:val="20"/>
              </w:rPr>
              <w:t>eICU-CRD</w:t>
            </w:r>
            <w:r>
              <w:rPr>
                <w:rFonts w:ascii="Arial" w:hAnsi="Arial" w:cs="Arial"/>
                <w:b/>
                <w:bCs/>
                <w:spacing w:val="-9"/>
                <w:sz w:val="20"/>
                <w:szCs w:val="20"/>
              </w:rPr>
              <w:t xml:space="preserve"> </w:t>
            </w:r>
            <w:r>
              <w:rPr>
                <w:rFonts w:ascii="Arial" w:hAnsi="Arial" w:cs="Arial"/>
                <w:b/>
                <w:bCs/>
                <w:spacing w:val="-2"/>
                <w:sz w:val="20"/>
                <w:szCs w:val="20"/>
              </w:rPr>
              <w:t>(n=2006)</w:t>
            </w:r>
          </w:p>
        </w:tc>
        <w:tc>
          <w:tcPr>
            <w:tcW w:w="2410" w:type="dxa"/>
            <w:gridSpan w:val="2"/>
            <w:tcBorders>
              <w:top w:val="single" w:color="auto" w:sz="12" w:space="0"/>
              <w:bottom w:val="single" w:color="auto" w:sz="12" w:space="0"/>
            </w:tcBorders>
            <w:vAlign w:val="center"/>
          </w:tcPr>
          <w:p w14:paraId="1F614B60">
            <w:pPr>
              <w:pStyle w:val="35"/>
              <w:spacing w:before="0"/>
              <w:ind w:left="4"/>
              <w:jc w:val="both"/>
              <w:rPr>
                <w:rFonts w:ascii="Arial" w:hAnsi="Arial" w:cs="Arial"/>
                <w:b/>
                <w:bCs/>
                <w:sz w:val="20"/>
                <w:szCs w:val="20"/>
              </w:rPr>
            </w:pPr>
            <w:r>
              <w:rPr>
                <w:rFonts w:ascii="Arial" w:hAnsi="Arial" w:cs="Arial"/>
                <w:b/>
                <w:bCs/>
                <w:sz w:val="20"/>
                <w:szCs w:val="20"/>
              </w:rPr>
              <w:t>Amsterdam</w:t>
            </w:r>
            <w:r>
              <w:rPr>
                <w:rFonts w:ascii="Arial" w:hAnsi="Arial" w:cs="Arial"/>
                <w:b/>
                <w:bCs/>
                <w:spacing w:val="-7"/>
                <w:sz w:val="20"/>
                <w:szCs w:val="20"/>
              </w:rPr>
              <w:t xml:space="preserve"> </w:t>
            </w:r>
            <w:r>
              <w:rPr>
                <w:rFonts w:ascii="Arial" w:hAnsi="Arial" w:cs="Arial"/>
                <w:b/>
                <w:bCs/>
                <w:sz w:val="20"/>
                <w:szCs w:val="20"/>
              </w:rPr>
              <w:t>UMC</w:t>
            </w:r>
            <w:r>
              <w:rPr>
                <w:rFonts w:ascii="Arial" w:hAnsi="Arial" w:cs="Arial"/>
                <w:b/>
                <w:bCs/>
                <w:spacing w:val="-7"/>
                <w:sz w:val="20"/>
                <w:szCs w:val="20"/>
              </w:rPr>
              <w:t xml:space="preserve"> </w:t>
            </w:r>
            <w:r>
              <w:rPr>
                <w:rFonts w:ascii="Arial" w:hAnsi="Arial" w:cs="Arial"/>
                <w:b/>
                <w:bCs/>
                <w:spacing w:val="-2"/>
                <w:sz w:val="20"/>
                <w:szCs w:val="20"/>
              </w:rPr>
              <w:t>(n=373)</w:t>
            </w:r>
          </w:p>
        </w:tc>
      </w:tr>
      <w:tr w14:paraId="1B1EECFB">
        <w:trPr>
          <w:trHeight w:val="225" w:hRule="atLeast"/>
        </w:trPr>
        <w:tc>
          <w:tcPr>
            <w:tcW w:w="3828" w:type="dxa"/>
            <w:vAlign w:val="center"/>
          </w:tcPr>
          <w:p w14:paraId="0EB5C1BD">
            <w:pPr>
              <w:pStyle w:val="35"/>
              <w:spacing w:before="0"/>
              <w:jc w:val="both"/>
              <w:rPr>
                <w:rFonts w:ascii="Arial" w:hAnsi="Arial" w:cs="Arial" w:eastAsiaTheme="minorEastAsia"/>
                <w:b/>
                <w:sz w:val="20"/>
                <w:szCs w:val="20"/>
                <w:lang w:eastAsia="zh-CN"/>
              </w:rPr>
            </w:pPr>
            <w:r>
              <w:rPr>
                <w:rFonts w:ascii="Arial" w:hAnsi="Arial" w:cs="Arial"/>
                <w:b/>
                <w:sz w:val="20"/>
                <w:szCs w:val="20"/>
              </w:rPr>
              <w:t>Respiratory</w:t>
            </w:r>
            <w:r>
              <w:rPr>
                <w:rFonts w:ascii="Arial" w:hAnsi="Arial" w:cs="Arial"/>
                <w:b/>
                <w:spacing w:val="-10"/>
                <w:sz w:val="20"/>
                <w:szCs w:val="20"/>
              </w:rPr>
              <w:t xml:space="preserve"> </w:t>
            </w:r>
            <w:r>
              <w:rPr>
                <w:rFonts w:ascii="Arial" w:hAnsi="Arial" w:cs="Arial"/>
                <w:b/>
                <w:spacing w:val="-2"/>
                <w:sz w:val="20"/>
                <w:szCs w:val="20"/>
              </w:rPr>
              <w:t>System</w:t>
            </w:r>
          </w:p>
        </w:tc>
        <w:tc>
          <w:tcPr>
            <w:tcW w:w="1843" w:type="dxa"/>
            <w:vAlign w:val="center"/>
          </w:tcPr>
          <w:p w14:paraId="7F3D11F1">
            <w:pPr>
              <w:pStyle w:val="35"/>
              <w:spacing w:before="0"/>
              <w:jc w:val="both"/>
              <w:rPr>
                <w:rFonts w:ascii="Arial" w:hAnsi="Arial" w:cs="Arial"/>
                <w:sz w:val="20"/>
                <w:szCs w:val="20"/>
              </w:rPr>
            </w:pPr>
          </w:p>
        </w:tc>
        <w:tc>
          <w:tcPr>
            <w:tcW w:w="1899" w:type="dxa"/>
            <w:vAlign w:val="center"/>
          </w:tcPr>
          <w:p w14:paraId="37D97FDB">
            <w:pPr>
              <w:pStyle w:val="35"/>
              <w:spacing w:before="0"/>
              <w:jc w:val="both"/>
              <w:rPr>
                <w:rFonts w:ascii="Arial" w:hAnsi="Arial" w:cs="Arial"/>
                <w:sz w:val="20"/>
                <w:szCs w:val="20"/>
              </w:rPr>
            </w:pPr>
          </w:p>
        </w:tc>
        <w:tc>
          <w:tcPr>
            <w:tcW w:w="2410" w:type="dxa"/>
            <w:gridSpan w:val="2"/>
            <w:vAlign w:val="center"/>
          </w:tcPr>
          <w:p w14:paraId="1C9F9779">
            <w:pPr>
              <w:pStyle w:val="35"/>
              <w:spacing w:before="0"/>
              <w:jc w:val="both"/>
              <w:rPr>
                <w:rFonts w:ascii="Arial" w:hAnsi="Arial" w:cs="Arial"/>
                <w:sz w:val="20"/>
                <w:szCs w:val="20"/>
              </w:rPr>
            </w:pPr>
          </w:p>
        </w:tc>
      </w:tr>
      <w:tr w14:paraId="07CA8C9C">
        <w:trPr>
          <w:trHeight w:val="225" w:hRule="atLeast"/>
        </w:trPr>
        <w:tc>
          <w:tcPr>
            <w:tcW w:w="3828" w:type="dxa"/>
            <w:vAlign w:val="center"/>
          </w:tcPr>
          <w:p w14:paraId="7637D449">
            <w:pPr>
              <w:pStyle w:val="35"/>
              <w:spacing w:before="0"/>
              <w:ind w:left="220" w:leftChars="100"/>
              <w:jc w:val="both"/>
              <w:rPr>
                <w:rFonts w:ascii="Arial" w:hAnsi="Arial" w:cs="Arial"/>
                <w:sz w:val="20"/>
                <w:szCs w:val="20"/>
              </w:rPr>
            </w:pPr>
            <w:r>
              <w:rPr>
                <w:rFonts w:ascii="Arial" w:hAnsi="Arial" w:cs="Arial"/>
                <w:sz w:val="20"/>
                <w:szCs w:val="20"/>
              </w:rPr>
              <w:t>PaO</w:t>
            </w:r>
            <w:r>
              <w:rPr>
                <w:vertAlign w:val="subscript"/>
              </w:rPr>
              <w:t>2</w:t>
            </w:r>
            <w:r>
              <w:rPr>
                <w:rFonts w:ascii="Arial" w:hAnsi="Arial" w:cs="Arial"/>
                <w:sz w:val="20"/>
                <w:szCs w:val="20"/>
              </w:rPr>
              <w:t>/FiO</w:t>
            </w:r>
            <w:r>
              <w:rPr>
                <w:vertAlign w:val="subscript"/>
              </w:rPr>
              <w:t>2</w:t>
            </w:r>
            <w:r>
              <w:rPr>
                <w:rFonts w:ascii="Arial" w:hAnsi="Arial" w:cs="Arial"/>
                <w:sz w:val="20"/>
                <w:szCs w:val="20"/>
              </w:rPr>
              <w:t xml:space="preserve"> ratio</w:t>
            </w:r>
          </w:p>
        </w:tc>
        <w:tc>
          <w:tcPr>
            <w:tcW w:w="1843" w:type="dxa"/>
            <w:vAlign w:val="center"/>
          </w:tcPr>
          <w:p w14:paraId="4FB4817C">
            <w:pPr>
              <w:pStyle w:val="35"/>
              <w:spacing w:before="0"/>
              <w:jc w:val="both"/>
              <w:rPr>
                <w:rFonts w:ascii="Arial" w:hAnsi="Arial" w:cs="Arial"/>
                <w:sz w:val="20"/>
                <w:szCs w:val="20"/>
              </w:rPr>
            </w:pPr>
            <w:r>
              <w:rPr>
                <w:rFonts w:ascii="Arial" w:hAnsi="Arial" w:cs="Arial"/>
                <w:sz w:val="20"/>
                <w:szCs w:val="20"/>
              </w:rPr>
              <w:t>330.01 ± 195.84</w:t>
            </w:r>
          </w:p>
        </w:tc>
        <w:tc>
          <w:tcPr>
            <w:tcW w:w="1899" w:type="dxa"/>
            <w:vAlign w:val="center"/>
          </w:tcPr>
          <w:p w14:paraId="4C884004">
            <w:pPr>
              <w:pStyle w:val="35"/>
              <w:spacing w:before="0"/>
              <w:jc w:val="both"/>
              <w:rPr>
                <w:rFonts w:ascii="Arial" w:hAnsi="Arial" w:cs="Arial"/>
                <w:sz w:val="20"/>
                <w:szCs w:val="20"/>
              </w:rPr>
            </w:pPr>
            <w:r>
              <w:rPr>
                <w:rFonts w:ascii="Arial" w:hAnsi="Arial" w:cs="Arial"/>
                <w:sz w:val="20"/>
                <w:szCs w:val="20"/>
              </w:rPr>
              <w:t>251.89 ± 134.45</w:t>
            </w:r>
          </w:p>
        </w:tc>
        <w:tc>
          <w:tcPr>
            <w:tcW w:w="2410" w:type="dxa"/>
            <w:gridSpan w:val="2"/>
            <w:vAlign w:val="center"/>
          </w:tcPr>
          <w:p w14:paraId="7F800767">
            <w:pPr>
              <w:pStyle w:val="35"/>
              <w:spacing w:before="0"/>
              <w:jc w:val="both"/>
              <w:rPr>
                <w:rFonts w:ascii="Arial" w:hAnsi="Arial" w:cs="Arial"/>
                <w:sz w:val="20"/>
                <w:szCs w:val="20"/>
              </w:rPr>
            </w:pPr>
            <w:r>
              <w:rPr>
                <w:rFonts w:ascii="Arial" w:hAnsi="Arial" w:cs="Arial"/>
                <w:sz w:val="20"/>
                <w:szCs w:val="20"/>
              </w:rPr>
              <w:t>276.22 ± 111.82</w:t>
            </w:r>
          </w:p>
        </w:tc>
      </w:tr>
      <w:tr w14:paraId="5ACC6EAF">
        <w:trPr>
          <w:trHeight w:val="225" w:hRule="atLeast"/>
        </w:trPr>
        <w:tc>
          <w:tcPr>
            <w:tcW w:w="3828" w:type="dxa"/>
            <w:vAlign w:val="center"/>
          </w:tcPr>
          <w:p w14:paraId="69DFC1E8">
            <w:pPr>
              <w:pStyle w:val="35"/>
              <w:spacing w:before="0"/>
              <w:ind w:left="220" w:leftChars="100"/>
              <w:jc w:val="both"/>
              <w:rPr>
                <w:rFonts w:ascii="Arial" w:hAnsi="Arial" w:cs="Arial"/>
                <w:sz w:val="20"/>
                <w:szCs w:val="20"/>
              </w:rPr>
            </w:pPr>
            <w:r>
              <w:rPr>
                <w:rFonts w:ascii="Arial" w:hAnsi="Arial" w:cs="Arial"/>
                <w:sz w:val="20"/>
                <w:szCs w:val="20"/>
              </w:rPr>
              <w:t>P/F &lt; 400 (SOFA ≥1)</w:t>
            </w:r>
          </w:p>
        </w:tc>
        <w:tc>
          <w:tcPr>
            <w:tcW w:w="1843" w:type="dxa"/>
            <w:vAlign w:val="center"/>
          </w:tcPr>
          <w:p w14:paraId="79D56EDE">
            <w:pPr>
              <w:pStyle w:val="35"/>
              <w:spacing w:before="0"/>
              <w:jc w:val="both"/>
              <w:rPr>
                <w:rFonts w:ascii="Arial" w:hAnsi="Arial" w:cs="Arial"/>
                <w:sz w:val="20"/>
                <w:szCs w:val="20"/>
              </w:rPr>
            </w:pPr>
            <w:r>
              <w:rPr>
                <w:rFonts w:ascii="Arial" w:hAnsi="Arial" w:cs="Arial"/>
                <w:sz w:val="20"/>
                <w:szCs w:val="20"/>
              </w:rPr>
              <w:t>735/1061 (69.3%)</w:t>
            </w:r>
          </w:p>
        </w:tc>
        <w:tc>
          <w:tcPr>
            <w:tcW w:w="1899" w:type="dxa"/>
            <w:vAlign w:val="center"/>
          </w:tcPr>
          <w:p w14:paraId="29E702E5">
            <w:pPr>
              <w:pStyle w:val="35"/>
              <w:spacing w:before="0"/>
              <w:jc w:val="both"/>
              <w:rPr>
                <w:rFonts w:ascii="Arial" w:hAnsi="Arial" w:cs="Arial"/>
                <w:sz w:val="20"/>
                <w:szCs w:val="20"/>
              </w:rPr>
            </w:pPr>
            <w:r>
              <w:rPr>
                <w:rFonts w:ascii="Arial" w:hAnsi="Arial" w:cs="Arial"/>
                <w:sz w:val="20"/>
                <w:szCs w:val="20"/>
              </w:rPr>
              <w:t>530/608 (87.2%)</w:t>
            </w:r>
          </w:p>
        </w:tc>
        <w:tc>
          <w:tcPr>
            <w:tcW w:w="2410" w:type="dxa"/>
            <w:gridSpan w:val="2"/>
            <w:vAlign w:val="center"/>
          </w:tcPr>
          <w:p w14:paraId="6008E8B9">
            <w:pPr>
              <w:pStyle w:val="35"/>
              <w:spacing w:before="0"/>
              <w:jc w:val="both"/>
              <w:rPr>
                <w:rFonts w:ascii="Arial" w:hAnsi="Arial" w:cs="Arial"/>
                <w:sz w:val="20"/>
                <w:szCs w:val="20"/>
              </w:rPr>
            </w:pPr>
            <w:r>
              <w:rPr>
                <w:rFonts w:ascii="Arial" w:hAnsi="Arial" w:cs="Arial"/>
                <w:sz w:val="20"/>
                <w:szCs w:val="20"/>
              </w:rPr>
              <w:t>318/370 (85.9%)</w:t>
            </w:r>
          </w:p>
        </w:tc>
      </w:tr>
      <w:tr w14:paraId="3DF6BA0E">
        <w:trPr>
          <w:trHeight w:val="229" w:hRule="atLeast"/>
        </w:trPr>
        <w:tc>
          <w:tcPr>
            <w:tcW w:w="3828" w:type="dxa"/>
            <w:vAlign w:val="center"/>
          </w:tcPr>
          <w:p w14:paraId="22879099">
            <w:pPr>
              <w:pStyle w:val="35"/>
              <w:spacing w:before="0"/>
              <w:ind w:left="220" w:leftChars="100"/>
              <w:jc w:val="both"/>
              <w:rPr>
                <w:rFonts w:ascii="Arial" w:hAnsi="Arial" w:cs="Arial"/>
                <w:sz w:val="20"/>
                <w:szCs w:val="20"/>
              </w:rPr>
            </w:pPr>
            <w:r>
              <w:rPr>
                <w:rFonts w:ascii="Arial" w:hAnsi="Arial" w:cs="Arial"/>
                <w:sz w:val="20"/>
                <w:szCs w:val="20"/>
              </w:rPr>
              <w:t>P/F &lt; 300 (SOFA ≥2)</w:t>
            </w:r>
          </w:p>
        </w:tc>
        <w:tc>
          <w:tcPr>
            <w:tcW w:w="1843" w:type="dxa"/>
            <w:vAlign w:val="center"/>
          </w:tcPr>
          <w:p w14:paraId="664BE0E1">
            <w:pPr>
              <w:pStyle w:val="35"/>
              <w:spacing w:before="0"/>
              <w:jc w:val="both"/>
              <w:rPr>
                <w:rFonts w:ascii="Arial" w:hAnsi="Arial" w:cs="Arial"/>
                <w:sz w:val="20"/>
                <w:szCs w:val="20"/>
              </w:rPr>
            </w:pPr>
            <w:r>
              <w:rPr>
                <w:rFonts w:ascii="Arial" w:hAnsi="Arial" w:cs="Arial"/>
                <w:sz w:val="20"/>
                <w:szCs w:val="20"/>
              </w:rPr>
              <w:t>544/1061 (51.3%)</w:t>
            </w:r>
          </w:p>
        </w:tc>
        <w:tc>
          <w:tcPr>
            <w:tcW w:w="1899" w:type="dxa"/>
            <w:vAlign w:val="center"/>
          </w:tcPr>
          <w:p w14:paraId="09CC8520">
            <w:pPr>
              <w:pStyle w:val="35"/>
              <w:spacing w:before="0"/>
              <w:jc w:val="both"/>
              <w:rPr>
                <w:rFonts w:ascii="Arial" w:hAnsi="Arial" w:cs="Arial"/>
                <w:sz w:val="20"/>
                <w:szCs w:val="20"/>
              </w:rPr>
            </w:pPr>
            <w:r>
              <w:rPr>
                <w:rFonts w:ascii="Arial" w:hAnsi="Arial" w:cs="Arial"/>
                <w:sz w:val="20"/>
                <w:szCs w:val="20"/>
              </w:rPr>
              <w:t>438/608 (72.0%)</w:t>
            </w:r>
          </w:p>
        </w:tc>
        <w:tc>
          <w:tcPr>
            <w:tcW w:w="2410" w:type="dxa"/>
            <w:gridSpan w:val="2"/>
            <w:vAlign w:val="center"/>
          </w:tcPr>
          <w:p w14:paraId="723C35FF">
            <w:pPr>
              <w:pStyle w:val="35"/>
              <w:spacing w:before="0"/>
              <w:jc w:val="both"/>
              <w:rPr>
                <w:rFonts w:ascii="Arial" w:hAnsi="Arial" w:cs="Arial"/>
                <w:sz w:val="20"/>
                <w:szCs w:val="20"/>
              </w:rPr>
            </w:pPr>
            <w:r>
              <w:rPr>
                <w:rFonts w:ascii="Arial" w:hAnsi="Arial" w:cs="Arial"/>
                <w:sz w:val="20"/>
                <w:szCs w:val="20"/>
              </w:rPr>
              <w:t>240/370 (64.9%)</w:t>
            </w:r>
          </w:p>
        </w:tc>
      </w:tr>
      <w:tr w14:paraId="2A1C4023">
        <w:trPr>
          <w:trHeight w:val="229" w:hRule="atLeast"/>
        </w:trPr>
        <w:tc>
          <w:tcPr>
            <w:tcW w:w="3828" w:type="dxa"/>
            <w:vAlign w:val="center"/>
          </w:tcPr>
          <w:p w14:paraId="68D62D44">
            <w:pPr>
              <w:pStyle w:val="35"/>
              <w:spacing w:before="0"/>
              <w:ind w:left="220" w:leftChars="100"/>
              <w:jc w:val="both"/>
              <w:rPr>
                <w:rFonts w:ascii="Arial" w:hAnsi="Arial" w:cs="Arial"/>
                <w:sz w:val="20"/>
                <w:szCs w:val="20"/>
              </w:rPr>
            </w:pPr>
            <w:r>
              <w:rPr>
                <w:rFonts w:ascii="Arial" w:hAnsi="Arial" w:cs="Arial"/>
                <w:sz w:val="20"/>
                <w:szCs w:val="20"/>
              </w:rPr>
              <w:t>P/F ≤ 200 (SOFA ≥3)</w:t>
            </w:r>
          </w:p>
        </w:tc>
        <w:tc>
          <w:tcPr>
            <w:tcW w:w="1843" w:type="dxa"/>
            <w:vAlign w:val="center"/>
          </w:tcPr>
          <w:p w14:paraId="3E3A3898">
            <w:pPr>
              <w:pStyle w:val="35"/>
              <w:spacing w:before="0"/>
              <w:jc w:val="both"/>
              <w:rPr>
                <w:rFonts w:ascii="Arial" w:hAnsi="Arial" w:cs="Arial"/>
                <w:sz w:val="20"/>
                <w:szCs w:val="20"/>
              </w:rPr>
            </w:pPr>
            <w:r>
              <w:rPr>
                <w:rFonts w:ascii="Arial" w:hAnsi="Arial" w:cs="Arial"/>
                <w:sz w:val="20"/>
                <w:szCs w:val="20"/>
              </w:rPr>
              <w:t>290/1061 (27.3%)</w:t>
            </w:r>
          </w:p>
        </w:tc>
        <w:tc>
          <w:tcPr>
            <w:tcW w:w="1899" w:type="dxa"/>
            <w:vAlign w:val="center"/>
          </w:tcPr>
          <w:p w14:paraId="2F85DE0D">
            <w:pPr>
              <w:pStyle w:val="35"/>
              <w:spacing w:before="0"/>
              <w:jc w:val="both"/>
              <w:rPr>
                <w:rFonts w:ascii="Arial" w:hAnsi="Arial" w:cs="Arial"/>
                <w:sz w:val="20"/>
                <w:szCs w:val="20"/>
              </w:rPr>
            </w:pPr>
            <w:r>
              <w:rPr>
                <w:rFonts w:ascii="Arial" w:hAnsi="Arial" w:cs="Arial"/>
                <w:sz w:val="20"/>
                <w:szCs w:val="20"/>
              </w:rPr>
              <w:t>236/608 (38.8%)</w:t>
            </w:r>
          </w:p>
        </w:tc>
        <w:tc>
          <w:tcPr>
            <w:tcW w:w="2410" w:type="dxa"/>
            <w:gridSpan w:val="2"/>
            <w:vAlign w:val="center"/>
          </w:tcPr>
          <w:p w14:paraId="66925666">
            <w:pPr>
              <w:pStyle w:val="35"/>
              <w:spacing w:before="0"/>
              <w:jc w:val="both"/>
              <w:rPr>
                <w:rFonts w:ascii="Arial" w:hAnsi="Arial" w:cs="Arial"/>
                <w:sz w:val="20"/>
                <w:szCs w:val="20"/>
              </w:rPr>
            </w:pPr>
            <w:r>
              <w:rPr>
                <w:rFonts w:ascii="Arial" w:hAnsi="Arial" w:cs="Arial"/>
                <w:sz w:val="20"/>
                <w:szCs w:val="20"/>
              </w:rPr>
              <w:t>98/370 (26.5%)</w:t>
            </w:r>
          </w:p>
        </w:tc>
      </w:tr>
      <w:tr w14:paraId="71559C21">
        <w:trPr>
          <w:trHeight w:val="229" w:hRule="atLeast"/>
        </w:trPr>
        <w:tc>
          <w:tcPr>
            <w:tcW w:w="3828" w:type="dxa"/>
            <w:vAlign w:val="center"/>
          </w:tcPr>
          <w:p w14:paraId="1E77B13F">
            <w:pPr>
              <w:pStyle w:val="35"/>
              <w:spacing w:before="0"/>
              <w:ind w:left="220" w:leftChars="100"/>
              <w:jc w:val="both"/>
              <w:rPr>
                <w:rFonts w:ascii="Arial" w:hAnsi="Arial" w:cs="Arial"/>
                <w:sz w:val="20"/>
                <w:szCs w:val="20"/>
              </w:rPr>
            </w:pPr>
            <w:r>
              <w:rPr>
                <w:rFonts w:ascii="Arial" w:hAnsi="Arial" w:cs="Arial"/>
                <w:sz w:val="20"/>
                <w:szCs w:val="20"/>
              </w:rPr>
              <w:t>P/F ≤ 100 (SOFA = 4)</w:t>
            </w:r>
          </w:p>
        </w:tc>
        <w:tc>
          <w:tcPr>
            <w:tcW w:w="1843" w:type="dxa"/>
            <w:vAlign w:val="center"/>
          </w:tcPr>
          <w:p w14:paraId="581A39AB">
            <w:pPr>
              <w:pStyle w:val="35"/>
              <w:spacing w:before="0"/>
              <w:jc w:val="both"/>
              <w:rPr>
                <w:rFonts w:ascii="Arial" w:hAnsi="Arial" w:cs="Arial"/>
                <w:sz w:val="20"/>
                <w:szCs w:val="20"/>
              </w:rPr>
            </w:pPr>
            <w:r>
              <w:rPr>
                <w:rFonts w:ascii="Arial" w:hAnsi="Arial" w:cs="Arial"/>
                <w:sz w:val="20"/>
                <w:szCs w:val="20"/>
              </w:rPr>
              <w:t>62/1061 (5.8%)</w:t>
            </w:r>
          </w:p>
        </w:tc>
        <w:tc>
          <w:tcPr>
            <w:tcW w:w="1899" w:type="dxa"/>
            <w:vAlign w:val="center"/>
          </w:tcPr>
          <w:p w14:paraId="69103975">
            <w:pPr>
              <w:pStyle w:val="35"/>
              <w:spacing w:before="0"/>
              <w:jc w:val="both"/>
              <w:rPr>
                <w:rFonts w:ascii="Arial" w:hAnsi="Arial" w:cs="Arial"/>
                <w:sz w:val="20"/>
                <w:szCs w:val="20"/>
              </w:rPr>
            </w:pPr>
            <w:r>
              <w:rPr>
                <w:rFonts w:ascii="Arial" w:hAnsi="Arial" w:cs="Arial"/>
                <w:sz w:val="20"/>
                <w:szCs w:val="20"/>
              </w:rPr>
              <w:t>36/608 (5.9%)</w:t>
            </w:r>
          </w:p>
        </w:tc>
        <w:tc>
          <w:tcPr>
            <w:tcW w:w="2410" w:type="dxa"/>
            <w:gridSpan w:val="2"/>
            <w:vAlign w:val="center"/>
          </w:tcPr>
          <w:p w14:paraId="74939CC7">
            <w:pPr>
              <w:pStyle w:val="35"/>
              <w:spacing w:before="0"/>
              <w:jc w:val="both"/>
              <w:rPr>
                <w:rFonts w:ascii="Arial" w:hAnsi="Arial" w:cs="Arial"/>
                <w:sz w:val="20"/>
                <w:szCs w:val="20"/>
              </w:rPr>
            </w:pPr>
            <w:r>
              <w:rPr>
                <w:rFonts w:ascii="Arial" w:hAnsi="Arial" w:cs="Arial"/>
                <w:sz w:val="20"/>
                <w:szCs w:val="20"/>
              </w:rPr>
              <w:t>7/370 (1.9%)</w:t>
            </w:r>
          </w:p>
        </w:tc>
      </w:tr>
      <w:tr w14:paraId="1CD715D0">
        <w:trPr>
          <w:trHeight w:val="233" w:hRule="atLeast"/>
        </w:trPr>
        <w:tc>
          <w:tcPr>
            <w:tcW w:w="3828" w:type="dxa"/>
            <w:vAlign w:val="center"/>
          </w:tcPr>
          <w:p w14:paraId="53C319EF">
            <w:pPr>
              <w:pStyle w:val="35"/>
              <w:spacing w:before="0"/>
              <w:ind w:left="220" w:leftChars="100"/>
              <w:jc w:val="both"/>
              <w:rPr>
                <w:rFonts w:ascii="Arial" w:hAnsi="Arial" w:cs="Arial"/>
                <w:sz w:val="20"/>
                <w:szCs w:val="20"/>
              </w:rPr>
            </w:pPr>
            <w:r>
              <w:rPr>
                <w:rFonts w:ascii="Arial" w:hAnsi="Arial" w:cs="Arial"/>
                <w:sz w:val="20"/>
                <w:szCs w:val="20"/>
              </w:rPr>
              <w:t>SpO</w:t>
            </w:r>
            <w:r>
              <w:rPr>
                <w:rFonts w:ascii="Arial" w:hAnsi="Arial" w:eastAsia="宋体" w:cs="Arial"/>
                <w:sz w:val="20"/>
                <w:szCs w:val="20"/>
                <w:vertAlign w:val="subscript"/>
                <w:lang w:eastAsia="zh-CN"/>
              </w:rPr>
              <w:t>2</w:t>
            </w:r>
            <w:r>
              <w:rPr>
                <w:rFonts w:ascii="Arial" w:hAnsi="Arial" w:cs="Arial"/>
                <w:sz w:val="20"/>
                <w:szCs w:val="20"/>
              </w:rPr>
              <w:t>/FiO</w:t>
            </w:r>
            <w:r>
              <w:rPr>
                <w:rFonts w:ascii="Arial" w:hAnsi="Arial" w:eastAsia="宋体" w:cs="Arial"/>
                <w:sz w:val="20"/>
                <w:szCs w:val="20"/>
                <w:vertAlign w:val="subscript"/>
                <w:lang w:eastAsia="zh-CN"/>
              </w:rPr>
              <w:t>2</w:t>
            </w:r>
            <w:r>
              <w:rPr>
                <w:rFonts w:ascii="Arial" w:hAnsi="Arial" w:cs="Arial"/>
                <w:sz w:val="20"/>
                <w:szCs w:val="20"/>
              </w:rPr>
              <w:t xml:space="preserve"> ratio (SpO</w:t>
            </w:r>
            <w:r>
              <w:rPr>
                <w:rFonts w:ascii="Arial" w:hAnsi="Arial" w:eastAsia="宋体" w:cs="Arial"/>
                <w:sz w:val="20"/>
                <w:szCs w:val="20"/>
                <w:vertAlign w:val="subscript"/>
                <w:lang w:eastAsia="zh-CN"/>
              </w:rPr>
              <w:t>2</w:t>
            </w:r>
            <w:r>
              <w:rPr>
                <w:rFonts w:ascii="Arial" w:hAnsi="Arial" w:cs="Arial"/>
                <w:sz w:val="20"/>
                <w:szCs w:val="20"/>
              </w:rPr>
              <w:t xml:space="preserve"> &lt; 98%)</w:t>
            </w:r>
          </w:p>
        </w:tc>
        <w:tc>
          <w:tcPr>
            <w:tcW w:w="1843" w:type="dxa"/>
            <w:vAlign w:val="center"/>
          </w:tcPr>
          <w:p w14:paraId="5D6287CA">
            <w:pPr>
              <w:pStyle w:val="35"/>
              <w:spacing w:before="0"/>
              <w:jc w:val="both"/>
              <w:rPr>
                <w:rFonts w:ascii="Arial" w:hAnsi="Arial" w:cs="Arial"/>
                <w:sz w:val="20"/>
                <w:szCs w:val="20"/>
              </w:rPr>
            </w:pPr>
            <w:r>
              <w:rPr>
                <w:rFonts w:ascii="Arial" w:hAnsi="Arial" w:cs="Arial"/>
                <w:sz w:val="20"/>
                <w:szCs w:val="20"/>
              </w:rPr>
              <w:t>205.80 ± 56.06</w:t>
            </w:r>
          </w:p>
        </w:tc>
        <w:tc>
          <w:tcPr>
            <w:tcW w:w="1899" w:type="dxa"/>
            <w:vAlign w:val="center"/>
          </w:tcPr>
          <w:p w14:paraId="44595768">
            <w:pPr>
              <w:pStyle w:val="35"/>
              <w:spacing w:before="0"/>
              <w:jc w:val="both"/>
              <w:rPr>
                <w:rFonts w:ascii="Arial" w:hAnsi="Arial" w:cs="Arial"/>
                <w:sz w:val="20"/>
                <w:szCs w:val="20"/>
              </w:rPr>
            </w:pPr>
            <w:r>
              <w:rPr>
                <w:rFonts w:ascii="Arial" w:hAnsi="Arial" w:cs="Arial"/>
                <w:sz w:val="20"/>
                <w:szCs w:val="20"/>
              </w:rPr>
              <w:t>269.00 ± 98.88</w:t>
            </w:r>
          </w:p>
        </w:tc>
        <w:tc>
          <w:tcPr>
            <w:tcW w:w="2410" w:type="dxa"/>
            <w:gridSpan w:val="2"/>
            <w:vAlign w:val="center"/>
          </w:tcPr>
          <w:p w14:paraId="5CFB9657">
            <w:pPr>
              <w:pStyle w:val="35"/>
              <w:spacing w:before="0"/>
              <w:jc w:val="both"/>
              <w:rPr>
                <w:rFonts w:ascii="Arial" w:hAnsi="Arial" w:cs="Arial"/>
                <w:sz w:val="20"/>
                <w:szCs w:val="20"/>
              </w:rPr>
            </w:pPr>
            <w:r>
              <w:rPr>
                <w:rFonts w:ascii="Arial" w:hAnsi="Arial" w:cs="Arial"/>
                <w:sz w:val="20"/>
                <w:szCs w:val="20"/>
              </w:rPr>
              <w:t>217.58 ± 47.99</w:t>
            </w:r>
          </w:p>
        </w:tc>
      </w:tr>
      <w:tr w14:paraId="63B43699">
        <w:trPr>
          <w:trHeight w:val="225" w:hRule="atLeast"/>
        </w:trPr>
        <w:tc>
          <w:tcPr>
            <w:tcW w:w="3828" w:type="dxa"/>
            <w:vAlign w:val="center"/>
          </w:tcPr>
          <w:p w14:paraId="273604B5">
            <w:pPr>
              <w:pStyle w:val="35"/>
              <w:spacing w:before="0"/>
              <w:ind w:left="220" w:leftChars="100"/>
              <w:jc w:val="both"/>
              <w:rPr>
                <w:rFonts w:ascii="Arial" w:hAnsi="Arial" w:cs="Arial"/>
                <w:sz w:val="20"/>
                <w:szCs w:val="20"/>
              </w:rPr>
            </w:pPr>
            <w:r>
              <w:rPr>
                <w:rFonts w:ascii="Arial" w:hAnsi="Arial" w:cs="Arial"/>
                <w:sz w:val="20"/>
                <w:szCs w:val="20"/>
              </w:rPr>
              <w:t>S/F &lt; 400 (SOFA ≥1)</w:t>
            </w:r>
          </w:p>
        </w:tc>
        <w:tc>
          <w:tcPr>
            <w:tcW w:w="1843" w:type="dxa"/>
            <w:vAlign w:val="center"/>
          </w:tcPr>
          <w:p w14:paraId="508337F4">
            <w:pPr>
              <w:pStyle w:val="35"/>
              <w:spacing w:before="0"/>
              <w:jc w:val="both"/>
              <w:rPr>
                <w:rFonts w:ascii="Arial" w:hAnsi="Arial" w:cs="Arial"/>
                <w:sz w:val="20"/>
                <w:szCs w:val="20"/>
              </w:rPr>
            </w:pPr>
            <w:r>
              <w:rPr>
                <w:rFonts w:ascii="Arial" w:hAnsi="Arial" w:cs="Arial"/>
                <w:sz w:val="20"/>
                <w:szCs w:val="20"/>
              </w:rPr>
              <w:t>1342/1347 (99.6%)</w:t>
            </w:r>
          </w:p>
        </w:tc>
        <w:tc>
          <w:tcPr>
            <w:tcW w:w="1899" w:type="dxa"/>
            <w:vAlign w:val="center"/>
          </w:tcPr>
          <w:p w14:paraId="084A6632">
            <w:pPr>
              <w:pStyle w:val="35"/>
              <w:spacing w:before="0"/>
              <w:jc w:val="both"/>
              <w:rPr>
                <w:rFonts w:ascii="Arial" w:hAnsi="Arial" w:cs="Arial"/>
                <w:sz w:val="20"/>
                <w:szCs w:val="20"/>
              </w:rPr>
            </w:pPr>
            <w:r>
              <w:rPr>
                <w:rFonts w:ascii="Arial" w:hAnsi="Arial" w:cs="Arial"/>
                <w:sz w:val="20"/>
                <w:szCs w:val="20"/>
              </w:rPr>
              <w:t>1021/1204 (84.8%)</w:t>
            </w:r>
          </w:p>
        </w:tc>
        <w:tc>
          <w:tcPr>
            <w:tcW w:w="2410" w:type="dxa"/>
            <w:gridSpan w:val="2"/>
            <w:vAlign w:val="center"/>
          </w:tcPr>
          <w:p w14:paraId="7EB4B8B1">
            <w:pPr>
              <w:pStyle w:val="35"/>
              <w:spacing w:before="0"/>
              <w:jc w:val="both"/>
              <w:rPr>
                <w:rFonts w:ascii="Arial" w:hAnsi="Arial" w:cs="Arial"/>
                <w:sz w:val="20"/>
                <w:szCs w:val="20"/>
              </w:rPr>
            </w:pPr>
            <w:r>
              <w:rPr>
                <w:rFonts w:ascii="Arial" w:hAnsi="Arial" w:cs="Arial"/>
                <w:sz w:val="20"/>
                <w:szCs w:val="20"/>
              </w:rPr>
              <w:t>201/201 (100.0%)</w:t>
            </w:r>
          </w:p>
        </w:tc>
      </w:tr>
      <w:tr w14:paraId="5A37BAF5">
        <w:trPr>
          <w:trHeight w:val="229" w:hRule="atLeast"/>
        </w:trPr>
        <w:tc>
          <w:tcPr>
            <w:tcW w:w="3828" w:type="dxa"/>
            <w:vAlign w:val="center"/>
          </w:tcPr>
          <w:p w14:paraId="002D6963">
            <w:pPr>
              <w:pStyle w:val="35"/>
              <w:spacing w:before="0"/>
              <w:ind w:left="220" w:leftChars="100"/>
              <w:jc w:val="both"/>
              <w:rPr>
                <w:rFonts w:ascii="Arial" w:hAnsi="Arial" w:cs="Arial"/>
                <w:sz w:val="20"/>
                <w:szCs w:val="20"/>
              </w:rPr>
            </w:pPr>
            <w:r>
              <w:rPr>
                <w:rFonts w:ascii="Arial" w:hAnsi="Arial" w:cs="Arial"/>
                <w:sz w:val="20"/>
                <w:szCs w:val="20"/>
              </w:rPr>
              <w:t>S/F &lt; 315 (SOFA ≥2)</w:t>
            </w:r>
          </w:p>
        </w:tc>
        <w:tc>
          <w:tcPr>
            <w:tcW w:w="1843" w:type="dxa"/>
            <w:vAlign w:val="center"/>
          </w:tcPr>
          <w:p w14:paraId="3A821882">
            <w:pPr>
              <w:pStyle w:val="35"/>
              <w:spacing w:before="0"/>
              <w:jc w:val="both"/>
              <w:rPr>
                <w:rFonts w:ascii="Arial" w:hAnsi="Arial" w:cs="Arial"/>
                <w:sz w:val="20"/>
                <w:szCs w:val="20"/>
              </w:rPr>
            </w:pPr>
            <w:r>
              <w:rPr>
                <w:rFonts w:ascii="Arial" w:hAnsi="Arial" w:cs="Arial"/>
                <w:sz w:val="20"/>
                <w:szCs w:val="20"/>
              </w:rPr>
              <w:t>1290/1347 (95.8%)</w:t>
            </w:r>
          </w:p>
        </w:tc>
        <w:tc>
          <w:tcPr>
            <w:tcW w:w="1899" w:type="dxa"/>
            <w:vAlign w:val="center"/>
          </w:tcPr>
          <w:p w14:paraId="1FA06A33">
            <w:pPr>
              <w:pStyle w:val="35"/>
              <w:spacing w:before="0"/>
              <w:jc w:val="both"/>
              <w:rPr>
                <w:rFonts w:ascii="Arial" w:hAnsi="Arial" w:cs="Arial"/>
                <w:sz w:val="20"/>
                <w:szCs w:val="20"/>
              </w:rPr>
            </w:pPr>
            <w:r>
              <w:rPr>
                <w:rFonts w:ascii="Arial" w:hAnsi="Arial" w:cs="Arial"/>
                <w:sz w:val="20"/>
                <w:szCs w:val="20"/>
              </w:rPr>
              <w:t>858/1204 (71.3%)</w:t>
            </w:r>
          </w:p>
        </w:tc>
        <w:tc>
          <w:tcPr>
            <w:tcW w:w="2410" w:type="dxa"/>
            <w:gridSpan w:val="2"/>
            <w:vAlign w:val="center"/>
          </w:tcPr>
          <w:p w14:paraId="7C18ADC9">
            <w:pPr>
              <w:pStyle w:val="35"/>
              <w:spacing w:before="0"/>
              <w:jc w:val="both"/>
              <w:rPr>
                <w:rFonts w:ascii="Arial" w:hAnsi="Arial" w:cs="Arial"/>
                <w:sz w:val="20"/>
                <w:szCs w:val="20"/>
              </w:rPr>
            </w:pPr>
            <w:r>
              <w:rPr>
                <w:rFonts w:ascii="Arial" w:hAnsi="Arial" w:cs="Arial"/>
                <w:sz w:val="20"/>
                <w:szCs w:val="20"/>
              </w:rPr>
              <w:t>191/201 (95.0%)</w:t>
            </w:r>
          </w:p>
        </w:tc>
      </w:tr>
      <w:tr w14:paraId="3F7CC382">
        <w:trPr>
          <w:trHeight w:val="229" w:hRule="atLeast"/>
        </w:trPr>
        <w:tc>
          <w:tcPr>
            <w:tcW w:w="3828" w:type="dxa"/>
            <w:vAlign w:val="center"/>
          </w:tcPr>
          <w:p w14:paraId="08FA9D49">
            <w:pPr>
              <w:pStyle w:val="35"/>
              <w:spacing w:before="0"/>
              <w:ind w:left="220" w:leftChars="100"/>
              <w:jc w:val="both"/>
              <w:rPr>
                <w:rFonts w:ascii="Arial" w:hAnsi="Arial" w:cs="Arial"/>
                <w:sz w:val="20"/>
                <w:szCs w:val="20"/>
              </w:rPr>
            </w:pPr>
            <w:r>
              <w:rPr>
                <w:rFonts w:ascii="Arial" w:hAnsi="Arial" w:cs="Arial"/>
                <w:sz w:val="20"/>
                <w:szCs w:val="20"/>
              </w:rPr>
              <w:t>S/F &lt; 235 (SOFA ≥3)</w:t>
            </w:r>
          </w:p>
        </w:tc>
        <w:tc>
          <w:tcPr>
            <w:tcW w:w="1843" w:type="dxa"/>
            <w:vAlign w:val="center"/>
          </w:tcPr>
          <w:p w14:paraId="20AAF3E2">
            <w:pPr>
              <w:pStyle w:val="35"/>
              <w:spacing w:before="0"/>
              <w:jc w:val="both"/>
              <w:rPr>
                <w:rFonts w:ascii="Arial" w:hAnsi="Arial" w:cs="Arial"/>
                <w:sz w:val="20"/>
                <w:szCs w:val="20"/>
              </w:rPr>
            </w:pPr>
            <w:r>
              <w:rPr>
                <w:rFonts w:ascii="Arial" w:hAnsi="Arial" w:cs="Arial"/>
                <w:sz w:val="20"/>
                <w:szCs w:val="20"/>
              </w:rPr>
              <w:t>869/1347 (64.5%)</w:t>
            </w:r>
          </w:p>
        </w:tc>
        <w:tc>
          <w:tcPr>
            <w:tcW w:w="1899" w:type="dxa"/>
            <w:vAlign w:val="center"/>
          </w:tcPr>
          <w:p w14:paraId="0A0D81D0">
            <w:pPr>
              <w:pStyle w:val="35"/>
              <w:spacing w:before="0"/>
              <w:jc w:val="both"/>
              <w:rPr>
                <w:rFonts w:ascii="Arial" w:hAnsi="Arial" w:cs="Arial"/>
                <w:sz w:val="20"/>
                <w:szCs w:val="20"/>
              </w:rPr>
            </w:pPr>
            <w:r>
              <w:rPr>
                <w:rFonts w:ascii="Arial" w:hAnsi="Arial" w:cs="Arial"/>
                <w:sz w:val="20"/>
                <w:szCs w:val="20"/>
              </w:rPr>
              <w:t>483/1204 (40.1%)</w:t>
            </w:r>
          </w:p>
        </w:tc>
        <w:tc>
          <w:tcPr>
            <w:tcW w:w="2410" w:type="dxa"/>
            <w:gridSpan w:val="2"/>
            <w:vAlign w:val="center"/>
          </w:tcPr>
          <w:p w14:paraId="1E052FC3">
            <w:pPr>
              <w:pStyle w:val="35"/>
              <w:spacing w:before="0"/>
              <w:jc w:val="both"/>
              <w:rPr>
                <w:rFonts w:ascii="Arial" w:hAnsi="Arial" w:cs="Arial"/>
                <w:sz w:val="20"/>
                <w:szCs w:val="20"/>
              </w:rPr>
            </w:pPr>
            <w:r>
              <w:rPr>
                <w:rFonts w:ascii="Arial" w:hAnsi="Arial" w:cs="Arial"/>
                <w:sz w:val="20"/>
                <w:szCs w:val="20"/>
              </w:rPr>
              <w:t>138/201 (68.7%)</w:t>
            </w:r>
          </w:p>
        </w:tc>
      </w:tr>
      <w:tr w14:paraId="26E56193">
        <w:trPr>
          <w:trHeight w:val="229" w:hRule="atLeast"/>
        </w:trPr>
        <w:tc>
          <w:tcPr>
            <w:tcW w:w="3828" w:type="dxa"/>
            <w:vAlign w:val="center"/>
          </w:tcPr>
          <w:p w14:paraId="60007ED4">
            <w:pPr>
              <w:pStyle w:val="35"/>
              <w:spacing w:before="0"/>
              <w:ind w:left="220" w:leftChars="100"/>
              <w:jc w:val="both"/>
              <w:rPr>
                <w:rFonts w:ascii="Arial" w:hAnsi="Arial" w:cs="Arial"/>
                <w:sz w:val="20"/>
                <w:szCs w:val="20"/>
              </w:rPr>
            </w:pPr>
            <w:r>
              <w:rPr>
                <w:rFonts w:ascii="Arial" w:hAnsi="Arial" w:cs="Arial"/>
                <w:sz w:val="20"/>
                <w:szCs w:val="20"/>
              </w:rPr>
              <w:t>S/F &lt; 150 (SOFA = 4)</w:t>
            </w:r>
          </w:p>
        </w:tc>
        <w:tc>
          <w:tcPr>
            <w:tcW w:w="1843" w:type="dxa"/>
            <w:vAlign w:val="center"/>
          </w:tcPr>
          <w:p w14:paraId="051613C6">
            <w:pPr>
              <w:pStyle w:val="35"/>
              <w:spacing w:before="0"/>
              <w:jc w:val="both"/>
              <w:rPr>
                <w:rFonts w:ascii="Arial" w:hAnsi="Arial" w:cs="Arial"/>
                <w:sz w:val="20"/>
                <w:szCs w:val="20"/>
              </w:rPr>
            </w:pPr>
            <w:r>
              <w:rPr>
                <w:rFonts w:ascii="Arial" w:hAnsi="Arial" w:cs="Arial"/>
                <w:sz w:val="20"/>
                <w:szCs w:val="20"/>
              </w:rPr>
              <w:t>260/1347 (19.3%)</w:t>
            </w:r>
          </w:p>
        </w:tc>
        <w:tc>
          <w:tcPr>
            <w:tcW w:w="1899" w:type="dxa"/>
            <w:vAlign w:val="center"/>
          </w:tcPr>
          <w:p w14:paraId="19C3748A">
            <w:pPr>
              <w:pStyle w:val="35"/>
              <w:spacing w:before="0"/>
              <w:jc w:val="both"/>
              <w:rPr>
                <w:rFonts w:ascii="Arial" w:hAnsi="Arial" w:cs="Arial"/>
                <w:sz w:val="20"/>
                <w:szCs w:val="20"/>
              </w:rPr>
            </w:pPr>
            <w:r>
              <w:rPr>
                <w:rFonts w:ascii="Arial" w:hAnsi="Arial" w:cs="Arial"/>
                <w:sz w:val="20"/>
                <w:szCs w:val="20"/>
              </w:rPr>
              <w:t>100/1204 (8.3%)</w:t>
            </w:r>
          </w:p>
        </w:tc>
        <w:tc>
          <w:tcPr>
            <w:tcW w:w="2410" w:type="dxa"/>
            <w:gridSpan w:val="2"/>
            <w:vAlign w:val="center"/>
          </w:tcPr>
          <w:p w14:paraId="6878EEA5">
            <w:pPr>
              <w:pStyle w:val="35"/>
              <w:spacing w:before="0"/>
              <w:jc w:val="both"/>
              <w:rPr>
                <w:rFonts w:ascii="Arial" w:hAnsi="Arial" w:cs="Arial"/>
                <w:sz w:val="20"/>
                <w:szCs w:val="20"/>
              </w:rPr>
            </w:pPr>
            <w:r>
              <w:rPr>
                <w:rFonts w:ascii="Arial" w:hAnsi="Arial" w:cs="Arial"/>
                <w:sz w:val="20"/>
                <w:szCs w:val="20"/>
              </w:rPr>
              <w:t>12/201 (6.0%)</w:t>
            </w:r>
          </w:p>
        </w:tc>
      </w:tr>
      <w:tr w14:paraId="1C0FFC86">
        <w:trPr>
          <w:trHeight w:val="233" w:hRule="atLeast"/>
        </w:trPr>
        <w:tc>
          <w:tcPr>
            <w:tcW w:w="3828" w:type="dxa"/>
            <w:vAlign w:val="center"/>
          </w:tcPr>
          <w:p w14:paraId="5DA03272">
            <w:pPr>
              <w:pStyle w:val="35"/>
              <w:spacing w:before="0"/>
              <w:ind w:left="220" w:leftChars="100"/>
              <w:jc w:val="both"/>
              <w:rPr>
                <w:rFonts w:ascii="Arial" w:hAnsi="Arial" w:cs="Arial"/>
                <w:sz w:val="20"/>
                <w:szCs w:val="20"/>
              </w:rPr>
            </w:pPr>
            <w:r>
              <w:rPr>
                <w:rFonts w:ascii="Arial" w:hAnsi="Arial" w:cs="Arial"/>
                <w:sz w:val="20"/>
                <w:szCs w:val="20"/>
              </w:rPr>
              <w:t>SpO</w:t>
            </w:r>
            <w:r>
              <w:rPr>
                <w:vertAlign w:val="subscript"/>
              </w:rPr>
              <w:t>2</w:t>
            </w:r>
            <w:r>
              <w:rPr>
                <w:rFonts w:hint="eastAsia" w:eastAsia="宋体"/>
                <w:vertAlign w:val="subscript"/>
                <w:lang w:eastAsia="zh-CN"/>
              </w:rPr>
              <w:t xml:space="preserve"> </w:t>
            </w:r>
            <w:r>
              <w:rPr>
                <w:rFonts w:ascii="Arial" w:hAnsi="Arial" w:cs="Arial"/>
                <w:sz w:val="20"/>
                <w:szCs w:val="20"/>
              </w:rPr>
              <w:t>(%)</w:t>
            </w:r>
          </w:p>
        </w:tc>
        <w:tc>
          <w:tcPr>
            <w:tcW w:w="1843" w:type="dxa"/>
            <w:vAlign w:val="center"/>
          </w:tcPr>
          <w:p w14:paraId="11D98132">
            <w:pPr>
              <w:pStyle w:val="35"/>
              <w:spacing w:before="0"/>
              <w:jc w:val="both"/>
              <w:rPr>
                <w:rFonts w:ascii="Arial" w:hAnsi="Arial" w:cs="Arial"/>
                <w:sz w:val="20"/>
                <w:szCs w:val="20"/>
              </w:rPr>
            </w:pPr>
            <w:r>
              <w:rPr>
                <w:rFonts w:ascii="Arial" w:hAnsi="Arial" w:cs="Arial"/>
                <w:sz w:val="20"/>
                <w:szCs w:val="20"/>
              </w:rPr>
              <w:t>96.13 ± 2.03</w:t>
            </w:r>
          </w:p>
        </w:tc>
        <w:tc>
          <w:tcPr>
            <w:tcW w:w="1899" w:type="dxa"/>
            <w:vAlign w:val="center"/>
          </w:tcPr>
          <w:p w14:paraId="2A3102D8">
            <w:pPr>
              <w:pStyle w:val="35"/>
              <w:spacing w:before="0"/>
              <w:jc w:val="both"/>
              <w:rPr>
                <w:rFonts w:ascii="Arial" w:hAnsi="Arial" w:cs="Arial"/>
                <w:sz w:val="20"/>
                <w:szCs w:val="20"/>
              </w:rPr>
            </w:pPr>
            <w:r>
              <w:rPr>
                <w:rFonts w:ascii="Arial" w:hAnsi="Arial" w:cs="Arial"/>
                <w:sz w:val="20"/>
                <w:szCs w:val="20"/>
              </w:rPr>
              <w:t>96.30 ± 2.29</w:t>
            </w:r>
          </w:p>
        </w:tc>
        <w:tc>
          <w:tcPr>
            <w:tcW w:w="2410" w:type="dxa"/>
            <w:gridSpan w:val="2"/>
            <w:vAlign w:val="center"/>
          </w:tcPr>
          <w:p w14:paraId="7FB39392">
            <w:pPr>
              <w:pStyle w:val="35"/>
              <w:spacing w:before="0"/>
              <w:jc w:val="both"/>
              <w:rPr>
                <w:rFonts w:ascii="Arial" w:hAnsi="Arial" w:cs="Arial"/>
                <w:sz w:val="20"/>
                <w:szCs w:val="20"/>
              </w:rPr>
            </w:pPr>
            <w:r>
              <w:rPr>
                <w:rFonts w:ascii="Arial" w:hAnsi="Arial" w:cs="Arial"/>
                <w:sz w:val="20"/>
                <w:szCs w:val="20"/>
              </w:rPr>
              <w:t>97.02 ± 2.13</w:t>
            </w:r>
          </w:p>
        </w:tc>
      </w:tr>
      <w:tr w14:paraId="0D2DDA34">
        <w:trPr>
          <w:trHeight w:val="229" w:hRule="atLeast"/>
        </w:trPr>
        <w:tc>
          <w:tcPr>
            <w:tcW w:w="3828" w:type="dxa"/>
            <w:vAlign w:val="center"/>
          </w:tcPr>
          <w:p w14:paraId="4AB03B7A">
            <w:pPr>
              <w:pStyle w:val="35"/>
              <w:spacing w:before="0"/>
              <w:ind w:left="220" w:leftChars="100"/>
              <w:jc w:val="both"/>
              <w:rPr>
                <w:rFonts w:ascii="Arial" w:hAnsi="Arial" w:cs="Arial"/>
                <w:sz w:val="20"/>
                <w:szCs w:val="20"/>
              </w:rPr>
            </w:pPr>
            <w:r>
              <w:rPr>
                <w:rFonts w:ascii="Arial" w:hAnsi="Arial" w:cs="Arial"/>
                <w:sz w:val="20"/>
                <w:szCs w:val="20"/>
              </w:rPr>
              <w:t>SpO</w:t>
            </w:r>
            <w:r>
              <w:rPr>
                <w:vertAlign w:val="subscript"/>
              </w:rPr>
              <w:t>2</w:t>
            </w:r>
            <w:r>
              <w:rPr>
                <w:rFonts w:hint="eastAsia" w:eastAsia="宋体"/>
                <w:sz w:val="20"/>
                <w:szCs w:val="20"/>
                <w:lang w:eastAsia="zh-CN"/>
              </w:rPr>
              <w:t xml:space="preserve"> </w:t>
            </w:r>
            <w:r>
              <w:rPr>
                <w:rFonts w:ascii="Arial" w:hAnsi="Arial" w:cs="Arial"/>
                <w:sz w:val="20"/>
                <w:szCs w:val="20"/>
              </w:rPr>
              <w:t>&lt; 98% (S/F applicable)</w:t>
            </w:r>
          </w:p>
        </w:tc>
        <w:tc>
          <w:tcPr>
            <w:tcW w:w="1843" w:type="dxa"/>
            <w:vAlign w:val="center"/>
          </w:tcPr>
          <w:p w14:paraId="4E317C64">
            <w:pPr>
              <w:pStyle w:val="35"/>
              <w:spacing w:before="0"/>
              <w:jc w:val="both"/>
              <w:rPr>
                <w:rFonts w:ascii="Arial" w:hAnsi="Arial" w:cs="Arial"/>
                <w:sz w:val="20"/>
                <w:szCs w:val="20"/>
              </w:rPr>
            </w:pPr>
            <w:r>
              <w:rPr>
                <w:rFonts w:ascii="Arial" w:hAnsi="Arial" w:cs="Arial"/>
                <w:sz w:val="20"/>
                <w:szCs w:val="20"/>
              </w:rPr>
              <w:t>2182/2720 (80.2%)</w:t>
            </w:r>
          </w:p>
        </w:tc>
        <w:tc>
          <w:tcPr>
            <w:tcW w:w="1899" w:type="dxa"/>
            <w:vAlign w:val="center"/>
          </w:tcPr>
          <w:p w14:paraId="3B96471F">
            <w:pPr>
              <w:pStyle w:val="35"/>
              <w:spacing w:before="0"/>
              <w:jc w:val="both"/>
              <w:rPr>
                <w:rFonts w:ascii="Arial" w:hAnsi="Arial" w:cs="Arial"/>
                <w:sz w:val="20"/>
                <w:szCs w:val="20"/>
              </w:rPr>
            </w:pPr>
            <w:r>
              <w:rPr>
                <w:rFonts w:ascii="Arial" w:hAnsi="Arial" w:cs="Arial"/>
                <w:sz w:val="20"/>
                <w:szCs w:val="20"/>
              </w:rPr>
              <w:t>1535/1994 (77.0%)</w:t>
            </w:r>
          </w:p>
        </w:tc>
        <w:tc>
          <w:tcPr>
            <w:tcW w:w="2410" w:type="dxa"/>
            <w:gridSpan w:val="2"/>
            <w:vAlign w:val="center"/>
          </w:tcPr>
          <w:p w14:paraId="1BBF1412">
            <w:pPr>
              <w:pStyle w:val="35"/>
              <w:spacing w:before="0"/>
              <w:jc w:val="both"/>
              <w:rPr>
                <w:rFonts w:ascii="Arial" w:hAnsi="Arial" w:cs="Arial"/>
                <w:sz w:val="20"/>
                <w:szCs w:val="20"/>
              </w:rPr>
            </w:pPr>
            <w:r>
              <w:rPr>
                <w:rFonts w:ascii="Arial" w:hAnsi="Arial" w:cs="Arial"/>
                <w:sz w:val="20"/>
                <w:szCs w:val="20"/>
              </w:rPr>
              <w:t>245/373 (65.7%)</w:t>
            </w:r>
          </w:p>
        </w:tc>
      </w:tr>
      <w:tr w14:paraId="416BBC7D">
        <w:trPr>
          <w:trHeight w:val="229" w:hRule="atLeast"/>
        </w:trPr>
        <w:tc>
          <w:tcPr>
            <w:tcW w:w="3828" w:type="dxa"/>
            <w:vAlign w:val="center"/>
          </w:tcPr>
          <w:p w14:paraId="21673F19">
            <w:pPr>
              <w:pStyle w:val="35"/>
              <w:spacing w:before="0"/>
              <w:ind w:left="220" w:leftChars="100"/>
              <w:jc w:val="both"/>
              <w:rPr>
                <w:rFonts w:ascii="Arial" w:hAnsi="Arial" w:cs="Arial"/>
                <w:sz w:val="20"/>
                <w:szCs w:val="20"/>
              </w:rPr>
            </w:pPr>
            <w:r>
              <w:rPr>
                <w:rFonts w:ascii="Arial" w:hAnsi="Arial" w:cs="Arial"/>
                <w:sz w:val="20"/>
                <w:szCs w:val="20"/>
              </w:rPr>
              <w:t>SpO</w:t>
            </w:r>
            <w:r>
              <w:rPr>
                <w:vertAlign w:val="subscript"/>
              </w:rPr>
              <w:t>2</w:t>
            </w:r>
            <w:r>
              <w:rPr>
                <w:rFonts w:hint="eastAsia" w:eastAsia="宋体"/>
                <w:vertAlign w:val="subscript"/>
                <w:lang w:eastAsia="zh-CN"/>
              </w:rPr>
              <w:t xml:space="preserve"> </w:t>
            </w:r>
            <w:r>
              <w:rPr>
                <w:rFonts w:ascii="Arial" w:hAnsi="Arial" w:cs="Arial"/>
                <w:sz w:val="20"/>
                <w:szCs w:val="20"/>
              </w:rPr>
              <w:t xml:space="preserve">&lt; 98% </w:t>
            </w:r>
            <w:r>
              <w:rPr>
                <w:rFonts w:hint="eastAsia" w:ascii="Arial" w:hAnsi="Arial" w:eastAsia="宋体" w:cs="Arial"/>
                <w:sz w:val="20"/>
                <w:szCs w:val="20"/>
                <w:lang w:eastAsia="zh-CN"/>
              </w:rPr>
              <w:t>&amp; P</w:t>
            </w:r>
            <w:r>
              <w:rPr>
                <w:rFonts w:ascii="Arial" w:hAnsi="Arial" w:cs="Arial"/>
                <w:sz w:val="20"/>
                <w:szCs w:val="20"/>
              </w:rPr>
              <w:t>/F unavailable</w:t>
            </w:r>
          </w:p>
        </w:tc>
        <w:tc>
          <w:tcPr>
            <w:tcW w:w="1843" w:type="dxa"/>
            <w:vAlign w:val="center"/>
          </w:tcPr>
          <w:p w14:paraId="1B2796E4">
            <w:pPr>
              <w:pStyle w:val="35"/>
              <w:spacing w:before="0"/>
              <w:jc w:val="both"/>
              <w:rPr>
                <w:rFonts w:ascii="Arial" w:hAnsi="Arial" w:cs="Arial"/>
                <w:sz w:val="20"/>
                <w:szCs w:val="20"/>
              </w:rPr>
            </w:pPr>
            <w:r>
              <w:rPr>
                <w:rFonts w:ascii="Arial" w:hAnsi="Arial" w:cs="Arial"/>
                <w:sz w:val="20"/>
                <w:szCs w:val="20"/>
              </w:rPr>
              <w:t>1402/2720 (51.5%)</w:t>
            </w:r>
          </w:p>
        </w:tc>
        <w:tc>
          <w:tcPr>
            <w:tcW w:w="1899" w:type="dxa"/>
            <w:vAlign w:val="center"/>
          </w:tcPr>
          <w:p w14:paraId="797B1AD6">
            <w:pPr>
              <w:pStyle w:val="35"/>
              <w:spacing w:before="0"/>
              <w:jc w:val="both"/>
              <w:rPr>
                <w:rFonts w:ascii="Arial" w:hAnsi="Arial" w:cs="Arial"/>
                <w:sz w:val="20"/>
                <w:szCs w:val="20"/>
              </w:rPr>
            </w:pPr>
            <w:r>
              <w:rPr>
                <w:rFonts w:ascii="Arial" w:hAnsi="Arial" w:cs="Arial"/>
                <w:sz w:val="20"/>
                <w:szCs w:val="20"/>
              </w:rPr>
              <w:t>1120/1994 (56.2%)</w:t>
            </w:r>
          </w:p>
        </w:tc>
        <w:tc>
          <w:tcPr>
            <w:tcW w:w="2410" w:type="dxa"/>
            <w:gridSpan w:val="2"/>
            <w:vAlign w:val="center"/>
          </w:tcPr>
          <w:p w14:paraId="493C9DB1">
            <w:pPr>
              <w:pStyle w:val="35"/>
              <w:spacing w:before="0"/>
              <w:jc w:val="both"/>
              <w:rPr>
                <w:rFonts w:ascii="Arial" w:hAnsi="Arial" w:cs="Arial"/>
                <w:sz w:val="20"/>
                <w:szCs w:val="20"/>
              </w:rPr>
            </w:pPr>
            <w:r>
              <w:rPr>
                <w:rFonts w:ascii="Arial" w:hAnsi="Arial" w:cs="Arial"/>
                <w:sz w:val="20"/>
                <w:szCs w:val="20"/>
              </w:rPr>
              <w:t>3/373 (0.8%)</w:t>
            </w:r>
          </w:p>
        </w:tc>
      </w:tr>
      <w:tr w14:paraId="0972DC32">
        <w:trPr>
          <w:trHeight w:val="229" w:hRule="atLeast"/>
        </w:trPr>
        <w:tc>
          <w:tcPr>
            <w:tcW w:w="3828" w:type="dxa"/>
            <w:vAlign w:val="center"/>
          </w:tcPr>
          <w:p w14:paraId="412D68B2">
            <w:pPr>
              <w:pStyle w:val="35"/>
              <w:spacing w:before="0"/>
              <w:ind w:left="220" w:leftChars="100"/>
              <w:jc w:val="both"/>
              <w:rPr>
                <w:rFonts w:ascii="Arial" w:hAnsi="Arial" w:cs="Arial"/>
                <w:sz w:val="20"/>
                <w:szCs w:val="20"/>
              </w:rPr>
            </w:pPr>
            <w:r>
              <w:rPr>
                <w:rFonts w:ascii="Arial" w:hAnsi="Arial" w:cs="Arial"/>
                <w:sz w:val="20"/>
                <w:szCs w:val="20"/>
              </w:rPr>
              <w:t>FiO</w:t>
            </w:r>
            <w:r>
              <w:rPr>
                <w:vertAlign w:val="subscript"/>
              </w:rPr>
              <w:t>2</w:t>
            </w:r>
            <w:r>
              <w:rPr>
                <w:rFonts w:hint="eastAsia" w:eastAsia="宋体"/>
                <w:sz w:val="20"/>
                <w:szCs w:val="20"/>
                <w:lang w:eastAsia="zh-CN"/>
              </w:rPr>
              <w:t xml:space="preserve"> </w:t>
            </w:r>
            <w:r>
              <w:rPr>
                <w:rFonts w:ascii="Arial" w:hAnsi="Arial" w:cs="Arial"/>
                <w:sz w:val="20"/>
                <w:szCs w:val="20"/>
              </w:rPr>
              <w:t xml:space="preserve"> (%)</w:t>
            </w:r>
          </w:p>
        </w:tc>
        <w:tc>
          <w:tcPr>
            <w:tcW w:w="1843" w:type="dxa"/>
            <w:vAlign w:val="center"/>
          </w:tcPr>
          <w:p w14:paraId="44C6507C">
            <w:pPr>
              <w:pStyle w:val="35"/>
              <w:spacing w:before="0"/>
              <w:jc w:val="both"/>
              <w:rPr>
                <w:rFonts w:ascii="Arial" w:hAnsi="Arial" w:cs="Arial"/>
                <w:sz w:val="20"/>
                <w:szCs w:val="20"/>
              </w:rPr>
            </w:pPr>
            <w:r>
              <w:rPr>
                <w:rFonts w:ascii="Arial" w:hAnsi="Arial" w:cs="Arial"/>
                <w:sz w:val="20"/>
                <w:szCs w:val="20"/>
              </w:rPr>
              <w:t>49.84 ± 16.07</w:t>
            </w:r>
          </w:p>
        </w:tc>
        <w:tc>
          <w:tcPr>
            <w:tcW w:w="1899" w:type="dxa"/>
            <w:vAlign w:val="center"/>
          </w:tcPr>
          <w:p w14:paraId="4DD8017E">
            <w:pPr>
              <w:pStyle w:val="35"/>
              <w:spacing w:before="0"/>
              <w:jc w:val="both"/>
              <w:rPr>
                <w:rFonts w:ascii="Arial" w:hAnsi="Arial" w:cs="Arial"/>
                <w:sz w:val="20"/>
                <w:szCs w:val="20"/>
              </w:rPr>
            </w:pPr>
            <w:r>
              <w:rPr>
                <w:rFonts w:ascii="Arial" w:hAnsi="Arial" w:cs="Arial"/>
                <w:sz w:val="20"/>
                <w:szCs w:val="20"/>
              </w:rPr>
              <w:t>42.55 ± 17.29</w:t>
            </w:r>
          </w:p>
        </w:tc>
        <w:tc>
          <w:tcPr>
            <w:tcW w:w="2410" w:type="dxa"/>
            <w:gridSpan w:val="2"/>
            <w:vAlign w:val="center"/>
          </w:tcPr>
          <w:p w14:paraId="7873F214">
            <w:pPr>
              <w:pStyle w:val="35"/>
              <w:spacing w:before="0"/>
              <w:jc w:val="both"/>
              <w:rPr>
                <w:rFonts w:ascii="Arial" w:hAnsi="Arial" w:cs="Arial"/>
                <w:sz w:val="20"/>
                <w:szCs w:val="20"/>
              </w:rPr>
            </w:pPr>
            <w:r>
              <w:rPr>
                <w:rFonts w:ascii="Arial" w:hAnsi="Arial" w:cs="Arial"/>
                <w:sz w:val="20"/>
                <w:szCs w:val="20"/>
              </w:rPr>
              <w:t>44.71 ± 9.19</w:t>
            </w:r>
          </w:p>
        </w:tc>
      </w:tr>
      <w:tr w14:paraId="4FF808FE">
        <w:trPr>
          <w:trHeight w:val="225" w:hRule="atLeast"/>
        </w:trPr>
        <w:tc>
          <w:tcPr>
            <w:tcW w:w="3828" w:type="dxa"/>
            <w:vAlign w:val="center"/>
          </w:tcPr>
          <w:p w14:paraId="3D0202AC">
            <w:pPr>
              <w:pStyle w:val="35"/>
              <w:spacing w:before="0"/>
              <w:ind w:left="220" w:leftChars="100"/>
              <w:jc w:val="both"/>
              <w:rPr>
                <w:rFonts w:ascii="Arial" w:hAnsi="Arial" w:cs="Arial"/>
                <w:sz w:val="20"/>
                <w:szCs w:val="20"/>
              </w:rPr>
            </w:pPr>
            <w:r>
              <w:rPr>
                <w:rFonts w:ascii="Arial" w:hAnsi="Arial" w:cs="Arial"/>
                <w:sz w:val="20"/>
                <w:szCs w:val="20"/>
              </w:rPr>
              <w:t>HFNC/NIV use</w:t>
            </w:r>
          </w:p>
        </w:tc>
        <w:tc>
          <w:tcPr>
            <w:tcW w:w="1843" w:type="dxa"/>
            <w:vAlign w:val="center"/>
          </w:tcPr>
          <w:p w14:paraId="00FECE4F">
            <w:pPr>
              <w:pStyle w:val="35"/>
              <w:spacing w:before="0"/>
              <w:jc w:val="both"/>
              <w:rPr>
                <w:rFonts w:ascii="Arial" w:hAnsi="Arial" w:cs="Arial"/>
                <w:sz w:val="20"/>
                <w:szCs w:val="20"/>
              </w:rPr>
            </w:pPr>
            <w:r>
              <w:rPr>
                <w:rFonts w:ascii="Arial" w:hAnsi="Arial" w:cs="Arial"/>
                <w:sz w:val="20"/>
                <w:szCs w:val="20"/>
              </w:rPr>
              <w:t>1565 (57.45%)</w:t>
            </w:r>
          </w:p>
        </w:tc>
        <w:tc>
          <w:tcPr>
            <w:tcW w:w="1899" w:type="dxa"/>
            <w:vAlign w:val="center"/>
          </w:tcPr>
          <w:p w14:paraId="718E2BD1">
            <w:pPr>
              <w:pStyle w:val="35"/>
              <w:spacing w:before="0"/>
              <w:jc w:val="both"/>
              <w:rPr>
                <w:rFonts w:ascii="Arial" w:hAnsi="Arial" w:cs="Arial"/>
                <w:sz w:val="20"/>
                <w:szCs w:val="20"/>
              </w:rPr>
            </w:pPr>
            <w:r>
              <w:rPr>
                <w:rFonts w:ascii="Arial" w:hAnsi="Arial" w:cs="Arial"/>
                <w:sz w:val="20"/>
                <w:szCs w:val="20"/>
              </w:rPr>
              <w:t>991 (49.40%)</w:t>
            </w:r>
          </w:p>
        </w:tc>
        <w:tc>
          <w:tcPr>
            <w:tcW w:w="2410" w:type="dxa"/>
            <w:gridSpan w:val="2"/>
            <w:vAlign w:val="center"/>
          </w:tcPr>
          <w:p w14:paraId="234DCD97">
            <w:pPr>
              <w:pStyle w:val="35"/>
              <w:spacing w:before="0"/>
              <w:jc w:val="both"/>
              <w:rPr>
                <w:rFonts w:ascii="Arial" w:hAnsi="Arial" w:cs="Arial"/>
                <w:sz w:val="20"/>
                <w:szCs w:val="20"/>
              </w:rPr>
            </w:pPr>
            <w:r>
              <w:rPr>
                <w:rFonts w:ascii="Arial" w:hAnsi="Arial" w:cs="Arial"/>
                <w:sz w:val="20"/>
                <w:szCs w:val="20"/>
              </w:rPr>
              <w:t>325 (87.13%)</w:t>
            </w:r>
          </w:p>
        </w:tc>
      </w:tr>
      <w:tr w14:paraId="1A4A971F">
        <w:trPr>
          <w:trHeight w:val="229" w:hRule="atLeast"/>
        </w:trPr>
        <w:tc>
          <w:tcPr>
            <w:tcW w:w="3828" w:type="dxa"/>
            <w:vAlign w:val="center"/>
          </w:tcPr>
          <w:p w14:paraId="18D7FBCB">
            <w:pPr>
              <w:pStyle w:val="35"/>
              <w:spacing w:before="0"/>
              <w:ind w:left="220" w:leftChars="100"/>
              <w:jc w:val="both"/>
              <w:rPr>
                <w:rFonts w:ascii="Arial" w:hAnsi="Arial" w:cs="Arial"/>
                <w:sz w:val="20"/>
                <w:szCs w:val="20"/>
              </w:rPr>
            </w:pPr>
            <w:r>
              <w:rPr>
                <w:rFonts w:ascii="Arial" w:hAnsi="Arial" w:cs="Arial"/>
                <w:sz w:val="20"/>
                <w:szCs w:val="20"/>
              </w:rPr>
              <w:t>Invasive MV</w:t>
            </w:r>
          </w:p>
        </w:tc>
        <w:tc>
          <w:tcPr>
            <w:tcW w:w="1843" w:type="dxa"/>
            <w:vAlign w:val="center"/>
          </w:tcPr>
          <w:p w14:paraId="2695041C">
            <w:pPr>
              <w:pStyle w:val="35"/>
              <w:spacing w:before="0"/>
              <w:jc w:val="both"/>
              <w:rPr>
                <w:rFonts w:ascii="Arial" w:hAnsi="Arial" w:cs="Arial"/>
                <w:sz w:val="20"/>
                <w:szCs w:val="20"/>
              </w:rPr>
            </w:pPr>
            <w:r>
              <w:rPr>
                <w:rFonts w:ascii="Arial" w:hAnsi="Arial" w:cs="Arial"/>
                <w:sz w:val="20"/>
                <w:szCs w:val="20"/>
              </w:rPr>
              <w:t>1052 (38.62%)</w:t>
            </w:r>
          </w:p>
        </w:tc>
        <w:tc>
          <w:tcPr>
            <w:tcW w:w="1899" w:type="dxa"/>
            <w:vAlign w:val="center"/>
          </w:tcPr>
          <w:p w14:paraId="283DA0E5">
            <w:pPr>
              <w:pStyle w:val="35"/>
              <w:spacing w:before="0"/>
              <w:jc w:val="both"/>
              <w:rPr>
                <w:rFonts w:ascii="Arial" w:hAnsi="Arial" w:cs="Arial"/>
                <w:sz w:val="20"/>
                <w:szCs w:val="20"/>
              </w:rPr>
            </w:pPr>
            <w:r>
              <w:rPr>
                <w:rFonts w:ascii="Arial" w:hAnsi="Arial" w:cs="Arial"/>
                <w:sz w:val="20"/>
                <w:szCs w:val="20"/>
              </w:rPr>
              <w:t>1379 (68.74%)</w:t>
            </w:r>
          </w:p>
        </w:tc>
        <w:tc>
          <w:tcPr>
            <w:tcW w:w="2410" w:type="dxa"/>
            <w:gridSpan w:val="2"/>
            <w:vAlign w:val="center"/>
          </w:tcPr>
          <w:p w14:paraId="644CC8DA">
            <w:pPr>
              <w:pStyle w:val="35"/>
              <w:spacing w:before="0"/>
              <w:jc w:val="both"/>
              <w:rPr>
                <w:rFonts w:ascii="Arial" w:hAnsi="Arial" w:cs="Arial"/>
                <w:sz w:val="20"/>
                <w:szCs w:val="20"/>
              </w:rPr>
            </w:pPr>
            <w:r>
              <w:rPr>
                <w:rFonts w:ascii="Arial" w:hAnsi="Arial" w:cs="Arial"/>
                <w:sz w:val="20"/>
                <w:szCs w:val="20"/>
              </w:rPr>
              <w:t>321 (86.06%)</w:t>
            </w:r>
          </w:p>
        </w:tc>
      </w:tr>
      <w:tr w14:paraId="4A6BFC4B">
        <w:trPr>
          <w:trHeight w:val="229" w:hRule="atLeast"/>
        </w:trPr>
        <w:tc>
          <w:tcPr>
            <w:tcW w:w="3828" w:type="dxa"/>
            <w:vAlign w:val="center"/>
          </w:tcPr>
          <w:p w14:paraId="7AE7090B">
            <w:pPr>
              <w:pStyle w:val="35"/>
              <w:spacing w:before="0"/>
              <w:ind w:left="220" w:leftChars="100"/>
              <w:jc w:val="both"/>
              <w:rPr>
                <w:rFonts w:ascii="Arial" w:hAnsi="Arial" w:cs="Arial"/>
                <w:sz w:val="20"/>
                <w:szCs w:val="20"/>
              </w:rPr>
            </w:pPr>
            <w:r>
              <w:rPr>
                <w:rFonts w:ascii="Arial" w:hAnsi="Arial" w:cs="Arial"/>
                <w:sz w:val="20"/>
                <w:szCs w:val="20"/>
              </w:rPr>
              <w:t>ECMO use</w:t>
            </w:r>
          </w:p>
        </w:tc>
        <w:tc>
          <w:tcPr>
            <w:tcW w:w="1843" w:type="dxa"/>
            <w:vAlign w:val="center"/>
          </w:tcPr>
          <w:p w14:paraId="16AE1121">
            <w:pPr>
              <w:pStyle w:val="35"/>
              <w:spacing w:before="0"/>
              <w:jc w:val="both"/>
              <w:rPr>
                <w:rFonts w:ascii="Arial" w:hAnsi="Arial" w:cs="Arial"/>
                <w:sz w:val="20"/>
                <w:szCs w:val="20"/>
              </w:rPr>
            </w:pPr>
            <w:r>
              <w:rPr>
                <w:rFonts w:ascii="Arial" w:hAnsi="Arial" w:cs="Arial"/>
                <w:sz w:val="20"/>
                <w:szCs w:val="20"/>
              </w:rPr>
              <w:t>8 (0.29%)</w:t>
            </w:r>
          </w:p>
        </w:tc>
        <w:tc>
          <w:tcPr>
            <w:tcW w:w="1899" w:type="dxa"/>
            <w:vAlign w:val="center"/>
          </w:tcPr>
          <w:p w14:paraId="5161B3AD">
            <w:pPr>
              <w:pStyle w:val="35"/>
              <w:spacing w:before="0"/>
              <w:jc w:val="both"/>
              <w:rPr>
                <w:rFonts w:ascii="Arial" w:hAnsi="Arial" w:cs="Arial"/>
                <w:sz w:val="20"/>
                <w:szCs w:val="20"/>
              </w:rPr>
            </w:pPr>
            <w:r>
              <w:rPr>
                <w:rFonts w:ascii="Arial" w:hAnsi="Arial" w:cs="Arial"/>
                <w:sz w:val="20"/>
                <w:szCs w:val="20"/>
              </w:rPr>
              <w:t>N/A</w:t>
            </w:r>
          </w:p>
        </w:tc>
        <w:tc>
          <w:tcPr>
            <w:tcW w:w="2410" w:type="dxa"/>
            <w:gridSpan w:val="2"/>
            <w:vAlign w:val="center"/>
          </w:tcPr>
          <w:p w14:paraId="47E26CD6">
            <w:pPr>
              <w:pStyle w:val="35"/>
              <w:spacing w:before="0"/>
              <w:jc w:val="both"/>
              <w:rPr>
                <w:rFonts w:ascii="Arial" w:hAnsi="Arial" w:cs="Arial"/>
                <w:sz w:val="20"/>
                <w:szCs w:val="20"/>
              </w:rPr>
            </w:pPr>
            <w:r>
              <w:rPr>
                <w:rFonts w:ascii="Arial" w:hAnsi="Arial" w:cs="Arial"/>
                <w:sz w:val="20"/>
                <w:szCs w:val="20"/>
              </w:rPr>
              <w:t>0 (0.00%)</w:t>
            </w:r>
          </w:p>
        </w:tc>
      </w:tr>
      <w:tr w14:paraId="72FBFCDE">
        <w:trPr>
          <w:trHeight w:val="229" w:hRule="atLeast"/>
        </w:trPr>
        <w:tc>
          <w:tcPr>
            <w:tcW w:w="3828" w:type="dxa"/>
            <w:vAlign w:val="center"/>
          </w:tcPr>
          <w:p w14:paraId="384E623C">
            <w:pPr>
              <w:pStyle w:val="35"/>
              <w:spacing w:before="0"/>
              <w:ind w:left="220" w:leftChars="100"/>
              <w:jc w:val="both"/>
              <w:rPr>
                <w:rFonts w:ascii="Arial" w:hAnsi="Arial" w:cs="Arial"/>
                <w:sz w:val="20"/>
                <w:szCs w:val="20"/>
              </w:rPr>
            </w:pPr>
            <w:r>
              <w:rPr>
                <w:rFonts w:ascii="Arial" w:hAnsi="Arial" w:cs="Arial"/>
                <w:sz w:val="20"/>
                <w:szCs w:val="20"/>
              </w:rPr>
              <w:t>Any advanced respiratory support</w:t>
            </w:r>
          </w:p>
        </w:tc>
        <w:tc>
          <w:tcPr>
            <w:tcW w:w="1843" w:type="dxa"/>
            <w:vAlign w:val="center"/>
          </w:tcPr>
          <w:p w14:paraId="0D82DF61">
            <w:pPr>
              <w:pStyle w:val="35"/>
              <w:spacing w:before="0"/>
              <w:jc w:val="both"/>
              <w:rPr>
                <w:rFonts w:ascii="Arial" w:hAnsi="Arial" w:cs="Arial"/>
                <w:sz w:val="20"/>
                <w:szCs w:val="20"/>
              </w:rPr>
            </w:pPr>
            <w:r>
              <w:rPr>
                <w:rFonts w:ascii="Arial" w:hAnsi="Arial" w:cs="Arial"/>
                <w:sz w:val="20"/>
                <w:szCs w:val="20"/>
              </w:rPr>
              <w:t>1590 (58.37%)</w:t>
            </w:r>
          </w:p>
        </w:tc>
        <w:tc>
          <w:tcPr>
            <w:tcW w:w="1899" w:type="dxa"/>
            <w:vAlign w:val="center"/>
          </w:tcPr>
          <w:p w14:paraId="4D3EE6B0">
            <w:pPr>
              <w:pStyle w:val="35"/>
              <w:spacing w:before="0"/>
              <w:jc w:val="both"/>
              <w:rPr>
                <w:rFonts w:ascii="Arial" w:hAnsi="Arial" w:cs="Arial"/>
                <w:sz w:val="20"/>
                <w:szCs w:val="20"/>
              </w:rPr>
            </w:pPr>
            <w:r>
              <w:rPr>
                <w:rFonts w:ascii="Arial" w:hAnsi="Arial" w:cs="Arial"/>
                <w:sz w:val="20"/>
                <w:szCs w:val="20"/>
              </w:rPr>
              <w:t>1439 (71.73%)</w:t>
            </w:r>
          </w:p>
        </w:tc>
        <w:tc>
          <w:tcPr>
            <w:tcW w:w="2410" w:type="dxa"/>
            <w:gridSpan w:val="2"/>
            <w:vAlign w:val="center"/>
          </w:tcPr>
          <w:p w14:paraId="6E2FC3CF">
            <w:pPr>
              <w:pStyle w:val="35"/>
              <w:spacing w:before="0"/>
              <w:jc w:val="both"/>
              <w:rPr>
                <w:rFonts w:ascii="Arial" w:hAnsi="Arial" w:cs="Arial"/>
                <w:sz w:val="20"/>
                <w:szCs w:val="20"/>
              </w:rPr>
            </w:pPr>
            <w:r>
              <w:rPr>
                <w:rFonts w:ascii="Arial" w:hAnsi="Arial" w:cs="Arial"/>
                <w:sz w:val="20"/>
                <w:szCs w:val="20"/>
              </w:rPr>
              <w:t>327 (87.67%)</w:t>
            </w:r>
          </w:p>
        </w:tc>
      </w:tr>
      <w:tr w14:paraId="0A2D7B43">
        <w:trPr>
          <w:trHeight w:val="229" w:hRule="atLeast"/>
        </w:trPr>
        <w:tc>
          <w:tcPr>
            <w:tcW w:w="3828" w:type="dxa"/>
            <w:vAlign w:val="center"/>
          </w:tcPr>
          <w:p w14:paraId="17D7D026">
            <w:pPr>
              <w:pStyle w:val="35"/>
              <w:spacing w:before="0"/>
              <w:ind w:left="220" w:leftChars="100"/>
              <w:jc w:val="both"/>
              <w:rPr>
                <w:rFonts w:ascii="Arial" w:hAnsi="Arial" w:cs="Arial"/>
                <w:sz w:val="20"/>
                <w:szCs w:val="20"/>
              </w:rPr>
            </w:pPr>
            <w:r>
              <w:rPr>
                <w:rFonts w:ascii="Arial" w:hAnsi="Arial" w:cs="Arial"/>
                <w:sz w:val="20"/>
                <w:szCs w:val="20"/>
              </w:rPr>
              <w:t>SOFA-1 respiratory score</w:t>
            </w:r>
          </w:p>
        </w:tc>
        <w:tc>
          <w:tcPr>
            <w:tcW w:w="1843" w:type="dxa"/>
            <w:vAlign w:val="center"/>
          </w:tcPr>
          <w:p w14:paraId="29F09245">
            <w:pPr>
              <w:pStyle w:val="35"/>
              <w:spacing w:before="0"/>
              <w:jc w:val="both"/>
              <w:rPr>
                <w:rFonts w:ascii="Arial" w:hAnsi="Arial" w:cs="Arial"/>
                <w:sz w:val="20"/>
                <w:szCs w:val="20"/>
              </w:rPr>
            </w:pPr>
            <w:r>
              <w:rPr>
                <w:rFonts w:ascii="Arial" w:hAnsi="Arial" w:cs="Arial"/>
                <w:sz w:val="20"/>
                <w:szCs w:val="20"/>
              </w:rPr>
              <w:t>1.47 ± 1.26</w:t>
            </w:r>
          </w:p>
        </w:tc>
        <w:tc>
          <w:tcPr>
            <w:tcW w:w="1899" w:type="dxa"/>
            <w:vAlign w:val="center"/>
          </w:tcPr>
          <w:p w14:paraId="38A2C014">
            <w:pPr>
              <w:pStyle w:val="35"/>
              <w:spacing w:before="0"/>
              <w:jc w:val="both"/>
              <w:rPr>
                <w:rFonts w:ascii="Arial" w:hAnsi="Arial" w:cs="Arial"/>
                <w:sz w:val="20"/>
                <w:szCs w:val="20"/>
              </w:rPr>
            </w:pPr>
            <w:r>
              <w:rPr>
                <w:rFonts w:ascii="Arial" w:hAnsi="Arial" w:cs="Arial"/>
                <w:sz w:val="20"/>
                <w:szCs w:val="20"/>
              </w:rPr>
              <w:t>1.32 ± 1.40</w:t>
            </w:r>
          </w:p>
        </w:tc>
        <w:tc>
          <w:tcPr>
            <w:tcW w:w="2410" w:type="dxa"/>
            <w:gridSpan w:val="2"/>
            <w:vAlign w:val="center"/>
          </w:tcPr>
          <w:p w14:paraId="1D7990E7">
            <w:pPr>
              <w:pStyle w:val="35"/>
              <w:spacing w:before="0"/>
              <w:jc w:val="both"/>
              <w:rPr>
                <w:rFonts w:ascii="Arial" w:hAnsi="Arial" w:cs="Arial"/>
                <w:sz w:val="20"/>
                <w:szCs w:val="20"/>
              </w:rPr>
            </w:pPr>
            <w:r>
              <w:rPr>
                <w:rFonts w:ascii="Arial" w:hAnsi="Arial" w:cs="Arial"/>
                <w:sz w:val="20"/>
                <w:szCs w:val="20"/>
              </w:rPr>
              <w:t>2.59 ± 1.11</w:t>
            </w:r>
          </w:p>
        </w:tc>
      </w:tr>
      <w:tr w14:paraId="4B96C412">
        <w:trPr>
          <w:trHeight w:val="210" w:hRule="atLeast"/>
        </w:trPr>
        <w:tc>
          <w:tcPr>
            <w:tcW w:w="3828" w:type="dxa"/>
            <w:vAlign w:val="center"/>
          </w:tcPr>
          <w:p w14:paraId="5C135116">
            <w:pPr>
              <w:pStyle w:val="35"/>
              <w:spacing w:before="0"/>
              <w:ind w:left="220" w:leftChars="100"/>
              <w:jc w:val="both"/>
              <w:rPr>
                <w:rFonts w:ascii="Arial" w:hAnsi="Arial" w:cs="Arial"/>
                <w:sz w:val="20"/>
                <w:szCs w:val="20"/>
              </w:rPr>
            </w:pPr>
            <w:r>
              <w:rPr>
                <w:rFonts w:ascii="Arial" w:hAnsi="Arial" w:cs="Arial"/>
                <w:sz w:val="20"/>
                <w:szCs w:val="20"/>
              </w:rPr>
              <w:t>SOFA-2 respiratory score</w:t>
            </w:r>
          </w:p>
        </w:tc>
        <w:tc>
          <w:tcPr>
            <w:tcW w:w="1843" w:type="dxa"/>
            <w:vAlign w:val="center"/>
          </w:tcPr>
          <w:p w14:paraId="71EE742E">
            <w:pPr>
              <w:pStyle w:val="35"/>
              <w:spacing w:before="0"/>
              <w:jc w:val="both"/>
              <w:rPr>
                <w:rFonts w:ascii="Arial" w:hAnsi="Arial" w:cs="Arial"/>
                <w:sz w:val="20"/>
                <w:szCs w:val="20"/>
              </w:rPr>
            </w:pPr>
            <w:r>
              <w:rPr>
                <w:rFonts w:ascii="Arial" w:hAnsi="Arial" w:cs="Arial"/>
                <w:sz w:val="20"/>
                <w:szCs w:val="20"/>
              </w:rPr>
              <w:t>2.06 ± 1.72</w:t>
            </w:r>
          </w:p>
        </w:tc>
        <w:tc>
          <w:tcPr>
            <w:tcW w:w="1899" w:type="dxa"/>
            <w:vAlign w:val="center"/>
          </w:tcPr>
          <w:p w14:paraId="3ABCCE26">
            <w:pPr>
              <w:pStyle w:val="35"/>
              <w:spacing w:before="0"/>
              <w:jc w:val="both"/>
              <w:rPr>
                <w:rFonts w:ascii="Arial" w:hAnsi="Arial" w:cs="Arial"/>
                <w:sz w:val="20"/>
                <w:szCs w:val="20"/>
              </w:rPr>
            </w:pPr>
            <w:r>
              <w:rPr>
                <w:rFonts w:ascii="Arial" w:hAnsi="Arial" w:cs="Arial"/>
                <w:sz w:val="20"/>
                <w:szCs w:val="20"/>
              </w:rPr>
              <w:t>2.21 ± 1.47</w:t>
            </w:r>
          </w:p>
        </w:tc>
        <w:tc>
          <w:tcPr>
            <w:tcW w:w="2410" w:type="dxa"/>
            <w:gridSpan w:val="2"/>
            <w:vAlign w:val="center"/>
          </w:tcPr>
          <w:p w14:paraId="0EC2F99F">
            <w:pPr>
              <w:pStyle w:val="35"/>
              <w:spacing w:before="0"/>
              <w:jc w:val="both"/>
              <w:rPr>
                <w:rFonts w:ascii="Arial" w:hAnsi="Arial" w:cs="Arial"/>
                <w:sz w:val="20"/>
                <w:szCs w:val="20"/>
              </w:rPr>
            </w:pPr>
            <w:r>
              <w:rPr>
                <w:rFonts w:ascii="Arial" w:hAnsi="Arial" w:cs="Arial"/>
                <w:sz w:val="20"/>
                <w:szCs w:val="20"/>
              </w:rPr>
              <w:t>2.68 ± 1.44</w:t>
            </w:r>
          </w:p>
        </w:tc>
      </w:tr>
      <w:tr w14:paraId="54D1008E">
        <w:trPr>
          <w:trHeight w:val="210" w:hRule="atLeast"/>
        </w:trPr>
        <w:tc>
          <w:tcPr>
            <w:tcW w:w="3828" w:type="dxa"/>
            <w:vAlign w:val="center"/>
          </w:tcPr>
          <w:p w14:paraId="0C3B15F1">
            <w:pPr>
              <w:pStyle w:val="35"/>
              <w:spacing w:before="0"/>
              <w:ind w:left="220" w:leftChars="100"/>
              <w:jc w:val="both"/>
              <w:rPr>
                <w:rFonts w:ascii="Arial" w:hAnsi="Arial" w:cs="Arial"/>
                <w:sz w:val="20"/>
                <w:szCs w:val="20"/>
              </w:rPr>
            </w:pPr>
            <w:r>
              <w:rPr>
                <w:rFonts w:ascii="Arial" w:hAnsi="Arial" w:cs="Arial"/>
                <w:sz w:val="20"/>
                <w:szCs w:val="20"/>
              </w:rPr>
              <w:t>Respiratory score difference</w:t>
            </w:r>
          </w:p>
        </w:tc>
        <w:tc>
          <w:tcPr>
            <w:tcW w:w="1843" w:type="dxa"/>
            <w:vAlign w:val="center"/>
          </w:tcPr>
          <w:p w14:paraId="5B533A03">
            <w:pPr>
              <w:pStyle w:val="35"/>
              <w:spacing w:before="0"/>
              <w:jc w:val="both"/>
              <w:rPr>
                <w:rFonts w:ascii="Arial" w:hAnsi="Arial" w:cs="Arial"/>
                <w:sz w:val="20"/>
                <w:szCs w:val="20"/>
              </w:rPr>
            </w:pPr>
            <w:r>
              <w:rPr>
                <w:rFonts w:ascii="Arial" w:hAnsi="Arial" w:cs="Arial"/>
                <w:sz w:val="20"/>
                <w:szCs w:val="20"/>
              </w:rPr>
              <w:t>1.17 ± 1.63</w:t>
            </w:r>
          </w:p>
        </w:tc>
        <w:tc>
          <w:tcPr>
            <w:tcW w:w="1899" w:type="dxa"/>
            <w:vAlign w:val="center"/>
          </w:tcPr>
          <w:p w14:paraId="42B2C73E">
            <w:pPr>
              <w:pStyle w:val="35"/>
              <w:spacing w:before="0"/>
              <w:jc w:val="both"/>
              <w:rPr>
                <w:rFonts w:ascii="Arial" w:hAnsi="Arial" w:cs="Arial"/>
                <w:sz w:val="20"/>
                <w:szCs w:val="20"/>
              </w:rPr>
            </w:pPr>
            <w:r>
              <w:rPr>
                <w:rFonts w:ascii="Arial" w:hAnsi="Arial" w:cs="Arial"/>
                <w:sz w:val="20"/>
                <w:szCs w:val="20"/>
              </w:rPr>
              <w:t>1.23 ± 1.46</w:t>
            </w:r>
          </w:p>
        </w:tc>
        <w:tc>
          <w:tcPr>
            <w:tcW w:w="2410" w:type="dxa"/>
            <w:gridSpan w:val="2"/>
            <w:vAlign w:val="center"/>
          </w:tcPr>
          <w:p w14:paraId="6F459241">
            <w:pPr>
              <w:pStyle w:val="35"/>
              <w:spacing w:before="0"/>
              <w:jc w:val="both"/>
              <w:rPr>
                <w:rFonts w:ascii="Arial" w:hAnsi="Arial" w:cs="Arial"/>
                <w:sz w:val="20"/>
                <w:szCs w:val="20"/>
              </w:rPr>
            </w:pPr>
            <w:r>
              <w:rPr>
                <w:rFonts w:ascii="Arial" w:hAnsi="Arial" w:cs="Arial"/>
                <w:sz w:val="20"/>
                <w:szCs w:val="20"/>
              </w:rPr>
              <w:t>0.12 ± 0.98</w:t>
            </w:r>
          </w:p>
        </w:tc>
      </w:tr>
      <w:tr w14:paraId="16281066">
        <w:trPr>
          <w:trHeight w:val="229" w:hRule="atLeast"/>
        </w:trPr>
        <w:tc>
          <w:tcPr>
            <w:tcW w:w="3828" w:type="dxa"/>
            <w:vAlign w:val="center"/>
          </w:tcPr>
          <w:p w14:paraId="5688A343">
            <w:pPr>
              <w:pStyle w:val="35"/>
              <w:spacing w:before="0"/>
              <w:jc w:val="both"/>
              <w:rPr>
                <w:rFonts w:ascii="Arial" w:hAnsi="Arial" w:cs="Arial" w:eastAsiaTheme="minorEastAsia"/>
                <w:b/>
                <w:sz w:val="20"/>
                <w:szCs w:val="20"/>
                <w:lang w:eastAsia="zh-CN"/>
              </w:rPr>
            </w:pPr>
            <w:r>
              <w:rPr>
                <w:rFonts w:ascii="Arial" w:hAnsi="Arial" w:cs="Arial"/>
                <w:b/>
                <w:sz w:val="20"/>
                <w:szCs w:val="20"/>
              </w:rPr>
              <w:t>Renal</w:t>
            </w:r>
            <w:r>
              <w:rPr>
                <w:rFonts w:ascii="Arial" w:hAnsi="Arial" w:cs="Arial"/>
                <w:b/>
                <w:spacing w:val="-5"/>
                <w:sz w:val="20"/>
                <w:szCs w:val="20"/>
              </w:rPr>
              <w:t xml:space="preserve"> </w:t>
            </w:r>
            <w:r>
              <w:rPr>
                <w:rFonts w:ascii="Arial" w:hAnsi="Arial" w:cs="Arial"/>
                <w:b/>
                <w:spacing w:val="-2"/>
                <w:sz w:val="20"/>
                <w:szCs w:val="20"/>
              </w:rPr>
              <w:t>System</w:t>
            </w:r>
          </w:p>
        </w:tc>
        <w:tc>
          <w:tcPr>
            <w:tcW w:w="1843" w:type="dxa"/>
            <w:vAlign w:val="center"/>
          </w:tcPr>
          <w:p w14:paraId="75AD558B">
            <w:pPr>
              <w:pStyle w:val="35"/>
              <w:spacing w:before="0"/>
              <w:jc w:val="both"/>
              <w:rPr>
                <w:rFonts w:ascii="Arial" w:hAnsi="Arial" w:cs="Arial"/>
                <w:sz w:val="20"/>
                <w:szCs w:val="20"/>
              </w:rPr>
            </w:pPr>
          </w:p>
        </w:tc>
        <w:tc>
          <w:tcPr>
            <w:tcW w:w="1899" w:type="dxa"/>
            <w:vAlign w:val="center"/>
          </w:tcPr>
          <w:p w14:paraId="3029CC31">
            <w:pPr>
              <w:pStyle w:val="35"/>
              <w:spacing w:before="0"/>
              <w:jc w:val="both"/>
              <w:rPr>
                <w:rFonts w:ascii="Arial" w:hAnsi="Arial" w:cs="Arial"/>
                <w:sz w:val="20"/>
                <w:szCs w:val="20"/>
              </w:rPr>
            </w:pPr>
          </w:p>
        </w:tc>
        <w:tc>
          <w:tcPr>
            <w:tcW w:w="2410" w:type="dxa"/>
            <w:gridSpan w:val="2"/>
            <w:vAlign w:val="center"/>
          </w:tcPr>
          <w:p w14:paraId="2A64852A">
            <w:pPr>
              <w:pStyle w:val="35"/>
              <w:spacing w:before="0"/>
              <w:jc w:val="both"/>
              <w:rPr>
                <w:rFonts w:ascii="Arial" w:hAnsi="Arial" w:cs="Arial"/>
                <w:sz w:val="20"/>
                <w:szCs w:val="20"/>
              </w:rPr>
            </w:pPr>
          </w:p>
        </w:tc>
      </w:tr>
      <w:tr w14:paraId="0065C049">
        <w:trPr>
          <w:trHeight w:val="229" w:hRule="atLeast"/>
        </w:trPr>
        <w:tc>
          <w:tcPr>
            <w:tcW w:w="3828" w:type="dxa"/>
            <w:vAlign w:val="center"/>
          </w:tcPr>
          <w:p w14:paraId="18531507">
            <w:pPr>
              <w:pStyle w:val="35"/>
              <w:spacing w:before="0"/>
              <w:ind w:left="220" w:leftChars="100"/>
              <w:jc w:val="both"/>
              <w:rPr>
                <w:rFonts w:ascii="Arial" w:hAnsi="Arial" w:cs="Arial"/>
                <w:sz w:val="20"/>
                <w:szCs w:val="20"/>
              </w:rPr>
            </w:pPr>
            <w:r>
              <w:rPr>
                <w:rFonts w:ascii="Arial" w:hAnsi="Arial" w:cs="Arial"/>
                <w:sz w:val="20"/>
                <w:szCs w:val="20"/>
              </w:rPr>
              <w:t>Serum creatinine (mg/dL)</w:t>
            </w:r>
          </w:p>
        </w:tc>
        <w:tc>
          <w:tcPr>
            <w:tcW w:w="1843" w:type="dxa"/>
            <w:vAlign w:val="center"/>
          </w:tcPr>
          <w:p w14:paraId="53D56A96">
            <w:pPr>
              <w:pStyle w:val="35"/>
              <w:spacing w:before="0"/>
              <w:jc w:val="both"/>
              <w:rPr>
                <w:rFonts w:ascii="Arial" w:hAnsi="Arial" w:cs="Arial"/>
                <w:sz w:val="20"/>
                <w:szCs w:val="20"/>
              </w:rPr>
            </w:pPr>
            <w:r>
              <w:rPr>
                <w:rFonts w:ascii="Arial" w:hAnsi="Arial" w:cs="Arial"/>
                <w:sz w:val="20"/>
                <w:szCs w:val="20"/>
              </w:rPr>
              <w:t>1.28 ± 1.26</w:t>
            </w:r>
          </w:p>
        </w:tc>
        <w:tc>
          <w:tcPr>
            <w:tcW w:w="1899" w:type="dxa"/>
            <w:vAlign w:val="center"/>
          </w:tcPr>
          <w:p w14:paraId="1CCCBCEE">
            <w:pPr>
              <w:pStyle w:val="35"/>
              <w:spacing w:before="0"/>
              <w:jc w:val="both"/>
              <w:rPr>
                <w:rFonts w:ascii="Arial" w:hAnsi="Arial" w:cs="Arial"/>
                <w:sz w:val="20"/>
                <w:szCs w:val="20"/>
              </w:rPr>
            </w:pPr>
            <w:r>
              <w:rPr>
                <w:rFonts w:ascii="Arial" w:hAnsi="Arial" w:cs="Arial"/>
                <w:sz w:val="20"/>
                <w:szCs w:val="20"/>
              </w:rPr>
              <w:t>1.47 ± 1.50</w:t>
            </w:r>
          </w:p>
        </w:tc>
        <w:tc>
          <w:tcPr>
            <w:tcW w:w="2410" w:type="dxa"/>
            <w:gridSpan w:val="2"/>
            <w:vAlign w:val="center"/>
          </w:tcPr>
          <w:p w14:paraId="69F0B354">
            <w:pPr>
              <w:pStyle w:val="35"/>
              <w:spacing w:before="0"/>
              <w:jc w:val="both"/>
              <w:rPr>
                <w:rFonts w:ascii="Arial" w:hAnsi="Arial" w:cs="Arial"/>
                <w:sz w:val="20"/>
                <w:szCs w:val="20"/>
              </w:rPr>
            </w:pPr>
            <w:r>
              <w:rPr>
                <w:rFonts w:ascii="Arial" w:hAnsi="Arial" w:cs="Arial"/>
                <w:sz w:val="20"/>
                <w:szCs w:val="20"/>
              </w:rPr>
              <w:t>1.13 ± 0.84</w:t>
            </w:r>
          </w:p>
        </w:tc>
      </w:tr>
      <w:tr w14:paraId="45AF759F">
        <w:trPr>
          <w:trHeight w:val="229" w:hRule="atLeast"/>
        </w:trPr>
        <w:tc>
          <w:tcPr>
            <w:tcW w:w="3828" w:type="dxa"/>
            <w:vAlign w:val="center"/>
          </w:tcPr>
          <w:p w14:paraId="2C10D1EE">
            <w:pPr>
              <w:pStyle w:val="35"/>
              <w:spacing w:before="0"/>
              <w:ind w:left="220" w:leftChars="100"/>
              <w:jc w:val="both"/>
              <w:rPr>
                <w:rFonts w:ascii="Arial" w:hAnsi="Arial" w:cs="Arial"/>
                <w:sz w:val="20"/>
                <w:szCs w:val="20"/>
              </w:rPr>
            </w:pPr>
            <w:r>
              <w:rPr>
                <w:rFonts w:ascii="Arial" w:hAnsi="Arial" w:cs="Arial"/>
                <w:sz w:val="20"/>
                <w:szCs w:val="20"/>
              </w:rPr>
              <w:t>Cr ≥ 1.2 (SOFA ≥1)</w:t>
            </w:r>
          </w:p>
        </w:tc>
        <w:tc>
          <w:tcPr>
            <w:tcW w:w="1843" w:type="dxa"/>
            <w:vAlign w:val="center"/>
          </w:tcPr>
          <w:p w14:paraId="06DAD865">
            <w:pPr>
              <w:pStyle w:val="35"/>
              <w:spacing w:before="0"/>
              <w:jc w:val="both"/>
              <w:rPr>
                <w:rFonts w:ascii="Arial" w:hAnsi="Arial" w:cs="Arial"/>
                <w:sz w:val="20"/>
                <w:szCs w:val="20"/>
              </w:rPr>
            </w:pPr>
            <w:r>
              <w:rPr>
                <w:rFonts w:ascii="Arial" w:hAnsi="Arial" w:cs="Arial"/>
                <w:sz w:val="20"/>
                <w:szCs w:val="20"/>
              </w:rPr>
              <w:t>812/2664 (30.5%)</w:t>
            </w:r>
          </w:p>
        </w:tc>
        <w:tc>
          <w:tcPr>
            <w:tcW w:w="1899" w:type="dxa"/>
            <w:vAlign w:val="center"/>
          </w:tcPr>
          <w:p w14:paraId="4B10F84D">
            <w:pPr>
              <w:pStyle w:val="35"/>
              <w:spacing w:before="0"/>
              <w:jc w:val="both"/>
              <w:rPr>
                <w:rFonts w:ascii="Arial" w:hAnsi="Arial" w:cs="Arial"/>
                <w:sz w:val="20"/>
                <w:szCs w:val="20"/>
              </w:rPr>
            </w:pPr>
            <w:r>
              <w:rPr>
                <w:rFonts w:ascii="Arial" w:hAnsi="Arial" w:cs="Arial"/>
                <w:sz w:val="20"/>
                <w:szCs w:val="20"/>
              </w:rPr>
              <w:t>686/1890 (36.3%)</w:t>
            </w:r>
          </w:p>
        </w:tc>
        <w:tc>
          <w:tcPr>
            <w:tcW w:w="2410" w:type="dxa"/>
            <w:gridSpan w:val="2"/>
            <w:vAlign w:val="center"/>
          </w:tcPr>
          <w:p w14:paraId="4543C0BF">
            <w:pPr>
              <w:pStyle w:val="35"/>
              <w:spacing w:before="0"/>
              <w:jc w:val="both"/>
              <w:rPr>
                <w:rFonts w:ascii="Arial" w:hAnsi="Arial" w:cs="Arial"/>
                <w:sz w:val="20"/>
                <w:szCs w:val="20"/>
              </w:rPr>
            </w:pPr>
            <w:r>
              <w:rPr>
                <w:rFonts w:ascii="Arial" w:hAnsi="Arial" w:cs="Arial"/>
                <w:sz w:val="20"/>
                <w:szCs w:val="20"/>
              </w:rPr>
              <w:t>94/359 (26.2%)</w:t>
            </w:r>
          </w:p>
        </w:tc>
      </w:tr>
      <w:tr w14:paraId="1CE5E8B7">
        <w:trPr>
          <w:trHeight w:val="229" w:hRule="atLeast"/>
        </w:trPr>
        <w:tc>
          <w:tcPr>
            <w:tcW w:w="3828" w:type="dxa"/>
            <w:vAlign w:val="center"/>
          </w:tcPr>
          <w:p w14:paraId="71D1B2F7">
            <w:pPr>
              <w:pStyle w:val="35"/>
              <w:spacing w:before="0"/>
              <w:ind w:left="220" w:leftChars="100"/>
              <w:jc w:val="both"/>
              <w:rPr>
                <w:rFonts w:ascii="Arial" w:hAnsi="Arial" w:cs="Arial"/>
                <w:sz w:val="20"/>
                <w:szCs w:val="20"/>
              </w:rPr>
            </w:pPr>
            <w:r>
              <w:rPr>
                <w:rFonts w:ascii="Arial" w:hAnsi="Arial" w:cs="Arial"/>
                <w:sz w:val="20"/>
                <w:szCs w:val="20"/>
              </w:rPr>
              <w:t>Cr ≥ 2.0 (SOFA ≥2)</w:t>
            </w:r>
          </w:p>
        </w:tc>
        <w:tc>
          <w:tcPr>
            <w:tcW w:w="1843" w:type="dxa"/>
            <w:vAlign w:val="center"/>
          </w:tcPr>
          <w:p w14:paraId="3583552D">
            <w:pPr>
              <w:pStyle w:val="35"/>
              <w:spacing w:before="0"/>
              <w:jc w:val="both"/>
              <w:rPr>
                <w:rFonts w:ascii="Arial" w:hAnsi="Arial" w:cs="Arial"/>
                <w:sz w:val="20"/>
                <w:szCs w:val="20"/>
              </w:rPr>
            </w:pPr>
            <w:r>
              <w:rPr>
                <w:rFonts w:ascii="Arial" w:hAnsi="Arial" w:cs="Arial"/>
                <w:sz w:val="20"/>
                <w:szCs w:val="20"/>
              </w:rPr>
              <w:t>359/2664 (13.5%)</w:t>
            </w:r>
          </w:p>
        </w:tc>
        <w:tc>
          <w:tcPr>
            <w:tcW w:w="1899" w:type="dxa"/>
            <w:vAlign w:val="center"/>
          </w:tcPr>
          <w:p w14:paraId="4A7A0182">
            <w:pPr>
              <w:pStyle w:val="35"/>
              <w:spacing w:before="0"/>
              <w:jc w:val="both"/>
              <w:rPr>
                <w:rFonts w:ascii="Arial" w:hAnsi="Arial" w:cs="Arial"/>
                <w:sz w:val="20"/>
                <w:szCs w:val="20"/>
              </w:rPr>
            </w:pPr>
            <w:r>
              <w:rPr>
                <w:rFonts w:ascii="Arial" w:hAnsi="Arial" w:cs="Arial"/>
                <w:sz w:val="20"/>
                <w:szCs w:val="20"/>
              </w:rPr>
              <w:t>317/1890 (16.8%)</w:t>
            </w:r>
          </w:p>
        </w:tc>
        <w:tc>
          <w:tcPr>
            <w:tcW w:w="2410" w:type="dxa"/>
            <w:gridSpan w:val="2"/>
            <w:vAlign w:val="center"/>
          </w:tcPr>
          <w:p w14:paraId="62C80E5E">
            <w:pPr>
              <w:pStyle w:val="35"/>
              <w:spacing w:before="0"/>
              <w:jc w:val="both"/>
              <w:rPr>
                <w:rFonts w:ascii="Arial" w:hAnsi="Arial" w:cs="Arial"/>
                <w:sz w:val="20"/>
                <w:szCs w:val="20"/>
              </w:rPr>
            </w:pPr>
            <w:r>
              <w:rPr>
                <w:rFonts w:ascii="Arial" w:hAnsi="Arial" w:cs="Arial"/>
                <w:sz w:val="20"/>
                <w:szCs w:val="20"/>
              </w:rPr>
              <w:t>28/359 (7.8%)</w:t>
            </w:r>
          </w:p>
        </w:tc>
      </w:tr>
      <w:tr w14:paraId="67E5983E">
        <w:trPr>
          <w:trHeight w:val="229" w:hRule="atLeast"/>
        </w:trPr>
        <w:tc>
          <w:tcPr>
            <w:tcW w:w="3828" w:type="dxa"/>
            <w:vAlign w:val="center"/>
          </w:tcPr>
          <w:p w14:paraId="114E790D">
            <w:pPr>
              <w:pStyle w:val="35"/>
              <w:spacing w:before="0"/>
              <w:ind w:left="220" w:leftChars="100"/>
              <w:jc w:val="both"/>
              <w:rPr>
                <w:rFonts w:ascii="Arial" w:hAnsi="Arial" w:cs="Arial"/>
                <w:sz w:val="20"/>
                <w:szCs w:val="20"/>
              </w:rPr>
            </w:pPr>
            <w:r>
              <w:rPr>
                <w:rFonts w:ascii="Arial" w:hAnsi="Arial" w:cs="Arial"/>
                <w:sz w:val="20"/>
                <w:szCs w:val="20"/>
              </w:rPr>
              <w:t>Cr ≥ 3.5 (SOFA ≥3)</w:t>
            </w:r>
          </w:p>
        </w:tc>
        <w:tc>
          <w:tcPr>
            <w:tcW w:w="1843" w:type="dxa"/>
            <w:vAlign w:val="center"/>
          </w:tcPr>
          <w:p w14:paraId="17933BE9">
            <w:pPr>
              <w:pStyle w:val="35"/>
              <w:spacing w:before="0"/>
              <w:jc w:val="both"/>
              <w:rPr>
                <w:rFonts w:ascii="Arial" w:hAnsi="Arial" w:cs="Arial"/>
                <w:sz w:val="20"/>
                <w:szCs w:val="20"/>
              </w:rPr>
            </w:pPr>
            <w:r>
              <w:rPr>
                <w:rFonts w:ascii="Arial" w:hAnsi="Arial" w:cs="Arial"/>
                <w:sz w:val="20"/>
                <w:szCs w:val="20"/>
              </w:rPr>
              <w:t>146/2664 (5.5%)</w:t>
            </w:r>
          </w:p>
        </w:tc>
        <w:tc>
          <w:tcPr>
            <w:tcW w:w="1899" w:type="dxa"/>
            <w:vAlign w:val="center"/>
          </w:tcPr>
          <w:p w14:paraId="1F20B848">
            <w:pPr>
              <w:pStyle w:val="35"/>
              <w:spacing w:before="0"/>
              <w:jc w:val="both"/>
              <w:rPr>
                <w:rFonts w:ascii="Arial" w:hAnsi="Arial" w:cs="Arial"/>
                <w:sz w:val="20"/>
                <w:szCs w:val="20"/>
              </w:rPr>
            </w:pPr>
            <w:r>
              <w:rPr>
                <w:rFonts w:ascii="Arial" w:hAnsi="Arial" w:cs="Arial"/>
                <w:sz w:val="20"/>
                <w:szCs w:val="20"/>
              </w:rPr>
              <w:t>158/1890 (8.4%)</w:t>
            </w:r>
          </w:p>
        </w:tc>
        <w:tc>
          <w:tcPr>
            <w:tcW w:w="2410" w:type="dxa"/>
            <w:gridSpan w:val="2"/>
            <w:vAlign w:val="center"/>
          </w:tcPr>
          <w:p w14:paraId="2C8C36F8">
            <w:pPr>
              <w:pStyle w:val="35"/>
              <w:spacing w:before="0"/>
              <w:jc w:val="both"/>
              <w:rPr>
                <w:rFonts w:ascii="Arial" w:hAnsi="Arial" w:cs="Arial"/>
                <w:sz w:val="20"/>
                <w:szCs w:val="20"/>
              </w:rPr>
            </w:pPr>
            <w:r>
              <w:rPr>
                <w:rFonts w:ascii="Arial" w:hAnsi="Arial" w:cs="Arial"/>
                <w:sz w:val="20"/>
                <w:szCs w:val="20"/>
              </w:rPr>
              <w:t>10/359 (2.8%)</w:t>
            </w:r>
          </w:p>
        </w:tc>
      </w:tr>
      <w:tr w14:paraId="66906639">
        <w:trPr>
          <w:trHeight w:val="229" w:hRule="atLeast"/>
        </w:trPr>
        <w:tc>
          <w:tcPr>
            <w:tcW w:w="3828" w:type="dxa"/>
            <w:vAlign w:val="center"/>
          </w:tcPr>
          <w:p w14:paraId="27425716">
            <w:pPr>
              <w:pStyle w:val="35"/>
              <w:spacing w:before="0"/>
              <w:ind w:left="220" w:leftChars="100"/>
              <w:jc w:val="both"/>
              <w:rPr>
                <w:rFonts w:ascii="Arial" w:hAnsi="Arial" w:cs="Arial"/>
                <w:sz w:val="20"/>
                <w:szCs w:val="20"/>
              </w:rPr>
            </w:pPr>
            <w:r>
              <w:rPr>
                <w:rFonts w:ascii="Arial" w:hAnsi="Arial" w:cs="Arial"/>
                <w:sz w:val="20"/>
                <w:szCs w:val="20"/>
              </w:rPr>
              <w:t>Cr ≥ 5.0 (SOFA = 4)</w:t>
            </w:r>
          </w:p>
        </w:tc>
        <w:tc>
          <w:tcPr>
            <w:tcW w:w="1843" w:type="dxa"/>
            <w:vAlign w:val="center"/>
          </w:tcPr>
          <w:p w14:paraId="16ABF81B">
            <w:pPr>
              <w:pStyle w:val="35"/>
              <w:spacing w:before="0"/>
              <w:jc w:val="both"/>
              <w:rPr>
                <w:rFonts w:ascii="Arial" w:hAnsi="Arial" w:cs="Arial"/>
                <w:sz w:val="20"/>
                <w:szCs w:val="20"/>
              </w:rPr>
            </w:pPr>
            <w:r>
              <w:rPr>
                <w:rFonts w:ascii="Arial" w:hAnsi="Arial" w:cs="Arial"/>
                <w:sz w:val="20"/>
                <w:szCs w:val="20"/>
              </w:rPr>
              <w:t>68/2664 (2.6%)</w:t>
            </w:r>
          </w:p>
        </w:tc>
        <w:tc>
          <w:tcPr>
            <w:tcW w:w="1899" w:type="dxa"/>
            <w:vAlign w:val="center"/>
          </w:tcPr>
          <w:p w14:paraId="32093C68">
            <w:pPr>
              <w:pStyle w:val="35"/>
              <w:spacing w:before="0"/>
              <w:jc w:val="both"/>
              <w:rPr>
                <w:rFonts w:ascii="Arial" w:hAnsi="Arial" w:cs="Arial"/>
                <w:sz w:val="20"/>
                <w:szCs w:val="20"/>
              </w:rPr>
            </w:pPr>
            <w:r>
              <w:rPr>
                <w:rFonts w:ascii="Arial" w:hAnsi="Arial" w:cs="Arial"/>
                <w:sz w:val="20"/>
                <w:szCs w:val="20"/>
              </w:rPr>
              <w:t>82/1890 (4.3%)</w:t>
            </w:r>
          </w:p>
        </w:tc>
        <w:tc>
          <w:tcPr>
            <w:tcW w:w="2410" w:type="dxa"/>
            <w:gridSpan w:val="2"/>
            <w:vAlign w:val="center"/>
          </w:tcPr>
          <w:p w14:paraId="25E1B50E">
            <w:pPr>
              <w:pStyle w:val="35"/>
              <w:spacing w:before="0"/>
              <w:jc w:val="both"/>
              <w:rPr>
                <w:rFonts w:ascii="Arial" w:hAnsi="Arial" w:cs="Arial"/>
                <w:sz w:val="20"/>
                <w:szCs w:val="20"/>
              </w:rPr>
            </w:pPr>
            <w:r>
              <w:rPr>
                <w:rFonts w:ascii="Arial" w:hAnsi="Arial" w:cs="Arial"/>
                <w:sz w:val="20"/>
                <w:szCs w:val="20"/>
              </w:rPr>
              <w:t>5/359 (1.4%)</w:t>
            </w:r>
          </w:p>
        </w:tc>
      </w:tr>
      <w:tr w14:paraId="3E6C4366">
        <w:trPr>
          <w:trHeight w:val="229" w:hRule="atLeast"/>
        </w:trPr>
        <w:tc>
          <w:tcPr>
            <w:tcW w:w="3828" w:type="dxa"/>
            <w:vAlign w:val="center"/>
          </w:tcPr>
          <w:p w14:paraId="255D865B">
            <w:pPr>
              <w:pStyle w:val="35"/>
              <w:spacing w:before="0"/>
              <w:ind w:left="220" w:leftChars="100"/>
              <w:jc w:val="both"/>
              <w:rPr>
                <w:rFonts w:ascii="Arial" w:hAnsi="Arial" w:cs="Arial"/>
                <w:sz w:val="20"/>
                <w:szCs w:val="20"/>
              </w:rPr>
            </w:pPr>
            <w:r>
              <w:rPr>
                <w:rFonts w:ascii="Arial" w:hAnsi="Arial" w:cs="Arial"/>
                <w:sz w:val="20"/>
                <w:szCs w:val="20"/>
              </w:rPr>
              <w:t>Body weight (kg)</w:t>
            </w:r>
          </w:p>
        </w:tc>
        <w:tc>
          <w:tcPr>
            <w:tcW w:w="1843" w:type="dxa"/>
            <w:vAlign w:val="center"/>
          </w:tcPr>
          <w:p w14:paraId="0C1CCC73">
            <w:pPr>
              <w:pStyle w:val="35"/>
              <w:spacing w:before="0"/>
              <w:jc w:val="both"/>
              <w:rPr>
                <w:rFonts w:ascii="Arial" w:hAnsi="Arial" w:cs="Arial"/>
                <w:sz w:val="20"/>
                <w:szCs w:val="20"/>
              </w:rPr>
            </w:pPr>
            <w:r>
              <w:rPr>
                <w:rFonts w:ascii="Arial" w:hAnsi="Arial" w:cs="Arial"/>
                <w:sz w:val="20"/>
                <w:szCs w:val="20"/>
              </w:rPr>
              <w:t>83.04 ± 26.54</w:t>
            </w:r>
          </w:p>
        </w:tc>
        <w:tc>
          <w:tcPr>
            <w:tcW w:w="1899" w:type="dxa"/>
            <w:vAlign w:val="center"/>
          </w:tcPr>
          <w:p w14:paraId="321136BF">
            <w:pPr>
              <w:pStyle w:val="35"/>
              <w:spacing w:before="0"/>
              <w:jc w:val="both"/>
              <w:rPr>
                <w:rFonts w:ascii="Arial" w:hAnsi="Arial" w:cs="Arial"/>
                <w:sz w:val="20"/>
                <w:szCs w:val="20"/>
              </w:rPr>
            </w:pPr>
            <w:r>
              <w:rPr>
                <w:rFonts w:ascii="Arial" w:hAnsi="Arial" w:cs="Arial"/>
                <w:sz w:val="20"/>
                <w:szCs w:val="20"/>
              </w:rPr>
              <w:t>86.51 ± 29.98</w:t>
            </w:r>
          </w:p>
        </w:tc>
        <w:tc>
          <w:tcPr>
            <w:tcW w:w="2410" w:type="dxa"/>
            <w:gridSpan w:val="2"/>
            <w:vAlign w:val="center"/>
          </w:tcPr>
          <w:p w14:paraId="43127EED">
            <w:pPr>
              <w:pStyle w:val="35"/>
              <w:spacing w:before="0"/>
              <w:jc w:val="both"/>
              <w:rPr>
                <w:rFonts w:ascii="Arial" w:hAnsi="Arial" w:cs="Arial"/>
                <w:sz w:val="20"/>
                <w:szCs w:val="20"/>
              </w:rPr>
            </w:pPr>
            <w:r>
              <w:rPr>
                <w:rFonts w:ascii="Arial" w:hAnsi="Arial" w:cs="Arial"/>
                <w:sz w:val="20"/>
                <w:szCs w:val="20"/>
              </w:rPr>
              <w:t>79.74 ± 17.14</w:t>
            </w:r>
          </w:p>
        </w:tc>
      </w:tr>
      <w:tr w14:paraId="2FF73CC2">
        <w:trPr>
          <w:trHeight w:val="229" w:hRule="atLeast"/>
        </w:trPr>
        <w:tc>
          <w:tcPr>
            <w:tcW w:w="3828" w:type="dxa"/>
            <w:vAlign w:val="center"/>
          </w:tcPr>
          <w:p w14:paraId="73A1B142">
            <w:pPr>
              <w:pStyle w:val="35"/>
              <w:spacing w:before="0"/>
              <w:ind w:left="220" w:leftChars="100"/>
              <w:jc w:val="both"/>
              <w:rPr>
                <w:rFonts w:ascii="Arial" w:hAnsi="Arial" w:cs="Arial"/>
                <w:sz w:val="20"/>
                <w:szCs w:val="20"/>
              </w:rPr>
            </w:pPr>
            <w:r>
              <w:rPr>
                <w:rFonts w:ascii="Arial" w:hAnsi="Arial" w:cs="Arial"/>
                <w:sz w:val="20"/>
                <w:szCs w:val="20"/>
              </w:rPr>
              <w:t>24h absolute urine output (mL/day)</w:t>
            </w:r>
          </w:p>
        </w:tc>
        <w:tc>
          <w:tcPr>
            <w:tcW w:w="1843" w:type="dxa"/>
            <w:vAlign w:val="center"/>
          </w:tcPr>
          <w:p w14:paraId="26FB6B3C">
            <w:pPr>
              <w:pStyle w:val="35"/>
              <w:spacing w:before="0"/>
              <w:jc w:val="both"/>
              <w:rPr>
                <w:rFonts w:ascii="Arial" w:hAnsi="Arial" w:cs="Arial"/>
                <w:sz w:val="20"/>
                <w:szCs w:val="20"/>
              </w:rPr>
            </w:pPr>
            <w:r>
              <w:rPr>
                <w:rFonts w:ascii="Arial" w:hAnsi="Arial" w:cs="Arial"/>
                <w:sz w:val="20"/>
                <w:szCs w:val="20"/>
              </w:rPr>
              <w:t>1946.06 ± 1198.68</w:t>
            </w:r>
          </w:p>
        </w:tc>
        <w:tc>
          <w:tcPr>
            <w:tcW w:w="1899" w:type="dxa"/>
            <w:vAlign w:val="center"/>
          </w:tcPr>
          <w:p w14:paraId="5E373296">
            <w:pPr>
              <w:pStyle w:val="35"/>
              <w:spacing w:before="0"/>
              <w:jc w:val="both"/>
              <w:rPr>
                <w:rFonts w:ascii="Arial" w:hAnsi="Arial" w:cs="Arial"/>
                <w:sz w:val="20"/>
                <w:szCs w:val="20"/>
              </w:rPr>
            </w:pPr>
            <w:r>
              <w:rPr>
                <w:rFonts w:ascii="Arial" w:hAnsi="Arial" w:cs="Arial"/>
                <w:sz w:val="20"/>
                <w:szCs w:val="20"/>
              </w:rPr>
              <w:t>1638.23 ± 1183.00</w:t>
            </w:r>
          </w:p>
        </w:tc>
        <w:tc>
          <w:tcPr>
            <w:tcW w:w="2410" w:type="dxa"/>
            <w:gridSpan w:val="2"/>
            <w:vAlign w:val="center"/>
          </w:tcPr>
          <w:p w14:paraId="60D05A25">
            <w:pPr>
              <w:pStyle w:val="35"/>
              <w:spacing w:before="0"/>
              <w:jc w:val="both"/>
              <w:rPr>
                <w:rFonts w:ascii="Arial" w:hAnsi="Arial" w:cs="Arial"/>
                <w:sz w:val="20"/>
                <w:szCs w:val="20"/>
              </w:rPr>
            </w:pPr>
            <w:r>
              <w:rPr>
                <w:rFonts w:ascii="Arial" w:hAnsi="Arial" w:cs="Arial"/>
                <w:sz w:val="20"/>
                <w:szCs w:val="20"/>
              </w:rPr>
              <w:t>1830.94 ± 1161.70</w:t>
            </w:r>
          </w:p>
        </w:tc>
      </w:tr>
      <w:tr w14:paraId="4F821C96">
        <w:trPr>
          <w:trHeight w:val="229" w:hRule="atLeast"/>
        </w:trPr>
        <w:tc>
          <w:tcPr>
            <w:tcW w:w="3828" w:type="dxa"/>
            <w:vAlign w:val="center"/>
          </w:tcPr>
          <w:p w14:paraId="0AF7408C">
            <w:pPr>
              <w:pStyle w:val="35"/>
              <w:spacing w:before="0"/>
              <w:ind w:left="220" w:leftChars="100"/>
              <w:jc w:val="both"/>
              <w:rPr>
                <w:rFonts w:ascii="Arial" w:hAnsi="Arial" w:cs="Arial"/>
                <w:sz w:val="20"/>
                <w:szCs w:val="20"/>
              </w:rPr>
            </w:pPr>
            <w:r>
              <w:rPr>
                <w:rFonts w:ascii="Arial" w:hAnsi="Arial" w:cs="Arial"/>
                <w:sz w:val="20"/>
                <w:szCs w:val="20"/>
              </w:rPr>
              <w:t>UO &lt; 500 mL/day (SOFA-1 ≥3)</w:t>
            </w:r>
          </w:p>
        </w:tc>
        <w:tc>
          <w:tcPr>
            <w:tcW w:w="1843" w:type="dxa"/>
            <w:vAlign w:val="center"/>
          </w:tcPr>
          <w:p w14:paraId="09A08579">
            <w:pPr>
              <w:pStyle w:val="35"/>
              <w:spacing w:before="0"/>
              <w:jc w:val="both"/>
              <w:rPr>
                <w:rFonts w:ascii="Arial" w:hAnsi="Arial" w:cs="Arial"/>
                <w:sz w:val="20"/>
                <w:szCs w:val="20"/>
              </w:rPr>
            </w:pPr>
            <w:r>
              <w:rPr>
                <w:rFonts w:ascii="Arial" w:hAnsi="Arial" w:cs="Arial"/>
                <w:sz w:val="20"/>
                <w:szCs w:val="20"/>
              </w:rPr>
              <w:t>55/2589 (2.1%)</w:t>
            </w:r>
          </w:p>
        </w:tc>
        <w:tc>
          <w:tcPr>
            <w:tcW w:w="1899" w:type="dxa"/>
            <w:vAlign w:val="center"/>
          </w:tcPr>
          <w:p w14:paraId="0640E7B3">
            <w:pPr>
              <w:pStyle w:val="35"/>
              <w:spacing w:before="0"/>
              <w:jc w:val="both"/>
              <w:rPr>
                <w:rFonts w:ascii="Arial" w:hAnsi="Arial" w:cs="Arial"/>
                <w:sz w:val="20"/>
                <w:szCs w:val="20"/>
              </w:rPr>
            </w:pPr>
            <w:r>
              <w:rPr>
                <w:rFonts w:ascii="Arial" w:hAnsi="Arial" w:cs="Arial"/>
                <w:sz w:val="20"/>
                <w:szCs w:val="20"/>
              </w:rPr>
              <w:t>51/257 (19.8%)</w:t>
            </w:r>
          </w:p>
        </w:tc>
        <w:tc>
          <w:tcPr>
            <w:tcW w:w="2410" w:type="dxa"/>
            <w:gridSpan w:val="2"/>
            <w:vAlign w:val="center"/>
          </w:tcPr>
          <w:p w14:paraId="1E0D1931">
            <w:pPr>
              <w:pStyle w:val="35"/>
              <w:spacing w:before="0"/>
              <w:jc w:val="both"/>
              <w:rPr>
                <w:rFonts w:ascii="Arial" w:hAnsi="Arial" w:cs="Arial"/>
                <w:sz w:val="20"/>
                <w:szCs w:val="20"/>
              </w:rPr>
            </w:pPr>
            <w:r>
              <w:rPr>
                <w:rFonts w:ascii="Arial" w:hAnsi="Arial" w:cs="Arial"/>
                <w:sz w:val="20"/>
                <w:szCs w:val="20"/>
              </w:rPr>
              <w:t>3/367 (0.8%)</w:t>
            </w:r>
          </w:p>
        </w:tc>
      </w:tr>
      <w:tr w14:paraId="5D7EFCB1">
        <w:trPr>
          <w:trHeight w:val="229" w:hRule="atLeast"/>
        </w:trPr>
        <w:tc>
          <w:tcPr>
            <w:tcW w:w="3828" w:type="dxa"/>
            <w:vAlign w:val="center"/>
          </w:tcPr>
          <w:p w14:paraId="777C1C4E">
            <w:pPr>
              <w:pStyle w:val="35"/>
              <w:spacing w:before="0"/>
              <w:ind w:left="220" w:leftChars="100"/>
              <w:jc w:val="both"/>
              <w:rPr>
                <w:rFonts w:ascii="Arial" w:hAnsi="Arial" w:cs="Arial"/>
                <w:sz w:val="20"/>
                <w:szCs w:val="20"/>
              </w:rPr>
            </w:pPr>
            <w:r>
              <w:rPr>
                <w:rFonts w:ascii="Arial" w:hAnsi="Arial" w:cs="Arial"/>
                <w:sz w:val="20"/>
                <w:szCs w:val="20"/>
              </w:rPr>
              <w:t>UO &lt; 200 mL/day (SOFA-1 = 4)</w:t>
            </w:r>
          </w:p>
        </w:tc>
        <w:tc>
          <w:tcPr>
            <w:tcW w:w="1843" w:type="dxa"/>
            <w:vAlign w:val="center"/>
          </w:tcPr>
          <w:p w14:paraId="06F1E37C">
            <w:pPr>
              <w:pStyle w:val="35"/>
              <w:spacing w:before="0"/>
              <w:jc w:val="both"/>
              <w:rPr>
                <w:rFonts w:ascii="Arial" w:hAnsi="Arial" w:cs="Arial"/>
                <w:sz w:val="20"/>
                <w:szCs w:val="20"/>
              </w:rPr>
            </w:pPr>
            <w:r>
              <w:rPr>
                <w:rFonts w:ascii="Arial" w:hAnsi="Arial" w:cs="Arial"/>
                <w:sz w:val="20"/>
                <w:szCs w:val="20"/>
              </w:rPr>
              <w:t>26/2589 (1.0%)</w:t>
            </w:r>
          </w:p>
        </w:tc>
        <w:tc>
          <w:tcPr>
            <w:tcW w:w="1899" w:type="dxa"/>
            <w:vAlign w:val="center"/>
          </w:tcPr>
          <w:p w14:paraId="5CB736CF">
            <w:pPr>
              <w:pStyle w:val="35"/>
              <w:spacing w:before="0"/>
              <w:jc w:val="both"/>
              <w:rPr>
                <w:rFonts w:ascii="Arial" w:hAnsi="Arial" w:cs="Arial"/>
                <w:sz w:val="20"/>
                <w:szCs w:val="20"/>
              </w:rPr>
            </w:pPr>
            <w:r>
              <w:rPr>
                <w:rFonts w:ascii="Arial" w:hAnsi="Arial" w:cs="Arial"/>
                <w:sz w:val="20"/>
                <w:szCs w:val="20"/>
              </w:rPr>
              <w:t>31/257 (12.1%)</w:t>
            </w:r>
          </w:p>
        </w:tc>
        <w:tc>
          <w:tcPr>
            <w:tcW w:w="2410" w:type="dxa"/>
            <w:gridSpan w:val="2"/>
            <w:vAlign w:val="center"/>
          </w:tcPr>
          <w:p w14:paraId="485D846F">
            <w:pPr>
              <w:pStyle w:val="35"/>
              <w:spacing w:before="0"/>
              <w:jc w:val="both"/>
              <w:rPr>
                <w:rFonts w:ascii="Arial" w:hAnsi="Arial" w:cs="Arial"/>
                <w:sz w:val="20"/>
                <w:szCs w:val="20"/>
              </w:rPr>
            </w:pPr>
            <w:r>
              <w:rPr>
                <w:rFonts w:ascii="Arial" w:hAnsi="Arial" w:cs="Arial"/>
                <w:sz w:val="20"/>
                <w:szCs w:val="20"/>
              </w:rPr>
              <w:t>2/367 (0.5%)</w:t>
            </w:r>
          </w:p>
        </w:tc>
      </w:tr>
      <w:tr w14:paraId="157934B8">
        <w:trPr>
          <w:trHeight w:val="229" w:hRule="atLeast"/>
        </w:trPr>
        <w:tc>
          <w:tcPr>
            <w:tcW w:w="3828" w:type="dxa"/>
            <w:vAlign w:val="center"/>
          </w:tcPr>
          <w:p w14:paraId="2EE69014">
            <w:pPr>
              <w:pStyle w:val="35"/>
              <w:spacing w:before="0"/>
              <w:ind w:left="220" w:leftChars="100"/>
              <w:jc w:val="both"/>
              <w:rPr>
                <w:rFonts w:ascii="Arial" w:hAnsi="Arial" w:cs="Arial"/>
                <w:sz w:val="20"/>
                <w:szCs w:val="20"/>
              </w:rPr>
            </w:pPr>
            <w:r>
              <w:rPr>
                <w:rFonts w:ascii="Arial" w:hAnsi="Arial" w:cs="Arial"/>
                <w:sz w:val="20"/>
                <w:szCs w:val="20"/>
              </w:rPr>
              <w:t>24h normalized urine output (mL/kg/h)</w:t>
            </w:r>
          </w:p>
        </w:tc>
        <w:tc>
          <w:tcPr>
            <w:tcW w:w="1843" w:type="dxa"/>
            <w:vAlign w:val="center"/>
          </w:tcPr>
          <w:p w14:paraId="24A3710C">
            <w:pPr>
              <w:pStyle w:val="35"/>
              <w:spacing w:before="0"/>
              <w:jc w:val="both"/>
              <w:rPr>
                <w:rFonts w:ascii="Arial" w:hAnsi="Arial" w:cs="Arial"/>
                <w:sz w:val="20"/>
                <w:szCs w:val="20"/>
              </w:rPr>
            </w:pPr>
            <w:r>
              <w:rPr>
                <w:rFonts w:ascii="Arial" w:hAnsi="Arial" w:cs="Arial"/>
                <w:sz w:val="20"/>
                <w:szCs w:val="20"/>
              </w:rPr>
              <w:t>1.10 ± 1.39</w:t>
            </w:r>
          </w:p>
        </w:tc>
        <w:tc>
          <w:tcPr>
            <w:tcW w:w="1899" w:type="dxa"/>
            <w:vAlign w:val="center"/>
          </w:tcPr>
          <w:p w14:paraId="18F2F047">
            <w:pPr>
              <w:pStyle w:val="35"/>
              <w:spacing w:before="0"/>
              <w:jc w:val="both"/>
              <w:rPr>
                <w:rFonts w:ascii="Arial" w:hAnsi="Arial" w:cs="Arial"/>
                <w:sz w:val="20"/>
                <w:szCs w:val="20"/>
              </w:rPr>
            </w:pPr>
            <w:r>
              <w:rPr>
                <w:rFonts w:ascii="Arial" w:hAnsi="Arial" w:cs="Arial"/>
                <w:sz w:val="20"/>
                <w:szCs w:val="20"/>
              </w:rPr>
              <w:t>3.06 ± 2.80</w:t>
            </w:r>
          </w:p>
        </w:tc>
        <w:tc>
          <w:tcPr>
            <w:tcW w:w="2410" w:type="dxa"/>
            <w:gridSpan w:val="2"/>
            <w:vAlign w:val="center"/>
          </w:tcPr>
          <w:p w14:paraId="7A615EBB">
            <w:pPr>
              <w:pStyle w:val="35"/>
              <w:spacing w:before="0"/>
              <w:jc w:val="both"/>
              <w:rPr>
                <w:rFonts w:ascii="Arial" w:hAnsi="Arial" w:cs="Arial"/>
                <w:sz w:val="20"/>
                <w:szCs w:val="20"/>
              </w:rPr>
            </w:pPr>
            <w:r>
              <w:rPr>
                <w:rFonts w:ascii="Arial" w:hAnsi="Arial" w:cs="Arial"/>
                <w:sz w:val="20"/>
                <w:szCs w:val="20"/>
              </w:rPr>
              <w:t>0.96 ± 0.62</w:t>
            </w:r>
          </w:p>
        </w:tc>
      </w:tr>
      <w:tr w14:paraId="2874088E">
        <w:trPr>
          <w:trHeight w:val="229" w:hRule="atLeast"/>
        </w:trPr>
        <w:tc>
          <w:tcPr>
            <w:tcW w:w="3828" w:type="dxa"/>
            <w:vAlign w:val="center"/>
          </w:tcPr>
          <w:p w14:paraId="27900492">
            <w:pPr>
              <w:pStyle w:val="35"/>
              <w:spacing w:before="0"/>
              <w:ind w:left="220" w:leftChars="100"/>
              <w:jc w:val="both"/>
              <w:rPr>
                <w:rFonts w:ascii="Arial" w:hAnsi="Arial" w:cs="Arial"/>
                <w:sz w:val="20"/>
                <w:szCs w:val="20"/>
              </w:rPr>
            </w:pPr>
            <w:r>
              <w:rPr>
                <w:rFonts w:ascii="Arial" w:hAnsi="Arial" w:cs="Arial"/>
                <w:sz w:val="20"/>
                <w:szCs w:val="20"/>
              </w:rPr>
              <w:t>12h normalized urine output (mL/kg/h)</w:t>
            </w:r>
          </w:p>
        </w:tc>
        <w:tc>
          <w:tcPr>
            <w:tcW w:w="1843" w:type="dxa"/>
            <w:vAlign w:val="center"/>
          </w:tcPr>
          <w:p w14:paraId="09DD1A6A">
            <w:pPr>
              <w:pStyle w:val="35"/>
              <w:spacing w:before="0"/>
              <w:jc w:val="both"/>
              <w:rPr>
                <w:rFonts w:ascii="Arial" w:hAnsi="Arial" w:cs="Arial"/>
                <w:sz w:val="20"/>
                <w:szCs w:val="20"/>
              </w:rPr>
            </w:pPr>
            <w:r>
              <w:rPr>
                <w:rFonts w:ascii="Arial" w:hAnsi="Arial" w:cs="Arial"/>
                <w:sz w:val="20"/>
                <w:szCs w:val="20"/>
              </w:rPr>
              <w:t>1.47 ± 1.66</w:t>
            </w:r>
          </w:p>
        </w:tc>
        <w:tc>
          <w:tcPr>
            <w:tcW w:w="1899" w:type="dxa"/>
            <w:vAlign w:val="center"/>
          </w:tcPr>
          <w:p w14:paraId="62399719">
            <w:pPr>
              <w:pStyle w:val="35"/>
              <w:spacing w:before="0"/>
              <w:jc w:val="both"/>
              <w:rPr>
                <w:rFonts w:ascii="Arial" w:hAnsi="Arial" w:cs="Arial"/>
                <w:sz w:val="20"/>
                <w:szCs w:val="20"/>
              </w:rPr>
            </w:pPr>
            <w:r>
              <w:rPr>
                <w:rFonts w:ascii="Arial" w:hAnsi="Arial" w:cs="Arial"/>
                <w:sz w:val="20"/>
                <w:szCs w:val="20"/>
              </w:rPr>
              <w:t>3.41 ± 3.14</w:t>
            </w:r>
          </w:p>
        </w:tc>
        <w:tc>
          <w:tcPr>
            <w:tcW w:w="2410" w:type="dxa"/>
            <w:gridSpan w:val="2"/>
            <w:vAlign w:val="center"/>
          </w:tcPr>
          <w:p w14:paraId="3CF82519">
            <w:pPr>
              <w:pStyle w:val="35"/>
              <w:spacing w:before="0"/>
              <w:jc w:val="both"/>
              <w:rPr>
                <w:rFonts w:ascii="Arial" w:hAnsi="Arial" w:cs="Arial"/>
                <w:sz w:val="20"/>
                <w:szCs w:val="20"/>
              </w:rPr>
            </w:pPr>
            <w:r>
              <w:rPr>
                <w:rFonts w:ascii="Arial" w:hAnsi="Arial" w:cs="Arial"/>
                <w:sz w:val="20"/>
                <w:szCs w:val="20"/>
              </w:rPr>
              <w:t>1.13 ± 0.74</w:t>
            </w:r>
          </w:p>
        </w:tc>
      </w:tr>
      <w:tr w14:paraId="01E91D0A">
        <w:trPr>
          <w:trHeight w:val="229" w:hRule="atLeast"/>
        </w:trPr>
        <w:tc>
          <w:tcPr>
            <w:tcW w:w="3828" w:type="dxa"/>
            <w:vAlign w:val="center"/>
          </w:tcPr>
          <w:p w14:paraId="26E6F925">
            <w:pPr>
              <w:pStyle w:val="35"/>
              <w:spacing w:before="0"/>
              <w:ind w:left="220" w:leftChars="100"/>
              <w:jc w:val="both"/>
              <w:rPr>
                <w:rFonts w:ascii="Arial" w:hAnsi="Arial" w:cs="Arial"/>
                <w:sz w:val="20"/>
                <w:szCs w:val="20"/>
              </w:rPr>
            </w:pPr>
            <w:r>
              <w:rPr>
                <w:rFonts w:ascii="Arial" w:hAnsi="Arial" w:cs="Arial"/>
                <w:sz w:val="20"/>
                <w:szCs w:val="20"/>
              </w:rPr>
              <w:t>6h normalized urine output (mL/kg/h)</w:t>
            </w:r>
          </w:p>
        </w:tc>
        <w:tc>
          <w:tcPr>
            <w:tcW w:w="1843" w:type="dxa"/>
            <w:vAlign w:val="center"/>
          </w:tcPr>
          <w:p w14:paraId="68222676">
            <w:pPr>
              <w:pStyle w:val="35"/>
              <w:spacing w:before="0"/>
              <w:jc w:val="both"/>
              <w:rPr>
                <w:rFonts w:ascii="Arial" w:hAnsi="Arial" w:cs="Arial"/>
                <w:sz w:val="20"/>
                <w:szCs w:val="20"/>
              </w:rPr>
            </w:pPr>
            <w:r>
              <w:rPr>
                <w:rFonts w:ascii="Arial" w:hAnsi="Arial" w:cs="Arial"/>
                <w:sz w:val="20"/>
                <w:szCs w:val="20"/>
              </w:rPr>
              <w:t>1.77 ± 1.92</w:t>
            </w:r>
          </w:p>
        </w:tc>
        <w:tc>
          <w:tcPr>
            <w:tcW w:w="1899" w:type="dxa"/>
            <w:vAlign w:val="center"/>
          </w:tcPr>
          <w:p w14:paraId="1C5473FC">
            <w:pPr>
              <w:pStyle w:val="35"/>
              <w:spacing w:before="0"/>
              <w:jc w:val="both"/>
              <w:rPr>
                <w:rFonts w:ascii="Arial" w:hAnsi="Arial" w:cs="Arial"/>
                <w:sz w:val="20"/>
                <w:szCs w:val="20"/>
              </w:rPr>
            </w:pPr>
            <w:r>
              <w:rPr>
                <w:rFonts w:ascii="Arial" w:hAnsi="Arial" w:cs="Arial"/>
                <w:sz w:val="20"/>
                <w:szCs w:val="20"/>
              </w:rPr>
              <w:t>3.72 ± 3.42</w:t>
            </w:r>
          </w:p>
        </w:tc>
        <w:tc>
          <w:tcPr>
            <w:tcW w:w="2410" w:type="dxa"/>
            <w:gridSpan w:val="2"/>
            <w:vAlign w:val="center"/>
          </w:tcPr>
          <w:p w14:paraId="55E5F0F6">
            <w:pPr>
              <w:pStyle w:val="35"/>
              <w:spacing w:before="0"/>
              <w:jc w:val="both"/>
              <w:rPr>
                <w:rFonts w:ascii="Arial" w:hAnsi="Arial" w:cs="Arial"/>
                <w:sz w:val="20"/>
                <w:szCs w:val="20"/>
              </w:rPr>
            </w:pPr>
            <w:r>
              <w:rPr>
                <w:rFonts w:ascii="Arial" w:hAnsi="Arial" w:cs="Arial"/>
                <w:sz w:val="20"/>
                <w:szCs w:val="20"/>
              </w:rPr>
              <w:t>1.21 ± 0.79</w:t>
            </w:r>
          </w:p>
        </w:tc>
      </w:tr>
      <w:tr w14:paraId="086F1010">
        <w:trPr>
          <w:trHeight w:val="229" w:hRule="atLeast"/>
        </w:trPr>
        <w:tc>
          <w:tcPr>
            <w:tcW w:w="3828" w:type="dxa"/>
            <w:vAlign w:val="center"/>
          </w:tcPr>
          <w:p w14:paraId="2724A958">
            <w:pPr>
              <w:pStyle w:val="35"/>
              <w:spacing w:before="0"/>
              <w:ind w:left="220" w:leftChars="100"/>
              <w:jc w:val="both"/>
              <w:rPr>
                <w:rFonts w:ascii="Arial" w:hAnsi="Arial" w:cs="Arial"/>
                <w:sz w:val="20"/>
                <w:szCs w:val="20"/>
              </w:rPr>
            </w:pPr>
            <w:r>
              <w:rPr>
                <w:rFonts w:ascii="Arial" w:hAnsi="Arial" w:cs="Arial"/>
                <w:sz w:val="20"/>
                <w:szCs w:val="20"/>
              </w:rPr>
              <w:t>Minimum urine output window (mL/kg/h)</w:t>
            </w:r>
          </w:p>
        </w:tc>
        <w:tc>
          <w:tcPr>
            <w:tcW w:w="1843" w:type="dxa"/>
            <w:vAlign w:val="center"/>
          </w:tcPr>
          <w:p w14:paraId="4739A53B">
            <w:pPr>
              <w:pStyle w:val="35"/>
              <w:spacing w:before="0"/>
              <w:jc w:val="both"/>
              <w:rPr>
                <w:rFonts w:ascii="Arial" w:hAnsi="Arial" w:cs="Arial"/>
                <w:sz w:val="20"/>
                <w:szCs w:val="20"/>
              </w:rPr>
            </w:pPr>
            <w:r>
              <w:rPr>
                <w:rFonts w:ascii="Arial" w:hAnsi="Arial" w:cs="Arial"/>
                <w:sz w:val="20"/>
                <w:szCs w:val="20"/>
              </w:rPr>
              <w:t>1.31 ± 1.52</w:t>
            </w:r>
          </w:p>
        </w:tc>
        <w:tc>
          <w:tcPr>
            <w:tcW w:w="1899" w:type="dxa"/>
            <w:vAlign w:val="center"/>
          </w:tcPr>
          <w:p w14:paraId="3123C592">
            <w:pPr>
              <w:pStyle w:val="35"/>
              <w:spacing w:before="0"/>
              <w:jc w:val="both"/>
              <w:rPr>
                <w:rFonts w:ascii="Arial" w:hAnsi="Arial" w:cs="Arial"/>
                <w:sz w:val="20"/>
                <w:szCs w:val="20"/>
              </w:rPr>
            </w:pPr>
            <w:r>
              <w:rPr>
                <w:rFonts w:ascii="Arial" w:hAnsi="Arial" w:cs="Arial"/>
                <w:sz w:val="20"/>
                <w:szCs w:val="20"/>
              </w:rPr>
              <w:t>3.01 ± 2.72</w:t>
            </w:r>
          </w:p>
        </w:tc>
        <w:tc>
          <w:tcPr>
            <w:tcW w:w="2410" w:type="dxa"/>
            <w:gridSpan w:val="2"/>
            <w:vAlign w:val="center"/>
          </w:tcPr>
          <w:p w14:paraId="78900733">
            <w:pPr>
              <w:pStyle w:val="35"/>
              <w:spacing w:before="0"/>
              <w:jc w:val="both"/>
              <w:rPr>
                <w:rFonts w:ascii="Arial" w:hAnsi="Arial" w:cs="Arial"/>
                <w:sz w:val="20"/>
                <w:szCs w:val="20"/>
              </w:rPr>
            </w:pPr>
            <w:r>
              <w:rPr>
                <w:rFonts w:ascii="Arial" w:hAnsi="Arial" w:cs="Arial"/>
                <w:sz w:val="20"/>
                <w:szCs w:val="20"/>
              </w:rPr>
              <w:t>0.92 ± 0.61</w:t>
            </w:r>
          </w:p>
        </w:tc>
      </w:tr>
      <w:tr w14:paraId="021DC09A">
        <w:trPr>
          <w:trHeight w:val="229" w:hRule="atLeast"/>
        </w:trPr>
        <w:tc>
          <w:tcPr>
            <w:tcW w:w="3828" w:type="dxa"/>
            <w:vAlign w:val="center"/>
          </w:tcPr>
          <w:p w14:paraId="436BAD66">
            <w:pPr>
              <w:pStyle w:val="35"/>
              <w:spacing w:before="0"/>
              <w:ind w:left="220" w:leftChars="100"/>
              <w:jc w:val="both"/>
              <w:rPr>
                <w:rFonts w:ascii="Arial" w:hAnsi="Arial" w:cs="Arial"/>
                <w:sz w:val="20"/>
                <w:szCs w:val="20"/>
              </w:rPr>
            </w:pPr>
            <w:r>
              <w:rPr>
                <w:rFonts w:ascii="Arial" w:hAnsi="Arial" w:cs="Arial"/>
                <w:sz w:val="20"/>
                <w:szCs w:val="20"/>
              </w:rPr>
              <w:t>UO &lt; 0.5 mL/kg/h (SOFA-2 ≥3)</w:t>
            </w:r>
          </w:p>
        </w:tc>
        <w:tc>
          <w:tcPr>
            <w:tcW w:w="1843" w:type="dxa"/>
            <w:vAlign w:val="center"/>
          </w:tcPr>
          <w:p w14:paraId="04EB96CE">
            <w:pPr>
              <w:pStyle w:val="35"/>
              <w:spacing w:before="0"/>
              <w:jc w:val="both"/>
              <w:rPr>
                <w:rFonts w:ascii="Arial" w:hAnsi="Arial" w:cs="Arial"/>
                <w:sz w:val="20"/>
                <w:szCs w:val="20"/>
              </w:rPr>
            </w:pPr>
            <w:r>
              <w:rPr>
                <w:rFonts w:ascii="Arial" w:hAnsi="Arial" w:cs="Arial"/>
                <w:sz w:val="20"/>
                <w:szCs w:val="20"/>
              </w:rPr>
              <w:t>422/2403 (17.6%)</w:t>
            </w:r>
          </w:p>
        </w:tc>
        <w:tc>
          <w:tcPr>
            <w:tcW w:w="1899" w:type="dxa"/>
            <w:vAlign w:val="center"/>
          </w:tcPr>
          <w:p w14:paraId="2BC26C62">
            <w:pPr>
              <w:pStyle w:val="35"/>
              <w:spacing w:before="0"/>
              <w:jc w:val="both"/>
              <w:rPr>
                <w:rFonts w:ascii="Arial" w:hAnsi="Arial" w:cs="Arial"/>
                <w:sz w:val="20"/>
                <w:szCs w:val="20"/>
              </w:rPr>
            </w:pPr>
            <w:r>
              <w:rPr>
                <w:rFonts w:ascii="Arial" w:hAnsi="Arial" w:cs="Arial"/>
                <w:sz w:val="20"/>
                <w:szCs w:val="20"/>
              </w:rPr>
              <w:t>23/257 (8.9%)</w:t>
            </w:r>
          </w:p>
        </w:tc>
        <w:tc>
          <w:tcPr>
            <w:tcW w:w="2410" w:type="dxa"/>
            <w:gridSpan w:val="2"/>
            <w:vAlign w:val="center"/>
          </w:tcPr>
          <w:p w14:paraId="0DCEE722">
            <w:pPr>
              <w:pStyle w:val="35"/>
              <w:spacing w:before="0"/>
              <w:jc w:val="both"/>
              <w:rPr>
                <w:rFonts w:ascii="Arial" w:hAnsi="Arial" w:cs="Arial"/>
                <w:sz w:val="20"/>
                <w:szCs w:val="20"/>
              </w:rPr>
            </w:pPr>
            <w:r>
              <w:rPr>
                <w:rFonts w:ascii="Arial" w:hAnsi="Arial" w:cs="Arial"/>
                <w:sz w:val="20"/>
                <w:szCs w:val="20"/>
              </w:rPr>
              <w:t>68/359 (18.9%)</w:t>
            </w:r>
          </w:p>
        </w:tc>
      </w:tr>
      <w:tr w14:paraId="6F265560">
        <w:trPr>
          <w:trHeight w:val="229" w:hRule="atLeast"/>
        </w:trPr>
        <w:tc>
          <w:tcPr>
            <w:tcW w:w="3828" w:type="dxa"/>
            <w:vAlign w:val="center"/>
          </w:tcPr>
          <w:p w14:paraId="14DB7146">
            <w:pPr>
              <w:pStyle w:val="35"/>
              <w:spacing w:before="0"/>
              <w:ind w:left="220" w:leftChars="100"/>
              <w:jc w:val="both"/>
              <w:rPr>
                <w:rFonts w:ascii="Arial" w:hAnsi="Arial" w:cs="Arial"/>
                <w:sz w:val="20"/>
                <w:szCs w:val="20"/>
              </w:rPr>
            </w:pPr>
            <w:r>
              <w:rPr>
                <w:rFonts w:ascii="Arial" w:hAnsi="Arial" w:cs="Arial"/>
                <w:sz w:val="20"/>
                <w:szCs w:val="20"/>
              </w:rPr>
              <w:t>UO &lt; 0.3 mL/kg/h (SOFA-2 = 4)</w:t>
            </w:r>
          </w:p>
        </w:tc>
        <w:tc>
          <w:tcPr>
            <w:tcW w:w="1843" w:type="dxa"/>
            <w:vAlign w:val="center"/>
          </w:tcPr>
          <w:p w14:paraId="27BFB835">
            <w:pPr>
              <w:pStyle w:val="35"/>
              <w:spacing w:before="0"/>
              <w:jc w:val="both"/>
              <w:rPr>
                <w:rFonts w:ascii="Arial" w:hAnsi="Arial" w:cs="Arial"/>
                <w:sz w:val="20"/>
                <w:szCs w:val="20"/>
              </w:rPr>
            </w:pPr>
            <w:r>
              <w:rPr>
                <w:rFonts w:ascii="Arial" w:hAnsi="Arial" w:cs="Arial"/>
                <w:sz w:val="20"/>
                <w:szCs w:val="20"/>
              </w:rPr>
              <w:t>101/2403 (4.2%)</w:t>
            </w:r>
          </w:p>
        </w:tc>
        <w:tc>
          <w:tcPr>
            <w:tcW w:w="1899" w:type="dxa"/>
            <w:vAlign w:val="center"/>
          </w:tcPr>
          <w:p w14:paraId="3A37BB3A">
            <w:pPr>
              <w:pStyle w:val="35"/>
              <w:spacing w:before="0"/>
              <w:jc w:val="both"/>
              <w:rPr>
                <w:rFonts w:ascii="Arial" w:hAnsi="Arial" w:cs="Arial"/>
                <w:sz w:val="20"/>
                <w:szCs w:val="20"/>
              </w:rPr>
            </w:pPr>
            <w:r>
              <w:rPr>
                <w:rFonts w:ascii="Arial" w:hAnsi="Arial" w:cs="Arial"/>
                <w:sz w:val="20"/>
                <w:szCs w:val="20"/>
              </w:rPr>
              <w:t>15/257 (5.8%)</w:t>
            </w:r>
          </w:p>
        </w:tc>
        <w:tc>
          <w:tcPr>
            <w:tcW w:w="2410" w:type="dxa"/>
            <w:gridSpan w:val="2"/>
            <w:vAlign w:val="center"/>
          </w:tcPr>
          <w:p w14:paraId="026D4888">
            <w:pPr>
              <w:pStyle w:val="35"/>
              <w:spacing w:before="0"/>
              <w:jc w:val="both"/>
              <w:rPr>
                <w:rFonts w:ascii="Arial" w:hAnsi="Arial" w:cs="Arial"/>
                <w:sz w:val="20"/>
                <w:szCs w:val="20"/>
              </w:rPr>
            </w:pPr>
            <w:r>
              <w:rPr>
                <w:rFonts w:ascii="Arial" w:hAnsi="Arial" w:cs="Arial"/>
                <w:sz w:val="20"/>
                <w:szCs w:val="20"/>
              </w:rPr>
              <w:t>8/359 (2.2%)</w:t>
            </w:r>
          </w:p>
        </w:tc>
      </w:tr>
      <w:tr w14:paraId="1C9F2521">
        <w:trPr>
          <w:trHeight w:val="229" w:hRule="atLeast"/>
        </w:trPr>
        <w:tc>
          <w:tcPr>
            <w:tcW w:w="3828" w:type="dxa"/>
            <w:vAlign w:val="center"/>
          </w:tcPr>
          <w:p w14:paraId="2334F891">
            <w:pPr>
              <w:pStyle w:val="35"/>
              <w:spacing w:before="0"/>
              <w:ind w:left="220" w:leftChars="100"/>
              <w:jc w:val="both"/>
              <w:rPr>
                <w:rFonts w:ascii="Arial" w:hAnsi="Arial" w:cs="Arial"/>
                <w:sz w:val="20"/>
                <w:szCs w:val="20"/>
              </w:rPr>
            </w:pPr>
            <w:r>
              <w:rPr>
                <w:rFonts w:ascii="Arial" w:hAnsi="Arial" w:cs="Arial"/>
                <w:sz w:val="20"/>
                <w:szCs w:val="20"/>
              </w:rPr>
              <w:t>RRT use</w:t>
            </w:r>
          </w:p>
        </w:tc>
        <w:tc>
          <w:tcPr>
            <w:tcW w:w="1843" w:type="dxa"/>
            <w:vAlign w:val="center"/>
          </w:tcPr>
          <w:p w14:paraId="5F9A194E">
            <w:pPr>
              <w:pStyle w:val="35"/>
              <w:spacing w:before="0"/>
              <w:jc w:val="both"/>
              <w:rPr>
                <w:rFonts w:ascii="Arial" w:hAnsi="Arial" w:cs="Arial"/>
                <w:sz w:val="20"/>
                <w:szCs w:val="20"/>
              </w:rPr>
            </w:pPr>
            <w:r>
              <w:rPr>
                <w:rFonts w:ascii="Arial" w:hAnsi="Arial" w:cs="Arial"/>
                <w:sz w:val="20"/>
                <w:szCs w:val="20"/>
              </w:rPr>
              <w:t>58 (2.13%)</w:t>
            </w:r>
          </w:p>
        </w:tc>
        <w:tc>
          <w:tcPr>
            <w:tcW w:w="1899" w:type="dxa"/>
            <w:vAlign w:val="center"/>
          </w:tcPr>
          <w:p w14:paraId="2D4D998E">
            <w:pPr>
              <w:pStyle w:val="35"/>
              <w:spacing w:before="0"/>
              <w:jc w:val="both"/>
              <w:rPr>
                <w:rFonts w:ascii="Arial" w:hAnsi="Arial" w:cs="Arial"/>
                <w:sz w:val="20"/>
                <w:szCs w:val="20"/>
              </w:rPr>
            </w:pPr>
            <w:r>
              <w:rPr>
                <w:rFonts w:ascii="Arial" w:hAnsi="Arial" w:cs="Arial"/>
                <w:sz w:val="20"/>
                <w:szCs w:val="20"/>
              </w:rPr>
              <w:t>36 (1.79%)</w:t>
            </w:r>
          </w:p>
        </w:tc>
        <w:tc>
          <w:tcPr>
            <w:tcW w:w="2410" w:type="dxa"/>
            <w:gridSpan w:val="2"/>
            <w:vAlign w:val="center"/>
          </w:tcPr>
          <w:p w14:paraId="42B5F9BF">
            <w:pPr>
              <w:pStyle w:val="35"/>
              <w:spacing w:before="0"/>
              <w:jc w:val="both"/>
              <w:rPr>
                <w:rFonts w:ascii="Arial" w:hAnsi="Arial" w:cs="Arial"/>
                <w:sz w:val="20"/>
                <w:szCs w:val="20"/>
              </w:rPr>
            </w:pPr>
            <w:r>
              <w:rPr>
                <w:rFonts w:ascii="Arial" w:hAnsi="Arial" w:cs="Arial"/>
                <w:sz w:val="20"/>
                <w:szCs w:val="20"/>
              </w:rPr>
              <w:t>6 (1.61%)</w:t>
            </w:r>
          </w:p>
        </w:tc>
      </w:tr>
      <w:tr w14:paraId="40083386">
        <w:trPr>
          <w:trHeight w:val="229" w:hRule="atLeast"/>
        </w:trPr>
        <w:tc>
          <w:tcPr>
            <w:tcW w:w="3828" w:type="dxa"/>
            <w:vAlign w:val="center"/>
          </w:tcPr>
          <w:p w14:paraId="5865DE5A">
            <w:pPr>
              <w:pStyle w:val="35"/>
              <w:spacing w:before="0"/>
              <w:ind w:left="220" w:leftChars="100"/>
              <w:jc w:val="both"/>
              <w:rPr>
                <w:rFonts w:ascii="Arial" w:hAnsi="Arial" w:cs="Arial"/>
                <w:sz w:val="20"/>
                <w:szCs w:val="20"/>
              </w:rPr>
            </w:pPr>
            <w:r>
              <w:rPr>
                <w:rFonts w:ascii="Arial" w:hAnsi="Arial" w:cs="Arial"/>
                <w:sz w:val="20"/>
                <w:szCs w:val="20"/>
              </w:rPr>
              <w:t>SOFA-1 renal score</w:t>
            </w:r>
          </w:p>
        </w:tc>
        <w:tc>
          <w:tcPr>
            <w:tcW w:w="1843" w:type="dxa"/>
            <w:vAlign w:val="center"/>
          </w:tcPr>
          <w:p w14:paraId="227B5648">
            <w:pPr>
              <w:pStyle w:val="35"/>
              <w:spacing w:before="0"/>
              <w:jc w:val="both"/>
              <w:rPr>
                <w:rFonts w:ascii="Arial" w:hAnsi="Arial" w:cs="Arial"/>
                <w:sz w:val="20"/>
                <w:szCs w:val="20"/>
              </w:rPr>
            </w:pPr>
            <w:r>
              <w:rPr>
                <w:rFonts w:ascii="Arial" w:hAnsi="Arial" w:cs="Arial"/>
                <w:sz w:val="20"/>
                <w:szCs w:val="20"/>
              </w:rPr>
              <w:t>0.62 ± 1.04</w:t>
            </w:r>
          </w:p>
        </w:tc>
        <w:tc>
          <w:tcPr>
            <w:tcW w:w="1899" w:type="dxa"/>
            <w:vAlign w:val="center"/>
          </w:tcPr>
          <w:p w14:paraId="6597ED90">
            <w:pPr>
              <w:pStyle w:val="35"/>
              <w:spacing w:before="0"/>
              <w:jc w:val="both"/>
              <w:rPr>
                <w:rFonts w:ascii="Arial" w:hAnsi="Arial" w:cs="Arial"/>
                <w:sz w:val="20"/>
                <w:szCs w:val="20"/>
              </w:rPr>
            </w:pPr>
            <w:r>
              <w:rPr>
                <w:rFonts w:ascii="Arial" w:hAnsi="Arial" w:cs="Arial"/>
                <w:sz w:val="20"/>
                <w:szCs w:val="20"/>
              </w:rPr>
              <w:t>0.91 ± 1.28</w:t>
            </w:r>
          </w:p>
        </w:tc>
        <w:tc>
          <w:tcPr>
            <w:tcW w:w="2410" w:type="dxa"/>
            <w:gridSpan w:val="2"/>
            <w:vAlign w:val="center"/>
          </w:tcPr>
          <w:p w14:paraId="594470CD">
            <w:pPr>
              <w:pStyle w:val="35"/>
              <w:spacing w:before="0"/>
              <w:jc w:val="both"/>
              <w:rPr>
                <w:rFonts w:ascii="Arial" w:hAnsi="Arial" w:cs="Arial"/>
                <w:sz w:val="20"/>
                <w:szCs w:val="20"/>
              </w:rPr>
            </w:pPr>
            <w:r>
              <w:rPr>
                <w:rFonts w:ascii="Arial" w:hAnsi="Arial" w:cs="Arial"/>
                <w:sz w:val="20"/>
                <w:szCs w:val="20"/>
              </w:rPr>
              <w:t>0.43 ± 0.81</w:t>
            </w:r>
          </w:p>
        </w:tc>
      </w:tr>
      <w:tr w14:paraId="1B108555">
        <w:trPr>
          <w:trHeight w:val="229" w:hRule="atLeast"/>
        </w:trPr>
        <w:tc>
          <w:tcPr>
            <w:tcW w:w="3828" w:type="dxa"/>
            <w:vAlign w:val="center"/>
          </w:tcPr>
          <w:p w14:paraId="6C43D744">
            <w:pPr>
              <w:pStyle w:val="35"/>
              <w:spacing w:before="0"/>
              <w:ind w:left="220" w:leftChars="100"/>
              <w:jc w:val="both"/>
              <w:rPr>
                <w:rFonts w:ascii="Arial" w:hAnsi="Arial" w:cs="Arial"/>
                <w:sz w:val="20"/>
                <w:szCs w:val="20"/>
              </w:rPr>
            </w:pPr>
            <w:r>
              <w:rPr>
                <w:rFonts w:ascii="Arial" w:hAnsi="Arial" w:cs="Arial"/>
                <w:sz w:val="20"/>
                <w:szCs w:val="20"/>
              </w:rPr>
              <w:t>SOFA-2 renal score</w:t>
            </w:r>
          </w:p>
        </w:tc>
        <w:tc>
          <w:tcPr>
            <w:tcW w:w="1843" w:type="dxa"/>
            <w:vAlign w:val="center"/>
          </w:tcPr>
          <w:p w14:paraId="58B5A72D">
            <w:pPr>
              <w:pStyle w:val="35"/>
              <w:spacing w:before="0"/>
              <w:jc w:val="both"/>
              <w:rPr>
                <w:rFonts w:ascii="Arial" w:hAnsi="Arial" w:cs="Arial"/>
                <w:sz w:val="20"/>
                <w:szCs w:val="20"/>
              </w:rPr>
            </w:pPr>
            <w:r>
              <w:rPr>
                <w:rFonts w:ascii="Arial" w:hAnsi="Arial" w:cs="Arial"/>
                <w:sz w:val="20"/>
                <w:szCs w:val="20"/>
              </w:rPr>
              <w:t>1.00 ± 1.11</w:t>
            </w:r>
          </w:p>
        </w:tc>
        <w:tc>
          <w:tcPr>
            <w:tcW w:w="1899" w:type="dxa"/>
            <w:vAlign w:val="center"/>
          </w:tcPr>
          <w:p w14:paraId="22840E1D">
            <w:pPr>
              <w:pStyle w:val="35"/>
              <w:spacing w:before="0"/>
              <w:jc w:val="both"/>
              <w:rPr>
                <w:rFonts w:ascii="Arial" w:hAnsi="Arial" w:cs="Arial"/>
                <w:sz w:val="20"/>
                <w:szCs w:val="20"/>
              </w:rPr>
            </w:pPr>
            <w:r>
              <w:rPr>
                <w:rFonts w:ascii="Arial" w:hAnsi="Arial" w:cs="Arial"/>
                <w:sz w:val="20"/>
                <w:szCs w:val="20"/>
              </w:rPr>
              <w:t>1.23 ± 1.25</w:t>
            </w:r>
          </w:p>
        </w:tc>
        <w:tc>
          <w:tcPr>
            <w:tcW w:w="2410" w:type="dxa"/>
            <w:gridSpan w:val="2"/>
            <w:vAlign w:val="center"/>
          </w:tcPr>
          <w:p w14:paraId="379FB03B">
            <w:pPr>
              <w:pStyle w:val="35"/>
              <w:spacing w:before="0"/>
              <w:jc w:val="both"/>
              <w:rPr>
                <w:rFonts w:ascii="Arial" w:hAnsi="Arial" w:cs="Arial"/>
                <w:sz w:val="20"/>
                <w:szCs w:val="20"/>
              </w:rPr>
            </w:pPr>
            <w:r>
              <w:rPr>
                <w:rFonts w:ascii="Arial" w:hAnsi="Arial" w:cs="Arial"/>
                <w:sz w:val="20"/>
                <w:szCs w:val="20"/>
              </w:rPr>
              <w:t>1.29 ± 1.04</w:t>
            </w:r>
          </w:p>
        </w:tc>
      </w:tr>
      <w:tr w14:paraId="2EE9DBA2">
        <w:trPr>
          <w:trHeight w:val="229" w:hRule="atLeast"/>
        </w:trPr>
        <w:tc>
          <w:tcPr>
            <w:tcW w:w="3828" w:type="dxa"/>
            <w:vAlign w:val="center"/>
          </w:tcPr>
          <w:p w14:paraId="4A3A19E2">
            <w:pPr>
              <w:pStyle w:val="35"/>
              <w:spacing w:before="0"/>
              <w:ind w:left="220" w:leftChars="100"/>
              <w:jc w:val="both"/>
              <w:rPr>
                <w:rFonts w:ascii="Arial" w:hAnsi="Arial" w:cs="Arial"/>
                <w:sz w:val="20"/>
                <w:szCs w:val="20"/>
              </w:rPr>
            </w:pPr>
            <w:r>
              <w:rPr>
                <w:rFonts w:ascii="Arial" w:hAnsi="Arial" w:cs="Arial"/>
                <w:sz w:val="20"/>
                <w:szCs w:val="20"/>
              </w:rPr>
              <w:t>Renal score difference</w:t>
            </w:r>
          </w:p>
        </w:tc>
        <w:tc>
          <w:tcPr>
            <w:tcW w:w="1843" w:type="dxa"/>
            <w:vAlign w:val="center"/>
          </w:tcPr>
          <w:p w14:paraId="0319CC61">
            <w:pPr>
              <w:pStyle w:val="35"/>
              <w:spacing w:before="0"/>
              <w:jc w:val="both"/>
              <w:rPr>
                <w:rFonts w:ascii="Arial" w:hAnsi="Arial" w:cs="Arial"/>
                <w:sz w:val="20"/>
                <w:szCs w:val="20"/>
              </w:rPr>
            </w:pPr>
            <w:r>
              <w:rPr>
                <w:rFonts w:ascii="Arial" w:hAnsi="Arial" w:cs="Arial"/>
                <w:sz w:val="20"/>
                <w:szCs w:val="20"/>
              </w:rPr>
              <w:t>0.42 ± 0.84</w:t>
            </w:r>
          </w:p>
        </w:tc>
        <w:tc>
          <w:tcPr>
            <w:tcW w:w="1899" w:type="dxa"/>
            <w:vAlign w:val="center"/>
          </w:tcPr>
          <w:p w14:paraId="51501BD2">
            <w:pPr>
              <w:pStyle w:val="35"/>
              <w:spacing w:before="0"/>
              <w:jc w:val="both"/>
              <w:rPr>
                <w:rFonts w:ascii="Arial" w:hAnsi="Arial" w:cs="Arial"/>
                <w:sz w:val="20"/>
                <w:szCs w:val="20"/>
              </w:rPr>
            </w:pPr>
            <w:r>
              <w:rPr>
                <w:rFonts w:ascii="Arial" w:hAnsi="Arial" w:cs="Arial"/>
                <w:sz w:val="20"/>
                <w:szCs w:val="20"/>
              </w:rPr>
              <w:t>0.32 ± 1.01</w:t>
            </w:r>
          </w:p>
        </w:tc>
        <w:tc>
          <w:tcPr>
            <w:tcW w:w="2410" w:type="dxa"/>
            <w:gridSpan w:val="2"/>
            <w:vAlign w:val="center"/>
          </w:tcPr>
          <w:p w14:paraId="21171D6C">
            <w:pPr>
              <w:pStyle w:val="35"/>
              <w:spacing w:before="0"/>
              <w:jc w:val="both"/>
              <w:rPr>
                <w:rFonts w:ascii="Arial" w:hAnsi="Arial" w:cs="Arial"/>
                <w:sz w:val="20"/>
                <w:szCs w:val="20"/>
              </w:rPr>
            </w:pPr>
            <w:r>
              <w:rPr>
                <w:rFonts w:ascii="Arial" w:hAnsi="Arial" w:cs="Arial"/>
                <w:sz w:val="20"/>
                <w:szCs w:val="20"/>
              </w:rPr>
              <w:t>0.86 ± 0.91</w:t>
            </w:r>
          </w:p>
        </w:tc>
      </w:tr>
      <w:tr w14:paraId="7970F280">
        <w:trPr>
          <w:trHeight w:val="229" w:hRule="atLeast"/>
        </w:trPr>
        <w:tc>
          <w:tcPr>
            <w:tcW w:w="3828" w:type="dxa"/>
            <w:vAlign w:val="center"/>
          </w:tcPr>
          <w:p w14:paraId="011186C9">
            <w:pPr>
              <w:pStyle w:val="35"/>
              <w:spacing w:before="0"/>
              <w:jc w:val="both"/>
              <w:rPr>
                <w:rFonts w:ascii="Arial" w:hAnsi="Arial" w:cs="Arial"/>
                <w:sz w:val="20"/>
                <w:szCs w:val="20"/>
              </w:rPr>
            </w:pPr>
            <w:r>
              <w:rPr>
                <w:rFonts w:ascii="Arial" w:hAnsi="Arial" w:cs="Arial"/>
                <w:b/>
                <w:spacing w:val="-2"/>
                <w:sz w:val="20"/>
                <w:szCs w:val="20"/>
              </w:rPr>
              <w:t>Cardiovascular System</w:t>
            </w:r>
          </w:p>
        </w:tc>
        <w:tc>
          <w:tcPr>
            <w:tcW w:w="1843" w:type="dxa"/>
            <w:vAlign w:val="center"/>
          </w:tcPr>
          <w:p w14:paraId="24563C4A">
            <w:pPr>
              <w:pStyle w:val="35"/>
              <w:spacing w:before="0"/>
              <w:jc w:val="both"/>
              <w:rPr>
                <w:rFonts w:ascii="Arial" w:hAnsi="Arial" w:cs="Arial"/>
                <w:sz w:val="20"/>
                <w:szCs w:val="20"/>
              </w:rPr>
            </w:pPr>
          </w:p>
        </w:tc>
        <w:tc>
          <w:tcPr>
            <w:tcW w:w="1899" w:type="dxa"/>
            <w:vAlign w:val="center"/>
          </w:tcPr>
          <w:p w14:paraId="26EE83E3">
            <w:pPr>
              <w:pStyle w:val="35"/>
              <w:spacing w:before="0"/>
              <w:jc w:val="both"/>
              <w:rPr>
                <w:rFonts w:ascii="Arial" w:hAnsi="Arial" w:cs="Arial"/>
                <w:sz w:val="20"/>
                <w:szCs w:val="20"/>
              </w:rPr>
            </w:pPr>
          </w:p>
        </w:tc>
        <w:tc>
          <w:tcPr>
            <w:tcW w:w="2410" w:type="dxa"/>
            <w:gridSpan w:val="2"/>
            <w:vAlign w:val="center"/>
          </w:tcPr>
          <w:p w14:paraId="017CC981">
            <w:pPr>
              <w:pStyle w:val="35"/>
              <w:spacing w:before="0"/>
              <w:jc w:val="both"/>
              <w:rPr>
                <w:rFonts w:ascii="Arial" w:hAnsi="Arial" w:cs="Arial"/>
                <w:sz w:val="20"/>
                <w:szCs w:val="20"/>
              </w:rPr>
            </w:pPr>
          </w:p>
        </w:tc>
      </w:tr>
      <w:tr w14:paraId="53E7029B">
        <w:trPr>
          <w:trHeight w:val="229" w:hRule="atLeast"/>
        </w:trPr>
        <w:tc>
          <w:tcPr>
            <w:tcW w:w="3828" w:type="dxa"/>
            <w:vAlign w:val="center"/>
          </w:tcPr>
          <w:p w14:paraId="206329BB">
            <w:pPr>
              <w:pStyle w:val="35"/>
              <w:spacing w:before="0"/>
              <w:ind w:left="220" w:leftChars="100"/>
              <w:jc w:val="both"/>
              <w:rPr>
                <w:rFonts w:ascii="Arial" w:hAnsi="Arial" w:cs="Arial"/>
                <w:sz w:val="20"/>
                <w:szCs w:val="20"/>
              </w:rPr>
            </w:pPr>
            <w:r>
              <w:rPr>
                <w:rFonts w:ascii="Arial" w:hAnsi="Arial" w:cs="Arial"/>
                <w:sz w:val="20"/>
                <w:szCs w:val="20"/>
              </w:rPr>
              <w:t>Mean arterial pressure (mm</w:t>
            </w:r>
            <w:r>
              <w:rPr>
                <w:rFonts w:hint="eastAsia" w:ascii="Arial" w:hAnsi="Arial" w:cs="Arial" w:eastAsiaTheme="minorEastAsia"/>
                <w:sz w:val="20"/>
                <w:szCs w:val="20"/>
                <w:lang w:eastAsia="zh-CN"/>
              </w:rPr>
              <w:t xml:space="preserve"> </w:t>
            </w:r>
            <w:r>
              <w:rPr>
                <w:rFonts w:ascii="Arial" w:hAnsi="Arial" w:cs="Arial"/>
                <w:sz w:val="20"/>
                <w:szCs w:val="20"/>
              </w:rPr>
              <w:t>Hg)</w:t>
            </w:r>
          </w:p>
        </w:tc>
        <w:tc>
          <w:tcPr>
            <w:tcW w:w="1843" w:type="dxa"/>
            <w:vAlign w:val="center"/>
          </w:tcPr>
          <w:p w14:paraId="09F7DC87">
            <w:pPr>
              <w:pStyle w:val="35"/>
              <w:spacing w:before="0"/>
              <w:jc w:val="both"/>
              <w:rPr>
                <w:rFonts w:ascii="Arial" w:hAnsi="Arial" w:cs="Arial"/>
                <w:sz w:val="20"/>
                <w:szCs w:val="20"/>
              </w:rPr>
            </w:pPr>
            <w:r>
              <w:rPr>
                <w:rFonts w:ascii="Arial" w:hAnsi="Arial" w:cs="Arial"/>
                <w:sz w:val="20"/>
                <w:szCs w:val="20"/>
              </w:rPr>
              <w:t>77.86 ± 10.80</w:t>
            </w:r>
          </w:p>
        </w:tc>
        <w:tc>
          <w:tcPr>
            <w:tcW w:w="1899" w:type="dxa"/>
            <w:vAlign w:val="center"/>
          </w:tcPr>
          <w:p w14:paraId="70016D8E">
            <w:pPr>
              <w:pStyle w:val="35"/>
              <w:spacing w:before="0"/>
              <w:jc w:val="both"/>
              <w:rPr>
                <w:rFonts w:ascii="Arial" w:hAnsi="Arial" w:cs="Arial"/>
                <w:sz w:val="20"/>
                <w:szCs w:val="20"/>
              </w:rPr>
            </w:pPr>
            <w:r>
              <w:rPr>
                <w:rFonts w:ascii="Arial" w:hAnsi="Arial" w:cs="Arial"/>
                <w:sz w:val="20"/>
                <w:szCs w:val="20"/>
              </w:rPr>
              <w:t>80.29 ± 12.63</w:t>
            </w:r>
          </w:p>
        </w:tc>
        <w:tc>
          <w:tcPr>
            <w:tcW w:w="2410" w:type="dxa"/>
            <w:gridSpan w:val="2"/>
            <w:vAlign w:val="center"/>
          </w:tcPr>
          <w:p w14:paraId="65BF8133">
            <w:pPr>
              <w:pStyle w:val="35"/>
              <w:spacing w:before="0"/>
              <w:jc w:val="both"/>
              <w:rPr>
                <w:rFonts w:ascii="Arial" w:hAnsi="Arial" w:cs="Arial"/>
                <w:sz w:val="20"/>
                <w:szCs w:val="20"/>
              </w:rPr>
            </w:pPr>
            <w:r>
              <w:rPr>
                <w:rFonts w:ascii="Arial" w:hAnsi="Arial" w:cs="Arial"/>
                <w:sz w:val="20"/>
                <w:szCs w:val="20"/>
              </w:rPr>
              <w:t>81.50 ± 11.09</w:t>
            </w:r>
          </w:p>
        </w:tc>
      </w:tr>
      <w:tr w14:paraId="7E9FBD5F">
        <w:trPr>
          <w:trHeight w:val="229" w:hRule="atLeast"/>
        </w:trPr>
        <w:tc>
          <w:tcPr>
            <w:tcW w:w="3828" w:type="dxa"/>
            <w:vAlign w:val="center"/>
          </w:tcPr>
          <w:p w14:paraId="115B4F3E">
            <w:pPr>
              <w:pStyle w:val="35"/>
              <w:spacing w:before="0"/>
              <w:ind w:left="220" w:leftChars="100"/>
              <w:jc w:val="both"/>
              <w:rPr>
                <w:rFonts w:ascii="Arial" w:hAnsi="Arial" w:cs="Arial"/>
                <w:sz w:val="20"/>
                <w:szCs w:val="20"/>
              </w:rPr>
            </w:pPr>
            <w:r>
              <w:rPr>
                <w:rFonts w:ascii="Arial" w:hAnsi="Arial" w:cs="Arial"/>
                <w:sz w:val="20"/>
                <w:szCs w:val="20"/>
              </w:rPr>
              <w:t>MAP &lt; 70 mm</w:t>
            </w:r>
            <w:r>
              <w:rPr>
                <w:rFonts w:hint="eastAsia" w:ascii="Arial" w:hAnsi="Arial" w:cs="Arial" w:eastAsiaTheme="minorEastAsia"/>
                <w:sz w:val="20"/>
                <w:szCs w:val="20"/>
                <w:lang w:eastAsia="zh-CN"/>
              </w:rPr>
              <w:t xml:space="preserve"> </w:t>
            </w:r>
            <w:r>
              <w:rPr>
                <w:rFonts w:ascii="Arial" w:hAnsi="Arial" w:cs="Arial"/>
                <w:sz w:val="20"/>
                <w:szCs w:val="20"/>
              </w:rPr>
              <w:t>Hg (SOFA ≥1)</w:t>
            </w:r>
          </w:p>
        </w:tc>
        <w:tc>
          <w:tcPr>
            <w:tcW w:w="1843" w:type="dxa"/>
            <w:vAlign w:val="center"/>
          </w:tcPr>
          <w:p w14:paraId="0FA52B26">
            <w:pPr>
              <w:pStyle w:val="35"/>
              <w:spacing w:before="0"/>
              <w:jc w:val="both"/>
              <w:rPr>
                <w:rFonts w:ascii="Arial" w:hAnsi="Arial" w:cs="Arial"/>
                <w:sz w:val="20"/>
                <w:szCs w:val="20"/>
              </w:rPr>
            </w:pPr>
            <w:r>
              <w:rPr>
                <w:rFonts w:ascii="Arial" w:hAnsi="Arial" w:cs="Arial"/>
                <w:sz w:val="20"/>
                <w:szCs w:val="20"/>
              </w:rPr>
              <w:t>640/2718 (23.5%)</w:t>
            </w:r>
          </w:p>
        </w:tc>
        <w:tc>
          <w:tcPr>
            <w:tcW w:w="1899" w:type="dxa"/>
            <w:vAlign w:val="center"/>
          </w:tcPr>
          <w:p w14:paraId="0FF866C5">
            <w:pPr>
              <w:pStyle w:val="35"/>
              <w:spacing w:before="0"/>
              <w:jc w:val="both"/>
              <w:rPr>
                <w:rFonts w:ascii="Arial" w:hAnsi="Arial" w:cs="Arial"/>
                <w:sz w:val="20"/>
                <w:szCs w:val="20"/>
              </w:rPr>
            </w:pPr>
            <w:r>
              <w:rPr>
                <w:rFonts w:ascii="Arial" w:hAnsi="Arial" w:cs="Arial"/>
                <w:sz w:val="20"/>
                <w:szCs w:val="20"/>
              </w:rPr>
              <w:t>428/1999 (21.4%)</w:t>
            </w:r>
          </w:p>
        </w:tc>
        <w:tc>
          <w:tcPr>
            <w:tcW w:w="2410" w:type="dxa"/>
            <w:gridSpan w:val="2"/>
            <w:vAlign w:val="center"/>
          </w:tcPr>
          <w:p w14:paraId="3666A98F">
            <w:pPr>
              <w:pStyle w:val="35"/>
              <w:spacing w:before="0"/>
              <w:jc w:val="both"/>
              <w:rPr>
                <w:rFonts w:ascii="Arial" w:hAnsi="Arial" w:cs="Arial"/>
                <w:sz w:val="20"/>
                <w:szCs w:val="20"/>
              </w:rPr>
            </w:pPr>
            <w:r>
              <w:rPr>
                <w:rFonts w:ascii="Arial" w:hAnsi="Arial" w:cs="Arial"/>
                <w:sz w:val="20"/>
                <w:szCs w:val="20"/>
              </w:rPr>
              <w:t>44/371 (11.9%)</w:t>
            </w:r>
          </w:p>
        </w:tc>
      </w:tr>
      <w:tr w14:paraId="756502C6">
        <w:trPr>
          <w:trHeight w:val="229" w:hRule="atLeast"/>
        </w:trPr>
        <w:tc>
          <w:tcPr>
            <w:tcW w:w="3828" w:type="dxa"/>
            <w:vAlign w:val="center"/>
          </w:tcPr>
          <w:p w14:paraId="48F4C588">
            <w:pPr>
              <w:pStyle w:val="35"/>
              <w:spacing w:before="0"/>
              <w:ind w:left="220" w:leftChars="100"/>
              <w:jc w:val="both"/>
              <w:rPr>
                <w:rFonts w:ascii="Arial" w:hAnsi="Arial" w:cs="Arial"/>
                <w:sz w:val="20"/>
                <w:szCs w:val="20"/>
              </w:rPr>
            </w:pPr>
            <w:r>
              <w:rPr>
                <w:rFonts w:ascii="Arial" w:hAnsi="Arial" w:cs="Arial"/>
                <w:sz w:val="20"/>
                <w:szCs w:val="20"/>
              </w:rPr>
              <w:t>Lactate (mmol/L)</w:t>
            </w:r>
          </w:p>
        </w:tc>
        <w:tc>
          <w:tcPr>
            <w:tcW w:w="1843" w:type="dxa"/>
            <w:vAlign w:val="center"/>
          </w:tcPr>
          <w:p w14:paraId="2056E557">
            <w:pPr>
              <w:pStyle w:val="35"/>
              <w:spacing w:before="0"/>
              <w:jc w:val="both"/>
              <w:rPr>
                <w:rFonts w:ascii="Arial" w:hAnsi="Arial" w:cs="Arial"/>
                <w:sz w:val="20"/>
                <w:szCs w:val="20"/>
              </w:rPr>
            </w:pPr>
            <w:r>
              <w:rPr>
                <w:rFonts w:ascii="Arial" w:hAnsi="Arial" w:cs="Arial"/>
                <w:sz w:val="20"/>
                <w:szCs w:val="20"/>
              </w:rPr>
              <w:t>1.80 ± 1.28</w:t>
            </w:r>
          </w:p>
        </w:tc>
        <w:tc>
          <w:tcPr>
            <w:tcW w:w="1899" w:type="dxa"/>
            <w:vAlign w:val="center"/>
          </w:tcPr>
          <w:p w14:paraId="53290542">
            <w:pPr>
              <w:pStyle w:val="35"/>
              <w:spacing w:before="0"/>
              <w:jc w:val="both"/>
              <w:rPr>
                <w:rFonts w:ascii="Arial" w:hAnsi="Arial" w:cs="Arial"/>
                <w:sz w:val="20"/>
                <w:szCs w:val="20"/>
              </w:rPr>
            </w:pPr>
            <w:r>
              <w:rPr>
                <w:rFonts w:ascii="Arial" w:hAnsi="Arial" w:cs="Arial"/>
                <w:sz w:val="20"/>
                <w:szCs w:val="20"/>
              </w:rPr>
              <w:t>2.04 ± 2.03</w:t>
            </w:r>
          </w:p>
        </w:tc>
        <w:tc>
          <w:tcPr>
            <w:tcW w:w="2410" w:type="dxa"/>
            <w:gridSpan w:val="2"/>
            <w:vAlign w:val="center"/>
          </w:tcPr>
          <w:p w14:paraId="55D3FFF7">
            <w:pPr>
              <w:pStyle w:val="35"/>
              <w:spacing w:before="0"/>
              <w:jc w:val="both"/>
              <w:rPr>
                <w:rFonts w:ascii="Arial" w:hAnsi="Arial" w:cs="Arial"/>
                <w:sz w:val="20"/>
                <w:szCs w:val="20"/>
              </w:rPr>
            </w:pPr>
            <w:r>
              <w:rPr>
                <w:rFonts w:ascii="Arial" w:hAnsi="Arial" w:cs="Arial"/>
                <w:sz w:val="20"/>
                <w:szCs w:val="20"/>
              </w:rPr>
              <w:t>1.96 ± 1.61</w:t>
            </w:r>
          </w:p>
        </w:tc>
      </w:tr>
      <w:tr w14:paraId="5FF9BCE9">
        <w:trPr>
          <w:trHeight w:val="229" w:hRule="atLeast"/>
        </w:trPr>
        <w:tc>
          <w:tcPr>
            <w:tcW w:w="3828" w:type="dxa"/>
            <w:vAlign w:val="center"/>
          </w:tcPr>
          <w:p w14:paraId="7FFB2369">
            <w:pPr>
              <w:pStyle w:val="35"/>
              <w:spacing w:before="0"/>
              <w:ind w:left="220" w:leftChars="100"/>
              <w:jc w:val="both"/>
              <w:rPr>
                <w:rFonts w:ascii="Arial" w:hAnsi="Arial" w:cs="Arial"/>
                <w:sz w:val="20"/>
                <w:szCs w:val="20"/>
              </w:rPr>
            </w:pPr>
            <w:r>
              <w:rPr>
                <w:rFonts w:ascii="Arial" w:hAnsi="Arial" w:cs="Arial"/>
                <w:sz w:val="20"/>
                <w:szCs w:val="20"/>
              </w:rPr>
              <w:t>Lactate &gt; 2 (SOFA-2 ≥2)</w:t>
            </w:r>
          </w:p>
        </w:tc>
        <w:tc>
          <w:tcPr>
            <w:tcW w:w="1843" w:type="dxa"/>
            <w:vAlign w:val="center"/>
          </w:tcPr>
          <w:p w14:paraId="77E28F40">
            <w:pPr>
              <w:pStyle w:val="35"/>
              <w:spacing w:before="0"/>
              <w:jc w:val="both"/>
              <w:rPr>
                <w:rFonts w:ascii="Arial" w:hAnsi="Arial" w:cs="Arial"/>
                <w:sz w:val="20"/>
                <w:szCs w:val="20"/>
              </w:rPr>
            </w:pPr>
            <w:r>
              <w:rPr>
                <w:rFonts w:ascii="Arial" w:hAnsi="Arial" w:cs="Arial"/>
                <w:sz w:val="20"/>
                <w:szCs w:val="20"/>
              </w:rPr>
              <w:t>293/1106 (26.5%)</w:t>
            </w:r>
          </w:p>
        </w:tc>
        <w:tc>
          <w:tcPr>
            <w:tcW w:w="1899" w:type="dxa"/>
            <w:vAlign w:val="center"/>
          </w:tcPr>
          <w:p w14:paraId="0D556A83">
            <w:pPr>
              <w:pStyle w:val="35"/>
              <w:spacing w:before="0"/>
              <w:jc w:val="both"/>
              <w:rPr>
                <w:rFonts w:ascii="Arial" w:hAnsi="Arial" w:cs="Arial"/>
                <w:sz w:val="20"/>
                <w:szCs w:val="20"/>
              </w:rPr>
            </w:pPr>
            <w:r>
              <w:rPr>
                <w:rFonts w:ascii="Arial" w:hAnsi="Arial" w:cs="Arial"/>
                <w:sz w:val="20"/>
                <w:szCs w:val="20"/>
              </w:rPr>
              <w:t>168/551 (30.5%)</w:t>
            </w:r>
          </w:p>
        </w:tc>
        <w:tc>
          <w:tcPr>
            <w:tcW w:w="2410" w:type="dxa"/>
            <w:gridSpan w:val="2"/>
            <w:vAlign w:val="center"/>
          </w:tcPr>
          <w:p w14:paraId="421A566F">
            <w:pPr>
              <w:pStyle w:val="35"/>
              <w:spacing w:before="0"/>
              <w:jc w:val="both"/>
              <w:rPr>
                <w:rFonts w:ascii="Arial" w:hAnsi="Arial" w:cs="Arial"/>
                <w:sz w:val="20"/>
                <w:szCs w:val="20"/>
              </w:rPr>
            </w:pPr>
            <w:r>
              <w:rPr>
                <w:rFonts w:ascii="Arial" w:hAnsi="Arial" w:cs="Arial"/>
                <w:sz w:val="20"/>
                <w:szCs w:val="20"/>
              </w:rPr>
              <w:t>62/213 (29.1%)</w:t>
            </w:r>
          </w:p>
        </w:tc>
      </w:tr>
      <w:tr w14:paraId="07FE68B5">
        <w:trPr>
          <w:trHeight w:val="229" w:hRule="atLeast"/>
        </w:trPr>
        <w:tc>
          <w:tcPr>
            <w:tcW w:w="3828" w:type="dxa"/>
            <w:vAlign w:val="center"/>
          </w:tcPr>
          <w:p w14:paraId="3515E75B">
            <w:pPr>
              <w:pStyle w:val="35"/>
              <w:spacing w:before="0"/>
              <w:ind w:left="220" w:leftChars="100"/>
              <w:jc w:val="both"/>
              <w:rPr>
                <w:rFonts w:ascii="Arial" w:hAnsi="Arial" w:cs="Arial"/>
                <w:sz w:val="20"/>
                <w:szCs w:val="20"/>
              </w:rPr>
            </w:pPr>
            <w:r>
              <w:rPr>
                <w:rFonts w:ascii="Arial" w:hAnsi="Arial" w:cs="Arial"/>
                <w:sz w:val="20"/>
                <w:szCs w:val="20"/>
              </w:rPr>
              <w:t>Lactate &gt; 4 (SOFA-2 ≥3)</w:t>
            </w:r>
          </w:p>
        </w:tc>
        <w:tc>
          <w:tcPr>
            <w:tcW w:w="1843" w:type="dxa"/>
            <w:vAlign w:val="center"/>
          </w:tcPr>
          <w:p w14:paraId="3B6AAB86">
            <w:pPr>
              <w:pStyle w:val="35"/>
              <w:spacing w:before="0"/>
              <w:jc w:val="both"/>
              <w:rPr>
                <w:rFonts w:ascii="Arial" w:hAnsi="Arial" w:cs="Arial"/>
                <w:sz w:val="20"/>
                <w:szCs w:val="20"/>
              </w:rPr>
            </w:pPr>
            <w:r>
              <w:rPr>
                <w:rFonts w:ascii="Arial" w:hAnsi="Arial" w:cs="Arial"/>
                <w:sz w:val="20"/>
                <w:szCs w:val="20"/>
              </w:rPr>
              <w:t>41/1106 (3.7%)</w:t>
            </w:r>
          </w:p>
        </w:tc>
        <w:tc>
          <w:tcPr>
            <w:tcW w:w="1899" w:type="dxa"/>
            <w:vAlign w:val="center"/>
          </w:tcPr>
          <w:p w14:paraId="21C09E4C">
            <w:pPr>
              <w:pStyle w:val="35"/>
              <w:spacing w:before="0"/>
              <w:jc w:val="both"/>
              <w:rPr>
                <w:rFonts w:ascii="Arial" w:hAnsi="Arial" w:cs="Arial"/>
                <w:sz w:val="20"/>
                <w:szCs w:val="20"/>
              </w:rPr>
            </w:pPr>
            <w:r>
              <w:rPr>
                <w:rFonts w:ascii="Arial" w:hAnsi="Arial" w:cs="Arial"/>
                <w:sz w:val="20"/>
                <w:szCs w:val="20"/>
              </w:rPr>
              <w:t>38/551 (6.9%)</w:t>
            </w:r>
          </w:p>
        </w:tc>
        <w:tc>
          <w:tcPr>
            <w:tcW w:w="2410" w:type="dxa"/>
            <w:gridSpan w:val="2"/>
            <w:vAlign w:val="center"/>
          </w:tcPr>
          <w:p w14:paraId="19425F9D">
            <w:pPr>
              <w:pStyle w:val="35"/>
              <w:spacing w:before="0"/>
              <w:jc w:val="both"/>
              <w:rPr>
                <w:rFonts w:ascii="Arial" w:hAnsi="Arial" w:cs="Arial"/>
                <w:sz w:val="20"/>
                <w:szCs w:val="20"/>
              </w:rPr>
            </w:pPr>
            <w:r>
              <w:rPr>
                <w:rFonts w:ascii="Arial" w:hAnsi="Arial" w:cs="Arial"/>
                <w:sz w:val="20"/>
                <w:szCs w:val="20"/>
              </w:rPr>
              <w:t>18/213 (8.5%)</w:t>
            </w:r>
          </w:p>
        </w:tc>
      </w:tr>
      <w:tr w14:paraId="49ACD816">
        <w:trPr>
          <w:gridAfter w:val="1"/>
          <w:wAfter w:w="57" w:type="dxa"/>
          <w:trHeight w:val="20" w:hRule="exact"/>
        </w:trPr>
        <w:tc>
          <w:tcPr>
            <w:tcW w:w="9923" w:type="dxa"/>
            <w:gridSpan w:val="4"/>
            <w:vAlign w:val="center"/>
          </w:tcPr>
          <w:p w14:paraId="79D38338">
            <w:pPr>
              <w:pStyle w:val="35"/>
              <w:spacing w:before="0"/>
              <w:jc w:val="both"/>
              <w:rPr>
                <w:rFonts w:ascii="Arial" w:hAnsi="Arial" w:cs="Arial" w:eastAsiaTheme="minorEastAsia"/>
                <w:i/>
                <w:iCs/>
                <w:sz w:val="20"/>
                <w:szCs w:val="20"/>
                <w:lang w:eastAsia="zh-CN"/>
              </w:rPr>
            </w:pPr>
          </w:p>
        </w:tc>
      </w:tr>
      <w:tr w14:paraId="7AE65507">
        <w:trPr>
          <w:trHeight w:val="229" w:hRule="atLeast"/>
        </w:trPr>
        <w:tc>
          <w:tcPr>
            <w:tcW w:w="3828" w:type="dxa"/>
            <w:vAlign w:val="center"/>
          </w:tcPr>
          <w:p w14:paraId="6FBA781E">
            <w:pPr>
              <w:pStyle w:val="35"/>
              <w:spacing w:before="0"/>
              <w:ind w:left="220" w:leftChars="100"/>
              <w:jc w:val="both"/>
              <w:rPr>
                <w:rFonts w:ascii="Arial" w:hAnsi="Arial" w:cs="Arial"/>
                <w:sz w:val="20"/>
                <w:szCs w:val="20"/>
              </w:rPr>
            </w:pPr>
            <w:r>
              <w:rPr>
                <w:rFonts w:ascii="Arial" w:hAnsi="Arial" w:cs="Arial"/>
                <w:sz w:val="20"/>
                <w:szCs w:val="20"/>
              </w:rPr>
              <w:t>Lactate &gt; 8 (SOFA-2 = 4)</w:t>
            </w:r>
          </w:p>
        </w:tc>
        <w:tc>
          <w:tcPr>
            <w:tcW w:w="1843" w:type="dxa"/>
            <w:vAlign w:val="center"/>
          </w:tcPr>
          <w:p w14:paraId="33184F3D">
            <w:pPr>
              <w:pStyle w:val="35"/>
              <w:spacing w:before="0"/>
              <w:jc w:val="both"/>
              <w:rPr>
                <w:rFonts w:ascii="Arial" w:hAnsi="Arial" w:cs="Arial"/>
                <w:sz w:val="20"/>
                <w:szCs w:val="20"/>
              </w:rPr>
            </w:pPr>
            <w:r>
              <w:rPr>
                <w:rFonts w:ascii="Arial" w:hAnsi="Arial" w:cs="Arial"/>
                <w:sz w:val="20"/>
                <w:szCs w:val="20"/>
              </w:rPr>
              <w:t>8/1106 (0.7%)</w:t>
            </w:r>
          </w:p>
        </w:tc>
        <w:tc>
          <w:tcPr>
            <w:tcW w:w="1899" w:type="dxa"/>
            <w:vAlign w:val="center"/>
          </w:tcPr>
          <w:p w14:paraId="6D13D744">
            <w:pPr>
              <w:pStyle w:val="35"/>
              <w:spacing w:before="0"/>
              <w:jc w:val="both"/>
              <w:rPr>
                <w:rFonts w:ascii="Arial" w:hAnsi="Arial" w:cs="Arial"/>
                <w:sz w:val="20"/>
                <w:szCs w:val="20"/>
              </w:rPr>
            </w:pPr>
            <w:r>
              <w:rPr>
                <w:rFonts w:ascii="Arial" w:hAnsi="Arial" w:cs="Arial"/>
                <w:sz w:val="20"/>
                <w:szCs w:val="20"/>
              </w:rPr>
              <w:t>10/551 (1.8%)</w:t>
            </w:r>
          </w:p>
        </w:tc>
        <w:tc>
          <w:tcPr>
            <w:tcW w:w="2410" w:type="dxa"/>
            <w:gridSpan w:val="2"/>
            <w:vAlign w:val="center"/>
          </w:tcPr>
          <w:p w14:paraId="1762C0DE">
            <w:pPr>
              <w:pStyle w:val="35"/>
              <w:spacing w:before="0"/>
              <w:jc w:val="both"/>
              <w:rPr>
                <w:rFonts w:ascii="Arial" w:hAnsi="Arial" w:cs="Arial"/>
                <w:sz w:val="20"/>
                <w:szCs w:val="20"/>
              </w:rPr>
            </w:pPr>
            <w:r>
              <w:rPr>
                <w:rFonts w:ascii="Arial" w:hAnsi="Arial" w:cs="Arial"/>
                <w:sz w:val="20"/>
                <w:szCs w:val="20"/>
              </w:rPr>
              <w:t>4/213 (1.9%)</w:t>
            </w:r>
          </w:p>
        </w:tc>
      </w:tr>
      <w:tr w14:paraId="6E223D45">
        <w:trPr>
          <w:trHeight w:val="20" w:hRule="exact"/>
        </w:trPr>
        <w:tc>
          <w:tcPr>
            <w:tcW w:w="3828" w:type="dxa"/>
            <w:vAlign w:val="center"/>
          </w:tcPr>
          <w:p w14:paraId="5DAF516E">
            <w:pPr>
              <w:pStyle w:val="35"/>
              <w:spacing w:before="0"/>
              <w:ind w:left="220" w:leftChars="100"/>
              <w:jc w:val="both"/>
              <w:rPr>
                <w:rFonts w:ascii="Arial" w:hAnsi="Arial" w:cs="Arial"/>
                <w:sz w:val="20"/>
                <w:szCs w:val="20"/>
              </w:rPr>
            </w:pPr>
          </w:p>
        </w:tc>
        <w:tc>
          <w:tcPr>
            <w:tcW w:w="1843" w:type="dxa"/>
            <w:vAlign w:val="center"/>
          </w:tcPr>
          <w:p w14:paraId="6C847DF9">
            <w:pPr>
              <w:pStyle w:val="35"/>
              <w:spacing w:before="0"/>
              <w:jc w:val="both"/>
              <w:rPr>
                <w:rFonts w:ascii="Arial" w:hAnsi="Arial" w:cs="Arial"/>
                <w:sz w:val="20"/>
                <w:szCs w:val="20"/>
              </w:rPr>
            </w:pPr>
          </w:p>
        </w:tc>
        <w:tc>
          <w:tcPr>
            <w:tcW w:w="1899" w:type="dxa"/>
            <w:vAlign w:val="center"/>
          </w:tcPr>
          <w:p w14:paraId="0247A00C">
            <w:pPr>
              <w:pStyle w:val="35"/>
              <w:spacing w:before="0"/>
              <w:jc w:val="both"/>
              <w:rPr>
                <w:rFonts w:ascii="Arial" w:hAnsi="Arial" w:cs="Arial"/>
                <w:sz w:val="20"/>
                <w:szCs w:val="20"/>
              </w:rPr>
            </w:pPr>
          </w:p>
        </w:tc>
        <w:tc>
          <w:tcPr>
            <w:tcW w:w="2410" w:type="dxa"/>
            <w:gridSpan w:val="2"/>
            <w:vAlign w:val="center"/>
          </w:tcPr>
          <w:p w14:paraId="18D676DE">
            <w:pPr>
              <w:pStyle w:val="35"/>
              <w:spacing w:before="0"/>
              <w:jc w:val="both"/>
              <w:rPr>
                <w:rFonts w:ascii="Arial" w:hAnsi="Arial" w:cs="Arial"/>
                <w:sz w:val="20"/>
                <w:szCs w:val="20"/>
              </w:rPr>
            </w:pPr>
          </w:p>
        </w:tc>
      </w:tr>
      <w:tr w14:paraId="51699FFA">
        <w:trPr>
          <w:trHeight w:val="229" w:hRule="atLeast"/>
        </w:trPr>
        <w:tc>
          <w:tcPr>
            <w:tcW w:w="3828" w:type="dxa"/>
            <w:vAlign w:val="center"/>
          </w:tcPr>
          <w:p w14:paraId="29D67EFE">
            <w:pPr>
              <w:pStyle w:val="35"/>
              <w:spacing w:before="0"/>
              <w:ind w:left="220" w:leftChars="100"/>
              <w:jc w:val="both"/>
              <w:rPr>
                <w:rFonts w:ascii="Arial" w:hAnsi="Arial" w:cs="Arial"/>
                <w:sz w:val="20"/>
                <w:szCs w:val="20"/>
              </w:rPr>
            </w:pPr>
            <w:r>
              <w:rPr>
                <w:rFonts w:ascii="Arial" w:hAnsi="Arial" w:cs="Arial"/>
                <w:sz w:val="20"/>
                <w:szCs w:val="20"/>
              </w:rPr>
              <w:t>Dopamine use</w:t>
            </w:r>
          </w:p>
        </w:tc>
        <w:tc>
          <w:tcPr>
            <w:tcW w:w="1843" w:type="dxa"/>
            <w:vAlign w:val="center"/>
          </w:tcPr>
          <w:p w14:paraId="626A4755">
            <w:pPr>
              <w:pStyle w:val="35"/>
              <w:spacing w:before="0"/>
              <w:jc w:val="both"/>
              <w:rPr>
                <w:rFonts w:ascii="Arial" w:hAnsi="Arial" w:cs="Arial"/>
                <w:sz w:val="20"/>
                <w:szCs w:val="20"/>
              </w:rPr>
            </w:pPr>
            <w:r>
              <w:rPr>
                <w:rFonts w:ascii="Arial" w:hAnsi="Arial" w:cs="Arial"/>
                <w:sz w:val="20"/>
                <w:szCs w:val="20"/>
              </w:rPr>
              <w:t>22 (0.81%)</w:t>
            </w:r>
          </w:p>
        </w:tc>
        <w:tc>
          <w:tcPr>
            <w:tcW w:w="1899" w:type="dxa"/>
            <w:vAlign w:val="center"/>
          </w:tcPr>
          <w:p w14:paraId="0AF058E1">
            <w:pPr>
              <w:pStyle w:val="35"/>
              <w:spacing w:before="0"/>
              <w:jc w:val="both"/>
              <w:rPr>
                <w:rFonts w:ascii="Arial" w:hAnsi="Arial" w:cs="Arial"/>
                <w:sz w:val="20"/>
                <w:szCs w:val="20"/>
              </w:rPr>
            </w:pPr>
            <w:r>
              <w:rPr>
                <w:rFonts w:ascii="Arial" w:hAnsi="Arial" w:cs="Arial"/>
                <w:sz w:val="20"/>
                <w:szCs w:val="20"/>
              </w:rPr>
              <w:t>15 (0.75%)</w:t>
            </w:r>
          </w:p>
        </w:tc>
        <w:tc>
          <w:tcPr>
            <w:tcW w:w="2410" w:type="dxa"/>
            <w:gridSpan w:val="2"/>
            <w:vAlign w:val="center"/>
          </w:tcPr>
          <w:p w14:paraId="41F2F8C4">
            <w:pPr>
              <w:pStyle w:val="35"/>
              <w:spacing w:before="0"/>
              <w:jc w:val="both"/>
              <w:rPr>
                <w:rFonts w:ascii="Arial" w:hAnsi="Arial" w:cs="Arial"/>
                <w:sz w:val="20"/>
                <w:szCs w:val="20"/>
              </w:rPr>
            </w:pPr>
            <w:r>
              <w:rPr>
                <w:rFonts w:ascii="Arial" w:hAnsi="Arial" w:cs="Arial"/>
                <w:sz w:val="20"/>
                <w:szCs w:val="20"/>
              </w:rPr>
              <w:t>28 (7.51%)</w:t>
            </w:r>
          </w:p>
        </w:tc>
      </w:tr>
      <w:tr w14:paraId="3A9BD906">
        <w:trPr>
          <w:trHeight w:val="229" w:hRule="atLeast"/>
        </w:trPr>
        <w:tc>
          <w:tcPr>
            <w:tcW w:w="3828" w:type="dxa"/>
            <w:vAlign w:val="center"/>
          </w:tcPr>
          <w:p w14:paraId="4F7397A7">
            <w:pPr>
              <w:pStyle w:val="35"/>
              <w:spacing w:before="0"/>
              <w:ind w:left="220" w:leftChars="100"/>
              <w:jc w:val="both"/>
              <w:rPr>
                <w:rFonts w:ascii="Arial" w:hAnsi="Arial" w:cs="Arial"/>
                <w:sz w:val="20"/>
                <w:szCs w:val="20"/>
              </w:rPr>
            </w:pPr>
            <w:r>
              <w:rPr>
                <w:rFonts w:ascii="Arial" w:hAnsi="Arial" w:cs="Arial"/>
                <w:sz w:val="20"/>
                <w:szCs w:val="20"/>
              </w:rPr>
              <w:t>Dopamine &gt; 5 μg/kg/min (SOFA ≥3)</w:t>
            </w:r>
          </w:p>
        </w:tc>
        <w:tc>
          <w:tcPr>
            <w:tcW w:w="1843" w:type="dxa"/>
            <w:vAlign w:val="center"/>
          </w:tcPr>
          <w:p w14:paraId="7DB3131C">
            <w:pPr>
              <w:pStyle w:val="35"/>
              <w:spacing w:before="0"/>
              <w:jc w:val="both"/>
              <w:rPr>
                <w:rFonts w:ascii="Arial" w:hAnsi="Arial" w:cs="Arial"/>
                <w:sz w:val="20"/>
                <w:szCs w:val="20"/>
              </w:rPr>
            </w:pPr>
            <w:r>
              <w:rPr>
                <w:rFonts w:ascii="Arial" w:hAnsi="Arial" w:cs="Arial"/>
                <w:sz w:val="20"/>
                <w:szCs w:val="20"/>
              </w:rPr>
              <w:t>13/22 (59.1%)</w:t>
            </w:r>
          </w:p>
        </w:tc>
        <w:tc>
          <w:tcPr>
            <w:tcW w:w="1899" w:type="dxa"/>
            <w:vAlign w:val="center"/>
          </w:tcPr>
          <w:p w14:paraId="449CD1BD">
            <w:pPr>
              <w:pStyle w:val="35"/>
              <w:spacing w:before="0"/>
              <w:jc w:val="both"/>
              <w:rPr>
                <w:rFonts w:ascii="Arial" w:hAnsi="Arial" w:cs="Arial"/>
                <w:sz w:val="20"/>
                <w:szCs w:val="20"/>
              </w:rPr>
            </w:pPr>
            <w:r>
              <w:rPr>
                <w:rFonts w:ascii="Arial" w:hAnsi="Arial" w:cs="Arial"/>
                <w:sz w:val="20"/>
                <w:szCs w:val="20"/>
              </w:rPr>
              <w:t>8/16 (50.0%)</w:t>
            </w:r>
          </w:p>
        </w:tc>
        <w:tc>
          <w:tcPr>
            <w:tcW w:w="2410" w:type="dxa"/>
            <w:gridSpan w:val="2"/>
            <w:vAlign w:val="center"/>
          </w:tcPr>
          <w:p w14:paraId="5E7549F7">
            <w:pPr>
              <w:pStyle w:val="35"/>
              <w:spacing w:before="0"/>
              <w:jc w:val="both"/>
              <w:rPr>
                <w:rFonts w:ascii="Arial" w:hAnsi="Arial" w:cs="Arial"/>
                <w:sz w:val="20"/>
                <w:szCs w:val="20"/>
              </w:rPr>
            </w:pPr>
            <w:r>
              <w:rPr>
                <w:rFonts w:ascii="Arial" w:hAnsi="Arial" w:cs="Arial"/>
                <w:sz w:val="20"/>
                <w:szCs w:val="20"/>
              </w:rPr>
              <w:t>8/28 (28.6%)</w:t>
            </w:r>
          </w:p>
        </w:tc>
      </w:tr>
      <w:tr w14:paraId="2BD4FEFB">
        <w:trPr>
          <w:trHeight w:val="229" w:hRule="atLeast"/>
        </w:trPr>
        <w:tc>
          <w:tcPr>
            <w:tcW w:w="3828" w:type="dxa"/>
            <w:vAlign w:val="center"/>
          </w:tcPr>
          <w:p w14:paraId="5C218E97">
            <w:pPr>
              <w:pStyle w:val="35"/>
              <w:spacing w:before="0"/>
              <w:ind w:left="220" w:leftChars="100"/>
              <w:jc w:val="both"/>
              <w:rPr>
                <w:rFonts w:ascii="Arial" w:hAnsi="Arial" w:cs="Arial"/>
                <w:sz w:val="20"/>
                <w:szCs w:val="20"/>
              </w:rPr>
            </w:pPr>
            <w:r>
              <w:rPr>
                <w:rFonts w:ascii="Arial" w:hAnsi="Arial" w:cs="Arial"/>
                <w:sz w:val="20"/>
                <w:szCs w:val="20"/>
              </w:rPr>
              <w:t>Dopamine &gt; 15 μg/kg/min (SOFA = 4)</w:t>
            </w:r>
          </w:p>
        </w:tc>
        <w:tc>
          <w:tcPr>
            <w:tcW w:w="1843" w:type="dxa"/>
            <w:vAlign w:val="center"/>
          </w:tcPr>
          <w:p w14:paraId="672610A5">
            <w:pPr>
              <w:pStyle w:val="35"/>
              <w:spacing w:before="0"/>
              <w:jc w:val="both"/>
              <w:rPr>
                <w:rFonts w:ascii="Arial" w:hAnsi="Arial" w:cs="Arial"/>
                <w:sz w:val="20"/>
                <w:szCs w:val="20"/>
              </w:rPr>
            </w:pPr>
            <w:r>
              <w:rPr>
                <w:rFonts w:ascii="Arial" w:hAnsi="Arial" w:cs="Arial"/>
                <w:sz w:val="20"/>
                <w:szCs w:val="20"/>
              </w:rPr>
              <w:t>1/22 (4.5%)</w:t>
            </w:r>
          </w:p>
        </w:tc>
        <w:tc>
          <w:tcPr>
            <w:tcW w:w="1899" w:type="dxa"/>
            <w:vAlign w:val="center"/>
          </w:tcPr>
          <w:p w14:paraId="0349B444">
            <w:pPr>
              <w:pStyle w:val="35"/>
              <w:spacing w:before="0"/>
              <w:jc w:val="both"/>
              <w:rPr>
                <w:rFonts w:ascii="Arial" w:hAnsi="Arial" w:cs="Arial"/>
                <w:sz w:val="20"/>
                <w:szCs w:val="20"/>
              </w:rPr>
            </w:pPr>
            <w:r>
              <w:rPr>
                <w:rFonts w:ascii="Arial" w:hAnsi="Arial" w:cs="Arial"/>
                <w:sz w:val="20"/>
                <w:szCs w:val="20"/>
              </w:rPr>
              <w:t>2/16 (12.5%)</w:t>
            </w:r>
          </w:p>
        </w:tc>
        <w:tc>
          <w:tcPr>
            <w:tcW w:w="2410" w:type="dxa"/>
            <w:gridSpan w:val="2"/>
            <w:vAlign w:val="center"/>
          </w:tcPr>
          <w:p w14:paraId="563FC64E">
            <w:pPr>
              <w:pStyle w:val="35"/>
              <w:spacing w:before="0"/>
              <w:jc w:val="both"/>
              <w:rPr>
                <w:rFonts w:ascii="Arial" w:hAnsi="Arial" w:cs="Arial"/>
                <w:sz w:val="20"/>
                <w:szCs w:val="20"/>
              </w:rPr>
            </w:pPr>
            <w:r>
              <w:rPr>
                <w:rFonts w:ascii="Arial" w:hAnsi="Arial" w:cs="Arial"/>
                <w:sz w:val="20"/>
                <w:szCs w:val="20"/>
              </w:rPr>
              <w:t>0/28 (0.0%)</w:t>
            </w:r>
          </w:p>
        </w:tc>
      </w:tr>
      <w:tr w14:paraId="2E457553">
        <w:trPr>
          <w:trHeight w:val="229" w:hRule="atLeast"/>
        </w:trPr>
        <w:tc>
          <w:tcPr>
            <w:tcW w:w="3828" w:type="dxa"/>
            <w:vAlign w:val="center"/>
          </w:tcPr>
          <w:p w14:paraId="3845B132">
            <w:pPr>
              <w:pStyle w:val="35"/>
              <w:spacing w:before="0"/>
              <w:ind w:left="220" w:leftChars="100"/>
              <w:jc w:val="both"/>
              <w:rPr>
                <w:rFonts w:ascii="Arial" w:hAnsi="Arial" w:cs="Arial"/>
                <w:sz w:val="20"/>
                <w:szCs w:val="20"/>
              </w:rPr>
            </w:pPr>
            <w:r>
              <w:rPr>
                <w:rFonts w:ascii="Arial" w:hAnsi="Arial" w:cs="Arial"/>
                <w:sz w:val="20"/>
                <w:szCs w:val="20"/>
              </w:rPr>
              <w:t>Norepinephrine use</w:t>
            </w:r>
          </w:p>
        </w:tc>
        <w:tc>
          <w:tcPr>
            <w:tcW w:w="1843" w:type="dxa"/>
            <w:vAlign w:val="center"/>
          </w:tcPr>
          <w:p w14:paraId="55694CC5">
            <w:pPr>
              <w:pStyle w:val="35"/>
              <w:spacing w:before="0"/>
              <w:jc w:val="both"/>
              <w:rPr>
                <w:rFonts w:ascii="Arial" w:hAnsi="Arial" w:cs="Arial"/>
                <w:sz w:val="20"/>
                <w:szCs w:val="20"/>
              </w:rPr>
            </w:pPr>
            <w:r>
              <w:rPr>
                <w:rFonts w:ascii="Arial" w:hAnsi="Arial" w:cs="Arial"/>
                <w:sz w:val="20"/>
                <w:szCs w:val="20"/>
              </w:rPr>
              <w:t>330 (12.11%)</w:t>
            </w:r>
          </w:p>
        </w:tc>
        <w:tc>
          <w:tcPr>
            <w:tcW w:w="1899" w:type="dxa"/>
            <w:vAlign w:val="center"/>
          </w:tcPr>
          <w:p w14:paraId="31D20CDA">
            <w:pPr>
              <w:pStyle w:val="35"/>
              <w:spacing w:before="0"/>
              <w:jc w:val="both"/>
              <w:rPr>
                <w:rFonts w:ascii="Arial" w:hAnsi="Arial" w:cs="Arial"/>
                <w:sz w:val="20"/>
                <w:szCs w:val="20"/>
              </w:rPr>
            </w:pPr>
            <w:r>
              <w:rPr>
                <w:rFonts w:ascii="Arial" w:hAnsi="Arial" w:cs="Arial"/>
                <w:sz w:val="20"/>
                <w:szCs w:val="20"/>
              </w:rPr>
              <w:t>185 (9.22%)</w:t>
            </w:r>
          </w:p>
        </w:tc>
        <w:tc>
          <w:tcPr>
            <w:tcW w:w="2410" w:type="dxa"/>
            <w:gridSpan w:val="2"/>
            <w:vAlign w:val="center"/>
          </w:tcPr>
          <w:p w14:paraId="2694E566">
            <w:pPr>
              <w:pStyle w:val="35"/>
              <w:spacing w:before="0"/>
              <w:jc w:val="both"/>
              <w:rPr>
                <w:rFonts w:ascii="Arial" w:hAnsi="Arial" w:cs="Arial"/>
                <w:sz w:val="20"/>
                <w:szCs w:val="20"/>
              </w:rPr>
            </w:pPr>
            <w:r>
              <w:rPr>
                <w:rFonts w:ascii="Arial" w:hAnsi="Arial" w:cs="Arial"/>
                <w:sz w:val="20"/>
                <w:szCs w:val="20"/>
              </w:rPr>
              <w:t>209 (56.03%)</w:t>
            </w:r>
          </w:p>
        </w:tc>
      </w:tr>
      <w:tr w14:paraId="222D88B0">
        <w:trPr>
          <w:trHeight w:val="229" w:hRule="atLeast"/>
        </w:trPr>
        <w:tc>
          <w:tcPr>
            <w:tcW w:w="3828" w:type="dxa"/>
            <w:tcBorders>
              <w:bottom w:val="single" w:color="auto" w:sz="24" w:space="0"/>
            </w:tcBorders>
            <w:vAlign w:val="center"/>
          </w:tcPr>
          <w:p w14:paraId="3932F02C">
            <w:pPr>
              <w:pStyle w:val="35"/>
              <w:spacing w:before="0"/>
              <w:ind w:left="220" w:leftChars="100"/>
              <w:jc w:val="both"/>
              <w:rPr>
                <w:rFonts w:ascii="Arial" w:hAnsi="Arial" w:cs="Arial"/>
                <w:sz w:val="20"/>
                <w:szCs w:val="20"/>
              </w:rPr>
            </w:pPr>
            <w:r>
              <w:rPr>
                <w:rFonts w:ascii="Arial" w:hAnsi="Arial" w:cs="Arial"/>
                <w:sz w:val="20"/>
                <w:szCs w:val="20"/>
              </w:rPr>
              <w:t xml:space="preserve">Norepinephrine &gt; 0.1 μg/kg/min </w:t>
            </w:r>
          </w:p>
        </w:tc>
        <w:tc>
          <w:tcPr>
            <w:tcW w:w="1843" w:type="dxa"/>
            <w:tcBorders>
              <w:bottom w:val="single" w:color="auto" w:sz="24" w:space="0"/>
            </w:tcBorders>
            <w:vAlign w:val="center"/>
          </w:tcPr>
          <w:p w14:paraId="3538526F">
            <w:pPr>
              <w:pStyle w:val="35"/>
              <w:spacing w:before="0"/>
              <w:jc w:val="both"/>
              <w:rPr>
                <w:rFonts w:ascii="Arial" w:hAnsi="Arial" w:cs="Arial"/>
                <w:sz w:val="20"/>
                <w:szCs w:val="20"/>
              </w:rPr>
            </w:pPr>
            <w:r>
              <w:rPr>
                <w:rFonts w:ascii="Arial" w:hAnsi="Arial" w:cs="Arial"/>
                <w:sz w:val="20"/>
                <w:szCs w:val="20"/>
              </w:rPr>
              <w:t>163/330 (49.4%)</w:t>
            </w:r>
          </w:p>
        </w:tc>
        <w:tc>
          <w:tcPr>
            <w:tcW w:w="1899" w:type="dxa"/>
            <w:tcBorders>
              <w:bottom w:val="single" w:color="auto" w:sz="24" w:space="0"/>
            </w:tcBorders>
            <w:vAlign w:val="center"/>
          </w:tcPr>
          <w:p w14:paraId="2E29A848">
            <w:pPr>
              <w:pStyle w:val="35"/>
              <w:spacing w:before="0"/>
              <w:jc w:val="both"/>
              <w:rPr>
                <w:rFonts w:ascii="Arial" w:hAnsi="Arial" w:cs="Arial"/>
                <w:sz w:val="20"/>
                <w:szCs w:val="20"/>
              </w:rPr>
            </w:pPr>
            <w:r>
              <w:rPr>
                <w:rFonts w:ascii="Arial" w:hAnsi="Arial" w:cs="Arial"/>
                <w:sz w:val="20"/>
                <w:szCs w:val="20"/>
              </w:rPr>
              <w:t>99/194 (51.0%)</w:t>
            </w:r>
          </w:p>
        </w:tc>
        <w:tc>
          <w:tcPr>
            <w:tcW w:w="2410" w:type="dxa"/>
            <w:gridSpan w:val="2"/>
            <w:tcBorders>
              <w:bottom w:val="single" w:color="auto" w:sz="24" w:space="0"/>
            </w:tcBorders>
            <w:vAlign w:val="center"/>
          </w:tcPr>
          <w:p w14:paraId="7F4E8A0F">
            <w:pPr>
              <w:pStyle w:val="35"/>
              <w:spacing w:before="0"/>
              <w:jc w:val="both"/>
              <w:rPr>
                <w:rFonts w:ascii="Arial" w:hAnsi="Arial" w:cs="Arial"/>
                <w:sz w:val="20"/>
                <w:szCs w:val="20"/>
              </w:rPr>
            </w:pPr>
            <w:r>
              <w:rPr>
                <w:rFonts w:ascii="Arial" w:hAnsi="Arial" w:cs="Arial"/>
                <w:sz w:val="20"/>
                <w:szCs w:val="20"/>
              </w:rPr>
              <w:t>158/209 (75.6%)</w:t>
            </w:r>
          </w:p>
        </w:tc>
      </w:tr>
      <w:tr w14:paraId="6F834428">
        <w:trPr>
          <w:trHeight w:val="20" w:hRule="exact"/>
        </w:trPr>
        <w:tc>
          <w:tcPr>
            <w:tcW w:w="3828" w:type="dxa"/>
            <w:tcBorders>
              <w:top w:val="single" w:color="auto" w:sz="24" w:space="0"/>
            </w:tcBorders>
            <w:vAlign w:val="center"/>
          </w:tcPr>
          <w:p w14:paraId="33F7CAB0">
            <w:pPr>
              <w:pStyle w:val="35"/>
              <w:spacing w:before="0"/>
              <w:ind w:left="220" w:leftChars="100"/>
              <w:jc w:val="both"/>
              <w:rPr>
                <w:rFonts w:ascii="Arial" w:hAnsi="Arial" w:cs="Arial"/>
                <w:sz w:val="20"/>
                <w:szCs w:val="20"/>
              </w:rPr>
            </w:pPr>
          </w:p>
        </w:tc>
        <w:tc>
          <w:tcPr>
            <w:tcW w:w="1843" w:type="dxa"/>
            <w:tcBorders>
              <w:top w:val="single" w:color="auto" w:sz="24" w:space="0"/>
            </w:tcBorders>
            <w:vAlign w:val="center"/>
          </w:tcPr>
          <w:p w14:paraId="4570C942">
            <w:pPr>
              <w:pStyle w:val="35"/>
              <w:spacing w:before="0"/>
              <w:jc w:val="both"/>
              <w:rPr>
                <w:rFonts w:ascii="Arial" w:hAnsi="Arial" w:cs="Arial"/>
                <w:sz w:val="20"/>
                <w:szCs w:val="20"/>
              </w:rPr>
            </w:pPr>
          </w:p>
        </w:tc>
        <w:tc>
          <w:tcPr>
            <w:tcW w:w="1899" w:type="dxa"/>
            <w:tcBorders>
              <w:top w:val="single" w:color="auto" w:sz="24" w:space="0"/>
            </w:tcBorders>
            <w:vAlign w:val="center"/>
          </w:tcPr>
          <w:p w14:paraId="4723D492">
            <w:pPr>
              <w:pStyle w:val="35"/>
              <w:spacing w:before="0"/>
              <w:jc w:val="both"/>
              <w:rPr>
                <w:rFonts w:ascii="Arial" w:hAnsi="Arial" w:cs="Arial"/>
                <w:sz w:val="20"/>
                <w:szCs w:val="20"/>
              </w:rPr>
            </w:pPr>
          </w:p>
        </w:tc>
        <w:tc>
          <w:tcPr>
            <w:tcW w:w="2410" w:type="dxa"/>
            <w:gridSpan w:val="2"/>
            <w:tcBorders>
              <w:top w:val="single" w:color="auto" w:sz="24" w:space="0"/>
            </w:tcBorders>
            <w:vAlign w:val="center"/>
          </w:tcPr>
          <w:p w14:paraId="196E5F58">
            <w:pPr>
              <w:pStyle w:val="35"/>
              <w:spacing w:before="0"/>
              <w:jc w:val="both"/>
              <w:rPr>
                <w:rFonts w:ascii="Arial" w:hAnsi="Arial" w:cs="Arial"/>
                <w:sz w:val="20"/>
                <w:szCs w:val="20"/>
              </w:rPr>
            </w:pPr>
          </w:p>
        </w:tc>
      </w:tr>
      <w:tr w14:paraId="3B710F7A">
        <w:trPr>
          <w:gridAfter w:val="1"/>
          <w:wAfter w:w="57" w:type="dxa"/>
          <w:trHeight w:val="229" w:hRule="atLeast"/>
        </w:trPr>
        <w:tc>
          <w:tcPr>
            <w:tcW w:w="9923" w:type="dxa"/>
            <w:gridSpan w:val="4"/>
            <w:tcBorders>
              <w:bottom w:val="single" w:color="auto" w:sz="12" w:space="0"/>
            </w:tcBorders>
            <w:vAlign w:val="center"/>
          </w:tcPr>
          <w:p w14:paraId="2C32D256">
            <w:pPr>
              <w:pStyle w:val="35"/>
              <w:spacing w:before="0"/>
              <w:jc w:val="center"/>
              <w:rPr>
                <w:rFonts w:ascii="Arial" w:hAnsi="Arial" w:cs="Arial"/>
                <w:sz w:val="20"/>
                <w:szCs w:val="20"/>
              </w:rPr>
            </w:pPr>
            <w:r>
              <w:rPr>
                <w:rFonts w:hint="eastAsia" w:ascii="Arial" w:hAnsi="Arial" w:cs="Arial" w:eastAsiaTheme="minorEastAsia"/>
                <w:i/>
                <w:iCs/>
                <w:sz w:val="20"/>
                <w:szCs w:val="20"/>
                <w:lang w:eastAsia="zh-CN"/>
              </w:rPr>
              <w:t>(</w:t>
            </w:r>
            <w:r>
              <w:rPr>
                <w:rFonts w:ascii="Arial" w:hAnsi="Arial" w:cs="Arial" w:eastAsiaTheme="minorEastAsia"/>
                <w:i/>
                <w:iCs/>
                <w:sz w:val="20"/>
                <w:szCs w:val="20"/>
                <w:lang w:eastAsia="zh-CN"/>
              </w:rPr>
              <w:t>continue</w:t>
            </w:r>
            <w:r>
              <w:rPr>
                <w:rFonts w:hint="eastAsia" w:ascii="Arial" w:hAnsi="Arial" w:cs="Arial" w:eastAsiaTheme="minorEastAsia"/>
                <w:i/>
                <w:iCs/>
                <w:sz w:val="20"/>
                <w:szCs w:val="20"/>
                <w:lang w:eastAsia="zh-CN"/>
              </w:rPr>
              <w:t>)</w:t>
            </w:r>
          </w:p>
        </w:tc>
      </w:tr>
      <w:tr w14:paraId="09F55B17">
        <w:trPr>
          <w:trHeight w:val="229" w:hRule="atLeast"/>
        </w:trPr>
        <w:tc>
          <w:tcPr>
            <w:tcW w:w="3828" w:type="dxa"/>
            <w:tcBorders>
              <w:top w:val="single" w:color="auto" w:sz="12" w:space="0"/>
              <w:bottom w:val="single" w:color="auto" w:sz="12" w:space="0"/>
            </w:tcBorders>
            <w:vAlign w:val="center"/>
          </w:tcPr>
          <w:p w14:paraId="6073DA43">
            <w:pPr>
              <w:pStyle w:val="35"/>
              <w:spacing w:before="0"/>
              <w:ind w:left="220" w:leftChars="100"/>
              <w:jc w:val="both"/>
              <w:rPr>
                <w:rFonts w:ascii="Arial" w:hAnsi="Arial" w:cs="Arial"/>
                <w:sz w:val="20"/>
                <w:szCs w:val="20"/>
              </w:rPr>
            </w:pPr>
            <w:r>
              <w:rPr>
                <w:rFonts w:ascii="Arial" w:hAnsi="Arial" w:cs="Arial"/>
                <w:b/>
                <w:bCs/>
                <w:spacing w:val="-2"/>
                <w:sz w:val="20"/>
                <w:szCs w:val="20"/>
              </w:rPr>
              <w:t>Characteristic</w:t>
            </w:r>
          </w:p>
        </w:tc>
        <w:tc>
          <w:tcPr>
            <w:tcW w:w="1843" w:type="dxa"/>
            <w:tcBorders>
              <w:top w:val="single" w:color="auto" w:sz="12" w:space="0"/>
              <w:bottom w:val="single" w:color="auto" w:sz="12" w:space="0"/>
            </w:tcBorders>
            <w:vAlign w:val="center"/>
          </w:tcPr>
          <w:p w14:paraId="6402729F">
            <w:pPr>
              <w:pStyle w:val="35"/>
              <w:spacing w:before="0"/>
              <w:jc w:val="both"/>
              <w:rPr>
                <w:rFonts w:ascii="Arial" w:hAnsi="Arial" w:cs="Arial"/>
                <w:sz w:val="20"/>
                <w:szCs w:val="20"/>
              </w:rPr>
            </w:pPr>
            <w:r>
              <w:rPr>
                <w:rFonts w:ascii="Arial" w:hAnsi="Arial" w:cs="Arial"/>
                <w:b/>
                <w:bCs/>
                <w:sz w:val="20"/>
                <w:szCs w:val="20"/>
              </w:rPr>
              <w:t>MIMIC-IV</w:t>
            </w:r>
            <w:r>
              <w:rPr>
                <w:rFonts w:ascii="Arial" w:hAnsi="Arial" w:cs="Arial"/>
                <w:b/>
                <w:bCs/>
                <w:spacing w:val="-9"/>
                <w:sz w:val="20"/>
                <w:szCs w:val="20"/>
              </w:rPr>
              <w:t xml:space="preserve"> </w:t>
            </w:r>
            <w:r>
              <w:rPr>
                <w:rFonts w:ascii="Arial" w:hAnsi="Arial" w:cs="Arial"/>
                <w:b/>
                <w:bCs/>
                <w:spacing w:val="-2"/>
                <w:sz w:val="20"/>
                <w:szCs w:val="20"/>
              </w:rPr>
              <w:t>(n=2724)</w:t>
            </w:r>
          </w:p>
        </w:tc>
        <w:tc>
          <w:tcPr>
            <w:tcW w:w="1899" w:type="dxa"/>
            <w:tcBorders>
              <w:top w:val="single" w:color="auto" w:sz="12" w:space="0"/>
              <w:bottom w:val="single" w:color="auto" w:sz="12" w:space="0"/>
            </w:tcBorders>
            <w:vAlign w:val="center"/>
          </w:tcPr>
          <w:p w14:paraId="1B4795F5">
            <w:pPr>
              <w:pStyle w:val="35"/>
              <w:spacing w:before="0"/>
              <w:jc w:val="both"/>
              <w:rPr>
                <w:rFonts w:ascii="Arial" w:hAnsi="Arial" w:cs="Arial"/>
                <w:sz w:val="20"/>
                <w:szCs w:val="20"/>
              </w:rPr>
            </w:pPr>
            <w:r>
              <w:rPr>
                <w:rFonts w:ascii="Arial" w:hAnsi="Arial" w:cs="Arial"/>
                <w:b/>
                <w:bCs/>
                <w:sz w:val="20"/>
                <w:szCs w:val="20"/>
              </w:rPr>
              <w:t>eICU-CRD</w:t>
            </w:r>
            <w:r>
              <w:rPr>
                <w:rFonts w:ascii="Arial" w:hAnsi="Arial" w:cs="Arial"/>
                <w:b/>
                <w:bCs/>
                <w:spacing w:val="-9"/>
                <w:sz w:val="20"/>
                <w:szCs w:val="20"/>
              </w:rPr>
              <w:t xml:space="preserve"> </w:t>
            </w:r>
            <w:r>
              <w:rPr>
                <w:rFonts w:ascii="Arial" w:hAnsi="Arial" w:cs="Arial"/>
                <w:b/>
                <w:bCs/>
                <w:spacing w:val="-2"/>
                <w:sz w:val="20"/>
                <w:szCs w:val="20"/>
              </w:rPr>
              <w:t>(n=2006)</w:t>
            </w:r>
          </w:p>
        </w:tc>
        <w:tc>
          <w:tcPr>
            <w:tcW w:w="2410" w:type="dxa"/>
            <w:gridSpan w:val="2"/>
            <w:tcBorders>
              <w:top w:val="single" w:color="auto" w:sz="12" w:space="0"/>
              <w:bottom w:val="single" w:color="auto" w:sz="12" w:space="0"/>
            </w:tcBorders>
            <w:vAlign w:val="center"/>
          </w:tcPr>
          <w:p w14:paraId="7C282EB3">
            <w:pPr>
              <w:pStyle w:val="35"/>
              <w:spacing w:before="0"/>
              <w:jc w:val="both"/>
              <w:rPr>
                <w:rFonts w:ascii="Arial" w:hAnsi="Arial" w:cs="Arial"/>
                <w:sz w:val="20"/>
                <w:szCs w:val="20"/>
              </w:rPr>
            </w:pPr>
            <w:r>
              <w:rPr>
                <w:rFonts w:ascii="Arial" w:hAnsi="Arial" w:cs="Arial"/>
                <w:b/>
                <w:bCs/>
                <w:sz w:val="20"/>
                <w:szCs w:val="20"/>
              </w:rPr>
              <w:t>Amsterdam</w:t>
            </w:r>
            <w:r>
              <w:rPr>
                <w:rFonts w:ascii="Arial" w:hAnsi="Arial" w:cs="Arial"/>
                <w:b/>
                <w:bCs/>
                <w:spacing w:val="-7"/>
                <w:sz w:val="20"/>
                <w:szCs w:val="20"/>
              </w:rPr>
              <w:t xml:space="preserve"> </w:t>
            </w:r>
            <w:r>
              <w:rPr>
                <w:rFonts w:ascii="Arial" w:hAnsi="Arial" w:cs="Arial"/>
                <w:b/>
                <w:bCs/>
                <w:sz w:val="20"/>
                <w:szCs w:val="20"/>
              </w:rPr>
              <w:t>UMC</w:t>
            </w:r>
            <w:r>
              <w:rPr>
                <w:rFonts w:ascii="Arial" w:hAnsi="Arial" w:cs="Arial"/>
                <w:b/>
                <w:bCs/>
                <w:spacing w:val="-7"/>
                <w:sz w:val="20"/>
                <w:szCs w:val="20"/>
              </w:rPr>
              <w:t xml:space="preserve"> </w:t>
            </w:r>
            <w:r>
              <w:rPr>
                <w:rFonts w:ascii="Arial" w:hAnsi="Arial" w:cs="Arial"/>
                <w:b/>
                <w:bCs/>
                <w:spacing w:val="-2"/>
                <w:sz w:val="20"/>
                <w:szCs w:val="20"/>
              </w:rPr>
              <w:t>(n=373)</w:t>
            </w:r>
          </w:p>
        </w:tc>
      </w:tr>
      <w:tr w14:paraId="365BC4BA">
        <w:trPr>
          <w:trHeight w:val="229" w:hRule="atLeast"/>
        </w:trPr>
        <w:tc>
          <w:tcPr>
            <w:tcW w:w="3828" w:type="dxa"/>
            <w:tcBorders>
              <w:top w:val="single" w:color="auto" w:sz="12" w:space="0"/>
            </w:tcBorders>
            <w:vAlign w:val="center"/>
          </w:tcPr>
          <w:p w14:paraId="157BA0E6">
            <w:pPr>
              <w:pStyle w:val="35"/>
              <w:spacing w:before="0"/>
              <w:ind w:left="220" w:leftChars="100"/>
              <w:jc w:val="both"/>
              <w:rPr>
                <w:rFonts w:ascii="Arial" w:hAnsi="Arial" w:cs="Arial"/>
                <w:sz w:val="20"/>
                <w:szCs w:val="20"/>
              </w:rPr>
            </w:pPr>
            <w:r>
              <w:rPr>
                <w:rFonts w:ascii="Arial" w:hAnsi="Arial" w:cs="Arial"/>
                <w:sz w:val="20"/>
                <w:szCs w:val="20"/>
              </w:rPr>
              <w:t>Epinephrine use</w:t>
            </w:r>
          </w:p>
        </w:tc>
        <w:tc>
          <w:tcPr>
            <w:tcW w:w="1843" w:type="dxa"/>
            <w:tcBorders>
              <w:top w:val="single" w:color="auto" w:sz="12" w:space="0"/>
            </w:tcBorders>
            <w:vAlign w:val="center"/>
          </w:tcPr>
          <w:p w14:paraId="0083CEC6">
            <w:pPr>
              <w:pStyle w:val="35"/>
              <w:spacing w:before="0"/>
              <w:jc w:val="both"/>
              <w:rPr>
                <w:rFonts w:ascii="Arial" w:hAnsi="Arial" w:cs="Arial"/>
                <w:sz w:val="20"/>
                <w:szCs w:val="20"/>
              </w:rPr>
            </w:pPr>
            <w:r>
              <w:rPr>
                <w:rFonts w:ascii="Arial" w:hAnsi="Arial" w:cs="Arial"/>
                <w:sz w:val="20"/>
                <w:szCs w:val="20"/>
              </w:rPr>
              <w:t>25 (0.92%)</w:t>
            </w:r>
          </w:p>
        </w:tc>
        <w:tc>
          <w:tcPr>
            <w:tcW w:w="1899" w:type="dxa"/>
            <w:tcBorders>
              <w:top w:val="single" w:color="auto" w:sz="12" w:space="0"/>
            </w:tcBorders>
            <w:vAlign w:val="center"/>
          </w:tcPr>
          <w:p w14:paraId="32203140">
            <w:pPr>
              <w:pStyle w:val="35"/>
              <w:spacing w:before="0"/>
              <w:jc w:val="both"/>
              <w:rPr>
                <w:rFonts w:ascii="Arial" w:hAnsi="Arial" w:cs="Arial"/>
                <w:sz w:val="20"/>
                <w:szCs w:val="20"/>
              </w:rPr>
            </w:pPr>
            <w:r>
              <w:rPr>
                <w:rFonts w:ascii="Arial" w:hAnsi="Arial" w:cs="Arial"/>
                <w:sz w:val="20"/>
                <w:szCs w:val="20"/>
              </w:rPr>
              <w:t>10 (0.50%)</w:t>
            </w:r>
          </w:p>
        </w:tc>
        <w:tc>
          <w:tcPr>
            <w:tcW w:w="2410" w:type="dxa"/>
            <w:gridSpan w:val="2"/>
            <w:tcBorders>
              <w:top w:val="single" w:color="auto" w:sz="12" w:space="0"/>
            </w:tcBorders>
            <w:vAlign w:val="center"/>
          </w:tcPr>
          <w:p w14:paraId="3F6AD5AD">
            <w:pPr>
              <w:pStyle w:val="35"/>
              <w:spacing w:before="0"/>
              <w:jc w:val="both"/>
              <w:rPr>
                <w:rFonts w:ascii="Arial" w:hAnsi="Arial" w:cs="Arial"/>
                <w:sz w:val="20"/>
                <w:szCs w:val="20"/>
              </w:rPr>
            </w:pPr>
            <w:r>
              <w:rPr>
                <w:rFonts w:ascii="Arial" w:hAnsi="Arial" w:cs="Arial"/>
                <w:sz w:val="20"/>
                <w:szCs w:val="20"/>
              </w:rPr>
              <w:t>1 (0.27%)</w:t>
            </w:r>
          </w:p>
        </w:tc>
      </w:tr>
      <w:tr w14:paraId="5B62B752">
        <w:trPr>
          <w:trHeight w:val="229" w:hRule="atLeast"/>
        </w:trPr>
        <w:tc>
          <w:tcPr>
            <w:tcW w:w="3828" w:type="dxa"/>
            <w:vAlign w:val="center"/>
          </w:tcPr>
          <w:p w14:paraId="45812707">
            <w:pPr>
              <w:pStyle w:val="35"/>
              <w:spacing w:before="0"/>
              <w:ind w:left="220" w:leftChars="100"/>
              <w:jc w:val="both"/>
              <w:rPr>
                <w:rFonts w:ascii="Arial" w:hAnsi="Arial" w:cs="Arial"/>
                <w:sz w:val="20"/>
                <w:szCs w:val="20"/>
              </w:rPr>
            </w:pPr>
            <w:r>
              <w:rPr>
                <w:rFonts w:ascii="Arial" w:hAnsi="Arial" w:cs="Arial"/>
                <w:sz w:val="20"/>
                <w:szCs w:val="20"/>
              </w:rPr>
              <w:t>Epinephrine &gt; 0.1 μg/kg/min (SOFA = 4)</w:t>
            </w:r>
          </w:p>
        </w:tc>
        <w:tc>
          <w:tcPr>
            <w:tcW w:w="1843" w:type="dxa"/>
            <w:vAlign w:val="center"/>
          </w:tcPr>
          <w:p w14:paraId="01539880">
            <w:pPr>
              <w:pStyle w:val="35"/>
              <w:spacing w:before="0"/>
              <w:jc w:val="both"/>
              <w:rPr>
                <w:rFonts w:ascii="Arial" w:hAnsi="Arial" w:cs="Arial"/>
                <w:sz w:val="20"/>
                <w:szCs w:val="20"/>
              </w:rPr>
            </w:pPr>
            <w:r>
              <w:rPr>
                <w:rFonts w:ascii="Arial" w:hAnsi="Arial" w:cs="Arial"/>
                <w:sz w:val="20"/>
                <w:szCs w:val="20"/>
              </w:rPr>
              <w:t>7/25 (28.0%)</w:t>
            </w:r>
          </w:p>
        </w:tc>
        <w:tc>
          <w:tcPr>
            <w:tcW w:w="1899" w:type="dxa"/>
            <w:vAlign w:val="center"/>
          </w:tcPr>
          <w:p w14:paraId="35CAB9A5">
            <w:pPr>
              <w:pStyle w:val="35"/>
              <w:spacing w:before="0"/>
              <w:jc w:val="both"/>
              <w:rPr>
                <w:rFonts w:ascii="Arial" w:hAnsi="Arial" w:cs="Arial"/>
                <w:sz w:val="20"/>
                <w:szCs w:val="20"/>
              </w:rPr>
            </w:pPr>
            <w:r>
              <w:rPr>
                <w:rFonts w:ascii="Arial" w:hAnsi="Arial" w:cs="Arial"/>
                <w:sz w:val="20"/>
                <w:szCs w:val="20"/>
              </w:rPr>
              <w:t>2/10 (20.0%)</w:t>
            </w:r>
          </w:p>
        </w:tc>
        <w:tc>
          <w:tcPr>
            <w:tcW w:w="2410" w:type="dxa"/>
            <w:gridSpan w:val="2"/>
            <w:vAlign w:val="center"/>
          </w:tcPr>
          <w:p w14:paraId="134F18D0">
            <w:pPr>
              <w:pStyle w:val="35"/>
              <w:spacing w:before="0"/>
              <w:jc w:val="both"/>
              <w:rPr>
                <w:rFonts w:ascii="Arial" w:hAnsi="Arial" w:cs="Arial"/>
                <w:sz w:val="20"/>
                <w:szCs w:val="20"/>
              </w:rPr>
            </w:pPr>
            <w:r>
              <w:rPr>
                <w:rFonts w:ascii="Arial" w:hAnsi="Arial" w:cs="Arial"/>
                <w:sz w:val="20"/>
                <w:szCs w:val="20"/>
              </w:rPr>
              <w:t>1/1 (100.0%)</w:t>
            </w:r>
          </w:p>
        </w:tc>
      </w:tr>
      <w:tr w14:paraId="0659B2F9">
        <w:trPr>
          <w:trHeight w:val="229" w:hRule="atLeast"/>
        </w:trPr>
        <w:tc>
          <w:tcPr>
            <w:tcW w:w="3828" w:type="dxa"/>
            <w:vAlign w:val="center"/>
          </w:tcPr>
          <w:p w14:paraId="68217EDE">
            <w:pPr>
              <w:pStyle w:val="35"/>
              <w:spacing w:before="0"/>
              <w:ind w:left="220" w:leftChars="100"/>
              <w:jc w:val="both"/>
              <w:rPr>
                <w:rFonts w:ascii="Arial" w:hAnsi="Arial" w:cs="Arial"/>
                <w:sz w:val="20"/>
                <w:szCs w:val="20"/>
              </w:rPr>
            </w:pPr>
            <w:r>
              <w:rPr>
                <w:rFonts w:ascii="Arial" w:hAnsi="Arial" w:cs="Arial"/>
                <w:sz w:val="20"/>
                <w:szCs w:val="20"/>
              </w:rPr>
              <w:t>Dobutamine use</w:t>
            </w:r>
          </w:p>
        </w:tc>
        <w:tc>
          <w:tcPr>
            <w:tcW w:w="1843" w:type="dxa"/>
            <w:vAlign w:val="center"/>
          </w:tcPr>
          <w:p w14:paraId="6EA6BE45">
            <w:pPr>
              <w:pStyle w:val="35"/>
              <w:spacing w:before="0"/>
              <w:jc w:val="both"/>
              <w:rPr>
                <w:rFonts w:ascii="Arial" w:hAnsi="Arial" w:cs="Arial"/>
                <w:sz w:val="20"/>
                <w:szCs w:val="20"/>
              </w:rPr>
            </w:pPr>
            <w:r>
              <w:rPr>
                <w:rFonts w:ascii="Arial" w:hAnsi="Arial" w:cs="Arial"/>
                <w:sz w:val="20"/>
                <w:szCs w:val="20"/>
              </w:rPr>
              <w:t>26 (0.95%)</w:t>
            </w:r>
          </w:p>
        </w:tc>
        <w:tc>
          <w:tcPr>
            <w:tcW w:w="1899" w:type="dxa"/>
            <w:vAlign w:val="center"/>
          </w:tcPr>
          <w:p w14:paraId="575ACC98">
            <w:pPr>
              <w:pStyle w:val="35"/>
              <w:spacing w:before="0"/>
              <w:jc w:val="both"/>
              <w:rPr>
                <w:rFonts w:ascii="Arial" w:hAnsi="Arial" w:cs="Arial"/>
                <w:sz w:val="20"/>
                <w:szCs w:val="20"/>
              </w:rPr>
            </w:pPr>
            <w:r>
              <w:rPr>
                <w:rFonts w:ascii="Arial" w:hAnsi="Arial" w:cs="Arial"/>
                <w:sz w:val="20"/>
                <w:szCs w:val="20"/>
              </w:rPr>
              <w:t>7 (0.35%)</w:t>
            </w:r>
          </w:p>
        </w:tc>
        <w:tc>
          <w:tcPr>
            <w:tcW w:w="2410" w:type="dxa"/>
            <w:gridSpan w:val="2"/>
            <w:vAlign w:val="center"/>
          </w:tcPr>
          <w:p w14:paraId="269BAC70">
            <w:pPr>
              <w:pStyle w:val="35"/>
              <w:spacing w:before="0"/>
              <w:jc w:val="both"/>
              <w:rPr>
                <w:rFonts w:ascii="Arial" w:hAnsi="Arial" w:cs="Arial"/>
                <w:sz w:val="20"/>
                <w:szCs w:val="20"/>
              </w:rPr>
            </w:pPr>
            <w:r>
              <w:rPr>
                <w:rFonts w:ascii="Arial" w:hAnsi="Arial" w:cs="Arial"/>
                <w:sz w:val="20"/>
                <w:szCs w:val="20"/>
              </w:rPr>
              <w:t>25 (6.70%)</w:t>
            </w:r>
          </w:p>
        </w:tc>
      </w:tr>
      <w:tr w14:paraId="49F36F29">
        <w:trPr>
          <w:trHeight w:val="229" w:hRule="atLeast"/>
        </w:trPr>
        <w:tc>
          <w:tcPr>
            <w:tcW w:w="3828" w:type="dxa"/>
            <w:vAlign w:val="center"/>
          </w:tcPr>
          <w:p w14:paraId="38E68A57">
            <w:pPr>
              <w:pStyle w:val="35"/>
              <w:spacing w:before="0"/>
              <w:ind w:left="220" w:leftChars="100"/>
              <w:jc w:val="both"/>
              <w:rPr>
                <w:rFonts w:ascii="Arial" w:hAnsi="Arial" w:cs="Arial"/>
                <w:sz w:val="20"/>
                <w:szCs w:val="20"/>
              </w:rPr>
            </w:pPr>
            <w:r>
              <w:rPr>
                <w:rFonts w:ascii="Arial" w:hAnsi="Arial" w:cs="Arial"/>
                <w:sz w:val="20"/>
                <w:szCs w:val="20"/>
              </w:rPr>
              <w:t>Any vasopressor use</w:t>
            </w:r>
          </w:p>
        </w:tc>
        <w:tc>
          <w:tcPr>
            <w:tcW w:w="1843" w:type="dxa"/>
            <w:vAlign w:val="center"/>
          </w:tcPr>
          <w:p w14:paraId="1AA295EE">
            <w:pPr>
              <w:pStyle w:val="35"/>
              <w:spacing w:before="0"/>
              <w:jc w:val="both"/>
              <w:rPr>
                <w:rFonts w:ascii="Arial" w:hAnsi="Arial" w:cs="Arial"/>
                <w:sz w:val="20"/>
                <w:szCs w:val="20"/>
              </w:rPr>
            </w:pPr>
            <w:r>
              <w:rPr>
                <w:rFonts w:ascii="Arial" w:hAnsi="Arial" w:cs="Arial"/>
                <w:sz w:val="20"/>
                <w:szCs w:val="20"/>
              </w:rPr>
              <w:t>364 (13.36%)</w:t>
            </w:r>
          </w:p>
        </w:tc>
        <w:tc>
          <w:tcPr>
            <w:tcW w:w="1899" w:type="dxa"/>
            <w:vAlign w:val="center"/>
          </w:tcPr>
          <w:p w14:paraId="16F72E1F">
            <w:pPr>
              <w:pStyle w:val="35"/>
              <w:spacing w:before="0"/>
              <w:jc w:val="both"/>
              <w:rPr>
                <w:rFonts w:ascii="Arial" w:hAnsi="Arial" w:cs="Arial"/>
                <w:sz w:val="20"/>
                <w:szCs w:val="20"/>
              </w:rPr>
            </w:pPr>
            <w:r>
              <w:rPr>
                <w:rFonts w:ascii="Arial" w:hAnsi="Arial" w:cs="Arial"/>
                <w:sz w:val="20"/>
                <w:szCs w:val="20"/>
              </w:rPr>
              <w:t>199 (9.92%)</w:t>
            </w:r>
          </w:p>
        </w:tc>
        <w:tc>
          <w:tcPr>
            <w:tcW w:w="2410" w:type="dxa"/>
            <w:gridSpan w:val="2"/>
            <w:vAlign w:val="center"/>
          </w:tcPr>
          <w:p w14:paraId="027542AB">
            <w:pPr>
              <w:pStyle w:val="35"/>
              <w:spacing w:before="0"/>
              <w:jc w:val="both"/>
              <w:rPr>
                <w:rFonts w:ascii="Arial" w:hAnsi="Arial" w:cs="Arial"/>
                <w:sz w:val="20"/>
                <w:szCs w:val="20"/>
              </w:rPr>
            </w:pPr>
            <w:r>
              <w:rPr>
                <w:rFonts w:ascii="Arial" w:hAnsi="Arial" w:cs="Arial"/>
                <w:sz w:val="20"/>
                <w:szCs w:val="20"/>
              </w:rPr>
              <w:t>223 (59.79%)</w:t>
            </w:r>
          </w:p>
        </w:tc>
      </w:tr>
      <w:tr w14:paraId="00D2208A">
        <w:trPr>
          <w:trHeight w:val="229" w:hRule="atLeast"/>
        </w:trPr>
        <w:tc>
          <w:tcPr>
            <w:tcW w:w="3828" w:type="dxa"/>
            <w:vAlign w:val="center"/>
          </w:tcPr>
          <w:p w14:paraId="0C4B5973">
            <w:pPr>
              <w:pStyle w:val="35"/>
              <w:spacing w:before="0"/>
              <w:ind w:left="220" w:leftChars="100"/>
              <w:jc w:val="both"/>
              <w:rPr>
                <w:rFonts w:ascii="Arial" w:hAnsi="Arial" w:cs="Arial"/>
                <w:sz w:val="20"/>
                <w:szCs w:val="20"/>
              </w:rPr>
            </w:pPr>
            <w:r>
              <w:rPr>
                <w:rFonts w:ascii="Arial" w:hAnsi="Arial" w:cs="Arial"/>
                <w:sz w:val="20"/>
                <w:szCs w:val="20"/>
              </w:rPr>
              <w:t>SOFA-1 cardiovascular score</w:t>
            </w:r>
          </w:p>
        </w:tc>
        <w:tc>
          <w:tcPr>
            <w:tcW w:w="1843" w:type="dxa"/>
            <w:vAlign w:val="center"/>
          </w:tcPr>
          <w:p w14:paraId="28C7CBFD">
            <w:pPr>
              <w:pStyle w:val="35"/>
              <w:spacing w:before="0"/>
              <w:jc w:val="both"/>
              <w:rPr>
                <w:rFonts w:ascii="Arial" w:hAnsi="Arial" w:cs="Arial"/>
                <w:sz w:val="20"/>
                <w:szCs w:val="20"/>
              </w:rPr>
            </w:pPr>
            <w:r>
              <w:rPr>
                <w:rFonts w:ascii="Arial" w:hAnsi="Arial" w:cs="Arial"/>
                <w:sz w:val="20"/>
                <w:szCs w:val="20"/>
              </w:rPr>
              <w:t>1.12 ± 1.17</w:t>
            </w:r>
          </w:p>
        </w:tc>
        <w:tc>
          <w:tcPr>
            <w:tcW w:w="1899" w:type="dxa"/>
            <w:vAlign w:val="center"/>
          </w:tcPr>
          <w:p w14:paraId="2970521A">
            <w:pPr>
              <w:pStyle w:val="35"/>
              <w:spacing w:before="0"/>
              <w:jc w:val="both"/>
              <w:rPr>
                <w:rFonts w:ascii="Arial" w:hAnsi="Arial" w:cs="Arial"/>
                <w:sz w:val="20"/>
                <w:szCs w:val="20"/>
              </w:rPr>
            </w:pPr>
            <w:r>
              <w:rPr>
                <w:rFonts w:ascii="Arial" w:hAnsi="Arial" w:cs="Arial"/>
                <w:sz w:val="20"/>
                <w:szCs w:val="20"/>
              </w:rPr>
              <w:t>1.02 ± 1.02</w:t>
            </w:r>
          </w:p>
        </w:tc>
        <w:tc>
          <w:tcPr>
            <w:tcW w:w="2410" w:type="dxa"/>
            <w:gridSpan w:val="2"/>
            <w:vAlign w:val="center"/>
          </w:tcPr>
          <w:p w14:paraId="635B740A">
            <w:pPr>
              <w:pStyle w:val="35"/>
              <w:spacing w:before="0"/>
              <w:jc w:val="both"/>
              <w:rPr>
                <w:rFonts w:ascii="Arial" w:hAnsi="Arial" w:cs="Arial"/>
                <w:sz w:val="20"/>
                <w:szCs w:val="20"/>
              </w:rPr>
            </w:pPr>
            <w:r>
              <w:rPr>
                <w:rFonts w:ascii="Arial" w:hAnsi="Arial" w:cs="Arial"/>
                <w:sz w:val="20"/>
                <w:szCs w:val="20"/>
              </w:rPr>
              <w:t>2.61 ± 1.59</w:t>
            </w:r>
          </w:p>
        </w:tc>
      </w:tr>
      <w:tr w14:paraId="67C18195">
        <w:trPr>
          <w:trHeight w:val="229" w:hRule="atLeast"/>
        </w:trPr>
        <w:tc>
          <w:tcPr>
            <w:tcW w:w="3828" w:type="dxa"/>
            <w:vAlign w:val="center"/>
          </w:tcPr>
          <w:p w14:paraId="4235E831">
            <w:pPr>
              <w:pStyle w:val="35"/>
              <w:spacing w:before="0"/>
              <w:ind w:left="220" w:leftChars="100"/>
              <w:jc w:val="both"/>
              <w:rPr>
                <w:rFonts w:ascii="Arial" w:hAnsi="Arial" w:cs="Arial"/>
                <w:sz w:val="20"/>
                <w:szCs w:val="20"/>
              </w:rPr>
            </w:pPr>
            <w:r>
              <w:rPr>
                <w:rFonts w:ascii="Arial" w:hAnsi="Arial" w:cs="Arial"/>
                <w:sz w:val="20"/>
                <w:szCs w:val="20"/>
              </w:rPr>
              <w:t>SOFA-2 cardiovascular score</w:t>
            </w:r>
          </w:p>
        </w:tc>
        <w:tc>
          <w:tcPr>
            <w:tcW w:w="1843" w:type="dxa"/>
            <w:vAlign w:val="center"/>
          </w:tcPr>
          <w:p w14:paraId="464C1109">
            <w:pPr>
              <w:pStyle w:val="35"/>
              <w:spacing w:before="0"/>
              <w:jc w:val="both"/>
              <w:rPr>
                <w:rFonts w:ascii="Arial" w:hAnsi="Arial" w:cs="Arial"/>
                <w:sz w:val="20"/>
                <w:szCs w:val="20"/>
              </w:rPr>
            </w:pPr>
            <w:r>
              <w:rPr>
                <w:rFonts w:ascii="Arial" w:hAnsi="Arial" w:cs="Arial"/>
                <w:sz w:val="20"/>
                <w:szCs w:val="20"/>
              </w:rPr>
              <w:t>1.14 ± 1.00</w:t>
            </w:r>
          </w:p>
        </w:tc>
        <w:tc>
          <w:tcPr>
            <w:tcW w:w="1899" w:type="dxa"/>
            <w:vAlign w:val="center"/>
          </w:tcPr>
          <w:p w14:paraId="0071842C">
            <w:pPr>
              <w:pStyle w:val="35"/>
              <w:spacing w:before="0"/>
              <w:jc w:val="both"/>
              <w:rPr>
                <w:rFonts w:ascii="Arial" w:hAnsi="Arial" w:cs="Arial"/>
                <w:sz w:val="20"/>
                <w:szCs w:val="20"/>
              </w:rPr>
            </w:pPr>
            <w:r>
              <w:rPr>
                <w:rFonts w:ascii="Arial" w:hAnsi="Arial" w:cs="Arial"/>
                <w:sz w:val="20"/>
                <w:szCs w:val="20"/>
              </w:rPr>
              <w:t>1.02 ± 0.91</w:t>
            </w:r>
          </w:p>
        </w:tc>
        <w:tc>
          <w:tcPr>
            <w:tcW w:w="2410" w:type="dxa"/>
            <w:gridSpan w:val="2"/>
            <w:vAlign w:val="center"/>
          </w:tcPr>
          <w:p w14:paraId="7A867F32">
            <w:pPr>
              <w:pStyle w:val="35"/>
              <w:spacing w:before="0"/>
              <w:jc w:val="both"/>
              <w:rPr>
                <w:rFonts w:ascii="Arial" w:hAnsi="Arial" w:cs="Arial"/>
                <w:sz w:val="20"/>
                <w:szCs w:val="20"/>
              </w:rPr>
            </w:pPr>
            <w:r>
              <w:rPr>
                <w:rFonts w:ascii="Arial" w:hAnsi="Arial" w:cs="Arial"/>
                <w:sz w:val="20"/>
                <w:szCs w:val="20"/>
              </w:rPr>
              <w:t>2.16 ± 1.35</w:t>
            </w:r>
          </w:p>
        </w:tc>
      </w:tr>
      <w:tr w14:paraId="14D2A40A">
        <w:trPr>
          <w:trHeight w:val="229" w:hRule="atLeast"/>
        </w:trPr>
        <w:tc>
          <w:tcPr>
            <w:tcW w:w="3828" w:type="dxa"/>
            <w:vAlign w:val="center"/>
          </w:tcPr>
          <w:p w14:paraId="23386FBB">
            <w:pPr>
              <w:pStyle w:val="35"/>
              <w:spacing w:before="0"/>
              <w:ind w:left="220" w:leftChars="100"/>
              <w:jc w:val="both"/>
              <w:rPr>
                <w:rFonts w:ascii="Arial" w:hAnsi="Arial" w:cs="Arial"/>
                <w:sz w:val="20"/>
                <w:szCs w:val="20"/>
              </w:rPr>
            </w:pPr>
            <w:r>
              <w:rPr>
                <w:rFonts w:ascii="Arial" w:hAnsi="Arial" w:cs="Arial"/>
                <w:sz w:val="20"/>
                <w:szCs w:val="20"/>
              </w:rPr>
              <w:t>Cardiovascular score difference</w:t>
            </w:r>
          </w:p>
        </w:tc>
        <w:tc>
          <w:tcPr>
            <w:tcW w:w="1843" w:type="dxa"/>
            <w:vAlign w:val="center"/>
          </w:tcPr>
          <w:p w14:paraId="4FD38AED">
            <w:pPr>
              <w:pStyle w:val="35"/>
              <w:spacing w:before="0"/>
              <w:jc w:val="both"/>
              <w:rPr>
                <w:rFonts w:ascii="Arial" w:hAnsi="Arial" w:cs="Arial"/>
                <w:sz w:val="20"/>
                <w:szCs w:val="20"/>
              </w:rPr>
            </w:pPr>
            <w:r>
              <w:rPr>
                <w:rFonts w:ascii="Arial" w:hAnsi="Arial" w:cs="Arial"/>
                <w:sz w:val="20"/>
                <w:szCs w:val="20"/>
              </w:rPr>
              <w:t>0.02 ± 0.65</w:t>
            </w:r>
          </w:p>
        </w:tc>
        <w:tc>
          <w:tcPr>
            <w:tcW w:w="1899" w:type="dxa"/>
            <w:vAlign w:val="center"/>
          </w:tcPr>
          <w:p w14:paraId="539CEA76">
            <w:pPr>
              <w:pStyle w:val="35"/>
              <w:spacing w:before="0"/>
              <w:jc w:val="both"/>
              <w:rPr>
                <w:rFonts w:ascii="Arial" w:hAnsi="Arial" w:cs="Arial"/>
                <w:sz w:val="20"/>
                <w:szCs w:val="20"/>
              </w:rPr>
            </w:pPr>
            <w:r>
              <w:rPr>
                <w:rFonts w:ascii="Arial" w:hAnsi="Arial" w:cs="Arial"/>
                <w:sz w:val="20"/>
                <w:szCs w:val="20"/>
              </w:rPr>
              <w:t>0.00 ± 0.45</w:t>
            </w:r>
          </w:p>
        </w:tc>
        <w:tc>
          <w:tcPr>
            <w:tcW w:w="2410" w:type="dxa"/>
            <w:gridSpan w:val="2"/>
            <w:vAlign w:val="center"/>
          </w:tcPr>
          <w:p w14:paraId="29CA2A71">
            <w:pPr>
              <w:pStyle w:val="35"/>
              <w:spacing w:before="0"/>
              <w:jc w:val="both"/>
              <w:rPr>
                <w:rFonts w:ascii="Arial" w:hAnsi="Arial" w:cs="Arial"/>
                <w:sz w:val="20"/>
                <w:szCs w:val="20"/>
              </w:rPr>
            </w:pPr>
            <w:r>
              <w:rPr>
                <w:rFonts w:ascii="Arial" w:hAnsi="Arial" w:cs="Arial"/>
                <w:sz w:val="20"/>
                <w:szCs w:val="20"/>
              </w:rPr>
              <w:t>−0.45 ± 0.72</w:t>
            </w:r>
          </w:p>
        </w:tc>
      </w:tr>
      <w:tr w14:paraId="56B8977F">
        <w:trPr>
          <w:trHeight w:val="229" w:hRule="atLeast"/>
        </w:trPr>
        <w:tc>
          <w:tcPr>
            <w:tcW w:w="3828" w:type="dxa"/>
            <w:vAlign w:val="center"/>
          </w:tcPr>
          <w:p w14:paraId="6EB721C3">
            <w:pPr>
              <w:pStyle w:val="35"/>
              <w:spacing w:before="0"/>
              <w:jc w:val="both"/>
              <w:rPr>
                <w:rFonts w:ascii="Arial" w:hAnsi="Arial" w:cs="Arial" w:eastAsiaTheme="minorEastAsia"/>
                <w:b/>
                <w:sz w:val="20"/>
                <w:szCs w:val="20"/>
                <w:lang w:eastAsia="zh-CN"/>
              </w:rPr>
            </w:pPr>
            <w:r>
              <w:rPr>
                <w:rFonts w:hint="eastAsia" w:ascii="Arial" w:hAnsi="Arial" w:cs="Arial" w:eastAsiaTheme="minorEastAsia"/>
                <w:b/>
                <w:sz w:val="20"/>
                <w:szCs w:val="20"/>
                <w:lang w:eastAsia="zh-CN"/>
              </w:rPr>
              <w:t>Overall SOFA Score</w:t>
            </w:r>
          </w:p>
        </w:tc>
        <w:tc>
          <w:tcPr>
            <w:tcW w:w="1843" w:type="dxa"/>
            <w:vAlign w:val="center"/>
          </w:tcPr>
          <w:p w14:paraId="46F6E733">
            <w:pPr>
              <w:pStyle w:val="35"/>
              <w:spacing w:before="0"/>
              <w:jc w:val="both"/>
              <w:rPr>
                <w:rFonts w:ascii="Arial" w:hAnsi="Arial" w:cs="Arial"/>
                <w:sz w:val="20"/>
                <w:szCs w:val="20"/>
              </w:rPr>
            </w:pPr>
          </w:p>
        </w:tc>
        <w:tc>
          <w:tcPr>
            <w:tcW w:w="1899" w:type="dxa"/>
            <w:vAlign w:val="center"/>
          </w:tcPr>
          <w:p w14:paraId="6127123D">
            <w:pPr>
              <w:pStyle w:val="35"/>
              <w:spacing w:before="0"/>
              <w:jc w:val="both"/>
              <w:rPr>
                <w:rFonts w:ascii="Arial" w:hAnsi="Arial" w:cs="Arial"/>
                <w:sz w:val="20"/>
                <w:szCs w:val="20"/>
              </w:rPr>
            </w:pPr>
          </w:p>
        </w:tc>
        <w:tc>
          <w:tcPr>
            <w:tcW w:w="2410" w:type="dxa"/>
            <w:gridSpan w:val="2"/>
            <w:vAlign w:val="center"/>
          </w:tcPr>
          <w:p w14:paraId="49372CAF">
            <w:pPr>
              <w:pStyle w:val="35"/>
              <w:spacing w:before="0"/>
              <w:jc w:val="both"/>
              <w:rPr>
                <w:rFonts w:ascii="Arial" w:hAnsi="Arial" w:cs="Arial"/>
                <w:sz w:val="20"/>
                <w:szCs w:val="20"/>
              </w:rPr>
            </w:pPr>
          </w:p>
        </w:tc>
      </w:tr>
      <w:tr w14:paraId="7EE57A79">
        <w:trPr>
          <w:trHeight w:val="229" w:hRule="atLeast"/>
        </w:trPr>
        <w:tc>
          <w:tcPr>
            <w:tcW w:w="3828" w:type="dxa"/>
            <w:vAlign w:val="center"/>
          </w:tcPr>
          <w:p w14:paraId="60733BA8">
            <w:pPr>
              <w:pStyle w:val="35"/>
              <w:spacing w:before="0"/>
              <w:ind w:left="220" w:leftChars="100"/>
              <w:jc w:val="both"/>
              <w:rPr>
                <w:rFonts w:ascii="Arial" w:hAnsi="Arial" w:cs="Arial"/>
                <w:sz w:val="20"/>
                <w:szCs w:val="20"/>
              </w:rPr>
            </w:pPr>
            <w:r>
              <w:rPr>
                <w:rFonts w:ascii="Arial" w:hAnsi="Arial" w:cs="Arial"/>
                <w:sz w:val="20"/>
                <w:szCs w:val="20"/>
              </w:rPr>
              <w:t>Total SOFA-1 score</w:t>
            </w:r>
          </w:p>
        </w:tc>
        <w:tc>
          <w:tcPr>
            <w:tcW w:w="1843" w:type="dxa"/>
            <w:vAlign w:val="center"/>
          </w:tcPr>
          <w:p w14:paraId="5B28E016">
            <w:pPr>
              <w:pStyle w:val="35"/>
              <w:spacing w:before="0"/>
              <w:jc w:val="both"/>
              <w:rPr>
                <w:rFonts w:ascii="Arial" w:hAnsi="Arial" w:cs="Arial"/>
                <w:sz w:val="20"/>
                <w:szCs w:val="20"/>
              </w:rPr>
            </w:pPr>
            <w:r>
              <w:rPr>
                <w:rFonts w:ascii="Arial" w:hAnsi="Arial" w:cs="Arial"/>
                <w:sz w:val="20"/>
                <w:szCs w:val="20"/>
              </w:rPr>
              <w:t>3.77 ± 3.02</w:t>
            </w:r>
          </w:p>
        </w:tc>
        <w:tc>
          <w:tcPr>
            <w:tcW w:w="1899" w:type="dxa"/>
            <w:vAlign w:val="center"/>
          </w:tcPr>
          <w:p w14:paraId="4C87D1BF">
            <w:pPr>
              <w:pStyle w:val="35"/>
              <w:spacing w:before="0"/>
              <w:jc w:val="both"/>
              <w:rPr>
                <w:rFonts w:ascii="Arial" w:hAnsi="Arial" w:cs="Arial"/>
                <w:sz w:val="20"/>
                <w:szCs w:val="20"/>
              </w:rPr>
            </w:pPr>
            <w:r>
              <w:rPr>
                <w:rFonts w:ascii="Arial" w:hAnsi="Arial" w:cs="Arial"/>
                <w:sz w:val="20"/>
                <w:szCs w:val="20"/>
              </w:rPr>
              <w:t>4.39 ± 3.22</w:t>
            </w:r>
          </w:p>
        </w:tc>
        <w:tc>
          <w:tcPr>
            <w:tcW w:w="2410" w:type="dxa"/>
            <w:gridSpan w:val="2"/>
            <w:vAlign w:val="center"/>
          </w:tcPr>
          <w:p w14:paraId="0D181803">
            <w:pPr>
              <w:pStyle w:val="35"/>
              <w:spacing w:before="0"/>
              <w:jc w:val="both"/>
              <w:rPr>
                <w:rFonts w:ascii="Arial" w:hAnsi="Arial" w:cs="Arial"/>
                <w:sz w:val="20"/>
                <w:szCs w:val="20"/>
              </w:rPr>
            </w:pPr>
            <w:r>
              <w:rPr>
                <w:rFonts w:ascii="Arial" w:hAnsi="Arial" w:cs="Arial"/>
                <w:sz w:val="20"/>
                <w:szCs w:val="20"/>
              </w:rPr>
              <w:t>6.24 ± 2.78</w:t>
            </w:r>
          </w:p>
        </w:tc>
      </w:tr>
      <w:tr w14:paraId="3E4891E9">
        <w:trPr>
          <w:trHeight w:val="271" w:hRule="atLeast"/>
        </w:trPr>
        <w:tc>
          <w:tcPr>
            <w:tcW w:w="3828" w:type="dxa"/>
            <w:tcBorders>
              <w:bottom w:val="single" w:color="auto" w:sz="12" w:space="0"/>
            </w:tcBorders>
            <w:vAlign w:val="center"/>
          </w:tcPr>
          <w:p w14:paraId="294F7D65">
            <w:pPr>
              <w:pStyle w:val="35"/>
              <w:spacing w:before="0"/>
              <w:ind w:left="220" w:leftChars="100"/>
              <w:jc w:val="both"/>
              <w:rPr>
                <w:rFonts w:ascii="Arial" w:hAnsi="Arial" w:cs="Arial"/>
                <w:sz w:val="20"/>
                <w:szCs w:val="20"/>
              </w:rPr>
            </w:pPr>
            <w:r>
              <w:rPr>
                <w:rFonts w:ascii="Arial" w:hAnsi="Arial" w:cs="Arial"/>
                <w:sz w:val="20"/>
                <w:szCs w:val="20"/>
              </w:rPr>
              <w:t>Total SOFA-2 score</w:t>
            </w:r>
          </w:p>
        </w:tc>
        <w:tc>
          <w:tcPr>
            <w:tcW w:w="1843" w:type="dxa"/>
            <w:tcBorders>
              <w:bottom w:val="single" w:color="auto" w:sz="12" w:space="0"/>
            </w:tcBorders>
            <w:vAlign w:val="center"/>
          </w:tcPr>
          <w:p w14:paraId="073C7F63">
            <w:pPr>
              <w:pStyle w:val="35"/>
              <w:spacing w:before="0"/>
              <w:jc w:val="both"/>
              <w:rPr>
                <w:rFonts w:ascii="Arial" w:hAnsi="Arial" w:cs="Arial"/>
                <w:sz w:val="20"/>
                <w:szCs w:val="20"/>
              </w:rPr>
            </w:pPr>
            <w:r>
              <w:rPr>
                <w:rFonts w:ascii="Arial" w:hAnsi="Arial" w:cs="Arial"/>
                <w:sz w:val="20"/>
                <w:szCs w:val="20"/>
              </w:rPr>
              <w:t>5.52 ± 2.85</w:t>
            </w:r>
          </w:p>
        </w:tc>
        <w:tc>
          <w:tcPr>
            <w:tcW w:w="1899" w:type="dxa"/>
            <w:tcBorders>
              <w:bottom w:val="single" w:color="auto" w:sz="12" w:space="0"/>
            </w:tcBorders>
            <w:vAlign w:val="center"/>
          </w:tcPr>
          <w:p w14:paraId="7D7AA3BA">
            <w:pPr>
              <w:pStyle w:val="35"/>
              <w:spacing w:before="0"/>
              <w:jc w:val="both"/>
              <w:rPr>
                <w:rFonts w:ascii="Arial" w:hAnsi="Arial" w:cs="Arial"/>
                <w:sz w:val="20"/>
                <w:szCs w:val="20"/>
              </w:rPr>
            </w:pPr>
            <w:r>
              <w:rPr>
                <w:rFonts w:ascii="Arial" w:hAnsi="Arial" w:cs="Arial"/>
                <w:sz w:val="20"/>
                <w:szCs w:val="20"/>
              </w:rPr>
              <w:t>5.86 ± 2.78</w:t>
            </w:r>
          </w:p>
        </w:tc>
        <w:tc>
          <w:tcPr>
            <w:tcW w:w="2410" w:type="dxa"/>
            <w:gridSpan w:val="2"/>
            <w:tcBorders>
              <w:bottom w:val="single" w:color="auto" w:sz="12" w:space="0"/>
            </w:tcBorders>
            <w:vAlign w:val="center"/>
          </w:tcPr>
          <w:p w14:paraId="75E5CEBC">
            <w:pPr>
              <w:pStyle w:val="35"/>
              <w:spacing w:before="0"/>
              <w:jc w:val="both"/>
              <w:rPr>
                <w:rFonts w:ascii="Arial" w:hAnsi="Arial" w:cs="Arial"/>
                <w:sz w:val="20"/>
                <w:szCs w:val="20"/>
              </w:rPr>
            </w:pPr>
            <w:r>
              <w:rPr>
                <w:rFonts w:ascii="Arial" w:hAnsi="Arial" w:cs="Arial"/>
                <w:sz w:val="20"/>
                <w:szCs w:val="20"/>
              </w:rPr>
              <w:t>6.84 ± 2.65</w:t>
            </w:r>
          </w:p>
        </w:tc>
      </w:tr>
    </w:tbl>
    <w:p w14:paraId="4D029BC5">
      <w:pPr>
        <w:rPr>
          <w:rFonts w:ascii="Arial" w:hAnsi="Arial" w:cs="Arial"/>
          <w:sz w:val="16"/>
          <w:szCs w:val="16"/>
        </w:rPr>
      </w:pPr>
      <w:r>
        <w:rPr>
          <w:rFonts w:ascii="Arial" w:hAnsi="Arial" w:cs="Arial"/>
          <w:sz w:val="16"/>
          <w:szCs w:val="16"/>
        </w:rPr>
        <w:t>Abbreviations: Cr, creatinine; ECMO, extracorporeal membrane oxygenation; HFNC, high-flow nasal cannula; MAP, mean arterial</w:t>
      </w:r>
      <w:r>
        <w:rPr>
          <w:rFonts w:hint="eastAsia" w:ascii="Arial" w:hAnsi="Arial" w:cs="Arial" w:eastAsiaTheme="minorEastAsia"/>
          <w:sz w:val="16"/>
          <w:szCs w:val="16"/>
          <w:lang w:eastAsia="zh-CN"/>
        </w:rPr>
        <w:t xml:space="preserve"> </w:t>
      </w:r>
      <w:r>
        <w:rPr>
          <w:rFonts w:ascii="Arial" w:hAnsi="Arial" w:cs="Arial"/>
          <w:sz w:val="16"/>
          <w:szCs w:val="16"/>
        </w:rPr>
        <w:t>pressure;</w:t>
      </w:r>
      <w:r>
        <w:rPr>
          <w:rFonts w:hint="eastAsia" w:ascii="Arial" w:hAnsi="Arial" w:cs="Arial" w:eastAsiaTheme="minorEastAsia"/>
          <w:sz w:val="16"/>
          <w:szCs w:val="16"/>
          <w:lang w:eastAsia="zh-CN"/>
        </w:rPr>
        <w:t xml:space="preserve"> </w:t>
      </w:r>
      <w:r>
        <w:rPr>
          <w:rFonts w:ascii="Arial" w:hAnsi="Arial" w:cs="Arial"/>
          <w:sz w:val="16"/>
          <w:szCs w:val="16"/>
        </w:rPr>
        <w:t>MV, mechanical ventilation; NIV, noninvasive ventilation; P/F, PaO</w:t>
      </w:r>
      <w:r>
        <w:rPr>
          <w:rFonts w:ascii="Arial" w:hAnsi="Arial" w:cs="Arial"/>
          <w:sz w:val="16"/>
          <w:szCs w:val="16"/>
          <w:vertAlign w:val="subscript"/>
        </w:rPr>
        <w:t>2</w:t>
      </w:r>
      <w:r>
        <w:rPr>
          <w:rFonts w:ascii="Arial" w:hAnsi="Arial" w:cs="Arial"/>
          <w:sz w:val="16"/>
          <w:szCs w:val="16"/>
        </w:rPr>
        <w:t>/FiO</w:t>
      </w:r>
      <w:r>
        <w:rPr>
          <w:rFonts w:ascii="Arial" w:hAnsi="Arial" w:cs="Arial"/>
          <w:sz w:val="16"/>
          <w:szCs w:val="16"/>
          <w:vertAlign w:val="subscript"/>
        </w:rPr>
        <w:t>2</w:t>
      </w:r>
      <w:r>
        <w:rPr>
          <w:rFonts w:ascii="Arial" w:hAnsi="Arial" w:cs="Arial"/>
          <w:sz w:val="16"/>
          <w:szCs w:val="16"/>
        </w:rPr>
        <w:t>; RRT, renal replacement therapy; S/F, SpO</w:t>
      </w:r>
      <w:r>
        <w:rPr>
          <w:rFonts w:ascii="Arial" w:hAnsi="Arial" w:cs="Arial"/>
          <w:sz w:val="16"/>
          <w:szCs w:val="16"/>
          <w:vertAlign w:val="subscript"/>
        </w:rPr>
        <w:t>2</w:t>
      </w:r>
      <w:r>
        <w:rPr>
          <w:rFonts w:ascii="Arial" w:hAnsi="Arial" w:cs="Arial"/>
          <w:sz w:val="16"/>
          <w:szCs w:val="16"/>
        </w:rPr>
        <w:t>/FiO</w:t>
      </w:r>
      <w:r>
        <w:rPr>
          <w:rFonts w:ascii="Arial" w:hAnsi="Arial" w:cs="Arial"/>
          <w:sz w:val="16"/>
          <w:szCs w:val="16"/>
          <w:vertAlign w:val="subscript"/>
        </w:rPr>
        <w:t>2</w:t>
      </w:r>
      <w:r>
        <w:rPr>
          <w:rFonts w:ascii="Arial" w:hAnsi="Arial" w:cs="Arial"/>
          <w:sz w:val="16"/>
          <w:szCs w:val="16"/>
        </w:rPr>
        <w:t>;</w:t>
      </w:r>
      <w:r>
        <w:rPr>
          <w:rFonts w:hint="eastAsia" w:ascii="Arial" w:hAnsi="Arial" w:cs="Arial" w:eastAsiaTheme="minorEastAsia"/>
          <w:sz w:val="16"/>
          <w:szCs w:val="16"/>
          <w:lang w:eastAsia="zh-CN"/>
        </w:rPr>
        <w:t xml:space="preserve"> </w:t>
      </w:r>
      <w:r>
        <w:rPr>
          <w:rFonts w:ascii="Arial" w:hAnsi="Arial" w:cs="Arial"/>
          <w:sz w:val="16"/>
          <w:szCs w:val="16"/>
        </w:rPr>
        <w:t>SOFA, Sequential Organ Failure Assessment; UO, urine output.</w:t>
      </w:r>
    </w:p>
    <w:p w14:paraId="4233DCA5">
      <w:pPr>
        <w:rPr>
          <w:rFonts w:ascii="Arial" w:hAnsi="Arial" w:cs="Arial"/>
          <w:sz w:val="16"/>
          <w:szCs w:val="16"/>
        </w:rPr>
        <w:sectPr>
          <w:pgSz w:w="12240" w:h="15840"/>
          <w:pgMar w:top="1400" w:right="1080" w:bottom="1040" w:left="1440" w:header="0" w:footer="844" w:gutter="0"/>
          <w:lnNumType w:countBy="1" w:restart="continuous"/>
          <w:cols w:space="720" w:num="1"/>
        </w:sectPr>
      </w:pPr>
      <w:r>
        <w:rPr>
          <w:rFonts w:ascii="Arial" w:hAnsi="Arial" w:cs="Arial"/>
          <w:sz w:val="16"/>
          <w:szCs w:val="16"/>
        </w:rPr>
        <w:t>Note: Continuous variables presented as mean ± SD; categorical variables as n (%). Score difference = SOFA-2 − SOFA-1.</w:t>
      </w:r>
      <w:r>
        <w:rPr>
          <w:rFonts w:hint="eastAsia" w:ascii="Arial" w:hAnsi="Arial" w:cs="Arial" w:eastAsiaTheme="minorEastAsia"/>
          <w:sz w:val="16"/>
          <w:szCs w:val="16"/>
          <w:lang w:eastAsia="zh-CN"/>
        </w:rPr>
        <w:t xml:space="preserve"> </w:t>
      </w:r>
      <w:r>
        <w:rPr>
          <w:rFonts w:ascii="Arial" w:hAnsi="Arial" w:cs="Arial"/>
          <w:sz w:val="16"/>
          <w:szCs w:val="16"/>
        </w:rPr>
        <w:t>SpO</w:t>
      </w:r>
      <w:r>
        <w:rPr>
          <w:rFonts w:ascii="Arial" w:hAnsi="Arial" w:cs="Arial"/>
          <w:sz w:val="16"/>
          <w:szCs w:val="16"/>
          <w:vertAlign w:val="subscript"/>
        </w:rPr>
        <w:t>2</w:t>
      </w:r>
      <w:r>
        <w:rPr>
          <w:rFonts w:ascii="Arial" w:hAnsi="Arial" w:cs="Arial"/>
          <w:sz w:val="16"/>
          <w:szCs w:val="16"/>
        </w:rPr>
        <w:t>/FiO</w:t>
      </w:r>
      <w:r>
        <w:rPr>
          <w:rFonts w:ascii="Arial" w:hAnsi="Arial" w:cs="Arial"/>
          <w:sz w:val="16"/>
          <w:szCs w:val="16"/>
          <w:vertAlign w:val="subscript"/>
        </w:rPr>
        <w:t>2</w:t>
      </w:r>
      <w:r>
        <w:rPr>
          <w:rFonts w:ascii="Arial" w:hAnsi="Arial" w:cs="Arial"/>
          <w:sz w:val="16"/>
          <w:szCs w:val="16"/>
        </w:rPr>
        <w:t xml:space="preserve"> calculated only when SpO</w:t>
      </w:r>
      <w:r>
        <w:rPr>
          <w:rFonts w:ascii="Arial" w:hAnsi="Arial" w:cs="Arial"/>
          <w:sz w:val="16"/>
          <w:szCs w:val="16"/>
          <w:vertAlign w:val="subscript"/>
        </w:rPr>
        <w:t>2</w:t>
      </w:r>
      <w:r>
        <w:rPr>
          <w:rFonts w:ascii="Arial" w:hAnsi="Arial" w:cs="Arial"/>
          <w:sz w:val="16"/>
          <w:szCs w:val="16"/>
        </w:rPr>
        <w:t xml:space="preserve"> &lt; 98% (SOFA-2 criterion). Threshold statistics: n/N (x%) indicates n patients</w:t>
      </w:r>
      <w:r>
        <w:rPr>
          <w:rFonts w:hint="eastAsia" w:ascii="Arial" w:hAnsi="Arial" w:cs="Arial" w:eastAsiaTheme="minorEastAsia"/>
          <w:sz w:val="16"/>
          <w:szCs w:val="16"/>
          <w:lang w:eastAsia="zh-CN"/>
        </w:rPr>
        <w:t xml:space="preserve"> </w:t>
      </w:r>
      <w:r>
        <w:rPr>
          <w:rFonts w:ascii="Arial" w:hAnsi="Arial" w:cs="Arial"/>
          <w:sz w:val="16"/>
          <w:szCs w:val="16"/>
        </w:rPr>
        <w:t>meeting criterion among N with available data.</w:t>
      </w:r>
    </w:p>
    <w:p w14:paraId="4EEBF757">
      <w:pPr>
        <w:pStyle w:val="28"/>
        <w:spacing w:before="60"/>
        <w:rPr>
          <w:rFonts w:eastAsiaTheme="minorEastAsia"/>
          <w:lang w:eastAsia="zh-CN"/>
        </w:rPr>
      </w:pPr>
      <w:bookmarkStart w:id="18" w:name="_Tocalxp8x"/>
      <w:bookmarkStart w:id="19" w:name="_Toc218072625"/>
      <w:r>
        <w:t>eTable 8. SOFA-1 Only Group: Clinical Characteristics at Sepsis Diagnosis</w:t>
      </w:r>
      <w:bookmarkEnd w:id="18"/>
      <w:bookmarkEnd w:id="19"/>
    </w:p>
    <w:tbl>
      <w:tblPr>
        <w:tblStyle w:val="22"/>
        <w:tblW w:w="0" w:type="auto"/>
        <w:tblInd w:w="0" w:type="dxa"/>
        <w:tblLayout w:type="fixed"/>
        <w:tblCellMar>
          <w:top w:w="0" w:type="dxa"/>
          <w:left w:w="0" w:type="dxa"/>
          <w:bottom w:w="0" w:type="dxa"/>
          <w:right w:w="0" w:type="dxa"/>
        </w:tblCellMar>
      </w:tblPr>
      <w:tblGrid>
        <w:gridCol w:w="3828"/>
        <w:gridCol w:w="1701"/>
        <w:gridCol w:w="1899"/>
        <w:gridCol w:w="2353"/>
        <w:gridCol w:w="57"/>
      </w:tblGrid>
      <w:tr w14:paraId="22D2B4BF">
        <w:trPr>
          <w:trHeight w:val="324" w:hRule="atLeast"/>
        </w:trPr>
        <w:tc>
          <w:tcPr>
            <w:tcW w:w="3828" w:type="dxa"/>
            <w:tcBorders>
              <w:top w:val="single" w:color="auto" w:sz="12" w:space="0"/>
              <w:bottom w:val="single" w:color="auto" w:sz="12" w:space="0"/>
            </w:tcBorders>
            <w:vAlign w:val="center"/>
          </w:tcPr>
          <w:p w14:paraId="1A0AB1B2">
            <w:pPr>
              <w:pStyle w:val="35"/>
              <w:spacing w:before="0"/>
              <w:ind w:left="119"/>
              <w:jc w:val="both"/>
              <w:rPr>
                <w:rFonts w:ascii="Arial" w:hAnsi="Arial" w:cs="Arial"/>
                <w:b/>
                <w:bCs/>
                <w:sz w:val="20"/>
                <w:szCs w:val="20"/>
              </w:rPr>
            </w:pPr>
            <w:r>
              <w:rPr>
                <w:rFonts w:ascii="Arial" w:hAnsi="Arial" w:cs="Arial"/>
                <w:b/>
                <w:bCs/>
                <w:spacing w:val="-2"/>
                <w:sz w:val="20"/>
                <w:szCs w:val="20"/>
              </w:rPr>
              <w:t>Characteristic</w:t>
            </w:r>
          </w:p>
        </w:tc>
        <w:tc>
          <w:tcPr>
            <w:tcW w:w="1701" w:type="dxa"/>
            <w:tcBorders>
              <w:top w:val="single" w:color="auto" w:sz="12" w:space="0"/>
              <w:bottom w:val="single" w:color="auto" w:sz="12" w:space="0"/>
            </w:tcBorders>
            <w:vAlign w:val="center"/>
          </w:tcPr>
          <w:p w14:paraId="261EBA2C">
            <w:pPr>
              <w:pStyle w:val="35"/>
              <w:spacing w:before="0"/>
              <w:ind w:left="1"/>
              <w:jc w:val="both"/>
              <w:rPr>
                <w:rFonts w:ascii="Arial" w:hAnsi="Arial" w:cs="Arial"/>
                <w:b/>
                <w:bCs/>
                <w:sz w:val="20"/>
                <w:szCs w:val="20"/>
              </w:rPr>
            </w:pPr>
            <w:r>
              <w:rPr>
                <w:rFonts w:ascii="Arial" w:hAnsi="Arial" w:cs="Arial"/>
                <w:b/>
                <w:bCs/>
                <w:sz w:val="20"/>
                <w:szCs w:val="20"/>
              </w:rPr>
              <w:t>MIMIC-IV</w:t>
            </w:r>
            <w:r>
              <w:rPr>
                <w:rFonts w:ascii="Arial" w:hAnsi="Arial" w:cs="Arial"/>
                <w:b/>
                <w:bCs/>
                <w:spacing w:val="-9"/>
                <w:sz w:val="20"/>
                <w:szCs w:val="20"/>
              </w:rPr>
              <w:t xml:space="preserve"> </w:t>
            </w:r>
            <w:r>
              <w:rPr>
                <w:rFonts w:ascii="Arial" w:hAnsi="Arial" w:cs="Arial"/>
                <w:b/>
                <w:bCs/>
                <w:spacing w:val="-2"/>
                <w:sz w:val="20"/>
                <w:szCs w:val="20"/>
              </w:rPr>
              <w:t>(n=</w:t>
            </w:r>
            <w:r>
              <w:rPr>
                <w:rFonts w:hint="eastAsia" w:ascii="Arial" w:hAnsi="Arial" w:cs="Arial" w:eastAsiaTheme="minorEastAsia"/>
                <w:b/>
                <w:bCs/>
                <w:spacing w:val="-2"/>
                <w:sz w:val="20"/>
                <w:szCs w:val="20"/>
                <w:lang w:eastAsia="zh-CN"/>
              </w:rPr>
              <w:t>1162</w:t>
            </w:r>
            <w:r>
              <w:rPr>
                <w:rFonts w:ascii="Arial" w:hAnsi="Arial" w:cs="Arial"/>
                <w:b/>
                <w:bCs/>
                <w:spacing w:val="-2"/>
                <w:sz w:val="20"/>
                <w:szCs w:val="20"/>
              </w:rPr>
              <w:t>)</w:t>
            </w:r>
          </w:p>
        </w:tc>
        <w:tc>
          <w:tcPr>
            <w:tcW w:w="1899" w:type="dxa"/>
            <w:tcBorders>
              <w:top w:val="single" w:color="auto" w:sz="12" w:space="0"/>
              <w:bottom w:val="single" w:color="auto" w:sz="12" w:space="0"/>
            </w:tcBorders>
            <w:vAlign w:val="center"/>
          </w:tcPr>
          <w:p w14:paraId="548469B4">
            <w:pPr>
              <w:pStyle w:val="35"/>
              <w:spacing w:before="0"/>
              <w:ind w:left="2"/>
              <w:jc w:val="both"/>
              <w:rPr>
                <w:rFonts w:ascii="Arial" w:hAnsi="Arial" w:cs="Arial"/>
                <w:b/>
                <w:bCs/>
                <w:sz w:val="20"/>
                <w:szCs w:val="20"/>
              </w:rPr>
            </w:pPr>
            <w:r>
              <w:rPr>
                <w:rFonts w:ascii="Arial" w:hAnsi="Arial" w:cs="Arial"/>
                <w:b/>
                <w:bCs/>
                <w:sz w:val="20"/>
                <w:szCs w:val="20"/>
              </w:rPr>
              <w:t>eICU-CRD</w:t>
            </w:r>
            <w:r>
              <w:rPr>
                <w:rFonts w:ascii="Arial" w:hAnsi="Arial" w:cs="Arial"/>
                <w:b/>
                <w:bCs/>
                <w:spacing w:val="-9"/>
                <w:sz w:val="20"/>
                <w:szCs w:val="20"/>
              </w:rPr>
              <w:t xml:space="preserve"> </w:t>
            </w:r>
            <w:r>
              <w:rPr>
                <w:rFonts w:ascii="Arial" w:hAnsi="Arial" w:cs="Arial"/>
                <w:b/>
                <w:bCs/>
                <w:spacing w:val="-2"/>
                <w:sz w:val="20"/>
                <w:szCs w:val="20"/>
              </w:rPr>
              <w:t>(n=</w:t>
            </w:r>
            <w:r>
              <w:rPr>
                <w:rFonts w:hint="eastAsia" w:ascii="Arial" w:hAnsi="Arial" w:cs="Arial" w:eastAsiaTheme="minorEastAsia"/>
                <w:b/>
                <w:bCs/>
                <w:spacing w:val="-2"/>
                <w:sz w:val="20"/>
                <w:szCs w:val="20"/>
                <w:lang w:eastAsia="zh-CN"/>
              </w:rPr>
              <w:t>1362</w:t>
            </w:r>
            <w:r>
              <w:rPr>
                <w:rFonts w:ascii="Arial" w:hAnsi="Arial" w:cs="Arial"/>
                <w:b/>
                <w:bCs/>
                <w:spacing w:val="-2"/>
                <w:sz w:val="20"/>
                <w:szCs w:val="20"/>
              </w:rPr>
              <w:t>)</w:t>
            </w:r>
          </w:p>
        </w:tc>
        <w:tc>
          <w:tcPr>
            <w:tcW w:w="2410" w:type="dxa"/>
            <w:gridSpan w:val="2"/>
            <w:tcBorders>
              <w:top w:val="single" w:color="auto" w:sz="12" w:space="0"/>
              <w:bottom w:val="single" w:color="auto" w:sz="12" w:space="0"/>
            </w:tcBorders>
            <w:vAlign w:val="center"/>
          </w:tcPr>
          <w:p w14:paraId="0AD1AA03">
            <w:pPr>
              <w:pStyle w:val="35"/>
              <w:spacing w:before="0"/>
              <w:ind w:left="4"/>
              <w:jc w:val="both"/>
              <w:rPr>
                <w:rFonts w:ascii="Arial" w:hAnsi="Arial" w:cs="Arial"/>
                <w:b/>
                <w:bCs/>
                <w:sz w:val="20"/>
                <w:szCs w:val="20"/>
              </w:rPr>
            </w:pPr>
            <w:r>
              <w:rPr>
                <w:rFonts w:ascii="Arial" w:hAnsi="Arial" w:cs="Arial"/>
                <w:b/>
                <w:bCs/>
                <w:sz w:val="20"/>
                <w:szCs w:val="20"/>
              </w:rPr>
              <w:t>Amsterdam</w:t>
            </w:r>
            <w:r>
              <w:rPr>
                <w:rFonts w:ascii="Arial" w:hAnsi="Arial" w:cs="Arial"/>
                <w:b/>
                <w:bCs/>
                <w:spacing w:val="-7"/>
                <w:sz w:val="20"/>
                <w:szCs w:val="20"/>
              </w:rPr>
              <w:t xml:space="preserve"> </w:t>
            </w:r>
            <w:r>
              <w:rPr>
                <w:rFonts w:ascii="Arial" w:hAnsi="Arial" w:cs="Arial"/>
                <w:b/>
                <w:bCs/>
                <w:sz w:val="20"/>
                <w:szCs w:val="20"/>
              </w:rPr>
              <w:t>UMC</w:t>
            </w:r>
            <w:r>
              <w:rPr>
                <w:rFonts w:ascii="Arial" w:hAnsi="Arial" w:cs="Arial"/>
                <w:b/>
                <w:bCs/>
                <w:spacing w:val="-7"/>
                <w:sz w:val="20"/>
                <w:szCs w:val="20"/>
              </w:rPr>
              <w:t xml:space="preserve"> </w:t>
            </w:r>
            <w:r>
              <w:rPr>
                <w:rFonts w:ascii="Arial" w:hAnsi="Arial" w:cs="Arial"/>
                <w:b/>
                <w:bCs/>
                <w:spacing w:val="-2"/>
                <w:sz w:val="20"/>
                <w:szCs w:val="20"/>
              </w:rPr>
              <w:t>(n=</w:t>
            </w:r>
            <w:r>
              <w:rPr>
                <w:rFonts w:ascii="Arial" w:hAnsi="Arial" w:cs="Arial" w:eastAsiaTheme="minorEastAsia"/>
                <w:b/>
                <w:bCs/>
                <w:spacing w:val="-2"/>
                <w:sz w:val="20"/>
                <w:szCs w:val="20"/>
                <w:lang w:eastAsia="zh-CN"/>
              </w:rPr>
              <w:t>122</w:t>
            </w:r>
            <w:r>
              <w:rPr>
                <w:rFonts w:ascii="Arial" w:hAnsi="Arial" w:cs="Arial"/>
                <w:b/>
                <w:bCs/>
                <w:spacing w:val="-2"/>
                <w:sz w:val="20"/>
                <w:szCs w:val="20"/>
              </w:rPr>
              <w:t>)</w:t>
            </w:r>
          </w:p>
        </w:tc>
      </w:tr>
      <w:tr w14:paraId="603E99CB">
        <w:trPr>
          <w:trHeight w:val="225" w:hRule="atLeast"/>
        </w:trPr>
        <w:tc>
          <w:tcPr>
            <w:tcW w:w="3828" w:type="dxa"/>
            <w:vAlign w:val="center"/>
          </w:tcPr>
          <w:p w14:paraId="348D2D83">
            <w:pPr>
              <w:pStyle w:val="35"/>
              <w:spacing w:before="0"/>
              <w:jc w:val="both"/>
              <w:rPr>
                <w:rFonts w:ascii="Arial" w:hAnsi="Arial" w:cs="Arial" w:eastAsiaTheme="minorEastAsia"/>
                <w:b/>
                <w:sz w:val="20"/>
                <w:szCs w:val="20"/>
                <w:lang w:eastAsia="zh-CN"/>
              </w:rPr>
            </w:pPr>
            <w:r>
              <w:rPr>
                <w:rFonts w:ascii="Arial" w:hAnsi="Arial" w:cs="Arial"/>
                <w:b/>
                <w:sz w:val="20"/>
                <w:szCs w:val="20"/>
              </w:rPr>
              <w:t>Respiratory</w:t>
            </w:r>
            <w:r>
              <w:rPr>
                <w:rFonts w:ascii="Arial" w:hAnsi="Arial" w:cs="Arial"/>
                <w:b/>
                <w:spacing w:val="-10"/>
                <w:sz w:val="20"/>
                <w:szCs w:val="20"/>
              </w:rPr>
              <w:t xml:space="preserve"> </w:t>
            </w:r>
            <w:r>
              <w:rPr>
                <w:rFonts w:ascii="Arial" w:hAnsi="Arial" w:cs="Arial"/>
                <w:b/>
                <w:spacing w:val="-2"/>
                <w:sz w:val="20"/>
                <w:szCs w:val="20"/>
              </w:rPr>
              <w:t>System</w:t>
            </w:r>
          </w:p>
        </w:tc>
        <w:tc>
          <w:tcPr>
            <w:tcW w:w="1701" w:type="dxa"/>
            <w:vAlign w:val="center"/>
          </w:tcPr>
          <w:p w14:paraId="43787855">
            <w:pPr>
              <w:pStyle w:val="35"/>
              <w:spacing w:before="0"/>
              <w:jc w:val="both"/>
              <w:rPr>
                <w:rFonts w:ascii="Arial" w:hAnsi="Arial" w:cs="Arial"/>
                <w:sz w:val="20"/>
                <w:szCs w:val="20"/>
              </w:rPr>
            </w:pPr>
          </w:p>
        </w:tc>
        <w:tc>
          <w:tcPr>
            <w:tcW w:w="1899" w:type="dxa"/>
            <w:vAlign w:val="center"/>
          </w:tcPr>
          <w:p w14:paraId="0CAD02FA">
            <w:pPr>
              <w:pStyle w:val="35"/>
              <w:spacing w:before="0"/>
              <w:jc w:val="both"/>
              <w:rPr>
                <w:rFonts w:ascii="Arial" w:hAnsi="Arial" w:cs="Arial"/>
                <w:sz w:val="20"/>
                <w:szCs w:val="20"/>
              </w:rPr>
            </w:pPr>
          </w:p>
        </w:tc>
        <w:tc>
          <w:tcPr>
            <w:tcW w:w="2410" w:type="dxa"/>
            <w:gridSpan w:val="2"/>
            <w:vAlign w:val="center"/>
          </w:tcPr>
          <w:p w14:paraId="1C1724F2">
            <w:pPr>
              <w:pStyle w:val="35"/>
              <w:spacing w:before="0"/>
              <w:jc w:val="both"/>
              <w:rPr>
                <w:rFonts w:ascii="Arial" w:hAnsi="Arial" w:cs="Arial"/>
                <w:sz w:val="20"/>
                <w:szCs w:val="20"/>
              </w:rPr>
            </w:pPr>
          </w:p>
        </w:tc>
      </w:tr>
      <w:tr w14:paraId="173444D0">
        <w:trPr>
          <w:trHeight w:val="225" w:hRule="atLeast"/>
        </w:trPr>
        <w:tc>
          <w:tcPr>
            <w:tcW w:w="3828" w:type="dxa"/>
            <w:vAlign w:val="center"/>
          </w:tcPr>
          <w:p w14:paraId="65BC6B2C">
            <w:pPr>
              <w:pStyle w:val="35"/>
              <w:spacing w:before="0"/>
              <w:ind w:left="220" w:leftChars="100"/>
              <w:jc w:val="both"/>
              <w:rPr>
                <w:rFonts w:ascii="Arial" w:hAnsi="Arial" w:cs="Arial"/>
                <w:sz w:val="20"/>
                <w:szCs w:val="20"/>
              </w:rPr>
            </w:pPr>
            <w:r>
              <w:rPr>
                <w:rFonts w:ascii="Arial" w:hAnsi="Arial" w:cs="Arial"/>
                <w:sz w:val="20"/>
                <w:szCs w:val="20"/>
              </w:rPr>
              <w:t>PaO</w:t>
            </w:r>
            <w:r>
              <w:rPr>
                <w:vertAlign w:val="subscript"/>
              </w:rPr>
              <w:t>2</w:t>
            </w:r>
            <w:r>
              <w:rPr>
                <w:rFonts w:ascii="Arial" w:hAnsi="Arial" w:cs="Arial"/>
                <w:sz w:val="20"/>
                <w:szCs w:val="20"/>
              </w:rPr>
              <w:t>/FiO</w:t>
            </w:r>
            <w:r>
              <w:rPr>
                <w:vertAlign w:val="subscript"/>
              </w:rPr>
              <w:t>2</w:t>
            </w:r>
            <w:r>
              <w:rPr>
                <w:rFonts w:ascii="Arial" w:hAnsi="Arial" w:cs="Arial"/>
                <w:sz w:val="20"/>
                <w:szCs w:val="20"/>
              </w:rPr>
              <w:t xml:space="preserve"> ratio</w:t>
            </w:r>
          </w:p>
        </w:tc>
        <w:tc>
          <w:tcPr>
            <w:tcW w:w="1701" w:type="dxa"/>
            <w:vAlign w:val="center"/>
          </w:tcPr>
          <w:p w14:paraId="3C1BD966">
            <w:pPr>
              <w:pStyle w:val="35"/>
              <w:spacing w:before="0"/>
              <w:jc w:val="both"/>
              <w:rPr>
                <w:rFonts w:ascii="Arial" w:hAnsi="Arial" w:cs="Arial"/>
                <w:sz w:val="20"/>
                <w:szCs w:val="20"/>
              </w:rPr>
            </w:pPr>
            <w:r>
              <w:rPr>
                <w:rFonts w:ascii="Arial" w:hAnsi="Arial" w:cs="Arial"/>
                <w:sz w:val="20"/>
                <w:szCs w:val="20"/>
              </w:rPr>
              <w:t>281.89 ± 169.65</w:t>
            </w:r>
          </w:p>
        </w:tc>
        <w:tc>
          <w:tcPr>
            <w:tcW w:w="1899" w:type="dxa"/>
            <w:vAlign w:val="center"/>
          </w:tcPr>
          <w:p w14:paraId="4C1F90D5">
            <w:pPr>
              <w:pStyle w:val="35"/>
              <w:spacing w:before="0"/>
              <w:jc w:val="both"/>
              <w:rPr>
                <w:rFonts w:ascii="Arial" w:hAnsi="Arial" w:cs="Arial"/>
                <w:sz w:val="20"/>
                <w:szCs w:val="20"/>
              </w:rPr>
            </w:pPr>
            <w:r>
              <w:rPr>
                <w:rFonts w:ascii="Arial" w:hAnsi="Arial" w:cs="Arial"/>
                <w:sz w:val="20"/>
                <w:szCs w:val="20"/>
              </w:rPr>
              <w:t>266.82 ± 136.12</w:t>
            </w:r>
          </w:p>
        </w:tc>
        <w:tc>
          <w:tcPr>
            <w:tcW w:w="2410" w:type="dxa"/>
            <w:gridSpan w:val="2"/>
            <w:vAlign w:val="center"/>
          </w:tcPr>
          <w:p w14:paraId="225BEC8C">
            <w:pPr>
              <w:pStyle w:val="35"/>
              <w:spacing w:before="0"/>
              <w:jc w:val="both"/>
              <w:rPr>
                <w:rFonts w:ascii="Arial" w:hAnsi="Arial" w:cs="Arial"/>
                <w:sz w:val="20"/>
                <w:szCs w:val="20"/>
              </w:rPr>
            </w:pPr>
            <w:r>
              <w:rPr>
                <w:rFonts w:ascii="Arial" w:hAnsi="Arial" w:cs="Arial"/>
                <w:sz w:val="20"/>
                <w:szCs w:val="20"/>
              </w:rPr>
              <w:t>334.71 ± 125.46</w:t>
            </w:r>
          </w:p>
        </w:tc>
      </w:tr>
      <w:tr w14:paraId="2940F14A">
        <w:trPr>
          <w:trHeight w:val="225" w:hRule="atLeast"/>
        </w:trPr>
        <w:tc>
          <w:tcPr>
            <w:tcW w:w="3828" w:type="dxa"/>
            <w:vAlign w:val="center"/>
          </w:tcPr>
          <w:p w14:paraId="4FC260F2">
            <w:pPr>
              <w:pStyle w:val="35"/>
              <w:spacing w:before="0"/>
              <w:ind w:left="220" w:leftChars="100"/>
              <w:jc w:val="both"/>
              <w:rPr>
                <w:rFonts w:ascii="Arial" w:hAnsi="Arial" w:cs="Arial"/>
                <w:sz w:val="20"/>
                <w:szCs w:val="20"/>
              </w:rPr>
            </w:pPr>
            <w:r>
              <w:rPr>
                <w:rFonts w:ascii="Arial" w:hAnsi="Arial" w:cs="Arial"/>
                <w:sz w:val="20"/>
                <w:szCs w:val="20"/>
              </w:rPr>
              <w:t>P/F &lt; 400 (SOFA ≥1)</w:t>
            </w:r>
          </w:p>
        </w:tc>
        <w:tc>
          <w:tcPr>
            <w:tcW w:w="1701" w:type="dxa"/>
            <w:vAlign w:val="center"/>
          </w:tcPr>
          <w:p w14:paraId="19CDC078">
            <w:pPr>
              <w:pStyle w:val="35"/>
              <w:spacing w:before="0"/>
              <w:jc w:val="both"/>
              <w:rPr>
                <w:rFonts w:ascii="Arial" w:hAnsi="Arial" w:cs="Arial"/>
                <w:sz w:val="20"/>
                <w:szCs w:val="20"/>
              </w:rPr>
            </w:pPr>
            <w:r>
              <w:rPr>
                <w:rFonts w:ascii="Arial" w:hAnsi="Arial" w:cs="Arial"/>
                <w:sz w:val="20"/>
                <w:szCs w:val="20"/>
              </w:rPr>
              <w:t>596/712 (83.7%)</w:t>
            </w:r>
          </w:p>
        </w:tc>
        <w:tc>
          <w:tcPr>
            <w:tcW w:w="1899" w:type="dxa"/>
            <w:vAlign w:val="center"/>
          </w:tcPr>
          <w:p w14:paraId="20C1F7F2">
            <w:pPr>
              <w:pStyle w:val="35"/>
              <w:spacing w:before="0"/>
              <w:jc w:val="both"/>
              <w:rPr>
                <w:rFonts w:ascii="Arial" w:hAnsi="Arial" w:cs="Arial"/>
                <w:sz w:val="20"/>
                <w:szCs w:val="20"/>
              </w:rPr>
            </w:pPr>
            <w:r>
              <w:rPr>
                <w:rFonts w:ascii="Arial" w:hAnsi="Arial" w:cs="Arial"/>
                <w:sz w:val="20"/>
                <w:szCs w:val="20"/>
              </w:rPr>
              <w:t>595/673 (88.4%)</w:t>
            </w:r>
          </w:p>
        </w:tc>
        <w:tc>
          <w:tcPr>
            <w:tcW w:w="2410" w:type="dxa"/>
            <w:gridSpan w:val="2"/>
            <w:vAlign w:val="center"/>
          </w:tcPr>
          <w:p w14:paraId="736AE099">
            <w:pPr>
              <w:pStyle w:val="35"/>
              <w:spacing w:before="0"/>
              <w:jc w:val="both"/>
              <w:rPr>
                <w:rFonts w:ascii="Arial" w:hAnsi="Arial" w:cs="Arial"/>
                <w:sz w:val="20"/>
                <w:szCs w:val="20"/>
              </w:rPr>
            </w:pPr>
            <w:r>
              <w:rPr>
                <w:rFonts w:ascii="Arial" w:hAnsi="Arial" w:cs="Arial"/>
                <w:sz w:val="20"/>
                <w:szCs w:val="20"/>
              </w:rPr>
              <w:t>87/120 (72.5%)</w:t>
            </w:r>
          </w:p>
        </w:tc>
      </w:tr>
      <w:tr w14:paraId="65D1FD29">
        <w:trPr>
          <w:trHeight w:val="229" w:hRule="atLeast"/>
        </w:trPr>
        <w:tc>
          <w:tcPr>
            <w:tcW w:w="3828" w:type="dxa"/>
            <w:vAlign w:val="center"/>
          </w:tcPr>
          <w:p w14:paraId="1ADA638D">
            <w:pPr>
              <w:pStyle w:val="35"/>
              <w:spacing w:before="0"/>
              <w:ind w:left="220" w:leftChars="100"/>
              <w:jc w:val="both"/>
              <w:rPr>
                <w:rFonts w:ascii="Arial" w:hAnsi="Arial" w:cs="Arial"/>
                <w:sz w:val="20"/>
                <w:szCs w:val="20"/>
              </w:rPr>
            </w:pPr>
            <w:r>
              <w:rPr>
                <w:rFonts w:ascii="Arial" w:hAnsi="Arial" w:cs="Arial"/>
                <w:sz w:val="20"/>
                <w:szCs w:val="20"/>
              </w:rPr>
              <w:t>P/F &lt; 300 (SOFA ≥2)</w:t>
            </w:r>
          </w:p>
        </w:tc>
        <w:tc>
          <w:tcPr>
            <w:tcW w:w="1701" w:type="dxa"/>
            <w:vAlign w:val="center"/>
          </w:tcPr>
          <w:p w14:paraId="5005FD39">
            <w:pPr>
              <w:pStyle w:val="35"/>
              <w:spacing w:before="0"/>
              <w:jc w:val="both"/>
              <w:rPr>
                <w:rFonts w:ascii="Arial" w:hAnsi="Arial" w:cs="Arial"/>
                <w:sz w:val="20"/>
                <w:szCs w:val="20"/>
              </w:rPr>
            </w:pPr>
            <w:r>
              <w:rPr>
                <w:rFonts w:ascii="Arial" w:hAnsi="Arial" w:cs="Arial"/>
                <w:sz w:val="20"/>
                <w:szCs w:val="20"/>
              </w:rPr>
              <w:t>450/712 (63.2%)</w:t>
            </w:r>
          </w:p>
        </w:tc>
        <w:tc>
          <w:tcPr>
            <w:tcW w:w="1899" w:type="dxa"/>
            <w:vAlign w:val="center"/>
          </w:tcPr>
          <w:p w14:paraId="38B36C98">
            <w:pPr>
              <w:pStyle w:val="35"/>
              <w:spacing w:before="0"/>
              <w:jc w:val="both"/>
              <w:rPr>
                <w:rFonts w:ascii="Arial" w:hAnsi="Arial" w:cs="Arial"/>
                <w:sz w:val="20"/>
                <w:szCs w:val="20"/>
              </w:rPr>
            </w:pPr>
            <w:r>
              <w:rPr>
                <w:rFonts w:ascii="Arial" w:hAnsi="Arial" w:cs="Arial"/>
                <w:sz w:val="20"/>
                <w:szCs w:val="20"/>
              </w:rPr>
              <w:t>429/673 (63.7%)</w:t>
            </w:r>
          </w:p>
        </w:tc>
        <w:tc>
          <w:tcPr>
            <w:tcW w:w="2410" w:type="dxa"/>
            <w:gridSpan w:val="2"/>
            <w:vAlign w:val="center"/>
          </w:tcPr>
          <w:p w14:paraId="18809D53">
            <w:pPr>
              <w:pStyle w:val="35"/>
              <w:spacing w:before="0"/>
              <w:jc w:val="both"/>
              <w:rPr>
                <w:rFonts w:ascii="Arial" w:hAnsi="Arial" w:cs="Arial"/>
                <w:sz w:val="20"/>
                <w:szCs w:val="20"/>
              </w:rPr>
            </w:pPr>
            <w:r>
              <w:rPr>
                <w:rFonts w:ascii="Arial" w:hAnsi="Arial" w:cs="Arial"/>
                <w:sz w:val="20"/>
                <w:szCs w:val="20"/>
              </w:rPr>
              <w:t>50/120 (41.7%)</w:t>
            </w:r>
          </w:p>
        </w:tc>
      </w:tr>
      <w:tr w14:paraId="4D9E7B36">
        <w:trPr>
          <w:trHeight w:val="229" w:hRule="atLeast"/>
        </w:trPr>
        <w:tc>
          <w:tcPr>
            <w:tcW w:w="3828" w:type="dxa"/>
            <w:vAlign w:val="center"/>
          </w:tcPr>
          <w:p w14:paraId="57880D68">
            <w:pPr>
              <w:pStyle w:val="35"/>
              <w:spacing w:before="0"/>
              <w:ind w:left="220" w:leftChars="100"/>
              <w:jc w:val="both"/>
              <w:rPr>
                <w:rFonts w:ascii="Arial" w:hAnsi="Arial" w:cs="Arial"/>
                <w:sz w:val="20"/>
                <w:szCs w:val="20"/>
              </w:rPr>
            </w:pPr>
            <w:r>
              <w:rPr>
                <w:rFonts w:ascii="Arial" w:hAnsi="Arial" w:cs="Arial"/>
                <w:sz w:val="20"/>
                <w:szCs w:val="20"/>
              </w:rPr>
              <w:t>P/F ≤ 200 (SOFA ≥3)</w:t>
            </w:r>
          </w:p>
        </w:tc>
        <w:tc>
          <w:tcPr>
            <w:tcW w:w="1701" w:type="dxa"/>
            <w:vAlign w:val="center"/>
          </w:tcPr>
          <w:p w14:paraId="20324CE8">
            <w:pPr>
              <w:pStyle w:val="35"/>
              <w:spacing w:before="0"/>
              <w:jc w:val="both"/>
              <w:rPr>
                <w:rFonts w:ascii="Arial" w:hAnsi="Arial" w:cs="Arial"/>
                <w:sz w:val="20"/>
                <w:szCs w:val="20"/>
              </w:rPr>
            </w:pPr>
            <w:r>
              <w:rPr>
                <w:rFonts w:ascii="Arial" w:hAnsi="Arial" w:cs="Arial"/>
                <w:sz w:val="20"/>
                <w:szCs w:val="20"/>
              </w:rPr>
              <w:t>252/712 (35.4%)</w:t>
            </w:r>
          </w:p>
        </w:tc>
        <w:tc>
          <w:tcPr>
            <w:tcW w:w="1899" w:type="dxa"/>
            <w:vAlign w:val="center"/>
          </w:tcPr>
          <w:p w14:paraId="31AC316E">
            <w:pPr>
              <w:pStyle w:val="35"/>
              <w:spacing w:before="0"/>
              <w:jc w:val="both"/>
              <w:rPr>
                <w:rFonts w:ascii="Arial" w:hAnsi="Arial" w:cs="Arial"/>
                <w:sz w:val="20"/>
                <w:szCs w:val="20"/>
              </w:rPr>
            </w:pPr>
            <w:r>
              <w:rPr>
                <w:rFonts w:ascii="Arial" w:hAnsi="Arial" w:cs="Arial"/>
                <w:sz w:val="20"/>
                <w:szCs w:val="20"/>
              </w:rPr>
              <w:t>238/673 (35.4%)</w:t>
            </w:r>
          </w:p>
        </w:tc>
        <w:tc>
          <w:tcPr>
            <w:tcW w:w="2410" w:type="dxa"/>
            <w:gridSpan w:val="2"/>
            <w:vAlign w:val="center"/>
          </w:tcPr>
          <w:p w14:paraId="4541AEDB">
            <w:pPr>
              <w:pStyle w:val="35"/>
              <w:spacing w:before="0"/>
              <w:jc w:val="both"/>
              <w:rPr>
                <w:rFonts w:ascii="Arial" w:hAnsi="Arial" w:cs="Arial"/>
                <w:sz w:val="20"/>
                <w:szCs w:val="20"/>
              </w:rPr>
            </w:pPr>
            <w:r>
              <w:rPr>
                <w:rFonts w:ascii="Arial" w:hAnsi="Arial" w:cs="Arial"/>
                <w:sz w:val="20"/>
                <w:szCs w:val="20"/>
              </w:rPr>
              <w:t>18/120 (15.0%)</w:t>
            </w:r>
          </w:p>
        </w:tc>
      </w:tr>
      <w:tr w14:paraId="33CAE6F6">
        <w:trPr>
          <w:trHeight w:val="229" w:hRule="atLeast"/>
        </w:trPr>
        <w:tc>
          <w:tcPr>
            <w:tcW w:w="3828" w:type="dxa"/>
            <w:vAlign w:val="center"/>
          </w:tcPr>
          <w:p w14:paraId="71177029">
            <w:pPr>
              <w:pStyle w:val="35"/>
              <w:spacing w:before="0"/>
              <w:ind w:left="220" w:leftChars="100"/>
              <w:jc w:val="both"/>
              <w:rPr>
                <w:rFonts w:ascii="Arial" w:hAnsi="Arial" w:cs="Arial"/>
                <w:sz w:val="20"/>
                <w:szCs w:val="20"/>
              </w:rPr>
            </w:pPr>
            <w:r>
              <w:rPr>
                <w:rFonts w:ascii="Arial" w:hAnsi="Arial" w:cs="Arial"/>
                <w:sz w:val="20"/>
                <w:szCs w:val="20"/>
              </w:rPr>
              <w:t>P/F ≤ 100 (SOFA = 4)</w:t>
            </w:r>
          </w:p>
        </w:tc>
        <w:tc>
          <w:tcPr>
            <w:tcW w:w="1701" w:type="dxa"/>
            <w:vAlign w:val="center"/>
          </w:tcPr>
          <w:p w14:paraId="3C60099B">
            <w:pPr>
              <w:pStyle w:val="35"/>
              <w:spacing w:before="0"/>
              <w:jc w:val="both"/>
              <w:rPr>
                <w:rFonts w:ascii="Arial" w:hAnsi="Arial" w:cs="Arial"/>
                <w:sz w:val="20"/>
                <w:szCs w:val="20"/>
              </w:rPr>
            </w:pPr>
            <w:r>
              <w:rPr>
                <w:rFonts w:ascii="Arial" w:hAnsi="Arial" w:cs="Arial"/>
                <w:sz w:val="20"/>
                <w:szCs w:val="20"/>
              </w:rPr>
              <w:t>41/712 (5.8%)</w:t>
            </w:r>
          </w:p>
        </w:tc>
        <w:tc>
          <w:tcPr>
            <w:tcW w:w="1899" w:type="dxa"/>
            <w:vAlign w:val="center"/>
          </w:tcPr>
          <w:p w14:paraId="04C81448">
            <w:pPr>
              <w:pStyle w:val="35"/>
              <w:spacing w:before="0"/>
              <w:jc w:val="both"/>
              <w:rPr>
                <w:rFonts w:ascii="Arial" w:hAnsi="Arial" w:cs="Arial"/>
                <w:sz w:val="20"/>
                <w:szCs w:val="20"/>
              </w:rPr>
            </w:pPr>
            <w:r>
              <w:rPr>
                <w:rFonts w:ascii="Arial" w:hAnsi="Arial" w:cs="Arial"/>
                <w:sz w:val="20"/>
                <w:szCs w:val="20"/>
              </w:rPr>
              <w:t>61/673 (9.1%)</w:t>
            </w:r>
          </w:p>
        </w:tc>
        <w:tc>
          <w:tcPr>
            <w:tcW w:w="2410" w:type="dxa"/>
            <w:gridSpan w:val="2"/>
            <w:vAlign w:val="center"/>
          </w:tcPr>
          <w:p w14:paraId="4C61FC08">
            <w:pPr>
              <w:pStyle w:val="35"/>
              <w:spacing w:before="0"/>
              <w:jc w:val="both"/>
              <w:rPr>
                <w:rFonts w:ascii="Arial" w:hAnsi="Arial" w:cs="Arial"/>
                <w:sz w:val="20"/>
                <w:szCs w:val="20"/>
              </w:rPr>
            </w:pPr>
            <w:r>
              <w:rPr>
                <w:rFonts w:ascii="Arial" w:hAnsi="Arial" w:cs="Arial"/>
                <w:sz w:val="20"/>
                <w:szCs w:val="20"/>
              </w:rPr>
              <w:t>0/120 (0.0%)</w:t>
            </w:r>
          </w:p>
        </w:tc>
      </w:tr>
      <w:tr w14:paraId="67F9E535">
        <w:trPr>
          <w:trHeight w:val="233" w:hRule="atLeast"/>
        </w:trPr>
        <w:tc>
          <w:tcPr>
            <w:tcW w:w="3828" w:type="dxa"/>
            <w:vAlign w:val="center"/>
          </w:tcPr>
          <w:p w14:paraId="71E2968F">
            <w:pPr>
              <w:pStyle w:val="35"/>
              <w:spacing w:before="0"/>
              <w:ind w:left="220" w:leftChars="100"/>
              <w:jc w:val="both"/>
              <w:rPr>
                <w:rFonts w:ascii="Arial" w:hAnsi="Arial" w:cs="Arial"/>
                <w:sz w:val="20"/>
                <w:szCs w:val="20"/>
              </w:rPr>
            </w:pPr>
            <w:r>
              <w:rPr>
                <w:rFonts w:ascii="Arial" w:hAnsi="Arial" w:cs="Arial"/>
                <w:sz w:val="20"/>
                <w:szCs w:val="20"/>
              </w:rPr>
              <w:t>SpO</w:t>
            </w:r>
            <w:r>
              <w:rPr>
                <w:vertAlign w:val="subscript"/>
              </w:rPr>
              <w:t>2</w:t>
            </w:r>
            <w:r>
              <w:rPr>
                <w:rFonts w:ascii="Arial" w:hAnsi="Arial" w:cs="Arial"/>
                <w:sz w:val="20"/>
                <w:szCs w:val="20"/>
              </w:rPr>
              <w:t>/FiO</w:t>
            </w:r>
            <w:r>
              <w:rPr>
                <w:vertAlign w:val="subscript"/>
              </w:rPr>
              <w:t>2</w:t>
            </w:r>
            <w:r>
              <w:rPr>
                <w:rFonts w:ascii="Arial" w:hAnsi="Arial" w:cs="Arial"/>
                <w:sz w:val="20"/>
                <w:szCs w:val="20"/>
              </w:rPr>
              <w:t xml:space="preserve"> ratio (SpO</w:t>
            </w:r>
            <w:r>
              <w:rPr>
                <w:rFonts w:ascii="Arial" w:hAnsi="Arial" w:eastAsia="宋体" w:cs="Arial"/>
                <w:sz w:val="20"/>
                <w:szCs w:val="20"/>
                <w:vertAlign w:val="subscript"/>
                <w:lang w:eastAsia="zh-CN"/>
              </w:rPr>
              <w:t>2</w:t>
            </w:r>
            <w:r>
              <w:rPr>
                <w:rFonts w:ascii="Arial" w:hAnsi="Arial" w:cs="Arial"/>
                <w:sz w:val="20"/>
                <w:szCs w:val="20"/>
              </w:rPr>
              <w:t xml:space="preserve"> &lt; 98%)</w:t>
            </w:r>
          </w:p>
        </w:tc>
        <w:tc>
          <w:tcPr>
            <w:tcW w:w="1701" w:type="dxa"/>
            <w:vAlign w:val="center"/>
          </w:tcPr>
          <w:p w14:paraId="3158A739">
            <w:pPr>
              <w:pStyle w:val="35"/>
              <w:spacing w:before="0"/>
              <w:jc w:val="both"/>
              <w:rPr>
                <w:rFonts w:ascii="Arial" w:hAnsi="Arial" w:cs="Arial"/>
                <w:sz w:val="20"/>
                <w:szCs w:val="20"/>
              </w:rPr>
            </w:pPr>
            <w:r>
              <w:rPr>
                <w:rFonts w:ascii="Arial" w:hAnsi="Arial" w:cs="Arial"/>
                <w:sz w:val="20"/>
                <w:szCs w:val="20"/>
              </w:rPr>
              <w:t>201.95 ± 59.38</w:t>
            </w:r>
          </w:p>
        </w:tc>
        <w:tc>
          <w:tcPr>
            <w:tcW w:w="1899" w:type="dxa"/>
            <w:vAlign w:val="center"/>
          </w:tcPr>
          <w:p w14:paraId="629C0D16">
            <w:pPr>
              <w:pStyle w:val="35"/>
              <w:spacing w:before="0"/>
              <w:jc w:val="both"/>
              <w:rPr>
                <w:rFonts w:ascii="Arial" w:hAnsi="Arial" w:cs="Arial"/>
                <w:sz w:val="20"/>
                <w:szCs w:val="20"/>
              </w:rPr>
            </w:pPr>
            <w:r>
              <w:rPr>
                <w:rFonts w:ascii="Arial" w:hAnsi="Arial" w:cs="Arial"/>
                <w:sz w:val="20"/>
                <w:szCs w:val="20"/>
              </w:rPr>
              <w:t>238.93 ± 96.08</w:t>
            </w:r>
          </w:p>
        </w:tc>
        <w:tc>
          <w:tcPr>
            <w:tcW w:w="2410" w:type="dxa"/>
            <w:gridSpan w:val="2"/>
            <w:vAlign w:val="center"/>
          </w:tcPr>
          <w:p w14:paraId="6BA6E4F7">
            <w:pPr>
              <w:pStyle w:val="35"/>
              <w:spacing w:before="0"/>
              <w:jc w:val="both"/>
              <w:rPr>
                <w:rFonts w:ascii="Arial" w:hAnsi="Arial" w:cs="Arial"/>
                <w:sz w:val="20"/>
                <w:szCs w:val="20"/>
              </w:rPr>
            </w:pPr>
            <w:r>
              <w:rPr>
                <w:rFonts w:ascii="Arial" w:hAnsi="Arial" w:cs="Arial"/>
                <w:sz w:val="20"/>
                <w:szCs w:val="20"/>
              </w:rPr>
              <w:t>205.79 ± 46.94</w:t>
            </w:r>
          </w:p>
        </w:tc>
      </w:tr>
      <w:tr w14:paraId="1A3DDDF7">
        <w:trPr>
          <w:trHeight w:val="225" w:hRule="atLeast"/>
        </w:trPr>
        <w:tc>
          <w:tcPr>
            <w:tcW w:w="3828" w:type="dxa"/>
            <w:vAlign w:val="center"/>
          </w:tcPr>
          <w:p w14:paraId="6FA9B95D">
            <w:pPr>
              <w:pStyle w:val="35"/>
              <w:spacing w:before="0"/>
              <w:ind w:left="220" w:leftChars="100"/>
              <w:jc w:val="both"/>
              <w:rPr>
                <w:rFonts w:ascii="Arial" w:hAnsi="Arial" w:cs="Arial"/>
                <w:sz w:val="20"/>
                <w:szCs w:val="20"/>
              </w:rPr>
            </w:pPr>
            <w:r>
              <w:rPr>
                <w:rFonts w:ascii="Arial" w:hAnsi="Arial" w:cs="Arial"/>
                <w:sz w:val="20"/>
                <w:szCs w:val="20"/>
              </w:rPr>
              <w:t>S/F &lt; 400 (SOFA ≥1)</w:t>
            </w:r>
          </w:p>
        </w:tc>
        <w:tc>
          <w:tcPr>
            <w:tcW w:w="1701" w:type="dxa"/>
            <w:vAlign w:val="center"/>
          </w:tcPr>
          <w:p w14:paraId="4F0B6D9C">
            <w:pPr>
              <w:pStyle w:val="35"/>
              <w:spacing w:before="0"/>
              <w:jc w:val="both"/>
              <w:rPr>
                <w:rFonts w:ascii="Arial" w:hAnsi="Arial" w:cs="Arial"/>
                <w:sz w:val="20"/>
                <w:szCs w:val="20"/>
              </w:rPr>
            </w:pPr>
            <w:r>
              <w:rPr>
                <w:rFonts w:ascii="Arial" w:hAnsi="Arial" w:cs="Arial"/>
                <w:sz w:val="20"/>
                <w:szCs w:val="20"/>
              </w:rPr>
              <w:t>374/380 (98.4%)</w:t>
            </w:r>
          </w:p>
        </w:tc>
        <w:tc>
          <w:tcPr>
            <w:tcW w:w="1899" w:type="dxa"/>
            <w:vAlign w:val="center"/>
          </w:tcPr>
          <w:p w14:paraId="48CAC05E">
            <w:pPr>
              <w:pStyle w:val="35"/>
              <w:spacing w:before="0"/>
              <w:jc w:val="both"/>
              <w:rPr>
                <w:rFonts w:ascii="Arial" w:hAnsi="Arial" w:cs="Arial"/>
                <w:sz w:val="20"/>
                <w:szCs w:val="20"/>
              </w:rPr>
            </w:pPr>
            <w:r>
              <w:rPr>
                <w:rFonts w:ascii="Arial" w:hAnsi="Arial" w:cs="Arial"/>
                <w:sz w:val="20"/>
                <w:szCs w:val="20"/>
              </w:rPr>
              <w:t>391/428 (91.4%)</w:t>
            </w:r>
          </w:p>
        </w:tc>
        <w:tc>
          <w:tcPr>
            <w:tcW w:w="2410" w:type="dxa"/>
            <w:gridSpan w:val="2"/>
            <w:vAlign w:val="center"/>
          </w:tcPr>
          <w:p w14:paraId="0BBF1D70">
            <w:pPr>
              <w:pStyle w:val="35"/>
              <w:spacing w:before="0"/>
              <w:jc w:val="both"/>
              <w:rPr>
                <w:rFonts w:ascii="Arial" w:hAnsi="Arial" w:cs="Arial"/>
                <w:sz w:val="20"/>
                <w:szCs w:val="20"/>
              </w:rPr>
            </w:pPr>
            <w:r>
              <w:rPr>
                <w:rFonts w:ascii="Arial" w:hAnsi="Arial" w:cs="Arial"/>
                <w:sz w:val="20"/>
                <w:szCs w:val="20"/>
              </w:rPr>
              <w:t>30/30 (100.0%)</w:t>
            </w:r>
          </w:p>
        </w:tc>
      </w:tr>
      <w:tr w14:paraId="7FF753ED">
        <w:trPr>
          <w:trHeight w:val="229" w:hRule="atLeast"/>
        </w:trPr>
        <w:tc>
          <w:tcPr>
            <w:tcW w:w="3828" w:type="dxa"/>
            <w:vAlign w:val="center"/>
          </w:tcPr>
          <w:p w14:paraId="2314A0C0">
            <w:pPr>
              <w:pStyle w:val="35"/>
              <w:spacing w:before="0"/>
              <w:ind w:left="220" w:leftChars="100"/>
              <w:jc w:val="both"/>
              <w:rPr>
                <w:rFonts w:ascii="Arial" w:hAnsi="Arial" w:cs="Arial"/>
                <w:sz w:val="20"/>
                <w:szCs w:val="20"/>
              </w:rPr>
            </w:pPr>
            <w:r>
              <w:rPr>
                <w:rFonts w:ascii="Arial" w:hAnsi="Arial" w:cs="Arial"/>
                <w:sz w:val="20"/>
                <w:szCs w:val="20"/>
              </w:rPr>
              <w:t>S/F &lt; 315 (SOFA ≥2)</w:t>
            </w:r>
          </w:p>
        </w:tc>
        <w:tc>
          <w:tcPr>
            <w:tcW w:w="1701" w:type="dxa"/>
            <w:vAlign w:val="center"/>
          </w:tcPr>
          <w:p w14:paraId="1903768F">
            <w:pPr>
              <w:pStyle w:val="35"/>
              <w:spacing w:before="0"/>
              <w:jc w:val="both"/>
              <w:rPr>
                <w:rFonts w:ascii="Arial" w:hAnsi="Arial" w:cs="Arial"/>
                <w:sz w:val="20"/>
                <w:szCs w:val="20"/>
              </w:rPr>
            </w:pPr>
            <w:r>
              <w:rPr>
                <w:rFonts w:ascii="Arial" w:hAnsi="Arial" w:cs="Arial"/>
                <w:sz w:val="20"/>
                <w:szCs w:val="20"/>
              </w:rPr>
              <w:t>361/380 (95.0%)</w:t>
            </w:r>
          </w:p>
        </w:tc>
        <w:tc>
          <w:tcPr>
            <w:tcW w:w="1899" w:type="dxa"/>
            <w:vAlign w:val="center"/>
          </w:tcPr>
          <w:p w14:paraId="0A5582F1">
            <w:pPr>
              <w:pStyle w:val="35"/>
              <w:spacing w:before="0"/>
              <w:jc w:val="both"/>
              <w:rPr>
                <w:rFonts w:ascii="Arial" w:hAnsi="Arial" w:cs="Arial"/>
                <w:sz w:val="20"/>
                <w:szCs w:val="20"/>
              </w:rPr>
            </w:pPr>
            <w:r>
              <w:rPr>
                <w:rFonts w:ascii="Arial" w:hAnsi="Arial" w:cs="Arial"/>
                <w:sz w:val="20"/>
                <w:szCs w:val="20"/>
              </w:rPr>
              <w:t>340/428 (79.4%)</w:t>
            </w:r>
          </w:p>
        </w:tc>
        <w:tc>
          <w:tcPr>
            <w:tcW w:w="2410" w:type="dxa"/>
            <w:gridSpan w:val="2"/>
            <w:vAlign w:val="center"/>
          </w:tcPr>
          <w:p w14:paraId="125CAE55">
            <w:pPr>
              <w:pStyle w:val="35"/>
              <w:spacing w:before="0"/>
              <w:jc w:val="both"/>
              <w:rPr>
                <w:rFonts w:ascii="Arial" w:hAnsi="Arial" w:cs="Arial"/>
                <w:sz w:val="20"/>
                <w:szCs w:val="20"/>
              </w:rPr>
            </w:pPr>
            <w:r>
              <w:rPr>
                <w:rFonts w:ascii="Arial" w:hAnsi="Arial" w:cs="Arial"/>
                <w:sz w:val="20"/>
                <w:szCs w:val="20"/>
              </w:rPr>
              <w:t>28/30 (93.3%)</w:t>
            </w:r>
          </w:p>
        </w:tc>
      </w:tr>
      <w:tr w14:paraId="356BE7A7">
        <w:trPr>
          <w:trHeight w:val="229" w:hRule="atLeast"/>
        </w:trPr>
        <w:tc>
          <w:tcPr>
            <w:tcW w:w="3828" w:type="dxa"/>
            <w:vAlign w:val="center"/>
          </w:tcPr>
          <w:p w14:paraId="30E16080">
            <w:pPr>
              <w:pStyle w:val="35"/>
              <w:spacing w:before="0"/>
              <w:ind w:left="220" w:leftChars="100"/>
              <w:jc w:val="both"/>
              <w:rPr>
                <w:rFonts w:ascii="Arial" w:hAnsi="Arial" w:cs="Arial"/>
                <w:sz w:val="20"/>
                <w:szCs w:val="20"/>
              </w:rPr>
            </w:pPr>
            <w:r>
              <w:rPr>
                <w:rFonts w:ascii="Arial" w:hAnsi="Arial" w:cs="Arial"/>
                <w:sz w:val="20"/>
                <w:szCs w:val="20"/>
              </w:rPr>
              <w:t>S/F &lt; 235 (SOFA ≥3)</w:t>
            </w:r>
          </w:p>
        </w:tc>
        <w:tc>
          <w:tcPr>
            <w:tcW w:w="1701" w:type="dxa"/>
            <w:vAlign w:val="center"/>
          </w:tcPr>
          <w:p w14:paraId="7807EC3B">
            <w:pPr>
              <w:pStyle w:val="35"/>
              <w:spacing w:before="0"/>
              <w:jc w:val="both"/>
              <w:rPr>
                <w:rFonts w:ascii="Arial" w:hAnsi="Arial" w:cs="Arial"/>
                <w:sz w:val="20"/>
                <w:szCs w:val="20"/>
              </w:rPr>
            </w:pPr>
            <w:r>
              <w:rPr>
                <w:rFonts w:ascii="Arial" w:hAnsi="Arial" w:cs="Arial"/>
                <w:sz w:val="20"/>
                <w:szCs w:val="20"/>
              </w:rPr>
              <w:t>283/380 (74.5%)</w:t>
            </w:r>
          </w:p>
        </w:tc>
        <w:tc>
          <w:tcPr>
            <w:tcW w:w="1899" w:type="dxa"/>
            <w:vAlign w:val="center"/>
          </w:tcPr>
          <w:p w14:paraId="0EC3BD0D">
            <w:pPr>
              <w:pStyle w:val="35"/>
              <w:spacing w:before="0"/>
              <w:jc w:val="both"/>
              <w:rPr>
                <w:rFonts w:ascii="Arial" w:hAnsi="Arial" w:cs="Arial"/>
                <w:sz w:val="20"/>
                <w:szCs w:val="20"/>
              </w:rPr>
            </w:pPr>
            <w:r>
              <w:rPr>
                <w:rFonts w:ascii="Arial" w:hAnsi="Arial" w:cs="Arial"/>
                <w:sz w:val="20"/>
                <w:szCs w:val="20"/>
              </w:rPr>
              <w:t>226/428 (52.8%)</w:t>
            </w:r>
          </w:p>
        </w:tc>
        <w:tc>
          <w:tcPr>
            <w:tcW w:w="2410" w:type="dxa"/>
            <w:gridSpan w:val="2"/>
            <w:vAlign w:val="center"/>
          </w:tcPr>
          <w:p w14:paraId="328C7A3A">
            <w:pPr>
              <w:pStyle w:val="35"/>
              <w:spacing w:before="0"/>
              <w:jc w:val="both"/>
              <w:rPr>
                <w:rFonts w:ascii="Arial" w:hAnsi="Arial" w:cs="Arial"/>
                <w:sz w:val="20"/>
                <w:szCs w:val="20"/>
              </w:rPr>
            </w:pPr>
            <w:r>
              <w:rPr>
                <w:rFonts w:ascii="Arial" w:hAnsi="Arial" w:cs="Arial"/>
                <w:sz w:val="20"/>
                <w:szCs w:val="20"/>
              </w:rPr>
              <w:t>24/30 (80.0%)</w:t>
            </w:r>
          </w:p>
        </w:tc>
      </w:tr>
      <w:tr w14:paraId="4DD5E493">
        <w:trPr>
          <w:trHeight w:val="229" w:hRule="atLeast"/>
        </w:trPr>
        <w:tc>
          <w:tcPr>
            <w:tcW w:w="3828" w:type="dxa"/>
            <w:vAlign w:val="center"/>
          </w:tcPr>
          <w:p w14:paraId="51C9E957">
            <w:pPr>
              <w:pStyle w:val="35"/>
              <w:spacing w:before="0"/>
              <w:ind w:left="220" w:leftChars="100"/>
              <w:jc w:val="both"/>
              <w:rPr>
                <w:rFonts w:ascii="Arial" w:hAnsi="Arial" w:cs="Arial"/>
                <w:sz w:val="20"/>
                <w:szCs w:val="20"/>
              </w:rPr>
            </w:pPr>
            <w:r>
              <w:rPr>
                <w:rFonts w:ascii="Arial" w:hAnsi="Arial" w:cs="Arial"/>
                <w:sz w:val="20"/>
                <w:szCs w:val="20"/>
              </w:rPr>
              <w:t>S/F &lt; 150 (SOFA = 4)</w:t>
            </w:r>
          </w:p>
        </w:tc>
        <w:tc>
          <w:tcPr>
            <w:tcW w:w="1701" w:type="dxa"/>
            <w:vAlign w:val="center"/>
          </w:tcPr>
          <w:p w14:paraId="0AD104D5">
            <w:pPr>
              <w:pStyle w:val="35"/>
              <w:spacing w:before="0"/>
              <w:jc w:val="both"/>
              <w:rPr>
                <w:rFonts w:ascii="Arial" w:hAnsi="Arial" w:cs="Arial"/>
                <w:sz w:val="20"/>
                <w:szCs w:val="20"/>
              </w:rPr>
            </w:pPr>
            <w:r>
              <w:rPr>
                <w:rFonts w:ascii="Arial" w:hAnsi="Arial" w:cs="Arial"/>
                <w:sz w:val="20"/>
                <w:szCs w:val="20"/>
              </w:rPr>
              <w:t>71/380 (18.7%)</w:t>
            </w:r>
          </w:p>
        </w:tc>
        <w:tc>
          <w:tcPr>
            <w:tcW w:w="1899" w:type="dxa"/>
            <w:vAlign w:val="center"/>
          </w:tcPr>
          <w:p w14:paraId="7D60C2A1">
            <w:pPr>
              <w:pStyle w:val="35"/>
              <w:spacing w:before="0"/>
              <w:jc w:val="both"/>
              <w:rPr>
                <w:rFonts w:ascii="Arial" w:hAnsi="Arial" w:cs="Arial"/>
                <w:sz w:val="20"/>
                <w:szCs w:val="20"/>
              </w:rPr>
            </w:pPr>
            <w:r>
              <w:rPr>
                <w:rFonts w:ascii="Arial" w:hAnsi="Arial" w:cs="Arial"/>
                <w:sz w:val="20"/>
                <w:szCs w:val="20"/>
              </w:rPr>
              <w:t>78/428 (18.2%)</w:t>
            </w:r>
          </w:p>
        </w:tc>
        <w:tc>
          <w:tcPr>
            <w:tcW w:w="2410" w:type="dxa"/>
            <w:gridSpan w:val="2"/>
            <w:vAlign w:val="center"/>
          </w:tcPr>
          <w:p w14:paraId="795DE8DB">
            <w:pPr>
              <w:pStyle w:val="35"/>
              <w:spacing w:before="0"/>
              <w:jc w:val="both"/>
              <w:rPr>
                <w:rFonts w:ascii="Arial" w:hAnsi="Arial" w:cs="Arial"/>
                <w:sz w:val="20"/>
                <w:szCs w:val="20"/>
              </w:rPr>
            </w:pPr>
            <w:r>
              <w:rPr>
                <w:rFonts w:ascii="Arial" w:hAnsi="Arial" w:cs="Arial"/>
                <w:sz w:val="20"/>
                <w:szCs w:val="20"/>
              </w:rPr>
              <w:t>4/30 (13.3%)</w:t>
            </w:r>
          </w:p>
        </w:tc>
      </w:tr>
      <w:tr w14:paraId="0243418C">
        <w:trPr>
          <w:trHeight w:val="233" w:hRule="atLeast"/>
        </w:trPr>
        <w:tc>
          <w:tcPr>
            <w:tcW w:w="3828" w:type="dxa"/>
            <w:vAlign w:val="center"/>
          </w:tcPr>
          <w:p w14:paraId="1E6D2444">
            <w:pPr>
              <w:pStyle w:val="35"/>
              <w:spacing w:before="0"/>
              <w:ind w:left="220" w:leftChars="100"/>
              <w:jc w:val="both"/>
              <w:rPr>
                <w:rFonts w:ascii="Arial" w:hAnsi="Arial" w:cs="Arial"/>
                <w:sz w:val="20"/>
                <w:szCs w:val="20"/>
              </w:rPr>
            </w:pPr>
            <w:r>
              <w:rPr>
                <w:rFonts w:ascii="Arial" w:hAnsi="Arial" w:cs="Arial"/>
                <w:sz w:val="20"/>
                <w:szCs w:val="20"/>
              </w:rPr>
              <w:t>SpO</w:t>
            </w:r>
            <w:r>
              <w:rPr>
                <w:vertAlign w:val="subscript"/>
              </w:rPr>
              <w:t>2</w:t>
            </w:r>
            <w:r>
              <w:rPr>
                <w:rFonts w:ascii="Arial" w:hAnsi="Arial" w:cs="Arial"/>
                <w:sz w:val="20"/>
                <w:szCs w:val="20"/>
              </w:rPr>
              <w:t xml:space="preserve"> (%)</w:t>
            </w:r>
          </w:p>
        </w:tc>
        <w:tc>
          <w:tcPr>
            <w:tcW w:w="1701" w:type="dxa"/>
            <w:vAlign w:val="center"/>
          </w:tcPr>
          <w:p w14:paraId="59B46AED">
            <w:pPr>
              <w:pStyle w:val="35"/>
              <w:spacing w:before="0"/>
              <w:jc w:val="both"/>
              <w:rPr>
                <w:rFonts w:ascii="Arial" w:hAnsi="Arial" w:cs="Arial"/>
                <w:sz w:val="20"/>
                <w:szCs w:val="20"/>
              </w:rPr>
            </w:pPr>
            <w:r>
              <w:rPr>
                <w:rFonts w:ascii="Arial" w:hAnsi="Arial" w:cs="Arial"/>
                <w:sz w:val="20"/>
                <w:szCs w:val="20"/>
              </w:rPr>
              <w:t>95.99 ± 2.02</w:t>
            </w:r>
          </w:p>
        </w:tc>
        <w:tc>
          <w:tcPr>
            <w:tcW w:w="1899" w:type="dxa"/>
            <w:vAlign w:val="center"/>
          </w:tcPr>
          <w:p w14:paraId="0651D643">
            <w:pPr>
              <w:pStyle w:val="35"/>
              <w:spacing w:before="0"/>
              <w:jc w:val="both"/>
              <w:rPr>
                <w:rFonts w:ascii="Arial" w:hAnsi="Arial" w:cs="Arial"/>
                <w:sz w:val="20"/>
                <w:szCs w:val="20"/>
              </w:rPr>
            </w:pPr>
            <w:r>
              <w:rPr>
                <w:rFonts w:ascii="Arial" w:hAnsi="Arial" w:cs="Arial"/>
                <w:sz w:val="20"/>
                <w:szCs w:val="20"/>
              </w:rPr>
              <w:t>96.77 ± 2.22</w:t>
            </w:r>
          </w:p>
        </w:tc>
        <w:tc>
          <w:tcPr>
            <w:tcW w:w="2410" w:type="dxa"/>
            <w:gridSpan w:val="2"/>
            <w:vAlign w:val="center"/>
          </w:tcPr>
          <w:p w14:paraId="032057AD">
            <w:pPr>
              <w:pStyle w:val="35"/>
              <w:spacing w:before="0"/>
              <w:jc w:val="both"/>
              <w:rPr>
                <w:rFonts w:ascii="Arial" w:hAnsi="Arial" w:cs="Arial"/>
                <w:sz w:val="20"/>
                <w:szCs w:val="20"/>
              </w:rPr>
            </w:pPr>
            <w:r>
              <w:rPr>
                <w:rFonts w:ascii="Arial" w:hAnsi="Arial" w:cs="Arial"/>
                <w:sz w:val="20"/>
                <w:szCs w:val="20"/>
              </w:rPr>
              <w:t>97.58 ± 1.80</w:t>
            </w:r>
          </w:p>
        </w:tc>
      </w:tr>
      <w:tr w14:paraId="5A1176E3">
        <w:trPr>
          <w:trHeight w:val="229" w:hRule="atLeast"/>
        </w:trPr>
        <w:tc>
          <w:tcPr>
            <w:tcW w:w="3828" w:type="dxa"/>
            <w:vAlign w:val="center"/>
          </w:tcPr>
          <w:p w14:paraId="1AC6ADBB">
            <w:pPr>
              <w:pStyle w:val="35"/>
              <w:spacing w:before="0"/>
              <w:ind w:left="220" w:leftChars="100"/>
              <w:jc w:val="both"/>
              <w:rPr>
                <w:rFonts w:ascii="Arial" w:hAnsi="Arial" w:cs="Arial"/>
                <w:sz w:val="20"/>
                <w:szCs w:val="20"/>
              </w:rPr>
            </w:pPr>
            <w:r>
              <w:rPr>
                <w:rFonts w:ascii="Arial" w:hAnsi="Arial" w:cs="Arial"/>
                <w:sz w:val="20"/>
                <w:szCs w:val="20"/>
              </w:rPr>
              <w:t>SpO</w:t>
            </w:r>
            <w:r>
              <w:rPr>
                <w:vertAlign w:val="subscript"/>
              </w:rPr>
              <w:t>2</w:t>
            </w:r>
            <w:r>
              <w:rPr>
                <w:rFonts w:ascii="Arial" w:hAnsi="Arial" w:cs="Arial"/>
                <w:sz w:val="20"/>
                <w:szCs w:val="20"/>
              </w:rPr>
              <w:t xml:space="preserve"> &lt; 98% (S/F applicable)</w:t>
            </w:r>
          </w:p>
        </w:tc>
        <w:tc>
          <w:tcPr>
            <w:tcW w:w="1701" w:type="dxa"/>
            <w:vAlign w:val="center"/>
          </w:tcPr>
          <w:p w14:paraId="24FFBD37">
            <w:pPr>
              <w:pStyle w:val="35"/>
              <w:spacing w:before="0"/>
              <w:jc w:val="both"/>
              <w:rPr>
                <w:rFonts w:ascii="Arial" w:hAnsi="Arial" w:cs="Arial"/>
                <w:sz w:val="20"/>
                <w:szCs w:val="20"/>
              </w:rPr>
            </w:pPr>
            <w:r>
              <w:rPr>
                <w:rFonts w:ascii="Arial" w:hAnsi="Arial" w:cs="Arial"/>
                <w:sz w:val="20"/>
                <w:szCs w:val="20"/>
              </w:rPr>
              <w:t>936/1150 (81.4%)</w:t>
            </w:r>
          </w:p>
        </w:tc>
        <w:tc>
          <w:tcPr>
            <w:tcW w:w="1899" w:type="dxa"/>
            <w:vAlign w:val="center"/>
          </w:tcPr>
          <w:p w14:paraId="178DBE0A">
            <w:pPr>
              <w:pStyle w:val="35"/>
              <w:spacing w:before="0"/>
              <w:jc w:val="both"/>
              <w:rPr>
                <w:rFonts w:ascii="Arial" w:hAnsi="Arial" w:cs="Arial"/>
                <w:sz w:val="20"/>
                <w:szCs w:val="20"/>
              </w:rPr>
            </w:pPr>
            <w:r>
              <w:rPr>
                <w:rFonts w:ascii="Arial" w:hAnsi="Arial" w:cs="Arial"/>
                <w:sz w:val="20"/>
                <w:szCs w:val="20"/>
              </w:rPr>
              <w:t>897/1344 (66.7%)</w:t>
            </w:r>
          </w:p>
        </w:tc>
        <w:tc>
          <w:tcPr>
            <w:tcW w:w="2410" w:type="dxa"/>
            <w:gridSpan w:val="2"/>
            <w:vAlign w:val="center"/>
          </w:tcPr>
          <w:p w14:paraId="1D6C092A">
            <w:pPr>
              <w:pStyle w:val="35"/>
              <w:spacing w:before="0"/>
              <w:jc w:val="both"/>
              <w:rPr>
                <w:rFonts w:ascii="Arial" w:hAnsi="Arial" w:cs="Arial"/>
                <w:sz w:val="20"/>
                <w:szCs w:val="20"/>
              </w:rPr>
            </w:pPr>
            <w:r>
              <w:rPr>
                <w:rFonts w:ascii="Arial" w:hAnsi="Arial" w:cs="Arial"/>
                <w:sz w:val="20"/>
                <w:szCs w:val="20"/>
              </w:rPr>
              <w:t>62/120 (51.7%)</w:t>
            </w:r>
          </w:p>
        </w:tc>
      </w:tr>
      <w:tr w14:paraId="1CA9ADA1">
        <w:trPr>
          <w:trHeight w:val="229" w:hRule="atLeast"/>
        </w:trPr>
        <w:tc>
          <w:tcPr>
            <w:tcW w:w="3828" w:type="dxa"/>
            <w:shd w:val="clear" w:color="auto" w:fill="auto"/>
            <w:vAlign w:val="center"/>
          </w:tcPr>
          <w:p w14:paraId="5E1E61B1">
            <w:pPr>
              <w:pStyle w:val="35"/>
              <w:spacing w:before="0"/>
              <w:ind w:left="220" w:leftChars="100"/>
              <w:jc w:val="both"/>
              <w:rPr>
                <w:rFonts w:ascii="Arial" w:hAnsi="Arial" w:cs="Arial"/>
                <w:sz w:val="20"/>
                <w:szCs w:val="20"/>
              </w:rPr>
            </w:pPr>
            <w:r>
              <w:rPr>
                <w:rFonts w:ascii="Arial" w:hAnsi="Arial" w:cs="Arial"/>
                <w:sz w:val="20"/>
                <w:szCs w:val="20"/>
              </w:rPr>
              <w:t>SpO</w:t>
            </w:r>
            <w:r>
              <w:rPr>
                <w:vertAlign w:val="subscript"/>
              </w:rPr>
              <w:t>2</w:t>
            </w:r>
            <w:r>
              <w:rPr>
                <w:rFonts w:hint="eastAsia" w:eastAsia="宋体"/>
                <w:vertAlign w:val="subscript"/>
                <w:lang w:eastAsia="zh-CN"/>
              </w:rPr>
              <w:t xml:space="preserve"> </w:t>
            </w:r>
            <w:r>
              <w:rPr>
                <w:rFonts w:ascii="Arial" w:hAnsi="Arial" w:cs="Arial"/>
                <w:sz w:val="20"/>
                <w:szCs w:val="20"/>
              </w:rPr>
              <w:t xml:space="preserve">&lt; 98% </w:t>
            </w:r>
            <w:r>
              <w:rPr>
                <w:rFonts w:hint="eastAsia" w:ascii="Arial" w:hAnsi="Arial" w:eastAsia="宋体" w:cs="Arial"/>
                <w:sz w:val="20"/>
                <w:szCs w:val="20"/>
                <w:lang w:eastAsia="zh-CN"/>
              </w:rPr>
              <w:t>&amp; P</w:t>
            </w:r>
            <w:r>
              <w:rPr>
                <w:rFonts w:ascii="Arial" w:hAnsi="Arial" w:cs="Arial"/>
                <w:sz w:val="20"/>
                <w:szCs w:val="20"/>
              </w:rPr>
              <w:t>/F unavailable</w:t>
            </w:r>
          </w:p>
        </w:tc>
        <w:tc>
          <w:tcPr>
            <w:tcW w:w="1701" w:type="dxa"/>
            <w:shd w:val="clear" w:color="auto" w:fill="auto"/>
            <w:vAlign w:val="center"/>
          </w:tcPr>
          <w:p w14:paraId="2B4937AA">
            <w:pPr>
              <w:pStyle w:val="35"/>
              <w:spacing w:before="0"/>
              <w:jc w:val="both"/>
              <w:rPr>
                <w:rFonts w:ascii="Arial" w:hAnsi="Arial" w:cs="Arial"/>
                <w:sz w:val="20"/>
                <w:szCs w:val="20"/>
              </w:rPr>
            </w:pPr>
            <w:r>
              <w:rPr>
                <w:rFonts w:hint="eastAsia" w:ascii="Arial" w:hAnsi="Arial" w:eastAsia="宋体" w:cs="Arial"/>
                <w:sz w:val="20"/>
                <w:szCs w:val="20"/>
                <w:lang w:eastAsia="zh-CN"/>
              </w:rPr>
              <w:t>401</w:t>
            </w:r>
            <w:r>
              <w:rPr>
                <w:rFonts w:ascii="Arial" w:hAnsi="Arial" w:cs="Arial"/>
                <w:sz w:val="20"/>
                <w:szCs w:val="20"/>
              </w:rPr>
              <w:t>/</w:t>
            </w:r>
            <w:r>
              <w:rPr>
                <w:rFonts w:hint="eastAsia" w:ascii="Arial" w:hAnsi="Arial" w:eastAsia="宋体" w:cs="Arial"/>
                <w:sz w:val="20"/>
                <w:szCs w:val="20"/>
                <w:lang w:eastAsia="zh-CN"/>
              </w:rPr>
              <w:t>1150</w:t>
            </w:r>
            <w:r>
              <w:rPr>
                <w:rFonts w:ascii="Arial" w:hAnsi="Arial" w:cs="Arial"/>
                <w:sz w:val="20"/>
                <w:szCs w:val="20"/>
              </w:rPr>
              <w:t>(</w:t>
            </w:r>
            <w:r>
              <w:rPr>
                <w:rFonts w:hint="eastAsia" w:ascii="Arial" w:hAnsi="Arial" w:eastAsia="宋体" w:cs="Arial"/>
                <w:sz w:val="20"/>
                <w:szCs w:val="20"/>
                <w:lang w:eastAsia="zh-CN"/>
              </w:rPr>
              <w:t>34</w:t>
            </w:r>
            <w:r>
              <w:rPr>
                <w:rFonts w:ascii="Arial" w:hAnsi="Arial" w:cs="Arial"/>
                <w:sz w:val="20"/>
                <w:szCs w:val="20"/>
              </w:rPr>
              <w:t>.</w:t>
            </w:r>
            <w:r>
              <w:rPr>
                <w:rFonts w:hint="eastAsia" w:ascii="Arial" w:hAnsi="Arial" w:eastAsia="宋体" w:cs="Arial"/>
                <w:sz w:val="20"/>
                <w:szCs w:val="20"/>
                <w:lang w:eastAsia="zh-CN"/>
              </w:rPr>
              <w:t>9</w:t>
            </w:r>
            <w:r>
              <w:rPr>
                <w:rFonts w:ascii="Arial" w:hAnsi="Arial" w:cs="Arial"/>
                <w:sz w:val="20"/>
                <w:szCs w:val="20"/>
              </w:rPr>
              <w:t>%)</w:t>
            </w:r>
          </w:p>
        </w:tc>
        <w:tc>
          <w:tcPr>
            <w:tcW w:w="1899" w:type="dxa"/>
            <w:shd w:val="clear" w:color="auto" w:fill="auto"/>
            <w:vAlign w:val="center"/>
          </w:tcPr>
          <w:p w14:paraId="0A2BE76E">
            <w:pPr>
              <w:pStyle w:val="35"/>
              <w:spacing w:before="0"/>
              <w:jc w:val="both"/>
              <w:rPr>
                <w:rFonts w:ascii="Arial" w:hAnsi="Arial" w:cs="Arial"/>
                <w:sz w:val="20"/>
                <w:szCs w:val="20"/>
              </w:rPr>
            </w:pPr>
            <w:r>
              <w:rPr>
                <w:rFonts w:hint="eastAsia" w:ascii="Arial" w:hAnsi="Arial" w:eastAsia="宋体" w:cs="Arial"/>
                <w:sz w:val="20"/>
                <w:szCs w:val="20"/>
                <w:lang w:eastAsia="zh-CN"/>
              </w:rPr>
              <w:t>472</w:t>
            </w:r>
            <w:r>
              <w:rPr>
                <w:rFonts w:ascii="Arial" w:hAnsi="Arial" w:cs="Arial"/>
                <w:sz w:val="20"/>
                <w:szCs w:val="20"/>
              </w:rPr>
              <w:t>/</w:t>
            </w:r>
            <w:r>
              <w:rPr>
                <w:rFonts w:hint="eastAsia" w:ascii="Arial" w:hAnsi="Arial" w:eastAsia="宋体" w:cs="Arial"/>
                <w:sz w:val="20"/>
                <w:szCs w:val="20"/>
                <w:lang w:eastAsia="zh-CN"/>
              </w:rPr>
              <w:t>1344</w:t>
            </w:r>
            <w:r>
              <w:rPr>
                <w:rFonts w:ascii="Arial" w:hAnsi="Arial" w:cs="Arial"/>
                <w:sz w:val="20"/>
                <w:szCs w:val="20"/>
              </w:rPr>
              <w:t>(</w:t>
            </w:r>
            <w:r>
              <w:rPr>
                <w:rFonts w:hint="eastAsia" w:ascii="Arial" w:hAnsi="Arial" w:eastAsia="宋体" w:cs="Arial"/>
                <w:sz w:val="20"/>
                <w:szCs w:val="20"/>
                <w:lang w:eastAsia="zh-CN"/>
              </w:rPr>
              <w:t>35</w:t>
            </w:r>
            <w:r>
              <w:rPr>
                <w:rFonts w:ascii="Arial" w:hAnsi="Arial" w:cs="Arial"/>
                <w:sz w:val="20"/>
                <w:szCs w:val="20"/>
              </w:rPr>
              <w:t>.</w:t>
            </w:r>
            <w:r>
              <w:rPr>
                <w:rFonts w:hint="eastAsia" w:ascii="Arial" w:hAnsi="Arial" w:eastAsia="宋体" w:cs="Arial"/>
                <w:sz w:val="20"/>
                <w:szCs w:val="20"/>
                <w:lang w:eastAsia="zh-CN"/>
              </w:rPr>
              <w:t>1</w:t>
            </w:r>
            <w:r>
              <w:rPr>
                <w:rFonts w:ascii="Arial" w:hAnsi="Arial" w:cs="Arial"/>
                <w:sz w:val="20"/>
                <w:szCs w:val="20"/>
              </w:rPr>
              <w:t>%)</w:t>
            </w:r>
          </w:p>
        </w:tc>
        <w:tc>
          <w:tcPr>
            <w:tcW w:w="2410" w:type="dxa"/>
            <w:gridSpan w:val="2"/>
            <w:shd w:val="clear" w:color="auto" w:fill="auto"/>
            <w:vAlign w:val="center"/>
          </w:tcPr>
          <w:p w14:paraId="6B3D581A">
            <w:pPr>
              <w:pStyle w:val="35"/>
              <w:spacing w:before="0"/>
              <w:jc w:val="both"/>
              <w:rPr>
                <w:rFonts w:ascii="Arial" w:hAnsi="Arial" w:cs="Arial"/>
                <w:sz w:val="20"/>
                <w:szCs w:val="20"/>
              </w:rPr>
            </w:pPr>
            <w:r>
              <w:rPr>
                <w:rFonts w:hint="eastAsia" w:ascii="Arial" w:hAnsi="Arial" w:eastAsia="宋体" w:cs="Arial"/>
                <w:sz w:val="20"/>
                <w:szCs w:val="20"/>
                <w:lang w:eastAsia="zh-CN"/>
              </w:rPr>
              <w:t>1</w:t>
            </w:r>
            <w:r>
              <w:rPr>
                <w:rFonts w:ascii="Arial" w:hAnsi="Arial" w:cs="Arial"/>
                <w:sz w:val="20"/>
                <w:szCs w:val="20"/>
              </w:rPr>
              <w:t>/</w:t>
            </w:r>
            <w:r>
              <w:rPr>
                <w:rFonts w:hint="eastAsia" w:ascii="Arial" w:hAnsi="Arial" w:eastAsia="宋体" w:cs="Arial"/>
                <w:sz w:val="20"/>
                <w:szCs w:val="20"/>
                <w:lang w:eastAsia="zh-CN"/>
              </w:rPr>
              <w:t>120</w:t>
            </w:r>
            <w:r>
              <w:rPr>
                <w:rFonts w:ascii="Arial" w:hAnsi="Arial" w:cs="Arial"/>
                <w:sz w:val="20"/>
                <w:szCs w:val="20"/>
              </w:rPr>
              <w:t>(0.8%)</w:t>
            </w:r>
          </w:p>
        </w:tc>
      </w:tr>
      <w:tr w14:paraId="29A295F6">
        <w:trPr>
          <w:trHeight w:val="229" w:hRule="atLeast"/>
        </w:trPr>
        <w:tc>
          <w:tcPr>
            <w:tcW w:w="3828" w:type="dxa"/>
            <w:vAlign w:val="center"/>
          </w:tcPr>
          <w:p w14:paraId="37EA6A7F">
            <w:pPr>
              <w:pStyle w:val="35"/>
              <w:spacing w:before="0"/>
              <w:ind w:left="220" w:leftChars="100"/>
              <w:jc w:val="both"/>
              <w:rPr>
                <w:rFonts w:ascii="Arial" w:hAnsi="Arial" w:cs="Arial"/>
                <w:sz w:val="20"/>
                <w:szCs w:val="20"/>
              </w:rPr>
            </w:pPr>
            <w:r>
              <w:rPr>
                <w:rFonts w:ascii="Arial" w:hAnsi="Arial" w:cs="Arial"/>
                <w:sz w:val="20"/>
                <w:szCs w:val="20"/>
              </w:rPr>
              <w:t>FiO</w:t>
            </w:r>
            <w:r>
              <w:rPr>
                <w:vertAlign w:val="subscript"/>
              </w:rPr>
              <w:t>2</w:t>
            </w:r>
            <w:r>
              <w:rPr>
                <w:rFonts w:ascii="Arial" w:hAnsi="Arial" w:cs="Arial"/>
                <w:sz w:val="20"/>
                <w:szCs w:val="20"/>
              </w:rPr>
              <w:t xml:space="preserve"> (%)</w:t>
            </w:r>
          </w:p>
        </w:tc>
        <w:tc>
          <w:tcPr>
            <w:tcW w:w="1701" w:type="dxa"/>
            <w:vAlign w:val="center"/>
          </w:tcPr>
          <w:p w14:paraId="5F4E77A2">
            <w:pPr>
              <w:pStyle w:val="35"/>
              <w:spacing w:before="0"/>
              <w:jc w:val="both"/>
              <w:rPr>
                <w:rFonts w:ascii="Arial" w:hAnsi="Arial" w:cs="Arial"/>
                <w:sz w:val="20"/>
                <w:szCs w:val="20"/>
              </w:rPr>
            </w:pPr>
            <w:r>
              <w:rPr>
                <w:rFonts w:ascii="Arial" w:hAnsi="Arial" w:cs="Arial"/>
                <w:sz w:val="20"/>
                <w:szCs w:val="20"/>
              </w:rPr>
              <w:t>50.00 ± 14.31</w:t>
            </w:r>
          </w:p>
        </w:tc>
        <w:tc>
          <w:tcPr>
            <w:tcW w:w="1899" w:type="dxa"/>
            <w:vAlign w:val="center"/>
          </w:tcPr>
          <w:p w14:paraId="434C5096">
            <w:pPr>
              <w:pStyle w:val="35"/>
              <w:spacing w:before="0"/>
              <w:jc w:val="both"/>
              <w:rPr>
                <w:rFonts w:ascii="Arial" w:hAnsi="Arial" w:cs="Arial"/>
                <w:sz w:val="20"/>
                <w:szCs w:val="20"/>
              </w:rPr>
            </w:pPr>
            <w:r>
              <w:rPr>
                <w:rFonts w:ascii="Arial" w:hAnsi="Arial" w:cs="Arial"/>
                <w:sz w:val="20"/>
                <w:szCs w:val="20"/>
              </w:rPr>
              <w:t>45.98 ± 19.06</w:t>
            </w:r>
          </w:p>
        </w:tc>
        <w:tc>
          <w:tcPr>
            <w:tcW w:w="2410" w:type="dxa"/>
            <w:gridSpan w:val="2"/>
            <w:vAlign w:val="center"/>
          </w:tcPr>
          <w:p w14:paraId="615DFD8E">
            <w:pPr>
              <w:pStyle w:val="35"/>
              <w:spacing w:before="0"/>
              <w:jc w:val="both"/>
              <w:rPr>
                <w:rFonts w:ascii="Arial" w:hAnsi="Arial" w:cs="Arial"/>
                <w:sz w:val="20"/>
                <w:szCs w:val="20"/>
              </w:rPr>
            </w:pPr>
            <w:r>
              <w:rPr>
                <w:rFonts w:ascii="Arial" w:hAnsi="Arial" w:cs="Arial"/>
                <w:sz w:val="20"/>
                <w:szCs w:val="20"/>
              </w:rPr>
              <w:t>45.18 ± 9.02</w:t>
            </w:r>
          </w:p>
        </w:tc>
      </w:tr>
      <w:tr w14:paraId="4BEE4C41">
        <w:trPr>
          <w:trHeight w:val="225" w:hRule="atLeast"/>
        </w:trPr>
        <w:tc>
          <w:tcPr>
            <w:tcW w:w="3828" w:type="dxa"/>
            <w:vAlign w:val="center"/>
          </w:tcPr>
          <w:p w14:paraId="7AE08F20">
            <w:pPr>
              <w:pStyle w:val="35"/>
              <w:spacing w:before="0"/>
              <w:ind w:left="220" w:leftChars="100"/>
              <w:jc w:val="both"/>
              <w:rPr>
                <w:rFonts w:ascii="Arial" w:hAnsi="Arial" w:cs="Arial"/>
                <w:sz w:val="20"/>
                <w:szCs w:val="20"/>
              </w:rPr>
            </w:pPr>
            <w:r>
              <w:rPr>
                <w:rFonts w:ascii="Arial" w:hAnsi="Arial" w:cs="Arial"/>
                <w:sz w:val="20"/>
                <w:szCs w:val="20"/>
              </w:rPr>
              <w:t>HFNC/NIV use</w:t>
            </w:r>
          </w:p>
        </w:tc>
        <w:tc>
          <w:tcPr>
            <w:tcW w:w="1701" w:type="dxa"/>
            <w:vAlign w:val="center"/>
          </w:tcPr>
          <w:p w14:paraId="020CEC51">
            <w:pPr>
              <w:pStyle w:val="35"/>
              <w:spacing w:before="0"/>
              <w:jc w:val="both"/>
              <w:rPr>
                <w:rFonts w:ascii="Arial" w:hAnsi="Arial" w:cs="Arial"/>
                <w:sz w:val="20"/>
                <w:szCs w:val="20"/>
              </w:rPr>
            </w:pPr>
            <w:r>
              <w:rPr>
                <w:rFonts w:ascii="Arial" w:hAnsi="Arial" w:cs="Arial"/>
                <w:sz w:val="20"/>
                <w:szCs w:val="20"/>
              </w:rPr>
              <w:t>500 (43.03%)</w:t>
            </w:r>
          </w:p>
        </w:tc>
        <w:tc>
          <w:tcPr>
            <w:tcW w:w="1899" w:type="dxa"/>
            <w:vAlign w:val="center"/>
          </w:tcPr>
          <w:p w14:paraId="3A72A957">
            <w:pPr>
              <w:pStyle w:val="35"/>
              <w:spacing w:before="0"/>
              <w:jc w:val="both"/>
              <w:rPr>
                <w:rFonts w:ascii="Arial" w:hAnsi="Arial" w:cs="Arial"/>
                <w:sz w:val="20"/>
                <w:szCs w:val="20"/>
              </w:rPr>
            </w:pPr>
            <w:r>
              <w:rPr>
                <w:rFonts w:ascii="Arial" w:hAnsi="Arial" w:cs="Arial"/>
                <w:sz w:val="20"/>
                <w:szCs w:val="20"/>
              </w:rPr>
              <w:t>440 (32.31%)</w:t>
            </w:r>
          </w:p>
        </w:tc>
        <w:tc>
          <w:tcPr>
            <w:tcW w:w="2410" w:type="dxa"/>
            <w:gridSpan w:val="2"/>
            <w:vAlign w:val="center"/>
          </w:tcPr>
          <w:p w14:paraId="29EA8D2B">
            <w:pPr>
              <w:pStyle w:val="35"/>
              <w:spacing w:before="0"/>
              <w:jc w:val="both"/>
              <w:rPr>
                <w:rFonts w:ascii="Arial" w:hAnsi="Arial" w:cs="Arial"/>
                <w:sz w:val="20"/>
                <w:szCs w:val="20"/>
              </w:rPr>
            </w:pPr>
            <w:r>
              <w:rPr>
                <w:rFonts w:ascii="Arial" w:hAnsi="Arial" w:cs="Arial"/>
                <w:sz w:val="20"/>
                <w:szCs w:val="20"/>
              </w:rPr>
              <w:t>83 (68.03%)</w:t>
            </w:r>
          </w:p>
        </w:tc>
      </w:tr>
      <w:tr w14:paraId="1CEC8982">
        <w:trPr>
          <w:trHeight w:val="229" w:hRule="atLeast"/>
        </w:trPr>
        <w:tc>
          <w:tcPr>
            <w:tcW w:w="3828" w:type="dxa"/>
            <w:vAlign w:val="center"/>
          </w:tcPr>
          <w:p w14:paraId="17EA3CAD">
            <w:pPr>
              <w:pStyle w:val="35"/>
              <w:spacing w:before="0"/>
              <w:ind w:left="220" w:leftChars="100"/>
              <w:jc w:val="both"/>
              <w:rPr>
                <w:rFonts w:ascii="Arial" w:hAnsi="Arial" w:cs="Arial"/>
                <w:sz w:val="20"/>
                <w:szCs w:val="20"/>
              </w:rPr>
            </w:pPr>
            <w:r>
              <w:rPr>
                <w:rFonts w:ascii="Arial" w:hAnsi="Arial" w:cs="Arial"/>
                <w:sz w:val="20"/>
                <w:szCs w:val="20"/>
              </w:rPr>
              <w:t>Invasive MV</w:t>
            </w:r>
          </w:p>
        </w:tc>
        <w:tc>
          <w:tcPr>
            <w:tcW w:w="1701" w:type="dxa"/>
            <w:vAlign w:val="center"/>
          </w:tcPr>
          <w:p w14:paraId="6E96C76D">
            <w:pPr>
              <w:pStyle w:val="35"/>
              <w:spacing w:before="0"/>
              <w:jc w:val="both"/>
              <w:rPr>
                <w:rFonts w:ascii="Arial" w:hAnsi="Arial" w:cs="Arial"/>
                <w:sz w:val="20"/>
                <w:szCs w:val="20"/>
              </w:rPr>
            </w:pPr>
            <w:r>
              <w:rPr>
                <w:rFonts w:ascii="Arial" w:hAnsi="Arial" w:cs="Arial"/>
                <w:sz w:val="20"/>
                <w:szCs w:val="20"/>
              </w:rPr>
              <w:t>376 (32.36%)</w:t>
            </w:r>
          </w:p>
        </w:tc>
        <w:tc>
          <w:tcPr>
            <w:tcW w:w="1899" w:type="dxa"/>
            <w:vAlign w:val="center"/>
          </w:tcPr>
          <w:p w14:paraId="6B971484">
            <w:pPr>
              <w:pStyle w:val="35"/>
              <w:spacing w:before="0"/>
              <w:jc w:val="both"/>
              <w:rPr>
                <w:rFonts w:ascii="Arial" w:hAnsi="Arial" w:cs="Arial"/>
                <w:sz w:val="20"/>
                <w:szCs w:val="20"/>
              </w:rPr>
            </w:pPr>
            <w:r>
              <w:rPr>
                <w:rFonts w:ascii="Arial" w:hAnsi="Arial" w:cs="Arial"/>
                <w:sz w:val="20"/>
                <w:szCs w:val="20"/>
              </w:rPr>
              <w:t>759 (55.73%)</w:t>
            </w:r>
          </w:p>
        </w:tc>
        <w:tc>
          <w:tcPr>
            <w:tcW w:w="2410" w:type="dxa"/>
            <w:gridSpan w:val="2"/>
            <w:vAlign w:val="center"/>
          </w:tcPr>
          <w:p w14:paraId="50CE6071">
            <w:pPr>
              <w:pStyle w:val="35"/>
              <w:spacing w:before="0"/>
              <w:jc w:val="both"/>
              <w:rPr>
                <w:rFonts w:ascii="Arial" w:hAnsi="Arial" w:cs="Arial"/>
                <w:sz w:val="20"/>
                <w:szCs w:val="20"/>
              </w:rPr>
            </w:pPr>
            <w:r>
              <w:rPr>
                <w:rFonts w:ascii="Arial" w:hAnsi="Arial" w:cs="Arial"/>
                <w:sz w:val="20"/>
                <w:szCs w:val="20"/>
              </w:rPr>
              <w:t>85 (69.67%)</w:t>
            </w:r>
          </w:p>
        </w:tc>
      </w:tr>
      <w:tr w14:paraId="238E5E88">
        <w:trPr>
          <w:trHeight w:val="229" w:hRule="atLeast"/>
        </w:trPr>
        <w:tc>
          <w:tcPr>
            <w:tcW w:w="3828" w:type="dxa"/>
            <w:vAlign w:val="center"/>
          </w:tcPr>
          <w:p w14:paraId="518CE719">
            <w:pPr>
              <w:pStyle w:val="35"/>
              <w:spacing w:before="0"/>
              <w:ind w:left="220" w:leftChars="100"/>
              <w:jc w:val="both"/>
              <w:rPr>
                <w:rFonts w:ascii="Arial" w:hAnsi="Arial" w:cs="Arial"/>
                <w:sz w:val="20"/>
                <w:szCs w:val="20"/>
              </w:rPr>
            </w:pPr>
            <w:r>
              <w:rPr>
                <w:rFonts w:ascii="Arial" w:hAnsi="Arial" w:cs="Arial"/>
                <w:sz w:val="20"/>
                <w:szCs w:val="20"/>
              </w:rPr>
              <w:t>ECMO use</w:t>
            </w:r>
          </w:p>
        </w:tc>
        <w:tc>
          <w:tcPr>
            <w:tcW w:w="1701" w:type="dxa"/>
            <w:vAlign w:val="center"/>
          </w:tcPr>
          <w:p w14:paraId="06DA03E2">
            <w:pPr>
              <w:pStyle w:val="35"/>
              <w:spacing w:before="0"/>
              <w:jc w:val="both"/>
              <w:rPr>
                <w:rFonts w:ascii="Arial" w:hAnsi="Arial" w:cs="Arial"/>
                <w:sz w:val="20"/>
                <w:szCs w:val="20"/>
              </w:rPr>
            </w:pPr>
            <w:r>
              <w:rPr>
                <w:rFonts w:ascii="Arial" w:hAnsi="Arial" w:cs="Arial"/>
                <w:sz w:val="20"/>
                <w:szCs w:val="20"/>
              </w:rPr>
              <w:t>1 (0.09%)</w:t>
            </w:r>
          </w:p>
        </w:tc>
        <w:tc>
          <w:tcPr>
            <w:tcW w:w="1899" w:type="dxa"/>
            <w:vAlign w:val="center"/>
          </w:tcPr>
          <w:p w14:paraId="331BCFA8">
            <w:pPr>
              <w:pStyle w:val="35"/>
              <w:spacing w:before="0"/>
              <w:jc w:val="both"/>
              <w:rPr>
                <w:rFonts w:ascii="Arial" w:hAnsi="Arial" w:cs="Arial"/>
                <w:sz w:val="20"/>
                <w:szCs w:val="20"/>
              </w:rPr>
            </w:pPr>
            <w:r>
              <w:rPr>
                <w:rFonts w:ascii="Arial" w:hAnsi="Arial" w:cs="Arial"/>
                <w:sz w:val="20"/>
                <w:szCs w:val="20"/>
              </w:rPr>
              <w:t>N/A</w:t>
            </w:r>
          </w:p>
        </w:tc>
        <w:tc>
          <w:tcPr>
            <w:tcW w:w="2410" w:type="dxa"/>
            <w:gridSpan w:val="2"/>
            <w:vAlign w:val="center"/>
          </w:tcPr>
          <w:p w14:paraId="051B88EA">
            <w:pPr>
              <w:pStyle w:val="35"/>
              <w:spacing w:before="0"/>
              <w:jc w:val="both"/>
              <w:rPr>
                <w:rFonts w:ascii="Arial" w:hAnsi="Arial" w:cs="Arial"/>
                <w:sz w:val="20"/>
                <w:szCs w:val="20"/>
              </w:rPr>
            </w:pPr>
            <w:r>
              <w:rPr>
                <w:rFonts w:ascii="Arial" w:hAnsi="Arial" w:cs="Arial"/>
                <w:sz w:val="20"/>
                <w:szCs w:val="20"/>
              </w:rPr>
              <w:t>0 (0.00%)</w:t>
            </w:r>
          </w:p>
        </w:tc>
      </w:tr>
      <w:tr w14:paraId="14FBEAA4">
        <w:trPr>
          <w:trHeight w:val="229" w:hRule="atLeast"/>
        </w:trPr>
        <w:tc>
          <w:tcPr>
            <w:tcW w:w="3828" w:type="dxa"/>
            <w:vAlign w:val="center"/>
          </w:tcPr>
          <w:p w14:paraId="74D46BE6">
            <w:pPr>
              <w:pStyle w:val="35"/>
              <w:spacing w:before="0"/>
              <w:ind w:left="220" w:leftChars="100"/>
              <w:jc w:val="both"/>
              <w:rPr>
                <w:rFonts w:ascii="Arial" w:hAnsi="Arial" w:cs="Arial"/>
                <w:sz w:val="20"/>
                <w:szCs w:val="20"/>
              </w:rPr>
            </w:pPr>
            <w:r>
              <w:rPr>
                <w:rFonts w:ascii="Arial" w:hAnsi="Arial" w:cs="Arial"/>
                <w:sz w:val="20"/>
                <w:szCs w:val="20"/>
              </w:rPr>
              <w:t>Any advanced respiratory support</w:t>
            </w:r>
          </w:p>
        </w:tc>
        <w:tc>
          <w:tcPr>
            <w:tcW w:w="1701" w:type="dxa"/>
            <w:vAlign w:val="center"/>
          </w:tcPr>
          <w:p w14:paraId="641F88F2">
            <w:pPr>
              <w:pStyle w:val="35"/>
              <w:spacing w:before="0"/>
              <w:jc w:val="both"/>
              <w:rPr>
                <w:rFonts w:ascii="Arial" w:hAnsi="Arial" w:cs="Arial"/>
                <w:sz w:val="20"/>
                <w:szCs w:val="20"/>
              </w:rPr>
            </w:pPr>
            <w:r>
              <w:rPr>
                <w:rFonts w:ascii="Arial" w:hAnsi="Arial" w:cs="Arial"/>
                <w:sz w:val="20"/>
                <w:szCs w:val="20"/>
              </w:rPr>
              <w:t>514 (44.23%)</w:t>
            </w:r>
          </w:p>
        </w:tc>
        <w:tc>
          <w:tcPr>
            <w:tcW w:w="1899" w:type="dxa"/>
            <w:vAlign w:val="center"/>
          </w:tcPr>
          <w:p w14:paraId="0097E687">
            <w:pPr>
              <w:pStyle w:val="35"/>
              <w:spacing w:before="0"/>
              <w:jc w:val="both"/>
              <w:rPr>
                <w:rFonts w:ascii="Arial" w:hAnsi="Arial" w:cs="Arial"/>
                <w:sz w:val="20"/>
                <w:szCs w:val="20"/>
              </w:rPr>
            </w:pPr>
            <w:r>
              <w:rPr>
                <w:rFonts w:ascii="Arial" w:hAnsi="Arial" w:cs="Arial"/>
                <w:sz w:val="20"/>
                <w:szCs w:val="20"/>
              </w:rPr>
              <w:t>785 (57.64%)</w:t>
            </w:r>
          </w:p>
        </w:tc>
        <w:tc>
          <w:tcPr>
            <w:tcW w:w="2410" w:type="dxa"/>
            <w:gridSpan w:val="2"/>
            <w:vAlign w:val="center"/>
          </w:tcPr>
          <w:p w14:paraId="3239149C">
            <w:pPr>
              <w:pStyle w:val="35"/>
              <w:spacing w:before="0"/>
              <w:jc w:val="both"/>
              <w:rPr>
                <w:rFonts w:ascii="Arial" w:hAnsi="Arial" w:cs="Arial"/>
                <w:sz w:val="20"/>
                <w:szCs w:val="20"/>
              </w:rPr>
            </w:pPr>
            <w:r>
              <w:rPr>
                <w:rFonts w:ascii="Arial" w:hAnsi="Arial" w:cs="Arial"/>
                <w:sz w:val="20"/>
                <w:szCs w:val="20"/>
              </w:rPr>
              <w:t>85 (69.67%)</w:t>
            </w:r>
          </w:p>
        </w:tc>
      </w:tr>
      <w:tr w14:paraId="50F7F942">
        <w:trPr>
          <w:trHeight w:val="229" w:hRule="atLeast"/>
        </w:trPr>
        <w:tc>
          <w:tcPr>
            <w:tcW w:w="3828" w:type="dxa"/>
            <w:vAlign w:val="center"/>
          </w:tcPr>
          <w:p w14:paraId="7824507B">
            <w:pPr>
              <w:pStyle w:val="35"/>
              <w:spacing w:before="0"/>
              <w:ind w:left="220" w:leftChars="100"/>
              <w:jc w:val="both"/>
              <w:rPr>
                <w:rFonts w:ascii="Arial" w:hAnsi="Arial" w:cs="Arial"/>
                <w:sz w:val="20"/>
                <w:szCs w:val="20"/>
              </w:rPr>
            </w:pPr>
            <w:r>
              <w:rPr>
                <w:rFonts w:ascii="Arial" w:hAnsi="Arial" w:cs="Arial"/>
                <w:sz w:val="20"/>
                <w:szCs w:val="20"/>
              </w:rPr>
              <w:t>SOFA-1 respiratory score</w:t>
            </w:r>
          </w:p>
        </w:tc>
        <w:tc>
          <w:tcPr>
            <w:tcW w:w="1701" w:type="dxa"/>
            <w:vAlign w:val="center"/>
          </w:tcPr>
          <w:p w14:paraId="27411BFD">
            <w:pPr>
              <w:pStyle w:val="35"/>
              <w:spacing w:before="0"/>
              <w:jc w:val="both"/>
              <w:rPr>
                <w:rFonts w:ascii="Arial" w:hAnsi="Arial" w:cs="Arial"/>
                <w:sz w:val="20"/>
                <w:szCs w:val="20"/>
              </w:rPr>
            </w:pPr>
            <w:r>
              <w:rPr>
                <w:rFonts w:ascii="Arial" w:hAnsi="Arial" w:cs="Arial"/>
                <w:sz w:val="20"/>
                <w:szCs w:val="20"/>
              </w:rPr>
              <w:t>1.85 ± 1.10</w:t>
            </w:r>
          </w:p>
        </w:tc>
        <w:tc>
          <w:tcPr>
            <w:tcW w:w="1899" w:type="dxa"/>
            <w:vAlign w:val="center"/>
          </w:tcPr>
          <w:p w14:paraId="3CFDA69D">
            <w:pPr>
              <w:pStyle w:val="35"/>
              <w:spacing w:before="0"/>
              <w:jc w:val="both"/>
              <w:rPr>
                <w:rFonts w:ascii="Arial" w:hAnsi="Arial" w:cs="Arial"/>
                <w:sz w:val="20"/>
                <w:szCs w:val="20"/>
              </w:rPr>
            </w:pPr>
            <w:r>
              <w:rPr>
                <w:rFonts w:ascii="Arial" w:hAnsi="Arial" w:cs="Arial"/>
                <w:sz w:val="20"/>
                <w:szCs w:val="20"/>
              </w:rPr>
              <w:t>1.62 ± 1.29</w:t>
            </w:r>
          </w:p>
        </w:tc>
        <w:tc>
          <w:tcPr>
            <w:tcW w:w="2410" w:type="dxa"/>
            <w:gridSpan w:val="2"/>
            <w:vAlign w:val="center"/>
          </w:tcPr>
          <w:p w14:paraId="0D580529">
            <w:pPr>
              <w:pStyle w:val="35"/>
              <w:spacing w:before="0"/>
              <w:jc w:val="both"/>
              <w:rPr>
                <w:rFonts w:ascii="Arial" w:hAnsi="Arial" w:cs="Arial"/>
                <w:sz w:val="20"/>
                <w:szCs w:val="20"/>
              </w:rPr>
            </w:pPr>
            <w:r>
              <w:rPr>
                <w:rFonts w:ascii="Arial" w:hAnsi="Arial" w:cs="Arial"/>
                <w:sz w:val="20"/>
                <w:szCs w:val="20"/>
              </w:rPr>
              <w:t>2.07 ± 1.26</w:t>
            </w:r>
          </w:p>
        </w:tc>
      </w:tr>
      <w:tr w14:paraId="277605A8">
        <w:trPr>
          <w:trHeight w:val="210" w:hRule="atLeast"/>
        </w:trPr>
        <w:tc>
          <w:tcPr>
            <w:tcW w:w="3828" w:type="dxa"/>
            <w:vAlign w:val="center"/>
          </w:tcPr>
          <w:p w14:paraId="0B6FAE1B">
            <w:pPr>
              <w:pStyle w:val="35"/>
              <w:spacing w:before="0"/>
              <w:ind w:left="220" w:leftChars="100"/>
              <w:jc w:val="both"/>
              <w:rPr>
                <w:rFonts w:ascii="Arial" w:hAnsi="Arial" w:cs="Arial"/>
                <w:sz w:val="20"/>
                <w:szCs w:val="20"/>
              </w:rPr>
            </w:pPr>
            <w:r>
              <w:rPr>
                <w:rFonts w:ascii="Arial" w:hAnsi="Arial" w:cs="Arial"/>
                <w:sz w:val="20"/>
                <w:szCs w:val="20"/>
              </w:rPr>
              <w:t>SOFA-2 respiratory score</w:t>
            </w:r>
          </w:p>
        </w:tc>
        <w:tc>
          <w:tcPr>
            <w:tcW w:w="1701" w:type="dxa"/>
            <w:vAlign w:val="center"/>
          </w:tcPr>
          <w:p w14:paraId="70E2CBC9">
            <w:pPr>
              <w:pStyle w:val="35"/>
              <w:spacing w:before="0"/>
              <w:jc w:val="both"/>
              <w:rPr>
                <w:rFonts w:ascii="Arial" w:hAnsi="Arial" w:cs="Arial"/>
                <w:sz w:val="20"/>
                <w:szCs w:val="20"/>
              </w:rPr>
            </w:pPr>
            <w:r>
              <w:rPr>
                <w:rFonts w:ascii="Arial" w:hAnsi="Arial" w:cs="Arial"/>
                <w:sz w:val="20"/>
                <w:szCs w:val="20"/>
              </w:rPr>
              <w:t>1.72 ± 1.82</w:t>
            </w:r>
          </w:p>
        </w:tc>
        <w:tc>
          <w:tcPr>
            <w:tcW w:w="1899" w:type="dxa"/>
            <w:vAlign w:val="center"/>
          </w:tcPr>
          <w:p w14:paraId="249E958D">
            <w:pPr>
              <w:pStyle w:val="35"/>
              <w:spacing w:before="0"/>
              <w:jc w:val="both"/>
              <w:rPr>
                <w:rFonts w:ascii="Arial" w:hAnsi="Arial" w:cs="Arial"/>
                <w:sz w:val="20"/>
                <w:szCs w:val="20"/>
              </w:rPr>
            </w:pPr>
            <w:r>
              <w:rPr>
                <w:rFonts w:ascii="Arial" w:hAnsi="Arial" w:cs="Arial"/>
                <w:sz w:val="20"/>
                <w:szCs w:val="20"/>
              </w:rPr>
              <w:t>1.21 ± 1.42</w:t>
            </w:r>
          </w:p>
        </w:tc>
        <w:tc>
          <w:tcPr>
            <w:tcW w:w="2410" w:type="dxa"/>
            <w:gridSpan w:val="2"/>
            <w:vAlign w:val="center"/>
          </w:tcPr>
          <w:p w14:paraId="065D3819">
            <w:pPr>
              <w:pStyle w:val="35"/>
              <w:spacing w:before="0"/>
              <w:jc w:val="both"/>
              <w:rPr>
                <w:rFonts w:ascii="Arial" w:hAnsi="Arial" w:cs="Arial"/>
                <w:sz w:val="20"/>
                <w:szCs w:val="20"/>
              </w:rPr>
            </w:pPr>
            <w:r>
              <w:rPr>
                <w:rFonts w:ascii="Arial" w:hAnsi="Arial" w:cs="Arial"/>
                <w:sz w:val="20"/>
                <w:szCs w:val="20"/>
              </w:rPr>
              <w:t>1.59 ± 1.63</w:t>
            </w:r>
          </w:p>
        </w:tc>
      </w:tr>
      <w:tr w14:paraId="63654281">
        <w:trPr>
          <w:trHeight w:val="210" w:hRule="atLeast"/>
        </w:trPr>
        <w:tc>
          <w:tcPr>
            <w:tcW w:w="3828" w:type="dxa"/>
            <w:vAlign w:val="center"/>
          </w:tcPr>
          <w:p w14:paraId="38F1423F">
            <w:pPr>
              <w:pStyle w:val="35"/>
              <w:spacing w:before="0"/>
              <w:ind w:left="220" w:leftChars="100"/>
              <w:jc w:val="both"/>
              <w:rPr>
                <w:rFonts w:ascii="Arial" w:hAnsi="Arial" w:cs="Arial"/>
                <w:sz w:val="20"/>
                <w:szCs w:val="20"/>
              </w:rPr>
            </w:pPr>
            <w:r>
              <w:rPr>
                <w:rFonts w:ascii="Arial" w:hAnsi="Arial" w:cs="Arial"/>
                <w:sz w:val="20"/>
                <w:szCs w:val="20"/>
              </w:rPr>
              <w:t>Respiratory score difference</w:t>
            </w:r>
          </w:p>
        </w:tc>
        <w:tc>
          <w:tcPr>
            <w:tcW w:w="1701" w:type="dxa"/>
            <w:vAlign w:val="center"/>
          </w:tcPr>
          <w:p w14:paraId="7707888D">
            <w:pPr>
              <w:pStyle w:val="35"/>
              <w:spacing w:before="0"/>
              <w:jc w:val="both"/>
              <w:rPr>
                <w:rFonts w:ascii="Arial" w:hAnsi="Arial" w:cs="Arial"/>
                <w:sz w:val="20"/>
                <w:szCs w:val="20"/>
              </w:rPr>
            </w:pPr>
            <w:r>
              <w:rPr>
                <w:rFonts w:ascii="Arial" w:hAnsi="Arial" w:cs="Arial"/>
                <w:sz w:val="20"/>
                <w:szCs w:val="20"/>
              </w:rPr>
              <w:t>0.40 ± 1.36</w:t>
            </w:r>
          </w:p>
        </w:tc>
        <w:tc>
          <w:tcPr>
            <w:tcW w:w="1899" w:type="dxa"/>
            <w:vAlign w:val="center"/>
          </w:tcPr>
          <w:p w14:paraId="1D989056">
            <w:pPr>
              <w:pStyle w:val="35"/>
              <w:spacing w:before="0"/>
              <w:jc w:val="both"/>
              <w:rPr>
                <w:rFonts w:ascii="Arial" w:hAnsi="Arial" w:cs="Arial"/>
                <w:sz w:val="20"/>
                <w:szCs w:val="20"/>
              </w:rPr>
            </w:pPr>
            <w:r>
              <w:rPr>
                <w:rFonts w:ascii="Arial" w:hAnsi="Arial" w:cs="Arial"/>
                <w:sz w:val="20"/>
                <w:szCs w:val="20"/>
              </w:rPr>
              <w:t>−0.11 ± 1.13</w:t>
            </w:r>
          </w:p>
        </w:tc>
        <w:tc>
          <w:tcPr>
            <w:tcW w:w="2410" w:type="dxa"/>
            <w:gridSpan w:val="2"/>
            <w:vAlign w:val="center"/>
          </w:tcPr>
          <w:p w14:paraId="0E2DDF50">
            <w:pPr>
              <w:pStyle w:val="35"/>
              <w:spacing w:before="0"/>
              <w:jc w:val="both"/>
              <w:rPr>
                <w:rFonts w:ascii="Arial" w:hAnsi="Arial" w:cs="Arial"/>
                <w:sz w:val="20"/>
                <w:szCs w:val="20"/>
              </w:rPr>
            </w:pPr>
            <w:r>
              <w:rPr>
                <w:rFonts w:ascii="Arial" w:hAnsi="Arial" w:cs="Arial"/>
                <w:sz w:val="20"/>
                <w:szCs w:val="20"/>
              </w:rPr>
              <w:t>−0.50 ± 0.85</w:t>
            </w:r>
          </w:p>
        </w:tc>
      </w:tr>
      <w:tr w14:paraId="6B2E5936">
        <w:trPr>
          <w:trHeight w:val="229" w:hRule="atLeast"/>
        </w:trPr>
        <w:tc>
          <w:tcPr>
            <w:tcW w:w="3828" w:type="dxa"/>
            <w:vAlign w:val="center"/>
          </w:tcPr>
          <w:p w14:paraId="7A550C44">
            <w:pPr>
              <w:pStyle w:val="35"/>
              <w:spacing w:before="0"/>
              <w:jc w:val="both"/>
              <w:rPr>
                <w:rFonts w:ascii="Arial" w:hAnsi="Arial" w:cs="Arial" w:eastAsiaTheme="minorEastAsia"/>
                <w:b/>
                <w:sz w:val="20"/>
                <w:szCs w:val="20"/>
                <w:lang w:eastAsia="zh-CN"/>
              </w:rPr>
            </w:pPr>
            <w:r>
              <w:rPr>
                <w:rFonts w:ascii="Arial" w:hAnsi="Arial" w:cs="Arial"/>
                <w:b/>
                <w:sz w:val="20"/>
                <w:szCs w:val="20"/>
              </w:rPr>
              <w:t>Renal</w:t>
            </w:r>
            <w:r>
              <w:rPr>
                <w:rFonts w:ascii="Arial" w:hAnsi="Arial" w:cs="Arial"/>
                <w:b/>
                <w:spacing w:val="-5"/>
                <w:sz w:val="20"/>
                <w:szCs w:val="20"/>
              </w:rPr>
              <w:t xml:space="preserve"> </w:t>
            </w:r>
            <w:r>
              <w:rPr>
                <w:rFonts w:ascii="Arial" w:hAnsi="Arial" w:cs="Arial"/>
                <w:b/>
                <w:spacing w:val="-2"/>
                <w:sz w:val="20"/>
                <w:szCs w:val="20"/>
              </w:rPr>
              <w:t>System</w:t>
            </w:r>
          </w:p>
        </w:tc>
        <w:tc>
          <w:tcPr>
            <w:tcW w:w="1701" w:type="dxa"/>
            <w:vAlign w:val="center"/>
          </w:tcPr>
          <w:p w14:paraId="6156B69E">
            <w:pPr>
              <w:pStyle w:val="35"/>
              <w:spacing w:before="0"/>
              <w:jc w:val="both"/>
              <w:rPr>
                <w:rFonts w:ascii="Arial" w:hAnsi="Arial" w:cs="Arial"/>
                <w:sz w:val="20"/>
                <w:szCs w:val="20"/>
              </w:rPr>
            </w:pPr>
          </w:p>
        </w:tc>
        <w:tc>
          <w:tcPr>
            <w:tcW w:w="1899" w:type="dxa"/>
            <w:vAlign w:val="center"/>
          </w:tcPr>
          <w:p w14:paraId="6BF9C8C1">
            <w:pPr>
              <w:pStyle w:val="35"/>
              <w:spacing w:before="0"/>
              <w:jc w:val="both"/>
              <w:rPr>
                <w:rFonts w:ascii="Arial" w:hAnsi="Arial" w:cs="Arial"/>
                <w:sz w:val="20"/>
                <w:szCs w:val="20"/>
              </w:rPr>
            </w:pPr>
          </w:p>
        </w:tc>
        <w:tc>
          <w:tcPr>
            <w:tcW w:w="2410" w:type="dxa"/>
            <w:gridSpan w:val="2"/>
            <w:vAlign w:val="center"/>
          </w:tcPr>
          <w:p w14:paraId="72400EC7">
            <w:pPr>
              <w:pStyle w:val="35"/>
              <w:spacing w:before="0"/>
              <w:jc w:val="both"/>
              <w:rPr>
                <w:rFonts w:ascii="Arial" w:hAnsi="Arial" w:cs="Arial"/>
                <w:sz w:val="20"/>
                <w:szCs w:val="20"/>
              </w:rPr>
            </w:pPr>
          </w:p>
        </w:tc>
      </w:tr>
      <w:tr w14:paraId="4CDBAA96">
        <w:trPr>
          <w:trHeight w:val="229" w:hRule="atLeast"/>
        </w:trPr>
        <w:tc>
          <w:tcPr>
            <w:tcW w:w="3828" w:type="dxa"/>
            <w:vAlign w:val="center"/>
          </w:tcPr>
          <w:p w14:paraId="461DFAD2">
            <w:pPr>
              <w:pStyle w:val="35"/>
              <w:spacing w:before="0"/>
              <w:ind w:left="220" w:leftChars="100"/>
              <w:jc w:val="both"/>
              <w:rPr>
                <w:rFonts w:ascii="Arial" w:hAnsi="Arial" w:cs="Arial"/>
                <w:sz w:val="20"/>
                <w:szCs w:val="20"/>
              </w:rPr>
            </w:pPr>
            <w:r>
              <w:rPr>
                <w:rFonts w:ascii="Arial" w:hAnsi="Arial" w:cs="Arial"/>
                <w:sz w:val="20"/>
                <w:szCs w:val="20"/>
              </w:rPr>
              <w:t>Serum creatinine (mg/dL)</w:t>
            </w:r>
          </w:p>
        </w:tc>
        <w:tc>
          <w:tcPr>
            <w:tcW w:w="1701" w:type="dxa"/>
            <w:vAlign w:val="center"/>
          </w:tcPr>
          <w:p w14:paraId="112E0794">
            <w:pPr>
              <w:pStyle w:val="35"/>
              <w:spacing w:before="0"/>
              <w:jc w:val="both"/>
              <w:rPr>
                <w:rFonts w:ascii="Arial" w:hAnsi="Arial" w:cs="Arial"/>
                <w:sz w:val="20"/>
                <w:szCs w:val="20"/>
              </w:rPr>
            </w:pPr>
            <w:r>
              <w:rPr>
                <w:rFonts w:ascii="Arial" w:hAnsi="Arial" w:cs="Arial"/>
                <w:sz w:val="20"/>
                <w:szCs w:val="20"/>
              </w:rPr>
              <w:t>1.46 ± 1.30</w:t>
            </w:r>
          </w:p>
        </w:tc>
        <w:tc>
          <w:tcPr>
            <w:tcW w:w="1899" w:type="dxa"/>
            <w:vAlign w:val="center"/>
          </w:tcPr>
          <w:p w14:paraId="1197ACA8">
            <w:pPr>
              <w:pStyle w:val="35"/>
              <w:spacing w:before="0"/>
              <w:jc w:val="both"/>
              <w:rPr>
                <w:rFonts w:ascii="Arial" w:hAnsi="Arial" w:cs="Arial"/>
                <w:sz w:val="20"/>
                <w:szCs w:val="20"/>
              </w:rPr>
            </w:pPr>
            <w:r>
              <w:rPr>
                <w:rFonts w:ascii="Arial" w:hAnsi="Arial" w:cs="Arial"/>
                <w:sz w:val="20"/>
                <w:szCs w:val="20"/>
              </w:rPr>
              <w:t>1.60 ± 1.45</w:t>
            </w:r>
          </w:p>
        </w:tc>
        <w:tc>
          <w:tcPr>
            <w:tcW w:w="2410" w:type="dxa"/>
            <w:gridSpan w:val="2"/>
            <w:vAlign w:val="center"/>
          </w:tcPr>
          <w:p w14:paraId="435F0C94">
            <w:pPr>
              <w:pStyle w:val="35"/>
              <w:spacing w:before="0"/>
              <w:jc w:val="both"/>
              <w:rPr>
                <w:rFonts w:ascii="Arial" w:hAnsi="Arial" w:cs="Arial"/>
                <w:sz w:val="20"/>
                <w:szCs w:val="20"/>
              </w:rPr>
            </w:pPr>
            <w:r>
              <w:rPr>
                <w:rFonts w:ascii="Arial" w:hAnsi="Arial" w:cs="Arial"/>
                <w:sz w:val="20"/>
                <w:szCs w:val="20"/>
              </w:rPr>
              <w:t>1.26 ± 1.15</w:t>
            </w:r>
          </w:p>
        </w:tc>
      </w:tr>
      <w:tr w14:paraId="286A4D20">
        <w:trPr>
          <w:trHeight w:val="229" w:hRule="atLeast"/>
        </w:trPr>
        <w:tc>
          <w:tcPr>
            <w:tcW w:w="3828" w:type="dxa"/>
            <w:vAlign w:val="center"/>
          </w:tcPr>
          <w:p w14:paraId="5B86A656">
            <w:pPr>
              <w:pStyle w:val="35"/>
              <w:spacing w:before="0"/>
              <w:ind w:left="220" w:leftChars="100"/>
              <w:jc w:val="both"/>
              <w:rPr>
                <w:rFonts w:ascii="Arial" w:hAnsi="Arial" w:cs="Arial"/>
                <w:sz w:val="20"/>
                <w:szCs w:val="20"/>
              </w:rPr>
            </w:pPr>
            <w:r>
              <w:rPr>
                <w:rFonts w:ascii="Arial" w:hAnsi="Arial" w:cs="Arial"/>
                <w:sz w:val="20"/>
                <w:szCs w:val="20"/>
              </w:rPr>
              <w:t>Cr ≥ 1.2 (SOFA ≥1)</w:t>
            </w:r>
          </w:p>
        </w:tc>
        <w:tc>
          <w:tcPr>
            <w:tcW w:w="1701" w:type="dxa"/>
            <w:vAlign w:val="center"/>
          </w:tcPr>
          <w:p w14:paraId="2A57F63D">
            <w:pPr>
              <w:pStyle w:val="35"/>
              <w:spacing w:before="0"/>
              <w:jc w:val="both"/>
              <w:rPr>
                <w:rFonts w:ascii="Arial" w:hAnsi="Arial" w:cs="Arial"/>
                <w:sz w:val="20"/>
                <w:szCs w:val="20"/>
              </w:rPr>
            </w:pPr>
            <w:r>
              <w:rPr>
                <w:rFonts w:ascii="Arial" w:hAnsi="Arial" w:cs="Arial"/>
                <w:sz w:val="20"/>
                <w:szCs w:val="20"/>
              </w:rPr>
              <w:t>438/1130 (38.8%)</w:t>
            </w:r>
          </w:p>
        </w:tc>
        <w:tc>
          <w:tcPr>
            <w:tcW w:w="1899" w:type="dxa"/>
            <w:vAlign w:val="center"/>
          </w:tcPr>
          <w:p w14:paraId="54E24AFF">
            <w:pPr>
              <w:pStyle w:val="35"/>
              <w:spacing w:before="0"/>
              <w:jc w:val="both"/>
              <w:rPr>
                <w:rFonts w:ascii="Arial" w:hAnsi="Arial" w:cs="Arial"/>
                <w:sz w:val="20"/>
                <w:szCs w:val="20"/>
              </w:rPr>
            </w:pPr>
            <w:r>
              <w:rPr>
                <w:rFonts w:ascii="Arial" w:hAnsi="Arial" w:cs="Arial"/>
                <w:sz w:val="20"/>
                <w:szCs w:val="20"/>
              </w:rPr>
              <w:t>570/1287 (44.3%)</w:t>
            </w:r>
          </w:p>
        </w:tc>
        <w:tc>
          <w:tcPr>
            <w:tcW w:w="2410" w:type="dxa"/>
            <w:gridSpan w:val="2"/>
            <w:vAlign w:val="center"/>
          </w:tcPr>
          <w:p w14:paraId="17113B02">
            <w:pPr>
              <w:pStyle w:val="35"/>
              <w:spacing w:before="0"/>
              <w:jc w:val="both"/>
              <w:rPr>
                <w:rFonts w:ascii="Arial" w:hAnsi="Arial" w:cs="Arial"/>
                <w:sz w:val="20"/>
                <w:szCs w:val="20"/>
              </w:rPr>
            </w:pPr>
            <w:r>
              <w:rPr>
                <w:rFonts w:ascii="Arial" w:hAnsi="Arial" w:cs="Arial"/>
                <w:sz w:val="20"/>
                <w:szCs w:val="20"/>
              </w:rPr>
              <w:t>33/121 (27.3%)</w:t>
            </w:r>
          </w:p>
        </w:tc>
      </w:tr>
      <w:tr w14:paraId="4C457B19">
        <w:trPr>
          <w:trHeight w:val="229" w:hRule="atLeast"/>
        </w:trPr>
        <w:tc>
          <w:tcPr>
            <w:tcW w:w="3828" w:type="dxa"/>
            <w:vAlign w:val="center"/>
          </w:tcPr>
          <w:p w14:paraId="126CD3C4">
            <w:pPr>
              <w:pStyle w:val="35"/>
              <w:spacing w:before="0"/>
              <w:ind w:left="220" w:leftChars="100"/>
              <w:jc w:val="both"/>
              <w:rPr>
                <w:rFonts w:ascii="Arial" w:hAnsi="Arial" w:cs="Arial"/>
                <w:sz w:val="20"/>
                <w:szCs w:val="20"/>
              </w:rPr>
            </w:pPr>
            <w:r>
              <w:rPr>
                <w:rFonts w:ascii="Arial" w:hAnsi="Arial" w:cs="Arial"/>
                <w:sz w:val="20"/>
                <w:szCs w:val="20"/>
              </w:rPr>
              <w:t>Cr ≥ 2.0 (SOFA ≥2)</w:t>
            </w:r>
          </w:p>
        </w:tc>
        <w:tc>
          <w:tcPr>
            <w:tcW w:w="1701" w:type="dxa"/>
            <w:vAlign w:val="center"/>
          </w:tcPr>
          <w:p w14:paraId="4C1E958E">
            <w:pPr>
              <w:pStyle w:val="35"/>
              <w:spacing w:before="0"/>
              <w:jc w:val="both"/>
              <w:rPr>
                <w:rFonts w:ascii="Arial" w:hAnsi="Arial" w:cs="Arial"/>
                <w:sz w:val="20"/>
                <w:szCs w:val="20"/>
              </w:rPr>
            </w:pPr>
            <w:r>
              <w:rPr>
                <w:rFonts w:ascii="Arial" w:hAnsi="Arial" w:cs="Arial"/>
                <w:sz w:val="20"/>
                <w:szCs w:val="20"/>
              </w:rPr>
              <w:t>236/1130 (20.9%)</w:t>
            </w:r>
          </w:p>
        </w:tc>
        <w:tc>
          <w:tcPr>
            <w:tcW w:w="1899" w:type="dxa"/>
            <w:vAlign w:val="center"/>
          </w:tcPr>
          <w:p w14:paraId="33336CCF">
            <w:pPr>
              <w:pStyle w:val="35"/>
              <w:spacing w:before="0"/>
              <w:jc w:val="both"/>
              <w:rPr>
                <w:rFonts w:ascii="Arial" w:hAnsi="Arial" w:cs="Arial"/>
                <w:sz w:val="20"/>
                <w:szCs w:val="20"/>
              </w:rPr>
            </w:pPr>
            <w:r>
              <w:rPr>
                <w:rFonts w:ascii="Arial" w:hAnsi="Arial" w:cs="Arial"/>
                <w:sz w:val="20"/>
                <w:szCs w:val="20"/>
              </w:rPr>
              <w:t>288/1287 (22.4%)</w:t>
            </w:r>
          </w:p>
        </w:tc>
        <w:tc>
          <w:tcPr>
            <w:tcW w:w="2410" w:type="dxa"/>
            <w:gridSpan w:val="2"/>
            <w:vAlign w:val="center"/>
          </w:tcPr>
          <w:p w14:paraId="5BA26609">
            <w:pPr>
              <w:pStyle w:val="35"/>
              <w:spacing w:before="0"/>
              <w:jc w:val="both"/>
              <w:rPr>
                <w:rFonts w:ascii="Arial" w:hAnsi="Arial" w:cs="Arial"/>
                <w:sz w:val="20"/>
                <w:szCs w:val="20"/>
              </w:rPr>
            </w:pPr>
            <w:r>
              <w:rPr>
                <w:rFonts w:ascii="Arial" w:hAnsi="Arial" w:cs="Arial"/>
                <w:sz w:val="20"/>
                <w:szCs w:val="20"/>
              </w:rPr>
              <w:t>17/121 (14.0%)</w:t>
            </w:r>
          </w:p>
        </w:tc>
      </w:tr>
      <w:tr w14:paraId="777EAA84">
        <w:trPr>
          <w:trHeight w:val="229" w:hRule="atLeast"/>
        </w:trPr>
        <w:tc>
          <w:tcPr>
            <w:tcW w:w="3828" w:type="dxa"/>
            <w:vAlign w:val="center"/>
          </w:tcPr>
          <w:p w14:paraId="6D4AAF78">
            <w:pPr>
              <w:pStyle w:val="35"/>
              <w:spacing w:before="0"/>
              <w:ind w:left="220" w:leftChars="100"/>
              <w:jc w:val="both"/>
              <w:rPr>
                <w:rFonts w:ascii="Arial" w:hAnsi="Arial" w:cs="Arial"/>
                <w:sz w:val="20"/>
                <w:szCs w:val="20"/>
              </w:rPr>
            </w:pPr>
            <w:r>
              <w:rPr>
                <w:rFonts w:ascii="Arial" w:hAnsi="Arial" w:cs="Arial"/>
                <w:sz w:val="20"/>
                <w:szCs w:val="20"/>
              </w:rPr>
              <w:t>Cr ≥ 3.5 (SOFA ≥3)</w:t>
            </w:r>
          </w:p>
        </w:tc>
        <w:tc>
          <w:tcPr>
            <w:tcW w:w="1701" w:type="dxa"/>
            <w:vAlign w:val="center"/>
          </w:tcPr>
          <w:p w14:paraId="6DEEFF3B">
            <w:pPr>
              <w:pStyle w:val="35"/>
              <w:spacing w:before="0"/>
              <w:jc w:val="both"/>
              <w:rPr>
                <w:rFonts w:ascii="Arial" w:hAnsi="Arial" w:cs="Arial"/>
                <w:sz w:val="20"/>
                <w:szCs w:val="20"/>
              </w:rPr>
            </w:pPr>
            <w:r>
              <w:rPr>
                <w:rFonts w:ascii="Arial" w:hAnsi="Arial" w:cs="Arial"/>
                <w:sz w:val="20"/>
                <w:szCs w:val="20"/>
              </w:rPr>
              <w:t>102/1130 (9.0%)</w:t>
            </w:r>
          </w:p>
        </w:tc>
        <w:tc>
          <w:tcPr>
            <w:tcW w:w="1899" w:type="dxa"/>
            <w:vAlign w:val="center"/>
          </w:tcPr>
          <w:p w14:paraId="6EC05B88">
            <w:pPr>
              <w:pStyle w:val="35"/>
              <w:spacing w:before="0"/>
              <w:jc w:val="both"/>
              <w:rPr>
                <w:rFonts w:ascii="Arial" w:hAnsi="Arial" w:cs="Arial"/>
                <w:sz w:val="20"/>
                <w:szCs w:val="20"/>
              </w:rPr>
            </w:pPr>
            <w:r>
              <w:rPr>
                <w:rFonts w:ascii="Arial" w:hAnsi="Arial" w:cs="Arial"/>
                <w:sz w:val="20"/>
                <w:szCs w:val="20"/>
              </w:rPr>
              <w:t>131/1287 (10.2%)</w:t>
            </w:r>
          </w:p>
        </w:tc>
        <w:tc>
          <w:tcPr>
            <w:tcW w:w="2410" w:type="dxa"/>
            <w:gridSpan w:val="2"/>
            <w:vAlign w:val="center"/>
          </w:tcPr>
          <w:p w14:paraId="11C3A871">
            <w:pPr>
              <w:pStyle w:val="35"/>
              <w:spacing w:before="0"/>
              <w:jc w:val="both"/>
              <w:rPr>
                <w:rFonts w:ascii="Arial" w:hAnsi="Arial" w:cs="Arial"/>
                <w:sz w:val="20"/>
                <w:szCs w:val="20"/>
              </w:rPr>
            </w:pPr>
            <w:r>
              <w:rPr>
                <w:rFonts w:ascii="Arial" w:hAnsi="Arial" w:cs="Arial"/>
                <w:sz w:val="20"/>
                <w:szCs w:val="20"/>
              </w:rPr>
              <w:t>7/121 (5.8%)</w:t>
            </w:r>
          </w:p>
        </w:tc>
      </w:tr>
      <w:tr w14:paraId="5616BEB6">
        <w:trPr>
          <w:trHeight w:val="229" w:hRule="atLeast"/>
        </w:trPr>
        <w:tc>
          <w:tcPr>
            <w:tcW w:w="3828" w:type="dxa"/>
            <w:vAlign w:val="center"/>
          </w:tcPr>
          <w:p w14:paraId="5D192B22">
            <w:pPr>
              <w:pStyle w:val="35"/>
              <w:spacing w:before="0"/>
              <w:ind w:left="220" w:leftChars="100"/>
              <w:jc w:val="both"/>
              <w:rPr>
                <w:rFonts w:ascii="Arial" w:hAnsi="Arial" w:cs="Arial"/>
                <w:sz w:val="20"/>
                <w:szCs w:val="20"/>
              </w:rPr>
            </w:pPr>
            <w:r>
              <w:rPr>
                <w:rFonts w:ascii="Arial" w:hAnsi="Arial" w:cs="Arial"/>
                <w:sz w:val="20"/>
                <w:szCs w:val="20"/>
              </w:rPr>
              <w:t>Cr ≥ 5.0 (SOFA = 4)</w:t>
            </w:r>
          </w:p>
        </w:tc>
        <w:tc>
          <w:tcPr>
            <w:tcW w:w="1701" w:type="dxa"/>
            <w:vAlign w:val="center"/>
          </w:tcPr>
          <w:p w14:paraId="574F215F">
            <w:pPr>
              <w:pStyle w:val="35"/>
              <w:spacing w:before="0"/>
              <w:jc w:val="both"/>
              <w:rPr>
                <w:rFonts w:ascii="Arial" w:hAnsi="Arial" w:cs="Arial"/>
                <w:sz w:val="20"/>
                <w:szCs w:val="20"/>
              </w:rPr>
            </w:pPr>
            <w:r>
              <w:rPr>
                <w:rFonts w:ascii="Arial" w:hAnsi="Arial" w:cs="Arial"/>
                <w:sz w:val="20"/>
                <w:szCs w:val="20"/>
              </w:rPr>
              <w:t>33/1130 (2.9%)</w:t>
            </w:r>
          </w:p>
        </w:tc>
        <w:tc>
          <w:tcPr>
            <w:tcW w:w="1899" w:type="dxa"/>
            <w:vAlign w:val="center"/>
          </w:tcPr>
          <w:p w14:paraId="4AF01174">
            <w:pPr>
              <w:pStyle w:val="35"/>
              <w:spacing w:before="0"/>
              <w:jc w:val="both"/>
              <w:rPr>
                <w:rFonts w:ascii="Arial" w:hAnsi="Arial" w:cs="Arial"/>
                <w:sz w:val="20"/>
                <w:szCs w:val="20"/>
              </w:rPr>
            </w:pPr>
            <w:r>
              <w:rPr>
                <w:rFonts w:ascii="Arial" w:hAnsi="Arial" w:cs="Arial"/>
                <w:sz w:val="20"/>
                <w:szCs w:val="20"/>
              </w:rPr>
              <w:t>55/1287 (4.3%)</w:t>
            </w:r>
          </w:p>
        </w:tc>
        <w:tc>
          <w:tcPr>
            <w:tcW w:w="2410" w:type="dxa"/>
            <w:gridSpan w:val="2"/>
            <w:vAlign w:val="center"/>
          </w:tcPr>
          <w:p w14:paraId="1B7F0606">
            <w:pPr>
              <w:pStyle w:val="35"/>
              <w:spacing w:before="0"/>
              <w:jc w:val="both"/>
              <w:rPr>
                <w:rFonts w:ascii="Arial" w:hAnsi="Arial" w:cs="Arial"/>
                <w:sz w:val="20"/>
                <w:szCs w:val="20"/>
              </w:rPr>
            </w:pPr>
            <w:r>
              <w:rPr>
                <w:rFonts w:ascii="Arial" w:hAnsi="Arial" w:cs="Arial"/>
                <w:sz w:val="20"/>
                <w:szCs w:val="20"/>
              </w:rPr>
              <w:t>3/121 (2.5%)</w:t>
            </w:r>
          </w:p>
        </w:tc>
      </w:tr>
      <w:tr w14:paraId="47F9E45E">
        <w:trPr>
          <w:trHeight w:val="229" w:hRule="atLeast"/>
        </w:trPr>
        <w:tc>
          <w:tcPr>
            <w:tcW w:w="3828" w:type="dxa"/>
            <w:vAlign w:val="center"/>
          </w:tcPr>
          <w:p w14:paraId="54B0BCE3">
            <w:pPr>
              <w:pStyle w:val="35"/>
              <w:spacing w:before="0"/>
              <w:ind w:left="220" w:leftChars="100"/>
              <w:jc w:val="both"/>
              <w:rPr>
                <w:rFonts w:ascii="Arial" w:hAnsi="Arial" w:cs="Arial"/>
                <w:sz w:val="20"/>
                <w:szCs w:val="20"/>
              </w:rPr>
            </w:pPr>
            <w:r>
              <w:rPr>
                <w:rFonts w:ascii="Arial" w:hAnsi="Arial" w:cs="Arial"/>
                <w:sz w:val="20"/>
                <w:szCs w:val="20"/>
              </w:rPr>
              <w:t>Body weight (kg)</w:t>
            </w:r>
          </w:p>
        </w:tc>
        <w:tc>
          <w:tcPr>
            <w:tcW w:w="1701" w:type="dxa"/>
            <w:vAlign w:val="center"/>
          </w:tcPr>
          <w:p w14:paraId="09B5979F">
            <w:pPr>
              <w:pStyle w:val="35"/>
              <w:spacing w:before="0"/>
              <w:jc w:val="both"/>
              <w:rPr>
                <w:rFonts w:ascii="Arial" w:hAnsi="Arial" w:cs="Arial"/>
                <w:sz w:val="20"/>
                <w:szCs w:val="20"/>
              </w:rPr>
            </w:pPr>
            <w:r>
              <w:rPr>
                <w:rFonts w:ascii="Arial" w:hAnsi="Arial" w:cs="Arial"/>
                <w:sz w:val="20"/>
                <w:szCs w:val="20"/>
              </w:rPr>
              <w:t>79.39 ± 24.38</w:t>
            </w:r>
          </w:p>
        </w:tc>
        <w:tc>
          <w:tcPr>
            <w:tcW w:w="1899" w:type="dxa"/>
            <w:vAlign w:val="center"/>
          </w:tcPr>
          <w:p w14:paraId="269E3A1E">
            <w:pPr>
              <w:pStyle w:val="35"/>
              <w:spacing w:before="0"/>
              <w:jc w:val="both"/>
              <w:rPr>
                <w:rFonts w:ascii="Arial" w:hAnsi="Arial" w:cs="Arial"/>
                <w:sz w:val="20"/>
                <w:szCs w:val="20"/>
              </w:rPr>
            </w:pPr>
            <w:r>
              <w:rPr>
                <w:rFonts w:ascii="Arial" w:hAnsi="Arial" w:cs="Arial"/>
                <w:sz w:val="20"/>
                <w:szCs w:val="20"/>
              </w:rPr>
              <w:t>81.96 ± 26.53</w:t>
            </w:r>
          </w:p>
        </w:tc>
        <w:tc>
          <w:tcPr>
            <w:tcW w:w="2410" w:type="dxa"/>
            <w:gridSpan w:val="2"/>
            <w:vAlign w:val="center"/>
          </w:tcPr>
          <w:p w14:paraId="641B9020">
            <w:pPr>
              <w:pStyle w:val="35"/>
              <w:spacing w:before="0"/>
              <w:jc w:val="both"/>
              <w:rPr>
                <w:rFonts w:ascii="Arial" w:hAnsi="Arial" w:cs="Arial"/>
                <w:sz w:val="20"/>
                <w:szCs w:val="20"/>
              </w:rPr>
            </w:pPr>
            <w:r>
              <w:rPr>
                <w:rFonts w:ascii="Arial" w:hAnsi="Arial" w:cs="Arial"/>
                <w:sz w:val="20"/>
                <w:szCs w:val="20"/>
              </w:rPr>
              <w:t>75.57 ± 16.50</w:t>
            </w:r>
          </w:p>
        </w:tc>
      </w:tr>
      <w:tr w14:paraId="55F52BEA">
        <w:trPr>
          <w:trHeight w:val="229" w:hRule="atLeast"/>
        </w:trPr>
        <w:tc>
          <w:tcPr>
            <w:tcW w:w="3828" w:type="dxa"/>
            <w:vAlign w:val="center"/>
          </w:tcPr>
          <w:p w14:paraId="37FE21DA">
            <w:pPr>
              <w:pStyle w:val="35"/>
              <w:spacing w:before="0"/>
              <w:ind w:left="220" w:leftChars="100"/>
              <w:jc w:val="both"/>
              <w:rPr>
                <w:rFonts w:ascii="Arial" w:hAnsi="Arial" w:cs="Arial"/>
                <w:sz w:val="20"/>
                <w:szCs w:val="20"/>
              </w:rPr>
            </w:pPr>
            <w:r>
              <w:rPr>
                <w:rFonts w:ascii="Arial" w:hAnsi="Arial" w:cs="Arial"/>
                <w:sz w:val="20"/>
                <w:szCs w:val="20"/>
              </w:rPr>
              <w:t>24h absolute urine output (mL/day)</w:t>
            </w:r>
          </w:p>
        </w:tc>
        <w:tc>
          <w:tcPr>
            <w:tcW w:w="1701" w:type="dxa"/>
            <w:vAlign w:val="center"/>
          </w:tcPr>
          <w:p w14:paraId="19BE2959">
            <w:pPr>
              <w:pStyle w:val="35"/>
              <w:spacing w:before="0"/>
              <w:jc w:val="both"/>
              <w:rPr>
                <w:rFonts w:ascii="Arial" w:hAnsi="Arial" w:cs="Arial"/>
                <w:sz w:val="20"/>
                <w:szCs w:val="20"/>
              </w:rPr>
            </w:pPr>
            <w:r>
              <w:rPr>
                <w:rFonts w:ascii="Arial" w:hAnsi="Arial" w:cs="Arial"/>
                <w:sz w:val="20"/>
                <w:szCs w:val="20"/>
              </w:rPr>
              <w:t>1899.77 ± 1618.79</w:t>
            </w:r>
          </w:p>
        </w:tc>
        <w:tc>
          <w:tcPr>
            <w:tcW w:w="1899" w:type="dxa"/>
            <w:vAlign w:val="center"/>
          </w:tcPr>
          <w:p w14:paraId="291D314D">
            <w:pPr>
              <w:pStyle w:val="35"/>
              <w:spacing w:before="0"/>
              <w:jc w:val="both"/>
              <w:rPr>
                <w:rFonts w:ascii="Arial" w:hAnsi="Arial" w:cs="Arial"/>
                <w:sz w:val="20"/>
                <w:szCs w:val="20"/>
              </w:rPr>
            </w:pPr>
            <w:r>
              <w:rPr>
                <w:rFonts w:ascii="Arial" w:hAnsi="Arial" w:cs="Arial"/>
                <w:sz w:val="20"/>
                <w:szCs w:val="20"/>
              </w:rPr>
              <w:t>1534.90 ± 1195.42</w:t>
            </w:r>
          </w:p>
        </w:tc>
        <w:tc>
          <w:tcPr>
            <w:tcW w:w="2410" w:type="dxa"/>
            <w:gridSpan w:val="2"/>
            <w:vAlign w:val="center"/>
          </w:tcPr>
          <w:p w14:paraId="7C370648">
            <w:pPr>
              <w:pStyle w:val="35"/>
              <w:spacing w:before="0"/>
              <w:jc w:val="both"/>
              <w:rPr>
                <w:rFonts w:ascii="Arial" w:hAnsi="Arial" w:cs="Arial"/>
                <w:sz w:val="20"/>
                <w:szCs w:val="20"/>
              </w:rPr>
            </w:pPr>
            <w:r>
              <w:rPr>
                <w:rFonts w:ascii="Arial" w:hAnsi="Arial" w:cs="Arial"/>
                <w:sz w:val="20"/>
                <w:szCs w:val="20"/>
              </w:rPr>
              <w:t>2653.68 ± 1484.86</w:t>
            </w:r>
          </w:p>
        </w:tc>
      </w:tr>
      <w:tr w14:paraId="5C3D1A07">
        <w:trPr>
          <w:trHeight w:val="229" w:hRule="atLeast"/>
        </w:trPr>
        <w:tc>
          <w:tcPr>
            <w:tcW w:w="3828" w:type="dxa"/>
            <w:vAlign w:val="center"/>
          </w:tcPr>
          <w:p w14:paraId="0A1C8E61">
            <w:pPr>
              <w:pStyle w:val="35"/>
              <w:spacing w:before="0"/>
              <w:ind w:left="220" w:leftChars="100"/>
              <w:jc w:val="both"/>
              <w:rPr>
                <w:rFonts w:ascii="Arial" w:hAnsi="Arial" w:cs="Arial"/>
                <w:sz w:val="20"/>
                <w:szCs w:val="20"/>
              </w:rPr>
            </w:pPr>
            <w:r>
              <w:rPr>
                <w:rFonts w:ascii="Arial" w:hAnsi="Arial" w:cs="Arial"/>
                <w:sz w:val="20"/>
                <w:szCs w:val="20"/>
              </w:rPr>
              <w:t>UO &lt; 500 mL/day (SOFA-1 ≥3)</w:t>
            </w:r>
          </w:p>
        </w:tc>
        <w:tc>
          <w:tcPr>
            <w:tcW w:w="1701" w:type="dxa"/>
            <w:vAlign w:val="center"/>
          </w:tcPr>
          <w:p w14:paraId="50BAB73B">
            <w:pPr>
              <w:pStyle w:val="35"/>
              <w:spacing w:before="0"/>
              <w:jc w:val="both"/>
              <w:rPr>
                <w:rFonts w:ascii="Arial" w:hAnsi="Arial" w:cs="Arial"/>
                <w:sz w:val="20"/>
                <w:szCs w:val="20"/>
              </w:rPr>
            </w:pPr>
            <w:r>
              <w:rPr>
                <w:rFonts w:ascii="Arial" w:hAnsi="Arial" w:cs="Arial"/>
                <w:sz w:val="20"/>
                <w:szCs w:val="20"/>
              </w:rPr>
              <w:t>173/1077 (16.1%)</w:t>
            </w:r>
          </w:p>
        </w:tc>
        <w:tc>
          <w:tcPr>
            <w:tcW w:w="1899" w:type="dxa"/>
            <w:vAlign w:val="center"/>
          </w:tcPr>
          <w:p w14:paraId="771913FB">
            <w:pPr>
              <w:pStyle w:val="35"/>
              <w:spacing w:before="0"/>
              <w:jc w:val="both"/>
              <w:rPr>
                <w:rFonts w:ascii="Arial" w:hAnsi="Arial" w:cs="Arial"/>
                <w:sz w:val="20"/>
                <w:szCs w:val="20"/>
              </w:rPr>
            </w:pPr>
            <w:r>
              <w:rPr>
                <w:rFonts w:ascii="Arial" w:hAnsi="Arial" w:cs="Arial"/>
                <w:sz w:val="20"/>
                <w:szCs w:val="20"/>
              </w:rPr>
              <w:t>40/166 (24.1%)</w:t>
            </w:r>
          </w:p>
        </w:tc>
        <w:tc>
          <w:tcPr>
            <w:tcW w:w="2410" w:type="dxa"/>
            <w:gridSpan w:val="2"/>
            <w:vAlign w:val="center"/>
          </w:tcPr>
          <w:p w14:paraId="39B63F8F">
            <w:pPr>
              <w:pStyle w:val="35"/>
              <w:spacing w:before="0"/>
              <w:jc w:val="both"/>
              <w:rPr>
                <w:rFonts w:ascii="Arial" w:hAnsi="Arial" w:cs="Arial"/>
                <w:sz w:val="20"/>
                <w:szCs w:val="20"/>
              </w:rPr>
            </w:pPr>
            <w:r>
              <w:rPr>
                <w:rFonts w:ascii="Arial" w:hAnsi="Arial" w:cs="Arial"/>
                <w:sz w:val="20"/>
                <w:szCs w:val="20"/>
              </w:rPr>
              <w:t>9/118 (7.6%)</w:t>
            </w:r>
          </w:p>
        </w:tc>
      </w:tr>
      <w:tr w14:paraId="06970656">
        <w:trPr>
          <w:trHeight w:val="229" w:hRule="atLeast"/>
        </w:trPr>
        <w:tc>
          <w:tcPr>
            <w:tcW w:w="3828" w:type="dxa"/>
            <w:vAlign w:val="center"/>
          </w:tcPr>
          <w:p w14:paraId="50E2FDD6">
            <w:pPr>
              <w:pStyle w:val="35"/>
              <w:spacing w:before="0"/>
              <w:ind w:left="220" w:leftChars="100"/>
              <w:jc w:val="both"/>
              <w:rPr>
                <w:rFonts w:ascii="Arial" w:hAnsi="Arial" w:cs="Arial"/>
                <w:sz w:val="20"/>
                <w:szCs w:val="20"/>
              </w:rPr>
            </w:pPr>
            <w:r>
              <w:rPr>
                <w:rFonts w:ascii="Arial" w:hAnsi="Arial" w:cs="Arial"/>
                <w:sz w:val="20"/>
                <w:szCs w:val="20"/>
              </w:rPr>
              <w:t>UO &lt; 200 mL/day (SOFA-1 = 4)</w:t>
            </w:r>
          </w:p>
        </w:tc>
        <w:tc>
          <w:tcPr>
            <w:tcW w:w="1701" w:type="dxa"/>
            <w:vAlign w:val="center"/>
          </w:tcPr>
          <w:p w14:paraId="6423D0B3">
            <w:pPr>
              <w:pStyle w:val="35"/>
              <w:spacing w:before="0"/>
              <w:jc w:val="both"/>
              <w:rPr>
                <w:rFonts w:ascii="Arial" w:hAnsi="Arial" w:cs="Arial"/>
                <w:sz w:val="20"/>
                <w:szCs w:val="20"/>
              </w:rPr>
            </w:pPr>
            <w:r>
              <w:rPr>
                <w:rFonts w:ascii="Arial" w:hAnsi="Arial" w:cs="Arial"/>
                <w:sz w:val="20"/>
                <w:szCs w:val="20"/>
              </w:rPr>
              <w:t>72/1077 (6.7%)</w:t>
            </w:r>
          </w:p>
        </w:tc>
        <w:tc>
          <w:tcPr>
            <w:tcW w:w="1899" w:type="dxa"/>
            <w:vAlign w:val="center"/>
          </w:tcPr>
          <w:p w14:paraId="67058C44">
            <w:pPr>
              <w:pStyle w:val="35"/>
              <w:spacing w:before="0"/>
              <w:jc w:val="both"/>
              <w:rPr>
                <w:rFonts w:ascii="Arial" w:hAnsi="Arial" w:cs="Arial"/>
                <w:sz w:val="20"/>
                <w:szCs w:val="20"/>
              </w:rPr>
            </w:pPr>
            <w:r>
              <w:rPr>
                <w:rFonts w:ascii="Arial" w:hAnsi="Arial" w:cs="Arial"/>
                <w:sz w:val="20"/>
                <w:szCs w:val="20"/>
              </w:rPr>
              <w:t>27/166 (16.3%)</w:t>
            </w:r>
          </w:p>
        </w:tc>
        <w:tc>
          <w:tcPr>
            <w:tcW w:w="2410" w:type="dxa"/>
            <w:gridSpan w:val="2"/>
            <w:vAlign w:val="center"/>
          </w:tcPr>
          <w:p w14:paraId="26FD0763">
            <w:pPr>
              <w:pStyle w:val="35"/>
              <w:spacing w:before="0"/>
              <w:jc w:val="both"/>
              <w:rPr>
                <w:rFonts w:ascii="Arial" w:hAnsi="Arial" w:cs="Arial"/>
                <w:sz w:val="20"/>
                <w:szCs w:val="20"/>
              </w:rPr>
            </w:pPr>
            <w:r>
              <w:rPr>
                <w:rFonts w:ascii="Arial" w:hAnsi="Arial" w:cs="Arial"/>
                <w:sz w:val="20"/>
                <w:szCs w:val="20"/>
              </w:rPr>
              <w:t>4/118 (3.4%)</w:t>
            </w:r>
          </w:p>
        </w:tc>
      </w:tr>
      <w:tr w14:paraId="0EE74C60">
        <w:trPr>
          <w:trHeight w:val="229" w:hRule="atLeast"/>
        </w:trPr>
        <w:tc>
          <w:tcPr>
            <w:tcW w:w="3828" w:type="dxa"/>
            <w:vAlign w:val="center"/>
          </w:tcPr>
          <w:p w14:paraId="3A9E0198">
            <w:pPr>
              <w:pStyle w:val="35"/>
              <w:spacing w:before="0"/>
              <w:ind w:left="220" w:leftChars="100"/>
              <w:jc w:val="both"/>
              <w:rPr>
                <w:rFonts w:ascii="Arial" w:hAnsi="Arial" w:cs="Arial"/>
                <w:sz w:val="20"/>
                <w:szCs w:val="20"/>
              </w:rPr>
            </w:pPr>
            <w:r>
              <w:rPr>
                <w:rFonts w:ascii="Arial" w:hAnsi="Arial" w:cs="Arial"/>
                <w:sz w:val="20"/>
                <w:szCs w:val="20"/>
              </w:rPr>
              <w:t>24h normalized urine output (mL/kg/h)</w:t>
            </w:r>
          </w:p>
        </w:tc>
        <w:tc>
          <w:tcPr>
            <w:tcW w:w="1701" w:type="dxa"/>
            <w:vAlign w:val="center"/>
          </w:tcPr>
          <w:p w14:paraId="1DB1706E">
            <w:pPr>
              <w:pStyle w:val="35"/>
              <w:spacing w:before="0"/>
              <w:jc w:val="both"/>
              <w:rPr>
                <w:rFonts w:ascii="Arial" w:hAnsi="Arial" w:cs="Arial"/>
                <w:sz w:val="20"/>
                <w:szCs w:val="20"/>
              </w:rPr>
            </w:pPr>
            <w:r>
              <w:rPr>
                <w:rFonts w:ascii="Arial" w:hAnsi="Arial" w:cs="Arial"/>
                <w:sz w:val="20"/>
                <w:szCs w:val="20"/>
              </w:rPr>
              <w:t>1.58 ± 3.97</w:t>
            </w:r>
          </w:p>
        </w:tc>
        <w:tc>
          <w:tcPr>
            <w:tcW w:w="1899" w:type="dxa"/>
            <w:vAlign w:val="center"/>
          </w:tcPr>
          <w:p w14:paraId="745527C6">
            <w:pPr>
              <w:pStyle w:val="35"/>
              <w:spacing w:before="0"/>
              <w:jc w:val="both"/>
              <w:rPr>
                <w:rFonts w:ascii="Arial" w:hAnsi="Arial" w:cs="Arial"/>
                <w:sz w:val="20"/>
                <w:szCs w:val="20"/>
              </w:rPr>
            </w:pPr>
            <w:r>
              <w:rPr>
                <w:rFonts w:ascii="Arial" w:hAnsi="Arial" w:cs="Arial"/>
                <w:sz w:val="20"/>
                <w:szCs w:val="20"/>
              </w:rPr>
              <w:t>3.09 ± 2.21</w:t>
            </w:r>
          </w:p>
        </w:tc>
        <w:tc>
          <w:tcPr>
            <w:tcW w:w="2410" w:type="dxa"/>
            <w:gridSpan w:val="2"/>
            <w:vAlign w:val="center"/>
          </w:tcPr>
          <w:p w14:paraId="13947999">
            <w:pPr>
              <w:pStyle w:val="35"/>
              <w:spacing w:before="0"/>
              <w:jc w:val="both"/>
              <w:rPr>
                <w:rFonts w:ascii="Arial" w:hAnsi="Arial" w:cs="Arial"/>
                <w:sz w:val="20"/>
                <w:szCs w:val="20"/>
              </w:rPr>
            </w:pPr>
            <w:r>
              <w:rPr>
                <w:rFonts w:ascii="Arial" w:hAnsi="Arial" w:cs="Arial"/>
                <w:sz w:val="20"/>
                <w:szCs w:val="20"/>
              </w:rPr>
              <w:t>1.54 ± 0.83</w:t>
            </w:r>
          </w:p>
        </w:tc>
      </w:tr>
      <w:tr w14:paraId="4A3A13AA">
        <w:trPr>
          <w:trHeight w:val="229" w:hRule="atLeast"/>
        </w:trPr>
        <w:tc>
          <w:tcPr>
            <w:tcW w:w="3828" w:type="dxa"/>
            <w:vAlign w:val="center"/>
          </w:tcPr>
          <w:p w14:paraId="75E7D726">
            <w:pPr>
              <w:pStyle w:val="35"/>
              <w:spacing w:before="0"/>
              <w:ind w:left="220" w:leftChars="100"/>
              <w:jc w:val="both"/>
              <w:rPr>
                <w:rFonts w:ascii="Arial" w:hAnsi="Arial" w:cs="Arial"/>
                <w:sz w:val="20"/>
                <w:szCs w:val="20"/>
              </w:rPr>
            </w:pPr>
            <w:r>
              <w:rPr>
                <w:rFonts w:ascii="Arial" w:hAnsi="Arial" w:cs="Arial"/>
                <w:sz w:val="20"/>
                <w:szCs w:val="20"/>
              </w:rPr>
              <w:t>12h normalized urine output (mL/kg/h)</w:t>
            </w:r>
          </w:p>
        </w:tc>
        <w:tc>
          <w:tcPr>
            <w:tcW w:w="1701" w:type="dxa"/>
            <w:vAlign w:val="center"/>
          </w:tcPr>
          <w:p w14:paraId="3A815338">
            <w:pPr>
              <w:pStyle w:val="35"/>
              <w:spacing w:before="0"/>
              <w:jc w:val="both"/>
              <w:rPr>
                <w:rFonts w:ascii="Arial" w:hAnsi="Arial" w:cs="Arial"/>
                <w:sz w:val="20"/>
                <w:szCs w:val="20"/>
              </w:rPr>
            </w:pPr>
            <w:r>
              <w:rPr>
                <w:rFonts w:ascii="Arial" w:hAnsi="Arial" w:cs="Arial"/>
                <w:sz w:val="20"/>
                <w:szCs w:val="20"/>
              </w:rPr>
              <w:t>1.99 ± 4.67</w:t>
            </w:r>
          </w:p>
        </w:tc>
        <w:tc>
          <w:tcPr>
            <w:tcW w:w="1899" w:type="dxa"/>
            <w:vAlign w:val="center"/>
          </w:tcPr>
          <w:p w14:paraId="48AADCEC">
            <w:pPr>
              <w:pStyle w:val="35"/>
              <w:spacing w:before="0"/>
              <w:jc w:val="both"/>
              <w:rPr>
                <w:rFonts w:ascii="Arial" w:hAnsi="Arial" w:cs="Arial"/>
                <w:sz w:val="20"/>
                <w:szCs w:val="20"/>
              </w:rPr>
            </w:pPr>
            <w:r>
              <w:rPr>
                <w:rFonts w:ascii="Arial" w:hAnsi="Arial" w:cs="Arial"/>
                <w:sz w:val="20"/>
                <w:szCs w:val="20"/>
              </w:rPr>
              <w:t>3.61 ± 2.92</w:t>
            </w:r>
          </w:p>
        </w:tc>
        <w:tc>
          <w:tcPr>
            <w:tcW w:w="2410" w:type="dxa"/>
            <w:gridSpan w:val="2"/>
            <w:vAlign w:val="center"/>
          </w:tcPr>
          <w:p w14:paraId="4502398A">
            <w:pPr>
              <w:pStyle w:val="35"/>
              <w:spacing w:before="0"/>
              <w:jc w:val="both"/>
              <w:rPr>
                <w:rFonts w:ascii="Arial" w:hAnsi="Arial" w:cs="Arial"/>
                <w:sz w:val="20"/>
                <w:szCs w:val="20"/>
              </w:rPr>
            </w:pPr>
            <w:r>
              <w:rPr>
                <w:rFonts w:ascii="Arial" w:hAnsi="Arial" w:cs="Arial"/>
                <w:sz w:val="20"/>
                <w:szCs w:val="20"/>
              </w:rPr>
              <w:t>1.91 ± 1.11</w:t>
            </w:r>
          </w:p>
        </w:tc>
      </w:tr>
      <w:tr w14:paraId="18E75BE0">
        <w:trPr>
          <w:trHeight w:val="229" w:hRule="atLeast"/>
        </w:trPr>
        <w:tc>
          <w:tcPr>
            <w:tcW w:w="3828" w:type="dxa"/>
            <w:vAlign w:val="center"/>
          </w:tcPr>
          <w:p w14:paraId="2E297030">
            <w:pPr>
              <w:pStyle w:val="35"/>
              <w:spacing w:before="0"/>
              <w:ind w:left="220" w:leftChars="100"/>
              <w:jc w:val="both"/>
              <w:rPr>
                <w:rFonts w:ascii="Arial" w:hAnsi="Arial" w:cs="Arial"/>
                <w:sz w:val="20"/>
                <w:szCs w:val="20"/>
              </w:rPr>
            </w:pPr>
            <w:r>
              <w:rPr>
                <w:rFonts w:ascii="Arial" w:hAnsi="Arial" w:cs="Arial"/>
                <w:sz w:val="20"/>
                <w:szCs w:val="20"/>
              </w:rPr>
              <w:t>6h normalized urine output (mL/kg/h)</w:t>
            </w:r>
          </w:p>
        </w:tc>
        <w:tc>
          <w:tcPr>
            <w:tcW w:w="1701" w:type="dxa"/>
            <w:vAlign w:val="center"/>
          </w:tcPr>
          <w:p w14:paraId="1210E839">
            <w:pPr>
              <w:pStyle w:val="35"/>
              <w:spacing w:before="0"/>
              <w:jc w:val="both"/>
              <w:rPr>
                <w:rFonts w:ascii="Arial" w:hAnsi="Arial" w:cs="Arial"/>
                <w:sz w:val="20"/>
                <w:szCs w:val="20"/>
              </w:rPr>
            </w:pPr>
            <w:r>
              <w:rPr>
                <w:rFonts w:ascii="Arial" w:hAnsi="Arial" w:cs="Arial"/>
                <w:sz w:val="20"/>
                <w:szCs w:val="20"/>
              </w:rPr>
              <w:t>2.37 ± 4.53</w:t>
            </w:r>
          </w:p>
        </w:tc>
        <w:tc>
          <w:tcPr>
            <w:tcW w:w="1899" w:type="dxa"/>
            <w:vAlign w:val="center"/>
          </w:tcPr>
          <w:p w14:paraId="5905B982">
            <w:pPr>
              <w:pStyle w:val="35"/>
              <w:spacing w:before="0"/>
              <w:jc w:val="both"/>
              <w:rPr>
                <w:rFonts w:ascii="Arial" w:hAnsi="Arial" w:cs="Arial"/>
                <w:sz w:val="20"/>
                <w:szCs w:val="20"/>
              </w:rPr>
            </w:pPr>
            <w:r>
              <w:rPr>
                <w:rFonts w:ascii="Arial" w:hAnsi="Arial" w:cs="Arial"/>
                <w:sz w:val="20"/>
                <w:szCs w:val="20"/>
              </w:rPr>
              <w:t>4.00 ± 3.40</w:t>
            </w:r>
          </w:p>
        </w:tc>
        <w:tc>
          <w:tcPr>
            <w:tcW w:w="2410" w:type="dxa"/>
            <w:gridSpan w:val="2"/>
            <w:vAlign w:val="center"/>
          </w:tcPr>
          <w:p w14:paraId="05A03779">
            <w:pPr>
              <w:pStyle w:val="35"/>
              <w:spacing w:before="0"/>
              <w:jc w:val="both"/>
              <w:rPr>
                <w:rFonts w:ascii="Arial" w:hAnsi="Arial" w:cs="Arial"/>
                <w:sz w:val="20"/>
                <w:szCs w:val="20"/>
              </w:rPr>
            </w:pPr>
            <w:r>
              <w:rPr>
                <w:rFonts w:ascii="Arial" w:hAnsi="Arial" w:cs="Arial"/>
                <w:sz w:val="20"/>
                <w:szCs w:val="20"/>
              </w:rPr>
              <w:t>2.01 ± 1.16</w:t>
            </w:r>
          </w:p>
        </w:tc>
      </w:tr>
      <w:tr w14:paraId="699E4F65">
        <w:trPr>
          <w:trHeight w:val="229" w:hRule="atLeast"/>
        </w:trPr>
        <w:tc>
          <w:tcPr>
            <w:tcW w:w="3828" w:type="dxa"/>
            <w:vAlign w:val="center"/>
          </w:tcPr>
          <w:p w14:paraId="4014AD4C">
            <w:pPr>
              <w:pStyle w:val="35"/>
              <w:spacing w:before="0"/>
              <w:ind w:left="220" w:leftChars="100"/>
              <w:jc w:val="both"/>
              <w:rPr>
                <w:rFonts w:ascii="Arial" w:hAnsi="Arial" w:cs="Arial"/>
                <w:sz w:val="20"/>
                <w:szCs w:val="20"/>
              </w:rPr>
            </w:pPr>
            <w:r>
              <w:rPr>
                <w:rFonts w:ascii="Arial" w:hAnsi="Arial" w:cs="Arial"/>
                <w:sz w:val="20"/>
                <w:szCs w:val="20"/>
              </w:rPr>
              <w:t>Minimum urine output window (mL/kg/h)</w:t>
            </w:r>
          </w:p>
        </w:tc>
        <w:tc>
          <w:tcPr>
            <w:tcW w:w="1701" w:type="dxa"/>
            <w:vAlign w:val="center"/>
          </w:tcPr>
          <w:p w14:paraId="2AF2375A">
            <w:pPr>
              <w:pStyle w:val="35"/>
              <w:spacing w:before="0"/>
              <w:jc w:val="both"/>
              <w:rPr>
                <w:rFonts w:ascii="Arial" w:hAnsi="Arial" w:cs="Arial"/>
                <w:sz w:val="20"/>
                <w:szCs w:val="20"/>
              </w:rPr>
            </w:pPr>
            <w:r>
              <w:rPr>
                <w:rFonts w:ascii="Arial" w:hAnsi="Arial" w:cs="Arial"/>
                <w:sz w:val="20"/>
                <w:szCs w:val="20"/>
              </w:rPr>
              <w:t>1.79 ± 3.29</w:t>
            </w:r>
          </w:p>
        </w:tc>
        <w:tc>
          <w:tcPr>
            <w:tcW w:w="1899" w:type="dxa"/>
            <w:vAlign w:val="center"/>
          </w:tcPr>
          <w:p w14:paraId="4667586C">
            <w:pPr>
              <w:pStyle w:val="35"/>
              <w:spacing w:before="0"/>
              <w:jc w:val="both"/>
              <w:rPr>
                <w:rFonts w:ascii="Arial" w:hAnsi="Arial" w:cs="Arial"/>
                <w:sz w:val="20"/>
                <w:szCs w:val="20"/>
              </w:rPr>
            </w:pPr>
            <w:r>
              <w:rPr>
                <w:rFonts w:ascii="Arial" w:hAnsi="Arial" w:cs="Arial"/>
                <w:sz w:val="20"/>
                <w:szCs w:val="20"/>
              </w:rPr>
              <w:t>3.11 ± 2.31</w:t>
            </w:r>
          </w:p>
        </w:tc>
        <w:tc>
          <w:tcPr>
            <w:tcW w:w="2410" w:type="dxa"/>
            <w:gridSpan w:val="2"/>
            <w:vAlign w:val="center"/>
          </w:tcPr>
          <w:p w14:paraId="37A0FC44">
            <w:pPr>
              <w:pStyle w:val="35"/>
              <w:spacing w:before="0"/>
              <w:jc w:val="both"/>
              <w:rPr>
                <w:rFonts w:ascii="Arial" w:hAnsi="Arial" w:cs="Arial"/>
                <w:sz w:val="20"/>
                <w:szCs w:val="20"/>
              </w:rPr>
            </w:pPr>
            <w:r>
              <w:rPr>
                <w:rFonts w:ascii="Arial" w:hAnsi="Arial" w:cs="Arial"/>
                <w:sz w:val="20"/>
                <w:szCs w:val="20"/>
              </w:rPr>
              <w:t>1.50 ± 0.84</w:t>
            </w:r>
          </w:p>
        </w:tc>
      </w:tr>
      <w:tr w14:paraId="62B68289">
        <w:trPr>
          <w:trHeight w:val="229" w:hRule="atLeast"/>
        </w:trPr>
        <w:tc>
          <w:tcPr>
            <w:tcW w:w="3828" w:type="dxa"/>
            <w:vAlign w:val="center"/>
          </w:tcPr>
          <w:p w14:paraId="2C2098B2">
            <w:pPr>
              <w:pStyle w:val="35"/>
              <w:spacing w:before="0"/>
              <w:ind w:left="220" w:leftChars="100"/>
              <w:jc w:val="both"/>
              <w:rPr>
                <w:rFonts w:ascii="Arial" w:hAnsi="Arial" w:cs="Arial"/>
                <w:sz w:val="20"/>
                <w:szCs w:val="20"/>
              </w:rPr>
            </w:pPr>
            <w:r>
              <w:rPr>
                <w:rFonts w:ascii="Arial" w:hAnsi="Arial" w:cs="Arial"/>
                <w:sz w:val="20"/>
                <w:szCs w:val="20"/>
              </w:rPr>
              <w:t>UO &lt; 0.5 mL/kg/h (SOFA-2 ≥3)</w:t>
            </w:r>
          </w:p>
        </w:tc>
        <w:tc>
          <w:tcPr>
            <w:tcW w:w="1701" w:type="dxa"/>
            <w:vAlign w:val="center"/>
          </w:tcPr>
          <w:p w14:paraId="09B9B52E">
            <w:pPr>
              <w:pStyle w:val="35"/>
              <w:spacing w:before="0"/>
              <w:jc w:val="both"/>
              <w:rPr>
                <w:rFonts w:ascii="Arial" w:hAnsi="Arial" w:cs="Arial"/>
                <w:sz w:val="20"/>
                <w:szCs w:val="20"/>
              </w:rPr>
            </w:pPr>
            <w:r>
              <w:rPr>
                <w:rFonts w:ascii="Arial" w:hAnsi="Arial" w:cs="Arial"/>
                <w:sz w:val="20"/>
                <w:szCs w:val="20"/>
              </w:rPr>
              <w:t>94/943 (10.0%)</w:t>
            </w:r>
          </w:p>
        </w:tc>
        <w:tc>
          <w:tcPr>
            <w:tcW w:w="1899" w:type="dxa"/>
            <w:vAlign w:val="center"/>
          </w:tcPr>
          <w:p w14:paraId="5D8FDAF2">
            <w:pPr>
              <w:pStyle w:val="35"/>
              <w:spacing w:before="0"/>
              <w:jc w:val="both"/>
              <w:rPr>
                <w:rFonts w:ascii="Arial" w:hAnsi="Arial" w:cs="Arial"/>
                <w:sz w:val="20"/>
                <w:szCs w:val="20"/>
              </w:rPr>
            </w:pPr>
            <w:r>
              <w:rPr>
                <w:rFonts w:ascii="Arial" w:hAnsi="Arial" w:cs="Arial"/>
                <w:sz w:val="20"/>
                <w:szCs w:val="20"/>
              </w:rPr>
              <w:t>6/160 (3.8%)</w:t>
            </w:r>
          </w:p>
        </w:tc>
        <w:tc>
          <w:tcPr>
            <w:tcW w:w="2410" w:type="dxa"/>
            <w:gridSpan w:val="2"/>
            <w:vAlign w:val="center"/>
          </w:tcPr>
          <w:p w14:paraId="406C9ED4">
            <w:pPr>
              <w:pStyle w:val="35"/>
              <w:spacing w:before="0"/>
              <w:jc w:val="both"/>
              <w:rPr>
                <w:rFonts w:ascii="Arial" w:hAnsi="Arial" w:cs="Arial"/>
                <w:sz w:val="20"/>
                <w:szCs w:val="20"/>
              </w:rPr>
            </w:pPr>
            <w:r>
              <w:rPr>
                <w:rFonts w:ascii="Arial" w:hAnsi="Arial" w:cs="Arial"/>
                <w:sz w:val="20"/>
                <w:szCs w:val="20"/>
              </w:rPr>
              <w:t>9/111 (8.1%)</w:t>
            </w:r>
          </w:p>
        </w:tc>
      </w:tr>
      <w:tr w14:paraId="7D30953F">
        <w:trPr>
          <w:trHeight w:val="229" w:hRule="atLeast"/>
        </w:trPr>
        <w:tc>
          <w:tcPr>
            <w:tcW w:w="3828" w:type="dxa"/>
            <w:vAlign w:val="center"/>
          </w:tcPr>
          <w:p w14:paraId="171A77BA">
            <w:pPr>
              <w:pStyle w:val="35"/>
              <w:spacing w:before="0"/>
              <w:ind w:left="220" w:leftChars="100"/>
              <w:jc w:val="both"/>
              <w:rPr>
                <w:rFonts w:ascii="Arial" w:hAnsi="Arial" w:cs="Arial"/>
                <w:sz w:val="20"/>
                <w:szCs w:val="20"/>
              </w:rPr>
            </w:pPr>
            <w:r>
              <w:rPr>
                <w:rFonts w:ascii="Arial" w:hAnsi="Arial" w:cs="Arial"/>
                <w:sz w:val="20"/>
                <w:szCs w:val="20"/>
              </w:rPr>
              <w:t>UO &lt; 0.3 mL/kg/h (SOFA-2 = 4)</w:t>
            </w:r>
          </w:p>
        </w:tc>
        <w:tc>
          <w:tcPr>
            <w:tcW w:w="1701" w:type="dxa"/>
            <w:vAlign w:val="center"/>
          </w:tcPr>
          <w:p w14:paraId="66EFD70F">
            <w:pPr>
              <w:pStyle w:val="35"/>
              <w:spacing w:before="0"/>
              <w:jc w:val="both"/>
              <w:rPr>
                <w:rFonts w:ascii="Arial" w:hAnsi="Arial" w:cs="Arial"/>
                <w:sz w:val="20"/>
                <w:szCs w:val="20"/>
              </w:rPr>
            </w:pPr>
            <w:r>
              <w:rPr>
                <w:rFonts w:ascii="Arial" w:hAnsi="Arial" w:cs="Arial"/>
                <w:sz w:val="20"/>
                <w:szCs w:val="20"/>
              </w:rPr>
              <w:t>57/943 (6.0%)</w:t>
            </w:r>
          </w:p>
        </w:tc>
        <w:tc>
          <w:tcPr>
            <w:tcW w:w="1899" w:type="dxa"/>
            <w:vAlign w:val="center"/>
          </w:tcPr>
          <w:p w14:paraId="6FE6BF07">
            <w:pPr>
              <w:pStyle w:val="35"/>
              <w:spacing w:before="0"/>
              <w:jc w:val="both"/>
              <w:rPr>
                <w:rFonts w:ascii="Arial" w:hAnsi="Arial" w:cs="Arial"/>
                <w:sz w:val="20"/>
                <w:szCs w:val="20"/>
              </w:rPr>
            </w:pPr>
            <w:r>
              <w:rPr>
                <w:rFonts w:ascii="Arial" w:hAnsi="Arial" w:cs="Arial"/>
                <w:sz w:val="20"/>
                <w:szCs w:val="20"/>
              </w:rPr>
              <w:t>3/160 (1.9%)</w:t>
            </w:r>
          </w:p>
        </w:tc>
        <w:tc>
          <w:tcPr>
            <w:tcW w:w="2410" w:type="dxa"/>
            <w:gridSpan w:val="2"/>
            <w:vAlign w:val="center"/>
          </w:tcPr>
          <w:p w14:paraId="636E9692">
            <w:pPr>
              <w:pStyle w:val="35"/>
              <w:spacing w:before="0"/>
              <w:jc w:val="both"/>
              <w:rPr>
                <w:rFonts w:ascii="Arial" w:hAnsi="Arial" w:cs="Arial"/>
                <w:sz w:val="20"/>
                <w:szCs w:val="20"/>
              </w:rPr>
            </w:pPr>
            <w:r>
              <w:rPr>
                <w:rFonts w:ascii="Arial" w:hAnsi="Arial" w:cs="Arial"/>
                <w:sz w:val="20"/>
                <w:szCs w:val="20"/>
              </w:rPr>
              <w:t>7/111 (6.3%)</w:t>
            </w:r>
          </w:p>
        </w:tc>
      </w:tr>
      <w:tr w14:paraId="34E1EAE5">
        <w:trPr>
          <w:trHeight w:val="229" w:hRule="atLeast"/>
        </w:trPr>
        <w:tc>
          <w:tcPr>
            <w:tcW w:w="3828" w:type="dxa"/>
            <w:vAlign w:val="center"/>
          </w:tcPr>
          <w:p w14:paraId="77243E1E">
            <w:pPr>
              <w:pStyle w:val="35"/>
              <w:spacing w:before="0"/>
              <w:ind w:left="220" w:leftChars="100"/>
              <w:jc w:val="both"/>
              <w:rPr>
                <w:rFonts w:ascii="Arial" w:hAnsi="Arial" w:cs="Arial"/>
                <w:sz w:val="20"/>
                <w:szCs w:val="20"/>
              </w:rPr>
            </w:pPr>
            <w:r>
              <w:rPr>
                <w:rFonts w:ascii="Arial" w:hAnsi="Arial" w:cs="Arial"/>
                <w:sz w:val="20"/>
                <w:szCs w:val="20"/>
              </w:rPr>
              <w:t>RRT use</w:t>
            </w:r>
          </w:p>
        </w:tc>
        <w:tc>
          <w:tcPr>
            <w:tcW w:w="1701" w:type="dxa"/>
            <w:vAlign w:val="center"/>
          </w:tcPr>
          <w:p w14:paraId="03C8E4E0">
            <w:pPr>
              <w:pStyle w:val="35"/>
              <w:spacing w:before="0"/>
              <w:jc w:val="both"/>
              <w:rPr>
                <w:rFonts w:ascii="Arial" w:hAnsi="Arial" w:cs="Arial"/>
                <w:sz w:val="20"/>
                <w:szCs w:val="20"/>
              </w:rPr>
            </w:pPr>
            <w:r>
              <w:rPr>
                <w:rFonts w:ascii="Arial" w:hAnsi="Arial" w:cs="Arial"/>
                <w:sz w:val="20"/>
                <w:szCs w:val="20"/>
              </w:rPr>
              <w:t>10 (0.86%)</w:t>
            </w:r>
          </w:p>
        </w:tc>
        <w:tc>
          <w:tcPr>
            <w:tcW w:w="1899" w:type="dxa"/>
            <w:vAlign w:val="center"/>
          </w:tcPr>
          <w:p w14:paraId="40CDB82D">
            <w:pPr>
              <w:pStyle w:val="35"/>
              <w:spacing w:before="0"/>
              <w:jc w:val="both"/>
              <w:rPr>
                <w:rFonts w:ascii="Arial" w:hAnsi="Arial" w:cs="Arial"/>
                <w:sz w:val="20"/>
                <w:szCs w:val="20"/>
              </w:rPr>
            </w:pPr>
            <w:r>
              <w:rPr>
                <w:rFonts w:ascii="Arial" w:hAnsi="Arial" w:cs="Arial"/>
                <w:sz w:val="20"/>
                <w:szCs w:val="20"/>
              </w:rPr>
              <w:t>13 (0.95%)</w:t>
            </w:r>
          </w:p>
        </w:tc>
        <w:tc>
          <w:tcPr>
            <w:tcW w:w="2410" w:type="dxa"/>
            <w:gridSpan w:val="2"/>
            <w:vAlign w:val="center"/>
          </w:tcPr>
          <w:p w14:paraId="11858963">
            <w:pPr>
              <w:pStyle w:val="35"/>
              <w:spacing w:before="0"/>
              <w:jc w:val="both"/>
              <w:rPr>
                <w:rFonts w:ascii="Arial" w:hAnsi="Arial" w:cs="Arial"/>
                <w:sz w:val="20"/>
                <w:szCs w:val="20"/>
              </w:rPr>
            </w:pPr>
            <w:r>
              <w:rPr>
                <w:rFonts w:ascii="Arial" w:hAnsi="Arial" w:cs="Arial"/>
                <w:sz w:val="20"/>
                <w:szCs w:val="20"/>
              </w:rPr>
              <w:t>3 (2.46%)</w:t>
            </w:r>
          </w:p>
        </w:tc>
      </w:tr>
      <w:tr w14:paraId="2EA2335C">
        <w:trPr>
          <w:trHeight w:val="229" w:hRule="atLeast"/>
        </w:trPr>
        <w:tc>
          <w:tcPr>
            <w:tcW w:w="3828" w:type="dxa"/>
            <w:vAlign w:val="center"/>
          </w:tcPr>
          <w:p w14:paraId="3F7A21CB">
            <w:pPr>
              <w:pStyle w:val="35"/>
              <w:spacing w:before="0"/>
              <w:ind w:left="220" w:leftChars="100"/>
              <w:jc w:val="both"/>
              <w:rPr>
                <w:rFonts w:ascii="Arial" w:hAnsi="Arial" w:cs="Arial"/>
                <w:sz w:val="20"/>
                <w:szCs w:val="20"/>
              </w:rPr>
            </w:pPr>
            <w:r>
              <w:rPr>
                <w:rFonts w:ascii="Arial" w:hAnsi="Arial" w:cs="Arial"/>
                <w:sz w:val="20"/>
                <w:szCs w:val="20"/>
              </w:rPr>
              <w:t>SOFA-1 renal score</w:t>
            </w:r>
          </w:p>
        </w:tc>
        <w:tc>
          <w:tcPr>
            <w:tcW w:w="1701" w:type="dxa"/>
            <w:vAlign w:val="center"/>
          </w:tcPr>
          <w:p w14:paraId="6BB99F81">
            <w:pPr>
              <w:pStyle w:val="35"/>
              <w:spacing w:before="0"/>
              <w:jc w:val="both"/>
              <w:rPr>
                <w:rFonts w:ascii="Arial" w:hAnsi="Arial" w:cs="Arial"/>
                <w:sz w:val="20"/>
                <w:szCs w:val="20"/>
              </w:rPr>
            </w:pPr>
            <w:r>
              <w:rPr>
                <w:rFonts w:ascii="Arial" w:hAnsi="Arial" w:cs="Arial"/>
                <w:sz w:val="20"/>
                <w:szCs w:val="20"/>
              </w:rPr>
              <w:t>1.34 ± 1.43</w:t>
            </w:r>
          </w:p>
        </w:tc>
        <w:tc>
          <w:tcPr>
            <w:tcW w:w="1899" w:type="dxa"/>
            <w:vAlign w:val="center"/>
          </w:tcPr>
          <w:p w14:paraId="316674AE">
            <w:pPr>
              <w:pStyle w:val="35"/>
              <w:spacing w:before="0"/>
              <w:jc w:val="both"/>
              <w:rPr>
                <w:rFonts w:ascii="Arial" w:hAnsi="Arial" w:cs="Arial"/>
                <w:sz w:val="20"/>
                <w:szCs w:val="20"/>
              </w:rPr>
            </w:pPr>
            <w:r>
              <w:rPr>
                <w:rFonts w:ascii="Arial" w:hAnsi="Arial" w:cs="Arial"/>
                <w:sz w:val="20"/>
                <w:szCs w:val="20"/>
              </w:rPr>
              <w:t>2.01 ± 1.51</w:t>
            </w:r>
          </w:p>
        </w:tc>
        <w:tc>
          <w:tcPr>
            <w:tcW w:w="2410" w:type="dxa"/>
            <w:gridSpan w:val="2"/>
            <w:vAlign w:val="center"/>
          </w:tcPr>
          <w:p w14:paraId="55DAD1CA">
            <w:pPr>
              <w:pStyle w:val="35"/>
              <w:spacing w:before="0"/>
              <w:jc w:val="both"/>
              <w:rPr>
                <w:rFonts w:ascii="Arial" w:hAnsi="Arial" w:cs="Arial"/>
                <w:sz w:val="20"/>
                <w:szCs w:val="20"/>
              </w:rPr>
            </w:pPr>
            <w:r>
              <w:rPr>
                <w:rFonts w:ascii="Arial" w:hAnsi="Arial" w:cs="Arial"/>
                <w:sz w:val="20"/>
                <w:szCs w:val="20"/>
              </w:rPr>
              <w:t>0.75 ± 1.21</w:t>
            </w:r>
          </w:p>
        </w:tc>
      </w:tr>
      <w:tr w14:paraId="3FF71D0B">
        <w:trPr>
          <w:trHeight w:val="229" w:hRule="atLeast"/>
        </w:trPr>
        <w:tc>
          <w:tcPr>
            <w:tcW w:w="3828" w:type="dxa"/>
            <w:vAlign w:val="center"/>
          </w:tcPr>
          <w:p w14:paraId="5DD26D3C">
            <w:pPr>
              <w:pStyle w:val="35"/>
              <w:spacing w:before="0"/>
              <w:ind w:left="220" w:leftChars="100"/>
              <w:jc w:val="both"/>
              <w:rPr>
                <w:rFonts w:ascii="Arial" w:hAnsi="Arial" w:cs="Arial"/>
                <w:sz w:val="20"/>
                <w:szCs w:val="20"/>
              </w:rPr>
            </w:pPr>
            <w:r>
              <w:rPr>
                <w:rFonts w:ascii="Arial" w:hAnsi="Arial" w:cs="Arial"/>
                <w:sz w:val="20"/>
                <w:szCs w:val="20"/>
              </w:rPr>
              <w:t>SOFA-2 renal score</w:t>
            </w:r>
          </w:p>
        </w:tc>
        <w:tc>
          <w:tcPr>
            <w:tcW w:w="1701" w:type="dxa"/>
            <w:vAlign w:val="center"/>
          </w:tcPr>
          <w:p w14:paraId="0900EBF3">
            <w:pPr>
              <w:pStyle w:val="35"/>
              <w:spacing w:before="0"/>
              <w:jc w:val="both"/>
              <w:rPr>
                <w:rFonts w:ascii="Arial" w:hAnsi="Arial" w:cs="Arial"/>
                <w:sz w:val="20"/>
                <w:szCs w:val="20"/>
              </w:rPr>
            </w:pPr>
            <w:r>
              <w:rPr>
                <w:rFonts w:ascii="Arial" w:hAnsi="Arial" w:cs="Arial"/>
                <w:sz w:val="20"/>
                <w:szCs w:val="20"/>
              </w:rPr>
              <w:t>0.72 ± 1.13</w:t>
            </w:r>
          </w:p>
        </w:tc>
        <w:tc>
          <w:tcPr>
            <w:tcW w:w="1899" w:type="dxa"/>
            <w:vAlign w:val="center"/>
          </w:tcPr>
          <w:p w14:paraId="6929C035">
            <w:pPr>
              <w:pStyle w:val="35"/>
              <w:spacing w:before="0"/>
              <w:jc w:val="both"/>
              <w:rPr>
                <w:rFonts w:ascii="Arial" w:hAnsi="Arial" w:cs="Arial"/>
                <w:sz w:val="20"/>
                <w:szCs w:val="20"/>
              </w:rPr>
            </w:pPr>
            <w:r>
              <w:rPr>
                <w:rFonts w:ascii="Arial" w:hAnsi="Arial" w:cs="Arial"/>
                <w:sz w:val="20"/>
                <w:szCs w:val="20"/>
              </w:rPr>
              <w:t>1.02 ± 1.29</w:t>
            </w:r>
          </w:p>
        </w:tc>
        <w:tc>
          <w:tcPr>
            <w:tcW w:w="2410" w:type="dxa"/>
            <w:gridSpan w:val="2"/>
            <w:vAlign w:val="center"/>
          </w:tcPr>
          <w:p w14:paraId="3341D419">
            <w:pPr>
              <w:pStyle w:val="35"/>
              <w:spacing w:before="0"/>
              <w:jc w:val="both"/>
              <w:rPr>
                <w:rFonts w:ascii="Arial" w:hAnsi="Arial" w:cs="Arial"/>
                <w:sz w:val="20"/>
                <w:szCs w:val="20"/>
              </w:rPr>
            </w:pPr>
            <w:r>
              <w:rPr>
                <w:rFonts w:ascii="Arial" w:hAnsi="Arial" w:cs="Arial"/>
                <w:sz w:val="20"/>
                <w:szCs w:val="20"/>
              </w:rPr>
              <w:t>0.75 ± 1.18</w:t>
            </w:r>
          </w:p>
        </w:tc>
      </w:tr>
      <w:tr w14:paraId="7E2CFE6A">
        <w:trPr>
          <w:trHeight w:val="229" w:hRule="atLeast"/>
        </w:trPr>
        <w:tc>
          <w:tcPr>
            <w:tcW w:w="3828" w:type="dxa"/>
            <w:vAlign w:val="center"/>
          </w:tcPr>
          <w:p w14:paraId="6BB0E35B">
            <w:pPr>
              <w:pStyle w:val="35"/>
              <w:spacing w:before="0"/>
              <w:ind w:left="220" w:leftChars="100"/>
              <w:jc w:val="both"/>
              <w:rPr>
                <w:rFonts w:ascii="Arial" w:hAnsi="Arial" w:cs="Arial"/>
                <w:sz w:val="20"/>
                <w:szCs w:val="20"/>
              </w:rPr>
            </w:pPr>
            <w:r>
              <w:rPr>
                <w:rFonts w:ascii="Arial" w:hAnsi="Arial" w:cs="Arial"/>
                <w:sz w:val="20"/>
                <w:szCs w:val="20"/>
              </w:rPr>
              <w:t>Renal score difference</w:t>
            </w:r>
          </w:p>
        </w:tc>
        <w:tc>
          <w:tcPr>
            <w:tcW w:w="1701" w:type="dxa"/>
            <w:vAlign w:val="center"/>
          </w:tcPr>
          <w:p w14:paraId="2A00BA84">
            <w:pPr>
              <w:pStyle w:val="35"/>
              <w:spacing w:before="0"/>
              <w:jc w:val="both"/>
              <w:rPr>
                <w:rFonts w:ascii="Arial" w:hAnsi="Arial" w:cs="Arial"/>
                <w:sz w:val="20"/>
                <w:szCs w:val="20"/>
              </w:rPr>
            </w:pPr>
            <w:r>
              <w:rPr>
                <w:rFonts w:ascii="Arial" w:hAnsi="Arial" w:cs="Arial"/>
                <w:sz w:val="20"/>
                <w:szCs w:val="20"/>
              </w:rPr>
              <w:t>−0.61 ± 1.14</w:t>
            </w:r>
          </w:p>
        </w:tc>
        <w:tc>
          <w:tcPr>
            <w:tcW w:w="1899" w:type="dxa"/>
            <w:vAlign w:val="center"/>
          </w:tcPr>
          <w:p w14:paraId="12718F47">
            <w:pPr>
              <w:pStyle w:val="35"/>
              <w:spacing w:before="0"/>
              <w:jc w:val="both"/>
              <w:rPr>
                <w:rFonts w:ascii="Arial" w:hAnsi="Arial" w:cs="Arial"/>
                <w:sz w:val="20"/>
                <w:szCs w:val="20"/>
              </w:rPr>
            </w:pPr>
            <w:r>
              <w:rPr>
                <w:rFonts w:ascii="Arial" w:hAnsi="Arial" w:cs="Arial"/>
                <w:sz w:val="20"/>
                <w:szCs w:val="20"/>
              </w:rPr>
              <w:t>−0.96 ± 1.52</w:t>
            </w:r>
          </w:p>
        </w:tc>
        <w:tc>
          <w:tcPr>
            <w:tcW w:w="2410" w:type="dxa"/>
            <w:gridSpan w:val="2"/>
            <w:vAlign w:val="center"/>
          </w:tcPr>
          <w:p w14:paraId="5992A0E6">
            <w:pPr>
              <w:pStyle w:val="35"/>
              <w:spacing w:before="0"/>
              <w:jc w:val="both"/>
              <w:rPr>
                <w:rFonts w:ascii="Arial" w:hAnsi="Arial" w:cs="Arial"/>
                <w:sz w:val="20"/>
                <w:szCs w:val="20"/>
              </w:rPr>
            </w:pPr>
            <w:r>
              <w:rPr>
                <w:rFonts w:ascii="Arial" w:hAnsi="Arial" w:cs="Arial"/>
                <w:sz w:val="20"/>
                <w:szCs w:val="20"/>
              </w:rPr>
              <w:t>−0.01 ± 0.61</w:t>
            </w:r>
          </w:p>
        </w:tc>
      </w:tr>
      <w:tr w14:paraId="3AF3E5CD">
        <w:trPr>
          <w:trHeight w:val="229" w:hRule="atLeast"/>
        </w:trPr>
        <w:tc>
          <w:tcPr>
            <w:tcW w:w="3828" w:type="dxa"/>
            <w:vAlign w:val="center"/>
          </w:tcPr>
          <w:p w14:paraId="1B04A3A8">
            <w:pPr>
              <w:pStyle w:val="35"/>
              <w:spacing w:before="0"/>
              <w:jc w:val="both"/>
              <w:rPr>
                <w:rFonts w:ascii="Arial" w:hAnsi="Arial" w:cs="Arial"/>
                <w:sz w:val="20"/>
                <w:szCs w:val="20"/>
              </w:rPr>
            </w:pPr>
            <w:r>
              <w:rPr>
                <w:rFonts w:ascii="Arial" w:hAnsi="Arial" w:cs="Arial"/>
                <w:b/>
                <w:spacing w:val="-2"/>
                <w:sz w:val="20"/>
                <w:szCs w:val="20"/>
              </w:rPr>
              <w:t>Cardiovascular System</w:t>
            </w:r>
          </w:p>
        </w:tc>
        <w:tc>
          <w:tcPr>
            <w:tcW w:w="1701" w:type="dxa"/>
            <w:vAlign w:val="center"/>
          </w:tcPr>
          <w:p w14:paraId="2AD58A50">
            <w:pPr>
              <w:pStyle w:val="35"/>
              <w:spacing w:before="0"/>
              <w:jc w:val="both"/>
              <w:rPr>
                <w:rFonts w:ascii="Arial" w:hAnsi="Arial" w:cs="Arial"/>
                <w:sz w:val="20"/>
                <w:szCs w:val="20"/>
              </w:rPr>
            </w:pPr>
          </w:p>
        </w:tc>
        <w:tc>
          <w:tcPr>
            <w:tcW w:w="1899" w:type="dxa"/>
            <w:vAlign w:val="center"/>
          </w:tcPr>
          <w:p w14:paraId="3E66868A">
            <w:pPr>
              <w:pStyle w:val="35"/>
              <w:spacing w:before="0"/>
              <w:jc w:val="both"/>
              <w:rPr>
                <w:rFonts w:ascii="Arial" w:hAnsi="Arial" w:cs="Arial"/>
                <w:sz w:val="20"/>
                <w:szCs w:val="20"/>
              </w:rPr>
            </w:pPr>
          </w:p>
        </w:tc>
        <w:tc>
          <w:tcPr>
            <w:tcW w:w="2410" w:type="dxa"/>
            <w:gridSpan w:val="2"/>
            <w:vAlign w:val="center"/>
          </w:tcPr>
          <w:p w14:paraId="5E34C3E7">
            <w:pPr>
              <w:pStyle w:val="35"/>
              <w:spacing w:before="0"/>
              <w:jc w:val="both"/>
              <w:rPr>
                <w:rFonts w:ascii="Arial" w:hAnsi="Arial" w:cs="Arial"/>
                <w:sz w:val="20"/>
                <w:szCs w:val="20"/>
              </w:rPr>
            </w:pPr>
          </w:p>
        </w:tc>
      </w:tr>
      <w:tr w14:paraId="78E12BF8">
        <w:trPr>
          <w:trHeight w:val="229" w:hRule="atLeast"/>
        </w:trPr>
        <w:tc>
          <w:tcPr>
            <w:tcW w:w="3828" w:type="dxa"/>
            <w:vAlign w:val="center"/>
          </w:tcPr>
          <w:p w14:paraId="4D3AE5F5">
            <w:pPr>
              <w:pStyle w:val="35"/>
              <w:spacing w:before="0"/>
              <w:ind w:left="220" w:leftChars="100"/>
              <w:jc w:val="both"/>
              <w:rPr>
                <w:rFonts w:ascii="Arial" w:hAnsi="Arial" w:cs="Arial"/>
                <w:sz w:val="20"/>
                <w:szCs w:val="20"/>
              </w:rPr>
            </w:pPr>
            <w:r>
              <w:rPr>
                <w:rFonts w:ascii="Arial" w:hAnsi="Arial" w:cs="Arial"/>
                <w:sz w:val="20"/>
                <w:szCs w:val="20"/>
              </w:rPr>
              <w:t>Mean arterial pressure (mm</w:t>
            </w:r>
            <w:r>
              <w:rPr>
                <w:rFonts w:hint="eastAsia" w:ascii="Arial" w:hAnsi="Arial" w:cs="Arial" w:eastAsiaTheme="minorEastAsia"/>
                <w:sz w:val="20"/>
                <w:szCs w:val="20"/>
                <w:lang w:eastAsia="zh-CN"/>
              </w:rPr>
              <w:t xml:space="preserve"> </w:t>
            </w:r>
            <w:r>
              <w:rPr>
                <w:rFonts w:ascii="Arial" w:hAnsi="Arial" w:cs="Arial"/>
                <w:sz w:val="20"/>
                <w:szCs w:val="20"/>
              </w:rPr>
              <w:t>Hg)</w:t>
            </w:r>
          </w:p>
        </w:tc>
        <w:tc>
          <w:tcPr>
            <w:tcW w:w="1701" w:type="dxa"/>
            <w:vAlign w:val="center"/>
          </w:tcPr>
          <w:p w14:paraId="3034983E">
            <w:pPr>
              <w:pStyle w:val="35"/>
              <w:spacing w:before="0"/>
              <w:jc w:val="both"/>
              <w:rPr>
                <w:rFonts w:ascii="Arial" w:hAnsi="Arial" w:cs="Arial"/>
                <w:sz w:val="20"/>
                <w:szCs w:val="20"/>
              </w:rPr>
            </w:pPr>
            <w:r>
              <w:rPr>
                <w:rFonts w:ascii="Arial" w:hAnsi="Arial" w:cs="Arial"/>
                <w:sz w:val="20"/>
                <w:szCs w:val="20"/>
              </w:rPr>
              <w:t>78.38 ± 11.41</w:t>
            </w:r>
          </w:p>
        </w:tc>
        <w:tc>
          <w:tcPr>
            <w:tcW w:w="1899" w:type="dxa"/>
            <w:vAlign w:val="center"/>
          </w:tcPr>
          <w:p w14:paraId="1C4D1718">
            <w:pPr>
              <w:pStyle w:val="35"/>
              <w:spacing w:before="0"/>
              <w:jc w:val="both"/>
              <w:rPr>
                <w:rFonts w:ascii="Arial" w:hAnsi="Arial" w:cs="Arial"/>
                <w:sz w:val="20"/>
                <w:szCs w:val="20"/>
              </w:rPr>
            </w:pPr>
            <w:r>
              <w:rPr>
                <w:rFonts w:ascii="Arial" w:hAnsi="Arial" w:cs="Arial"/>
                <w:sz w:val="20"/>
                <w:szCs w:val="20"/>
              </w:rPr>
              <w:t>79.36 ± 12.14</w:t>
            </w:r>
          </w:p>
        </w:tc>
        <w:tc>
          <w:tcPr>
            <w:tcW w:w="2410" w:type="dxa"/>
            <w:gridSpan w:val="2"/>
            <w:vAlign w:val="center"/>
          </w:tcPr>
          <w:p w14:paraId="0ACE2A80">
            <w:pPr>
              <w:pStyle w:val="35"/>
              <w:spacing w:before="0"/>
              <w:jc w:val="both"/>
              <w:rPr>
                <w:rFonts w:ascii="Arial" w:hAnsi="Arial" w:cs="Arial"/>
                <w:sz w:val="20"/>
                <w:szCs w:val="20"/>
              </w:rPr>
            </w:pPr>
            <w:r>
              <w:rPr>
                <w:rFonts w:ascii="Arial" w:hAnsi="Arial" w:cs="Arial"/>
                <w:sz w:val="20"/>
                <w:szCs w:val="20"/>
              </w:rPr>
              <w:t>81.94 ± 10.00</w:t>
            </w:r>
          </w:p>
        </w:tc>
      </w:tr>
      <w:tr w14:paraId="56F25DA1">
        <w:trPr>
          <w:trHeight w:val="229" w:hRule="atLeast"/>
        </w:trPr>
        <w:tc>
          <w:tcPr>
            <w:tcW w:w="3828" w:type="dxa"/>
            <w:vAlign w:val="center"/>
          </w:tcPr>
          <w:p w14:paraId="24838DEC">
            <w:pPr>
              <w:pStyle w:val="35"/>
              <w:spacing w:before="0"/>
              <w:ind w:left="220" w:leftChars="100"/>
              <w:jc w:val="both"/>
              <w:rPr>
                <w:rFonts w:ascii="Arial" w:hAnsi="Arial" w:cs="Arial"/>
                <w:sz w:val="20"/>
                <w:szCs w:val="20"/>
              </w:rPr>
            </w:pPr>
            <w:r>
              <w:rPr>
                <w:rFonts w:ascii="Arial" w:hAnsi="Arial" w:cs="Arial"/>
                <w:sz w:val="20"/>
                <w:szCs w:val="20"/>
              </w:rPr>
              <w:t>MAP &lt; 70 mm</w:t>
            </w:r>
            <w:r>
              <w:rPr>
                <w:rFonts w:hint="eastAsia" w:ascii="Arial" w:hAnsi="Arial" w:cs="Arial" w:eastAsiaTheme="minorEastAsia"/>
                <w:sz w:val="20"/>
                <w:szCs w:val="20"/>
                <w:lang w:eastAsia="zh-CN"/>
              </w:rPr>
              <w:t xml:space="preserve"> </w:t>
            </w:r>
            <w:r>
              <w:rPr>
                <w:rFonts w:ascii="Arial" w:hAnsi="Arial" w:cs="Arial"/>
                <w:sz w:val="20"/>
                <w:szCs w:val="20"/>
              </w:rPr>
              <w:t>Hg (SOFA ≥1)</w:t>
            </w:r>
          </w:p>
        </w:tc>
        <w:tc>
          <w:tcPr>
            <w:tcW w:w="1701" w:type="dxa"/>
            <w:vAlign w:val="center"/>
          </w:tcPr>
          <w:p w14:paraId="5CBCB2FE">
            <w:pPr>
              <w:pStyle w:val="35"/>
              <w:spacing w:before="0"/>
              <w:jc w:val="both"/>
              <w:rPr>
                <w:rFonts w:ascii="Arial" w:hAnsi="Arial" w:cs="Arial"/>
                <w:sz w:val="20"/>
                <w:szCs w:val="20"/>
              </w:rPr>
            </w:pPr>
            <w:r>
              <w:rPr>
                <w:rFonts w:ascii="Arial" w:hAnsi="Arial" w:cs="Arial"/>
                <w:sz w:val="20"/>
                <w:szCs w:val="20"/>
              </w:rPr>
              <w:t>283/1150 (24.6%)</w:t>
            </w:r>
          </w:p>
        </w:tc>
        <w:tc>
          <w:tcPr>
            <w:tcW w:w="1899" w:type="dxa"/>
            <w:vAlign w:val="center"/>
          </w:tcPr>
          <w:p w14:paraId="27333589">
            <w:pPr>
              <w:pStyle w:val="35"/>
              <w:spacing w:before="0"/>
              <w:jc w:val="both"/>
              <w:rPr>
                <w:rFonts w:ascii="Arial" w:hAnsi="Arial" w:cs="Arial"/>
                <w:sz w:val="20"/>
                <w:szCs w:val="20"/>
              </w:rPr>
            </w:pPr>
            <w:r>
              <w:rPr>
                <w:rFonts w:ascii="Arial" w:hAnsi="Arial" w:cs="Arial"/>
                <w:sz w:val="20"/>
                <w:szCs w:val="20"/>
              </w:rPr>
              <w:t>314/1355 (23.2%)</w:t>
            </w:r>
          </w:p>
        </w:tc>
        <w:tc>
          <w:tcPr>
            <w:tcW w:w="2410" w:type="dxa"/>
            <w:gridSpan w:val="2"/>
            <w:vAlign w:val="center"/>
          </w:tcPr>
          <w:p w14:paraId="13654604">
            <w:pPr>
              <w:pStyle w:val="35"/>
              <w:spacing w:before="0"/>
              <w:jc w:val="both"/>
              <w:rPr>
                <w:rFonts w:ascii="Arial" w:hAnsi="Arial" w:cs="Arial"/>
                <w:sz w:val="20"/>
                <w:szCs w:val="20"/>
              </w:rPr>
            </w:pPr>
            <w:r>
              <w:rPr>
                <w:rFonts w:ascii="Arial" w:hAnsi="Arial" w:cs="Arial"/>
                <w:sz w:val="20"/>
                <w:szCs w:val="20"/>
              </w:rPr>
              <w:t>10/119 (8.4%)</w:t>
            </w:r>
          </w:p>
        </w:tc>
      </w:tr>
      <w:tr w14:paraId="3926B11B">
        <w:trPr>
          <w:trHeight w:val="229" w:hRule="atLeast"/>
        </w:trPr>
        <w:tc>
          <w:tcPr>
            <w:tcW w:w="3828" w:type="dxa"/>
            <w:vAlign w:val="center"/>
          </w:tcPr>
          <w:p w14:paraId="1DA8251A">
            <w:pPr>
              <w:pStyle w:val="35"/>
              <w:spacing w:before="0"/>
              <w:ind w:left="220" w:leftChars="100"/>
              <w:jc w:val="both"/>
              <w:rPr>
                <w:rFonts w:ascii="Arial" w:hAnsi="Arial" w:cs="Arial"/>
                <w:sz w:val="20"/>
                <w:szCs w:val="20"/>
              </w:rPr>
            </w:pPr>
            <w:r>
              <w:rPr>
                <w:rFonts w:ascii="Arial" w:hAnsi="Arial" w:cs="Arial"/>
                <w:sz w:val="20"/>
                <w:szCs w:val="20"/>
              </w:rPr>
              <w:t>Lactate (mmol/L)</w:t>
            </w:r>
          </w:p>
        </w:tc>
        <w:tc>
          <w:tcPr>
            <w:tcW w:w="1701" w:type="dxa"/>
            <w:vAlign w:val="center"/>
          </w:tcPr>
          <w:p w14:paraId="5B312AEC">
            <w:pPr>
              <w:pStyle w:val="35"/>
              <w:spacing w:before="0"/>
              <w:jc w:val="both"/>
              <w:rPr>
                <w:rFonts w:ascii="Arial" w:hAnsi="Arial" w:cs="Arial"/>
                <w:sz w:val="20"/>
                <w:szCs w:val="20"/>
              </w:rPr>
            </w:pPr>
            <w:r>
              <w:rPr>
                <w:rFonts w:ascii="Arial" w:hAnsi="Arial" w:cs="Arial"/>
                <w:sz w:val="20"/>
                <w:szCs w:val="20"/>
              </w:rPr>
              <w:t>1.82 ± 1.32</w:t>
            </w:r>
          </w:p>
        </w:tc>
        <w:tc>
          <w:tcPr>
            <w:tcW w:w="1899" w:type="dxa"/>
            <w:vAlign w:val="center"/>
          </w:tcPr>
          <w:p w14:paraId="2A66C0E2">
            <w:pPr>
              <w:pStyle w:val="35"/>
              <w:spacing w:before="0"/>
              <w:jc w:val="both"/>
              <w:rPr>
                <w:rFonts w:ascii="Arial" w:hAnsi="Arial" w:cs="Arial"/>
                <w:sz w:val="20"/>
                <w:szCs w:val="20"/>
              </w:rPr>
            </w:pPr>
            <w:r>
              <w:rPr>
                <w:rFonts w:ascii="Arial" w:hAnsi="Arial" w:cs="Arial"/>
                <w:sz w:val="20"/>
                <w:szCs w:val="20"/>
              </w:rPr>
              <w:t>2.01 ± 1.64</w:t>
            </w:r>
          </w:p>
        </w:tc>
        <w:tc>
          <w:tcPr>
            <w:tcW w:w="2410" w:type="dxa"/>
            <w:gridSpan w:val="2"/>
            <w:vAlign w:val="center"/>
          </w:tcPr>
          <w:p w14:paraId="3B1AEBEE">
            <w:pPr>
              <w:pStyle w:val="35"/>
              <w:spacing w:before="0"/>
              <w:jc w:val="both"/>
              <w:rPr>
                <w:rFonts w:ascii="Arial" w:hAnsi="Arial" w:cs="Arial"/>
                <w:sz w:val="20"/>
                <w:szCs w:val="20"/>
              </w:rPr>
            </w:pPr>
            <w:r>
              <w:rPr>
                <w:rFonts w:ascii="Arial" w:hAnsi="Arial" w:cs="Arial"/>
                <w:sz w:val="20"/>
                <w:szCs w:val="20"/>
              </w:rPr>
              <w:t>2.15 ± 2.09</w:t>
            </w:r>
          </w:p>
        </w:tc>
      </w:tr>
      <w:tr w14:paraId="0166C105">
        <w:trPr>
          <w:trHeight w:val="229" w:hRule="atLeast"/>
        </w:trPr>
        <w:tc>
          <w:tcPr>
            <w:tcW w:w="3828" w:type="dxa"/>
            <w:vAlign w:val="center"/>
          </w:tcPr>
          <w:p w14:paraId="2E6807DF">
            <w:pPr>
              <w:pStyle w:val="35"/>
              <w:spacing w:before="0"/>
              <w:ind w:left="220" w:leftChars="100"/>
              <w:jc w:val="both"/>
              <w:rPr>
                <w:rFonts w:ascii="Arial" w:hAnsi="Arial" w:cs="Arial"/>
                <w:sz w:val="20"/>
                <w:szCs w:val="20"/>
              </w:rPr>
            </w:pPr>
            <w:r>
              <w:rPr>
                <w:rFonts w:ascii="Arial" w:hAnsi="Arial" w:cs="Arial"/>
                <w:sz w:val="20"/>
                <w:szCs w:val="20"/>
              </w:rPr>
              <w:t>Lactate &gt; 2 (SOFA-2 ≥2)</w:t>
            </w:r>
          </w:p>
        </w:tc>
        <w:tc>
          <w:tcPr>
            <w:tcW w:w="1701" w:type="dxa"/>
            <w:vAlign w:val="center"/>
          </w:tcPr>
          <w:p w14:paraId="3BC02238">
            <w:pPr>
              <w:pStyle w:val="35"/>
              <w:spacing w:before="0"/>
              <w:jc w:val="both"/>
              <w:rPr>
                <w:rFonts w:ascii="Arial" w:hAnsi="Arial" w:cs="Arial"/>
                <w:sz w:val="20"/>
                <w:szCs w:val="20"/>
              </w:rPr>
            </w:pPr>
            <w:r>
              <w:rPr>
                <w:rFonts w:ascii="Arial" w:hAnsi="Arial" w:cs="Arial"/>
                <w:sz w:val="20"/>
                <w:szCs w:val="20"/>
              </w:rPr>
              <w:t>169/655 (25.8%)</w:t>
            </w:r>
          </w:p>
        </w:tc>
        <w:tc>
          <w:tcPr>
            <w:tcW w:w="1899" w:type="dxa"/>
            <w:vAlign w:val="center"/>
          </w:tcPr>
          <w:p w14:paraId="034B842F">
            <w:pPr>
              <w:pStyle w:val="35"/>
              <w:spacing w:before="0"/>
              <w:jc w:val="both"/>
              <w:rPr>
                <w:rFonts w:ascii="Arial" w:hAnsi="Arial" w:cs="Arial"/>
                <w:sz w:val="20"/>
                <w:szCs w:val="20"/>
              </w:rPr>
            </w:pPr>
            <w:r>
              <w:rPr>
                <w:rFonts w:ascii="Arial" w:hAnsi="Arial" w:cs="Arial"/>
                <w:sz w:val="20"/>
                <w:szCs w:val="20"/>
              </w:rPr>
              <w:t>132/405 (32.6%)</w:t>
            </w:r>
          </w:p>
        </w:tc>
        <w:tc>
          <w:tcPr>
            <w:tcW w:w="2410" w:type="dxa"/>
            <w:gridSpan w:val="2"/>
            <w:vAlign w:val="center"/>
          </w:tcPr>
          <w:p w14:paraId="6DFF54CE">
            <w:pPr>
              <w:pStyle w:val="35"/>
              <w:spacing w:before="0"/>
              <w:jc w:val="both"/>
              <w:rPr>
                <w:rFonts w:ascii="Arial" w:hAnsi="Arial" w:cs="Arial"/>
                <w:sz w:val="20"/>
                <w:szCs w:val="20"/>
              </w:rPr>
            </w:pPr>
            <w:r>
              <w:rPr>
                <w:rFonts w:ascii="Arial" w:hAnsi="Arial" w:cs="Arial"/>
                <w:sz w:val="20"/>
                <w:szCs w:val="20"/>
              </w:rPr>
              <w:t>24/77 (31.2%)</w:t>
            </w:r>
          </w:p>
        </w:tc>
      </w:tr>
      <w:tr w14:paraId="7A5F2C8D">
        <w:trPr>
          <w:trHeight w:val="229" w:hRule="atLeast"/>
        </w:trPr>
        <w:tc>
          <w:tcPr>
            <w:tcW w:w="3828" w:type="dxa"/>
            <w:vAlign w:val="center"/>
          </w:tcPr>
          <w:p w14:paraId="6A8DA1E1">
            <w:pPr>
              <w:pStyle w:val="35"/>
              <w:spacing w:before="0"/>
              <w:ind w:left="220" w:leftChars="100"/>
              <w:jc w:val="both"/>
              <w:rPr>
                <w:rFonts w:ascii="Arial" w:hAnsi="Arial" w:cs="Arial"/>
                <w:sz w:val="20"/>
                <w:szCs w:val="20"/>
              </w:rPr>
            </w:pPr>
            <w:r>
              <w:rPr>
                <w:rFonts w:ascii="Arial" w:hAnsi="Arial" w:cs="Arial"/>
                <w:sz w:val="20"/>
                <w:szCs w:val="20"/>
              </w:rPr>
              <w:t>Lactate &gt; 4 (SOFA-2 ≥3)</w:t>
            </w:r>
          </w:p>
        </w:tc>
        <w:tc>
          <w:tcPr>
            <w:tcW w:w="1701" w:type="dxa"/>
            <w:vAlign w:val="center"/>
          </w:tcPr>
          <w:p w14:paraId="1C8166D5">
            <w:pPr>
              <w:pStyle w:val="35"/>
              <w:spacing w:before="0"/>
              <w:jc w:val="both"/>
              <w:rPr>
                <w:rFonts w:ascii="Arial" w:hAnsi="Arial" w:cs="Arial"/>
                <w:sz w:val="20"/>
                <w:szCs w:val="20"/>
              </w:rPr>
            </w:pPr>
            <w:r>
              <w:rPr>
                <w:rFonts w:ascii="Arial" w:hAnsi="Arial" w:cs="Arial"/>
                <w:sz w:val="20"/>
                <w:szCs w:val="20"/>
              </w:rPr>
              <w:t>30/655 (4.6%)</w:t>
            </w:r>
          </w:p>
        </w:tc>
        <w:tc>
          <w:tcPr>
            <w:tcW w:w="1899" w:type="dxa"/>
            <w:vAlign w:val="center"/>
          </w:tcPr>
          <w:p w14:paraId="5E8BBC7C">
            <w:pPr>
              <w:pStyle w:val="35"/>
              <w:spacing w:before="0"/>
              <w:jc w:val="both"/>
              <w:rPr>
                <w:rFonts w:ascii="Arial" w:hAnsi="Arial" w:cs="Arial"/>
                <w:sz w:val="20"/>
                <w:szCs w:val="20"/>
              </w:rPr>
            </w:pPr>
            <w:r>
              <w:rPr>
                <w:rFonts w:ascii="Arial" w:hAnsi="Arial" w:cs="Arial"/>
                <w:sz w:val="20"/>
                <w:szCs w:val="20"/>
              </w:rPr>
              <w:t>33/405 (8.1%)</w:t>
            </w:r>
          </w:p>
        </w:tc>
        <w:tc>
          <w:tcPr>
            <w:tcW w:w="2410" w:type="dxa"/>
            <w:gridSpan w:val="2"/>
            <w:vAlign w:val="center"/>
          </w:tcPr>
          <w:p w14:paraId="0FA07DE5">
            <w:pPr>
              <w:pStyle w:val="35"/>
              <w:spacing w:before="0"/>
              <w:jc w:val="both"/>
              <w:rPr>
                <w:rFonts w:ascii="Arial" w:hAnsi="Arial" w:cs="Arial"/>
                <w:sz w:val="20"/>
                <w:szCs w:val="20"/>
              </w:rPr>
            </w:pPr>
            <w:r>
              <w:rPr>
                <w:rFonts w:ascii="Arial" w:hAnsi="Arial" w:cs="Arial"/>
                <w:sz w:val="20"/>
                <w:szCs w:val="20"/>
              </w:rPr>
              <w:t>10/77 (13.0%)</w:t>
            </w:r>
          </w:p>
        </w:tc>
      </w:tr>
      <w:tr w14:paraId="6D389725">
        <w:trPr>
          <w:gridAfter w:val="1"/>
          <w:wAfter w:w="57" w:type="dxa"/>
          <w:trHeight w:val="20" w:hRule="exact"/>
        </w:trPr>
        <w:tc>
          <w:tcPr>
            <w:tcW w:w="9781" w:type="dxa"/>
            <w:gridSpan w:val="4"/>
            <w:vAlign w:val="center"/>
          </w:tcPr>
          <w:p w14:paraId="48B40741">
            <w:pPr>
              <w:pStyle w:val="35"/>
              <w:spacing w:before="0"/>
              <w:ind w:left="220" w:leftChars="100"/>
              <w:jc w:val="both"/>
              <w:rPr>
                <w:rFonts w:ascii="Arial" w:hAnsi="Arial" w:cs="Arial"/>
                <w:sz w:val="20"/>
                <w:szCs w:val="20"/>
              </w:rPr>
            </w:pPr>
          </w:p>
        </w:tc>
      </w:tr>
      <w:tr w14:paraId="5CBCC89C">
        <w:trPr>
          <w:trHeight w:val="229" w:hRule="atLeast"/>
        </w:trPr>
        <w:tc>
          <w:tcPr>
            <w:tcW w:w="3828" w:type="dxa"/>
            <w:vAlign w:val="center"/>
          </w:tcPr>
          <w:p w14:paraId="37ABEACC">
            <w:pPr>
              <w:pStyle w:val="35"/>
              <w:spacing w:before="0"/>
              <w:ind w:left="220" w:leftChars="100"/>
              <w:jc w:val="both"/>
              <w:rPr>
                <w:rFonts w:ascii="Arial" w:hAnsi="Arial" w:cs="Arial"/>
                <w:sz w:val="20"/>
                <w:szCs w:val="20"/>
              </w:rPr>
            </w:pPr>
            <w:r>
              <w:rPr>
                <w:rFonts w:ascii="Arial" w:hAnsi="Arial" w:cs="Arial"/>
                <w:sz w:val="20"/>
                <w:szCs w:val="20"/>
              </w:rPr>
              <w:t>Lactate &gt; 8 (SOFA-2 = 4)</w:t>
            </w:r>
          </w:p>
        </w:tc>
        <w:tc>
          <w:tcPr>
            <w:tcW w:w="1701" w:type="dxa"/>
            <w:vAlign w:val="center"/>
          </w:tcPr>
          <w:p w14:paraId="646EDEE8">
            <w:pPr>
              <w:pStyle w:val="35"/>
              <w:spacing w:before="0"/>
              <w:jc w:val="both"/>
              <w:rPr>
                <w:rFonts w:ascii="Arial" w:hAnsi="Arial" w:cs="Arial"/>
                <w:sz w:val="20"/>
                <w:szCs w:val="20"/>
              </w:rPr>
            </w:pPr>
            <w:r>
              <w:rPr>
                <w:rFonts w:ascii="Arial" w:hAnsi="Arial" w:cs="Arial"/>
                <w:sz w:val="20"/>
                <w:szCs w:val="20"/>
              </w:rPr>
              <w:t>5/655 (0.8%)</w:t>
            </w:r>
          </w:p>
        </w:tc>
        <w:tc>
          <w:tcPr>
            <w:tcW w:w="1899" w:type="dxa"/>
            <w:vAlign w:val="center"/>
          </w:tcPr>
          <w:p w14:paraId="7E8B083C">
            <w:pPr>
              <w:pStyle w:val="35"/>
              <w:spacing w:before="0"/>
              <w:jc w:val="both"/>
              <w:rPr>
                <w:rFonts w:ascii="Arial" w:hAnsi="Arial" w:cs="Arial"/>
                <w:sz w:val="20"/>
                <w:szCs w:val="20"/>
              </w:rPr>
            </w:pPr>
            <w:r>
              <w:rPr>
                <w:rFonts w:ascii="Arial" w:hAnsi="Arial" w:cs="Arial"/>
                <w:sz w:val="20"/>
                <w:szCs w:val="20"/>
              </w:rPr>
              <w:t>7/405 (1.7%)</w:t>
            </w:r>
          </w:p>
        </w:tc>
        <w:tc>
          <w:tcPr>
            <w:tcW w:w="2410" w:type="dxa"/>
            <w:gridSpan w:val="2"/>
            <w:vAlign w:val="center"/>
          </w:tcPr>
          <w:p w14:paraId="45888486">
            <w:pPr>
              <w:pStyle w:val="35"/>
              <w:spacing w:before="0"/>
              <w:jc w:val="both"/>
              <w:rPr>
                <w:rFonts w:ascii="Arial" w:hAnsi="Arial" w:cs="Arial"/>
                <w:sz w:val="20"/>
                <w:szCs w:val="20"/>
              </w:rPr>
            </w:pPr>
            <w:r>
              <w:rPr>
                <w:rFonts w:ascii="Arial" w:hAnsi="Arial" w:cs="Arial"/>
                <w:sz w:val="20"/>
                <w:szCs w:val="20"/>
              </w:rPr>
              <w:t>3/77 (3.9%)</w:t>
            </w:r>
          </w:p>
        </w:tc>
      </w:tr>
      <w:tr w14:paraId="6A45618E">
        <w:trPr>
          <w:trHeight w:val="20" w:hRule="exact"/>
        </w:trPr>
        <w:tc>
          <w:tcPr>
            <w:tcW w:w="3828" w:type="dxa"/>
            <w:vAlign w:val="center"/>
          </w:tcPr>
          <w:p w14:paraId="6FCBD196">
            <w:pPr>
              <w:pStyle w:val="35"/>
              <w:spacing w:before="0"/>
              <w:ind w:left="220" w:leftChars="100"/>
              <w:jc w:val="both"/>
              <w:rPr>
                <w:rFonts w:ascii="Arial" w:hAnsi="Arial" w:cs="Arial"/>
                <w:sz w:val="20"/>
                <w:szCs w:val="20"/>
              </w:rPr>
            </w:pPr>
          </w:p>
        </w:tc>
        <w:tc>
          <w:tcPr>
            <w:tcW w:w="1701" w:type="dxa"/>
            <w:vAlign w:val="center"/>
          </w:tcPr>
          <w:p w14:paraId="64AD0310">
            <w:pPr>
              <w:pStyle w:val="35"/>
              <w:spacing w:before="0"/>
              <w:jc w:val="both"/>
              <w:rPr>
                <w:rFonts w:ascii="Arial" w:hAnsi="Arial" w:cs="Arial"/>
                <w:sz w:val="20"/>
                <w:szCs w:val="20"/>
              </w:rPr>
            </w:pPr>
          </w:p>
        </w:tc>
        <w:tc>
          <w:tcPr>
            <w:tcW w:w="1899" w:type="dxa"/>
            <w:vAlign w:val="center"/>
          </w:tcPr>
          <w:p w14:paraId="397FCD7E">
            <w:pPr>
              <w:pStyle w:val="35"/>
              <w:spacing w:before="0"/>
              <w:jc w:val="both"/>
              <w:rPr>
                <w:rFonts w:ascii="Arial" w:hAnsi="Arial" w:cs="Arial"/>
                <w:sz w:val="20"/>
                <w:szCs w:val="20"/>
              </w:rPr>
            </w:pPr>
          </w:p>
        </w:tc>
        <w:tc>
          <w:tcPr>
            <w:tcW w:w="2410" w:type="dxa"/>
            <w:gridSpan w:val="2"/>
            <w:vAlign w:val="center"/>
          </w:tcPr>
          <w:p w14:paraId="1EB2A894">
            <w:pPr>
              <w:pStyle w:val="35"/>
              <w:spacing w:before="0"/>
              <w:jc w:val="both"/>
              <w:rPr>
                <w:rFonts w:ascii="Arial" w:hAnsi="Arial" w:cs="Arial"/>
                <w:sz w:val="20"/>
                <w:szCs w:val="20"/>
              </w:rPr>
            </w:pPr>
          </w:p>
        </w:tc>
      </w:tr>
      <w:tr w14:paraId="0040F7A8">
        <w:trPr>
          <w:trHeight w:val="229" w:hRule="atLeast"/>
        </w:trPr>
        <w:tc>
          <w:tcPr>
            <w:tcW w:w="3828" w:type="dxa"/>
            <w:vAlign w:val="center"/>
          </w:tcPr>
          <w:p w14:paraId="7B5AD159">
            <w:pPr>
              <w:pStyle w:val="35"/>
              <w:spacing w:before="0"/>
              <w:ind w:left="220" w:leftChars="100"/>
              <w:jc w:val="both"/>
              <w:rPr>
                <w:rFonts w:ascii="Arial" w:hAnsi="Arial" w:cs="Arial"/>
                <w:sz w:val="20"/>
                <w:szCs w:val="20"/>
              </w:rPr>
            </w:pPr>
            <w:r>
              <w:rPr>
                <w:rFonts w:ascii="Arial" w:hAnsi="Arial" w:cs="Arial"/>
                <w:sz w:val="20"/>
                <w:szCs w:val="20"/>
              </w:rPr>
              <w:t>Dopamine use</w:t>
            </w:r>
          </w:p>
        </w:tc>
        <w:tc>
          <w:tcPr>
            <w:tcW w:w="1701" w:type="dxa"/>
            <w:vAlign w:val="center"/>
          </w:tcPr>
          <w:p w14:paraId="3076EFC7">
            <w:pPr>
              <w:pStyle w:val="35"/>
              <w:spacing w:before="0"/>
              <w:jc w:val="both"/>
              <w:rPr>
                <w:rFonts w:ascii="Arial" w:hAnsi="Arial" w:cs="Arial"/>
                <w:sz w:val="20"/>
                <w:szCs w:val="20"/>
              </w:rPr>
            </w:pPr>
            <w:r>
              <w:rPr>
                <w:rFonts w:ascii="Arial" w:hAnsi="Arial" w:cs="Arial"/>
                <w:sz w:val="20"/>
                <w:szCs w:val="20"/>
              </w:rPr>
              <w:t>29 (2.50%)</w:t>
            </w:r>
          </w:p>
        </w:tc>
        <w:tc>
          <w:tcPr>
            <w:tcW w:w="1899" w:type="dxa"/>
            <w:vAlign w:val="center"/>
          </w:tcPr>
          <w:p w14:paraId="0AFD9052">
            <w:pPr>
              <w:pStyle w:val="35"/>
              <w:spacing w:before="0"/>
              <w:jc w:val="both"/>
              <w:rPr>
                <w:rFonts w:ascii="Arial" w:hAnsi="Arial" w:cs="Arial"/>
                <w:sz w:val="20"/>
                <w:szCs w:val="20"/>
              </w:rPr>
            </w:pPr>
            <w:r>
              <w:rPr>
                <w:rFonts w:ascii="Arial" w:hAnsi="Arial" w:cs="Arial"/>
                <w:sz w:val="20"/>
                <w:szCs w:val="20"/>
              </w:rPr>
              <w:t>22 (1.62%)</w:t>
            </w:r>
          </w:p>
        </w:tc>
        <w:tc>
          <w:tcPr>
            <w:tcW w:w="2410" w:type="dxa"/>
            <w:gridSpan w:val="2"/>
            <w:vAlign w:val="center"/>
          </w:tcPr>
          <w:p w14:paraId="66DA228D">
            <w:pPr>
              <w:pStyle w:val="35"/>
              <w:spacing w:before="0"/>
              <w:jc w:val="both"/>
              <w:rPr>
                <w:rFonts w:ascii="Arial" w:hAnsi="Arial" w:cs="Arial"/>
                <w:sz w:val="20"/>
                <w:szCs w:val="20"/>
              </w:rPr>
            </w:pPr>
            <w:r>
              <w:rPr>
                <w:rFonts w:ascii="Arial" w:hAnsi="Arial" w:cs="Arial"/>
                <w:sz w:val="20"/>
                <w:szCs w:val="20"/>
              </w:rPr>
              <w:t>16 (13.11%)</w:t>
            </w:r>
          </w:p>
        </w:tc>
      </w:tr>
      <w:tr w14:paraId="33F6688C">
        <w:trPr>
          <w:trHeight w:val="229" w:hRule="atLeast"/>
        </w:trPr>
        <w:tc>
          <w:tcPr>
            <w:tcW w:w="3828" w:type="dxa"/>
            <w:vAlign w:val="center"/>
          </w:tcPr>
          <w:p w14:paraId="67BE6548">
            <w:pPr>
              <w:pStyle w:val="35"/>
              <w:spacing w:before="0"/>
              <w:ind w:left="220" w:leftChars="100"/>
              <w:jc w:val="both"/>
              <w:rPr>
                <w:rFonts w:ascii="Arial" w:hAnsi="Arial" w:cs="Arial"/>
                <w:sz w:val="20"/>
                <w:szCs w:val="20"/>
              </w:rPr>
            </w:pPr>
            <w:r>
              <w:rPr>
                <w:rFonts w:ascii="Arial" w:hAnsi="Arial" w:cs="Arial"/>
                <w:sz w:val="20"/>
                <w:szCs w:val="20"/>
              </w:rPr>
              <w:t>Dopamine &gt; 5 μg/kg/min (SOFA ≥3)</w:t>
            </w:r>
          </w:p>
        </w:tc>
        <w:tc>
          <w:tcPr>
            <w:tcW w:w="1701" w:type="dxa"/>
            <w:vAlign w:val="center"/>
          </w:tcPr>
          <w:p w14:paraId="3E676D2A">
            <w:pPr>
              <w:pStyle w:val="35"/>
              <w:spacing w:before="0"/>
              <w:jc w:val="both"/>
              <w:rPr>
                <w:rFonts w:ascii="Arial" w:hAnsi="Arial" w:cs="Arial"/>
                <w:sz w:val="20"/>
                <w:szCs w:val="20"/>
              </w:rPr>
            </w:pPr>
            <w:r>
              <w:rPr>
                <w:rFonts w:ascii="Arial" w:hAnsi="Arial" w:cs="Arial"/>
                <w:sz w:val="20"/>
                <w:szCs w:val="20"/>
              </w:rPr>
              <w:t>18/29 (62.1%)</w:t>
            </w:r>
          </w:p>
        </w:tc>
        <w:tc>
          <w:tcPr>
            <w:tcW w:w="1899" w:type="dxa"/>
            <w:vAlign w:val="center"/>
          </w:tcPr>
          <w:p w14:paraId="4FD2AF3A">
            <w:pPr>
              <w:pStyle w:val="35"/>
              <w:spacing w:before="0"/>
              <w:jc w:val="both"/>
              <w:rPr>
                <w:rFonts w:ascii="Arial" w:hAnsi="Arial" w:cs="Arial"/>
                <w:sz w:val="20"/>
                <w:szCs w:val="20"/>
              </w:rPr>
            </w:pPr>
            <w:r>
              <w:rPr>
                <w:rFonts w:ascii="Arial" w:hAnsi="Arial" w:cs="Arial"/>
                <w:sz w:val="20"/>
                <w:szCs w:val="20"/>
              </w:rPr>
              <w:t>12/24 (50.0%)</w:t>
            </w:r>
          </w:p>
        </w:tc>
        <w:tc>
          <w:tcPr>
            <w:tcW w:w="2410" w:type="dxa"/>
            <w:gridSpan w:val="2"/>
            <w:vAlign w:val="center"/>
          </w:tcPr>
          <w:p w14:paraId="1BA95DFE">
            <w:pPr>
              <w:pStyle w:val="35"/>
              <w:spacing w:before="0"/>
              <w:jc w:val="both"/>
              <w:rPr>
                <w:rFonts w:ascii="Arial" w:hAnsi="Arial" w:cs="Arial"/>
                <w:sz w:val="20"/>
                <w:szCs w:val="20"/>
              </w:rPr>
            </w:pPr>
            <w:r>
              <w:rPr>
                <w:rFonts w:ascii="Arial" w:hAnsi="Arial" w:cs="Arial"/>
                <w:sz w:val="20"/>
                <w:szCs w:val="20"/>
              </w:rPr>
              <w:t>7/16 (43.8%)</w:t>
            </w:r>
          </w:p>
        </w:tc>
      </w:tr>
      <w:tr w14:paraId="5453D95B">
        <w:trPr>
          <w:trHeight w:val="229" w:hRule="atLeast"/>
        </w:trPr>
        <w:tc>
          <w:tcPr>
            <w:tcW w:w="3828" w:type="dxa"/>
            <w:vAlign w:val="center"/>
          </w:tcPr>
          <w:p w14:paraId="64D41C6E">
            <w:pPr>
              <w:pStyle w:val="35"/>
              <w:spacing w:before="0"/>
              <w:ind w:left="220" w:leftChars="100"/>
              <w:jc w:val="both"/>
              <w:rPr>
                <w:rFonts w:ascii="Arial" w:hAnsi="Arial" w:cs="Arial"/>
                <w:sz w:val="20"/>
                <w:szCs w:val="20"/>
              </w:rPr>
            </w:pPr>
            <w:r>
              <w:rPr>
                <w:rFonts w:ascii="Arial" w:hAnsi="Arial" w:cs="Arial"/>
                <w:sz w:val="20"/>
                <w:szCs w:val="20"/>
              </w:rPr>
              <w:t>Dopamine &gt; 15 μg/kg/min (SOFA = 4)</w:t>
            </w:r>
          </w:p>
        </w:tc>
        <w:tc>
          <w:tcPr>
            <w:tcW w:w="1701" w:type="dxa"/>
            <w:vAlign w:val="center"/>
          </w:tcPr>
          <w:p w14:paraId="3F4A3FDF">
            <w:pPr>
              <w:pStyle w:val="35"/>
              <w:spacing w:before="0"/>
              <w:jc w:val="both"/>
              <w:rPr>
                <w:rFonts w:ascii="Arial" w:hAnsi="Arial" w:cs="Arial"/>
                <w:sz w:val="20"/>
                <w:szCs w:val="20"/>
              </w:rPr>
            </w:pPr>
            <w:r>
              <w:rPr>
                <w:rFonts w:ascii="Arial" w:hAnsi="Arial" w:cs="Arial"/>
                <w:sz w:val="20"/>
                <w:szCs w:val="20"/>
              </w:rPr>
              <w:t>0/29 (0.0%)</w:t>
            </w:r>
          </w:p>
        </w:tc>
        <w:tc>
          <w:tcPr>
            <w:tcW w:w="1899" w:type="dxa"/>
            <w:vAlign w:val="center"/>
          </w:tcPr>
          <w:p w14:paraId="0E2C895D">
            <w:pPr>
              <w:pStyle w:val="35"/>
              <w:spacing w:before="0"/>
              <w:jc w:val="both"/>
              <w:rPr>
                <w:rFonts w:ascii="Arial" w:hAnsi="Arial" w:cs="Arial"/>
                <w:sz w:val="20"/>
                <w:szCs w:val="20"/>
              </w:rPr>
            </w:pPr>
            <w:r>
              <w:rPr>
                <w:rFonts w:ascii="Arial" w:hAnsi="Arial" w:cs="Arial"/>
                <w:sz w:val="20"/>
                <w:szCs w:val="20"/>
              </w:rPr>
              <w:t>2/24 (8.3%)</w:t>
            </w:r>
          </w:p>
        </w:tc>
        <w:tc>
          <w:tcPr>
            <w:tcW w:w="2410" w:type="dxa"/>
            <w:gridSpan w:val="2"/>
            <w:vAlign w:val="center"/>
          </w:tcPr>
          <w:p w14:paraId="635C7E01">
            <w:pPr>
              <w:pStyle w:val="35"/>
              <w:spacing w:before="0"/>
              <w:jc w:val="both"/>
              <w:rPr>
                <w:rFonts w:ascii="Arial" w:hAnsi="Arial" w:cs="Arial"/>
                <w:sz w:val="20"/>
                <w:szCs w:val="20"/>
              </w:rPr>
            </w:pPr>
            <w:r>
              <w:rPr>
                <w:rFonts w:ascii="Arial" w:hAnsi="Arial" w:cs="Arial"/>
                <w:sz w:val="20"/>
                <w:szCs w:val="20"/>
              </w:rPr>
              <w:t>0/16 (0.0%)</w:t>
            </w:r>
          </w:p>
        </w:tc>
      </w:tr>
      <w:tr w14:paraId="6052BDD1">
        <w:trPr>
          <w:trHeight w:val="229" w:hRule="atLeast"/>
        </w:trPr>
        <w:tc>
          <w:tcPr>
            <w:tcW w:w="3828" w:type="dxa"/>
            <w:vAlign w:val="center"/>
          </w:tcPr>
          <w:p w14:paraId="356FB6B9">
            <w:pPr>
              <w:pStyle w:val="35"/>
              <w:spacing w:before="0"/>
              <w:ind w:left="220" w:leftChars="100"/>
              <w:jc w:val="both"/>
              <w:rPr>
                <w:rFonts w:ascii="Arial" w:hAnsi="Arial" w:cs="Arial"/>
                <w:sz w:val="20"/>
                <w:szCs w:val="20"/>
              </w:rPr>
            </w:pPr>
            <w:r>
              <w:rPr>
                <w:rFonts w:ascii="Arial" w:hAnsi="Arial" w:cs="Arial"/>
                <w:sz w:val="20"/>
                <w:szCs w:val="20"/>
              </w:rPr>
              <w:t>Norepinephrine use</w:t>
            </w:r>
          </w:p>
        </w:tc>
        <w:tc>
          <w:tcPr>
            <w:tcW w:w="1701" w:type="dxa"/>
            <w:vAlign w:val="center"/>
          </w:tcPr>
          <w:p w14:paraId="6740D088">
            <w:pPr>
              <w:pStyle w:val="35"/>
              <w:spacing w:before="0"/>
              <w:jc w:val="both"/>
              <w:rPr>
                <w:rFonts w:ascii="Arial" w:hAnsi="Arial" w:cs="Arial"/>
                <w:sz w:val="20"/>
                <w:szCs w:val="20"/>
              </w:rPr>
            </w:pPr>
            <w:r>
              <w:rPr>
                <w:rFonts w:ascii="Arial" w:hAnsi="Arial" w:cs="Arial"/>
                <w:sz w:val="20"/>
                <w:szCs w:val="20"/>
              </w:rPr>
              <w:t>240 (20.65%)</w:t>
            </w:r>
          </w:p>
        </w:tc>
        <w:tc>
          <w:tcPr>
            <w:tcW w:w="1899" w:type="dxa"/>
            <w:vAlign w:val="center"/>
          </w:tcPr>
          <w:p w14:paraId="10E8C09E">
            <w:pPr>
              <w:pStyle w:val="35"/>
              <w:spacing w:before="0"/>
              <w:jc w:val="both"/>
              <w:rPr>
                <w:rFonts w:ascii="Arial" w:hAnsi="Arial" w:cs="Arial"/>
                <w:sz w:val="20"/>
                <w:szCs w:val="20"/>
              </w:rPr>
            </w:pPr>
            <w:r>
              <w:rPr>
                <w:rFonts w:ascii="Arial" w:hAnsi="Arial" w:cs="Arial"/>
                <w:sz w:val="20"/>
                <w:szCs w:val="20"/>
              </w:rPr>
              <w:t>298 (21.88%)</w:t>
            </w:r>
          </w:p>
        </w:tc>
        <w:tc>
          <w:tcPr>
            <w:tcW w:w="2410" w:type="dxa"/>
            <w:gridSpan w:val="2"/>
            <w:vAlign w:val="center"/>
          </w:tcPr>
          <w:p w14:paraId="7827AC6B">
            <w:pPr>
              <w:pStyle w:val="35"/>
              <w:spacing w:before="0"/>
              <w:jc w:val="both"/>
              <w:rPr>
                <w:rFonts w:ascii="Arial" w:hAnsi="Arial" w:cs="Arial"/>
                <w:sz w:val="20"/>
                <w:szCs w:val="20"/>
              </w:rPr>
            </w:pPr>
            <w:r>
              <w:rPr>
                <w:rFonts w:ascii="Arial" w:hAnsi="Arial" w:cs="Arial"/>
                <w:sz w:val="20"/>
                <w:szCs w:val="20"/>
              </w:rPr>
              <w:t>68 (55.74%)</w:t>
            </w:r>
          </w:p>
        </w:tc>
      </w:tr>
      <w:tr w14:paraId="239EBEFF">
        <w:trPr>
          <w:trHeight w:val="229" w:hRule="atLeast"/>
        </w:trPr>
        <w:tc>
          <w:tcPr>
            <w:tcW w:w="3828" w:type="dxa"/>
            <w:tcBorders>
              <w:bottom w:val="single" w:color="auto" w:sz="24" w:space="0"/>
            </w:tcBorders>
            <w:vAlign w:val="center"/>
          </w:tcPr>
          <w:p w14:paraId="5022FD03">
            <w:pPr>
              <w:pStyle w:val="35"/>
              <w:spacing w:before="0"/>
              <w:ind w:left="220" w:leftChars="100"/>
              <w:jc w:val="both"/>
              <w:rPr>
                <w:rFonts w:ascii="Arial" w:hAnsi="Arial" w:cs="Arial"/>
                <w:sz w:val="20"/>
                <w:szCs w:val="20"/>
              </w:rPr>
            </w:pPr>
            <w:r>
              <w:rPr>
                <w:rFonts w:ascii="Arial" w:hAnsi="Arial" w:cs="Arial"/>
                <w:sz w:val="20"/>
                <w:szCs w:val="20"/>
              </w:rPr>
              <w:t xml:space="preserve">Norepinephrine &gt; 0.1 μg/kg/min </w:t>
            </w:r>
          </w:p>
        </w:tc>
        <w:tc>
          <w:tcPr>
            <w:tcW w:w="1701" w:type="dxa"/>
            <w:tcBorders>
              <w:bottom w:val="single" w:color="auto" w:sz="24" w:space="0"/>
            </w:tcBorders>
            <w:vAlign w:val="center"/>
          </w:tcPr>
          <w:p w14:paraId="1F777272">
            <w:pPr>
              <w:pStyle w:val="35"/>
              <w:spacing w:before="0"/>
              <w:jc w:val="both"/>
              <w:rPr>
                <w:rFonts w:ascii="Arial" w:hAnsi="Arial" w:cs="Arial"/>
                <w:sz w:val="20"/>
                <w:szCs w:val="20"/>
              </w:rPr>
            </w:pPr>
            <w:r>
              <w:rPr>
                <w:rFonts w:ascii="Arial" w:hAnsi="Arial" w:cs="Arial"/>
                <w:sz w:val="20"/>
                <w:szCs w:val="20"/>
              </w:rPr>
              <w:t>76/240 (31.7%)</w:t>
            </w:r>
          </w:p>
        </w:tc>
        <w:tc>
          <w:tcPr>
            <w:tcW w:w="1899" w:type="dxa"/>
            <w:tcBorders>
              <w:bottom w:val="single" w:color="auto" w:sz="24" w:space="0"/>
            </w:tcBorders>
            <w:vAlign w:val="center"/>
          </w:tcPr>
          <w:p w14:paraId="4E3F6CE6">
            <w:pPr>
              <w:pStyle w:val="35"/>
              <w:spacing w:before="0"/>
              <w:jc w:val="both"/>
              <w:rPr>
                <w:rFonts w:ascii="Arial" w:hAnsi="Arial" w:cs="Arial"/>
                <w:sz w:val="20"/>
                <w:szCs w:val="20"/>
              </w:rPr>
            </w:pPr>
            <w:r>
              <w:rPr>
                <w:rFonts w:ascii="Arial" w:hAnsi="Arial" w:cs="Arial"/>
                <w:sz w:val="20"/>
                <w:szCs w:val="20"/>
              </w:rPr>
              <w:t>79/300 (26.3%)</w:t>
            </w:r>
          </w:p>
        </w:tc>
        <w:tc>
          <w:tcPr>
            <w:tcW w:w="2410" w:type="dxa"/>
            <w:gridSpan w:val="2"/>
            <w:tcBorders>
              <w:bottom w:val="single" w:color="auto" w:sz="24" w:space="0"/>
            </w:tcBorders>
            <w:vAlign w:val="center"/>
          </w:tcPr>
          <w:p w14:paraId="7CB9DD47">
            <w:pPr>
              <w:pStyle w:val="35"/>
              <w:spacing w:before="0"/>
              <w:jc w:val="both"/>
              <w:rPr>
                <w:rFonts w:ascii="Arial" w:hAnsi="Arial" w:cs="Arial"/>
                <w:sz w:val="20"/>
                <w:szCs w:val="20"/>
              </w:rPr>
            </w:pPr>
            <w:r>
              <w:rPr>
                <w:rFonts w:ascii="Arial" w:hAnsi="Arial" w:cs="Arial"/>
                <w:sz w:val="20"/>
                <w:szCs w:val="20"/>
              </w:rPr>
              <w:t>31/68 (45.6%)</w:t>
            </w:r>
          </w:p>
        </w:tc>
      </w:tr>
      <w:tr w14:paraId="7DAD3467">
        <w:trPr>
          <w:trHeight w:val="20" w:hRule="exact"/>
        </w:trPr>
        <w:tc>
          <w:tcPr>
            <w:tcW w:w="3828" w:type="dxa"/>
            <w:tcBorders>
              <w:top w:val="single" w:color="auto" w:sz="24" w:space="0"/>
            </w:tcBorders>
            <w:vAlign w:val="center"/>
          </w:tcPr>
          <w:p w14:paraId="58CCBEAA">
            <w:pPr>
              <w:pStyle w:val="35"/>
              <w:spacing w:before="0"/>
              <w:ind w:left="220" w:leftChars="100"/>
              <w:jc w:val="both"/>
              <w:rPr>
                <w:rFonts w:ascii="Arial" w:hAnsi="Arial" w:cs="Arial"/>
                <w:sz w:val="20"/>
                <w:szCs w:val="20"/>
              </w:rPr>
            </w:pPr>
          </w:p>
        </w:tc>
        <w:tc>
          <w:tcPr>
            <w:tcW w:w="1701" w:type="dxa"/>
            <w:tcBorders>
              <w:top w:val="single" w:color="auto" w:sz="24" w:space="0"/>
            </w:tcBorders>
            <w:vAlign w:val="center"/>
          </w:tcPr>
          <w:p w14:paraId="1215056C">
            <w:pPr>
              <w:pStyle w:val="35"/>
              <w:spacing w:before="0"/>
              <w:jc w:val="both"/>
              <w:rPr>
                <w:rFonts w:ascii="Arial" w:hAnsi="Arial" w:cs="Arial"/>
                <w:sz w:val="20"/>
                <w:szCs w:val="20"/>
              </w:rPr>
            </w:pPr>
          </w:p>
        </w:tc>
        <w:tc>
          <w:tcPr>
            <w:tcW w:w="1899" w:type="dxa"/>
            <w:tcBorders>
              <w:top w:val="single" w:color="auto" w:sz="24" w:space="0"/>
            </w:tcBorders>
            <w:vAlign w:val="center"/>
          </w:tcPr>
          <w:p w14:paraId="56808FF2">
            <w:pPr>
              <w:pStyle w:val="35"/>
              <w:spacing w:before="0"/>
              <w:jc w:val="both"/>
              <w:rPr>
                <w:rFonts w:ascii="Arial" w:hAnsi="Arial" w:cs="Arial"/>
                <w:sz w:val="20"/>
                <w:szCs w:val="20"/>
              </w:rPr>
            </w:pPr>
          </w:p>
        </w:tc>
        <w:tc>
          <w:tcPr>
            <w:tcW w:w="2410" w:type="dxa"/>
            <w:gridSpan w:val="2"/>
            <w:tcBorders>
              <w:top w:val="single" w:color="auto" w:sz="24" w:space="0"/>
            </w:tcBorders>
            <w:vAlign w:val="center"/>
          </w:tcPr>
          <w:p w14:paraId="4E3F6D60">
            <w:pPr>
              <w:pStyle w:val="35"/>
              <w:spacing w:before="0"/>
              <w:jc w:val="both"/>
              <w:rPr>
                <w:rFonts w:ascii="Arial" w:hAnsi="Arial" w:cs="Arial"/>
                <w:sz w:val="20"/>
                <w:szCs w:val="20"/>
              </w:rPr>
            </w:pPr>
          </w:p>
        </w:tc>
      </w:tr>
      <w:tr w14:paraId="5BF611E2">
        <w:trPr>
          <w:gridAfter w:val="1"/>
          <w:wAfter w:w="57" w:type="dxa"/>
          <w:trHeight w:val="229" w:hRule="atLeast"/>
        </w:trPr>
        <w:tc>
          <w:tcPr>
            <w:tcW w:w="9781" w:type="dxa"/>
            <w:gridSpan w:val="4"/>
            <w:tcBorders>
              <w:bottom w:val="single" w:color="auto" w:sz="12" w:space="0"/>
            </w:tcBorders>
            <w:vAlign w:val="center"/>
          </w:tcPr>
          <w:p w14:paraId="2C7F913A">
            <w:pPr>
              <w:pStyle w:val="35"/>
              <w:spacing w:before="0"/>
              <w:jc w:val="center"/>
              <w:rPr>
                <w:rFonts w:ascii="Arial" w:hAnsi="Arial" w:cs="Arial"/>
                <w:sz w:val="20"/>
                <w:szCs w:val="20"/>
              </w:rPr>
            </w:pPr>
            <w:r>
              <w:rPr>
                <w:rFonts w:hint="eastAsia" w:ascii="Arial" w:hAnsi="Arial" w:cs="Arial" w:eastAsiaTheme="minorEastAsia"/>
                <w:i/>
                <w:iCs/>
                <w:sz w:val="20"/>
                <w:szCs w:val="20"/>
                <w:lang w:eastAsia="zh-CN"/>
              </w:rPr>
              <w:t>(</w:t>
            </w:r>
            <w:r>
              <w:rPr>
                <w:rFonts w:ascii="Arial" w:hAnsi="Arial" w:cs="Arial" w:eastAsiaTheme="minorEastAsia"/>
                <w:i/>
                <w:iCs/>
                <w:sz w:val="20"/>
                <w:szCs w:val="20"/>
                <w:lang w:eastAsia="zh-CN"/>
              </w:rPr>
              <w:t>continue</w:t>
            </w:r>
            <w:r>
              <w:rPr>
                <w:rFonts w:hint="eastAsia" w:ascii="Arial" w:hAnsi="Arial" w:cs="Arial" w:eastAsiaTheme="minorEastAsia"/>
                <w:i/>
                <w:iCs/>
                <w:sz w:val="20"/>
                <w:szCs w:val="20"/>
                <w:lang w:eastAsia="zh-CN"/>
              </w:rPr>
              <w:t>)</w:t>
            </w:r>
          </w:p>
        </w:tc>
      </w:tr>
      <w:tr w14:paraId="16DE2B51">
        <w:trPr>
          <w:trHeight w:val="229" w:hRule="atLeast"/>
        </w:trPr>
        <w:tc>
          <w:tcPr>
            <w:tcW w:w="3828" w:type="dxa"/>
            <w:tcBorders>
              <w:top w:val="single" w:color="auto" w:sz="12" w:space="0"/>
              <w:bottom w:val="single" w:color="auto" w:sz="12" w:space="0"/>
            </w:tcBorders>
            <w:vAlign w:val="center"/>
          </w:tcPr>
          <w:p w14:paraId="0AF3C823">
            <w:pPr>
              <w:pStyle w:val="35"/>
              <w:spacing w:before="0"/>
              <w:ind w:left="220" w:leftChars="100"/>
              <w:jc w:val="both"/>
              <w:rPr>
                <w:rFonts w:ascii="Arial" w:hAnsi="Arial" w:cs="Arial"/>
                <w:sz w:val="20"/>
                <w:szCs w:val="20"/>
              </w:rPr>
            </w:pPr>
            <w:r>
              <w:rPr>
                <w:rFonts w:ascii="Arial" w:hAnsi="Arial" w:cs="Arial"/>
                <w:b/>
                <w:bCs/>
                <w:spacing w:val="-2"/>
                <w:sz w:val="20"/>
                <w:szCs w:val="20"/>
              </w:rPr>
              <w:t>Characteristic</w:t>
            </w:r>
          </w:p>
        </w:tc>
        <w:tc>
          <w:tcPr>
            <w:tcW w:w="1701" w:type="dxa"/>
            <w:tcBorders>
              <w:top w:val="single" w:color="auto" w:sz="12" w:space="0"/>
              <w:bottom w:val="single" w:color="auto" w:sz="12" w:space="0"/>
            </w:tcBorders>
            <w:vAlign w:val="center"/>
          </w:tcPr>
          <w:p w14:paraId="110F38C7">
            <w:pPr>
              <w:pStyle w:val="35"/>
              <w:spacing w:before="0"/>
              <w:jc w:val="both"/>
              <w:rPr>
                <w:rFonts w:ascii="Arial" w:hAnsi="Arial" w:cs="Arial"/>
                <w:sz w:val="20"/>
                <w:szCs w:val="20"/>
              </w:rPr>
            </w:pPr>
            <w:r>
              <w:rPr>
                <w:rFonts w:ascii="Arial" w:hAnsi="Arial" w:cs="Arial"/>
                <w:b/>
                <w:bCs/>
                <w:sz w:val="20"/>
                <w:szCs w:val="20"/>
              </w:rPr>
              <w:t>MIMIC-IV</w:t>
            </w:r>
            <w:r>
              <w:rPr>
                <w:rFonts w:ascii="Arial" w:hAnsi="Arial" w:cs="Arial"/>
                <w:b/>
                <w:bCs/>
                <w:spacing w:val="-9"/>
                <w:sz w:val="20"/>
                <w:szCs w:val="20"/>
              </w:rPr>
              <w:t xml:space="preserve"> </w:t>
            </w:r>
            <w:r>
              <w:rPr>
                <w:rFonts w:ascii="Arial" w:hAnsi="Arial" w:cs="Arial"/>
                <w:b/>
                <w:bCs/>
                <w:spacing w:val="-2"/>
                <w:sz w:val="20"/>
                <w:szCs w:val="20"/>
              </w:rPr>
              <w:t>(n=</w:t>
            </w:r>
            <w:r>
              <w:rPr>
                <w:rFonts w:hint="eastAsia" w:ascii="Arial" w:hAnsi="Arial" w:cs="Arial" w:eastAsiaTheme="minorEastAsia"/>
                <w:b/>
                <w:bCs/>
                <w:spacing w:val="-2"/>
                <w:sz w:val="20"/>
                <w:szCs w:val="20"/>
                <w:lang w:eastAsia="zh-CN"/>
              </w:rPr>
              <w:t>1162</w:t>
            </w:r>
            <w:r>
              <w:rPr>
                <w:rFonts w:ascii="Arial" w:hAnsi="Arial" w:cs="Arial"/>
                <w:b/>
                <w:bCs/>
                <w:spacing w:val="-2"/>
                <w:sz w:val="20"/>
                <w:szCs w:val="20"/>
              </w:rPr>
              <w:t>)</w:t>
            </w:r>
          </w:p>
        </w:tc>
        <w:tc>
          <w:tcPr>
            <w:tcW w:w="1899" w:type="dxa"/>
            <w:tcBorders>
              <w:top w:val="single" w:color="auto" w:sz="12" w:space="0"/>
              <w:bottom w:val="single" w:color="auto" w:sz="12" w:space="0"/>
            </w:tcBorders>
            <w:vAlign w:val="center"/>
          </w:tcPr>
          <w:p w14:paraId="012A412D">
            <w:pPr>
              <w:pStyle w:val="35"/>
              <w:spacing w:before="0"/>
              <w:jc w:val="both"/>
              <w:rPr>
                <w:rFonts w:ascii="Arial" w:hAnsi="Arial" w:cs="Arial"/>
                <w:sz w:val="20"/>
                <w:szCs w:val="20"/>
              </w:rPr>
            </w:pPr>
            <w:r>
              <w:rPr>
                <w:rFonts w:ascii="Arial" w:hAnsi="Arial" w:cs="Arial"/>
                <w:b/>
                <w:bCs/>
                <w:sz w:val="20"/>
                <w:szCs w:val="20"/>
              </w:rPr>
              <w:t>eICU-CRD</w:t>
            </w:r>
            <w:r>
              <w:rPr>
                <w:rFonts w:ascii="Arial" w:hAnsi="Arial" w:cs="Arial"/>
                <w:b/>
                <w:bCs/>
                <w:spacing w:val="-9"/>
                <w:sz w:val="20"/>
                <w:szCs w:val="20"/>
              </w:rPr>
              <w:t xml:space="preserve"> </w:t>
            </w:r>
            <w:r>
              <w:rPr>
                <w:rFonts w:ascii="Arial" w:hAnsi="Arial" w:cs="Arial"/>
                <w:b/>
                <w:bCs/>
                <w:spacing w:val="-2"/>
                <w:sz w:val="20"/>
                <w:szCs w:val="20"/>
              </w:rPr>
              <w:t>(n=</w:t>
            </w:r>
            <w:r>
              <w:rPr>
                <w:rFonts w:hint="eastAsia" w:ascii="Arial" w:hAnsi="Arial" w:cs="Arial" w:eastAsiaTheme="minorEastAsia"/>
                <w:b/>
                <w:bCs/>
                <w:spacing w:val="-2"/>
                <w:sz w:val="20"/>
                <w:szCs w:val="20"/>
                <w:lang w:eastAsia="zh-CN"/>
              </w:rPr>
              <w:t>1362</w:t>
            </w:r>
            <w:r>
              <w:rPr>
                <w:rFonts w:ascii="Arial" w:hAnsi="Arial" w:cs="Arial"/>
                <w:b/>
                <w:bCs/>
                <w:spacing w:val="-2"/>
                <w:sz w:val="20"/>
                <w:szCs w:val="20"/>
              </w:rPr>
              <w:t>)</w:t>
            </w:r>
          </w:p>
        </w:tc>
        <w:tc>
          <w:tcPr>
            <w:tcW w:w="2410" w:type="dxa"/>
            <w:gridSpan w:val="2"/>
            <w:tcBorders>
              <w:top w:val="single" w:color="auto" w:sz="12" w:space="0"/>
              <w:bottom w:val="single" w:color="auto" w:sz="12" w:space="0"/>
            </w:tcBorders>
            <w:vAlign w:val="center"/>
          </w:tcPr>
          <w:p w14:paraId="34317909">
            <w:pPr>
              <w:pStyle w:val="35"/>
              <w:spacing w:before="0"/>
              <w:jc w:val="both"/>
              <w:rPr>
                <w:rFonts w:ascii="Arial" w:hAnsi="Arial" w:cs="Arial"/>
                <w:sz w:val="20"/>
                <w:szCs w:val="20"/>
              </w:rPr>
            </w:pPr>
            <w:r>
              <w:rPr>
                <w:rFonts w:ascii="Arial" w:hAnsi="Arial" w:cs="Arial"/>
                <w:b/>
                <w:bCs/>
                <w:sz w:val="20"/>
                <w:szCs w:val="20"/>
              </w:rPr>
              <w:t>Amsterdam</w:t>
            </w:r>
            <w:r>
              <w:rPr>
                <w:rFonts w:ascii="Arial" w:hAnsi="Arial" w:cs="Arial"/>
                <w:b/>
                <w:bCs/>
                <w:spacing w:val="-7"/>
                <w:sz w:val="20"/>
                <w:szCs w:val="20"/>
              </w:rPr>
              <w:t xml:space="preserve"> </w:t>
            </w:r>
            <w:r>
              <w:rPr>
                <w:rFonts w:ascii="Arial" w:hAnsi="Arial" w:cs="Arial"/>
                <w:b/>
                <w:bCs/>
                <w:sz w:val="20"/>
                <w:szCs w:val="20"/>
              </w:rPr>
              <w:t>UMC</w:t>
            </w:r>
            <w:r>
              <w:rPr>
                <w:rFonts w:ascii="Arial" w:hAnsi="Arial" w:cs="Arial"/>
                <w:b/>
                <w:bCs/>
                <w:spacing w:val="-7"/>
                <w:sz w:val="20"/>
                <w:szCs w:val="20"/>
              </w:rPr>
              <w:t xml:space="preserve"> </w:t>
            </w:r>
            <w:r>
              <w:rPr>
                <w:rFonts w:ascii="Arial" w:hAnsi="Arial" w:cs="Arial"/>
                <w:b/>
                <w:bCs/>
                <w:spacing w:val="-2"/>
                <w:sz w:val="20"/>
                <w:szCs w:val="20"/>
              </w:rPr>
              <w:t>(n=</w:t>
            </w:r>
            <w:r>
              <w:rPr>
                <w:rFonts w:ascii="Arial" w:hAnsi="Arial" w:cs="Arial" w:eastAsiaTheme="minorEastAsia"/>
                <w:b/>
                <w:bCs/>
                <w:spacing w:val="-2"/>
                <w:sz w:val="20"/>
                <w:szCs w:val="20"/>
                <w:lang w:eastAsia="zh-CN"/>
              </w:rPr>
              <w:t>122</w:t>
            </w:r>
            <w:r>
              <w:rPr>
                <w:rFonts w:ascii="Arial" w:hAnsi="Arial" w:cs="Arial"/>
                <w:b/>
                <w:bCs/>
                <w:spacing w:val="-2"/>
                <w:sz w:val="20"/>
                <w:szCs w:val="20"/>
              </w:rPr>
              <w:t>)</w:t>
            </w:r>
          </w:p>
        </w:tc>
      </w:tr>
      <w:tr w14:paraId="415FA89D">
        <w:trPr>
          <w:trHeight w:val="229" w:hRule="atLeast"/>
        </w:trPr>
        <w:tc>
          <w:tcPr>
            <w:tcW w:w="3828" w:type="dxa"/>
            <w:tcBorders>
              <w:top w:val="single" w:color="auto" w:sz="12" w:space="0"/>
            </w:tcBorders>
            <w:vAlign w:val="center"/>
          </w:tcPr>
          <w:p w14:paraId="694D44C2">
            <w:pPr>
              <w:pStyle w:val="35"/>
              <w:spacing w:before="0"/>
              <w:ind w:left="220" w:leftChars="100"/>
              <w:jc w:val="both"/>
              <w:rPr>
                <w:rFonts w:ascii="Arial" w:hAnsi="Arial" w:cs="Arial"/>
                <w:sz w:val="20"/>
                <w:szCs w:val="20"/>
              </w:rPr>
            </w:pPr>
            <w:r>
              <w:rPr>
                <w:rFonts w:ascii="Arial" w:hAnsi="Arial" w:cs="Arial"/>
                <w:sz w:val="20"/>
                <w:szCs w:val="20"/>
              </w:rPr>
              <w:t>Epinephrine use</w:t>
            </w:r>
          </w:p>
        </w:tc>
        <w:tc>
          <w:tcPr>
            <w:tcW w:w="1701" w:type="dxa"/>
            <w:tcBorders>
              <w:top w:val="single" w:color="auto" w:sz="12" w:space="0"/>
            </w:tcBorders>
            <w:vAlign w:val="center"/>
          </w:tcPr>
          <w:p w14:paraId="50665E78">
            <w:pPr>
              <w:pStyle w:val="35"/>
              <w:spacing w:before="0"/>
              <w:jc w:val="both"/>
              <w:rPr>
                <w:rFonts w:ascii="Arial" w:hAnsi="Arial" w:cs="Arial"/>
                <w:sz w:val="20"/>
                <w:szCs w:val="20"/>
              </w:rPr>
            </w:pPr>
            <w:r>
              <w:rPr>
                <w:rFonts w:ascii="Arial" w:hAnsi="Arial" w:cs="Arial"/>
                <w:sz w:val="20"/>
                <w:szCs w:val="20"/>
              </w:rPr>
              <w:t>6 (0.52%)</w:t>
            </w:r>
          </w:p>
        </w:tc>
        <w:tc>
          <w:tcPr>
            <w:tcW w:w="1899" w:type="dxa"/>
            <w:tcBorders>
              <w:top w:val="single" w:color="auto" w:sz="12" w:space="0"/>
            </w:tcBorders>
            <w:vAlign w:val="center"/>
          </w:tcPr>
          <w:p w14:paraId="321416E9">
            <w:pPr>
              <w:pStyle w:val="35"/>
              <w:spacing w:before="0"/>
              <w:jc w:val="both"/>
              <w:rPr>
                <w:rFonts w:ascii="Arial" w:hAnsi="Arial" w:cs="Arial"/>
                <w:sz w:val="20"/>
                <w:szCs w:val="20"/>
              </w:rPr>
            </w:pPr>
            <w:r>
              <w:rPr>
                <w:rFonts w:ascii="Arial" w:hAnsi="Arial" w:cs="Arial"/>
                <w:sz w:val="20"/>
                <w:szCs w:val="20"/>
              </w:rPr>
              <w:t>1 (0.07%)</w:t>
            </w:r>
          </w:p>
        </w:tc>
        <w:tc>
          <w:tcPr>
            <w:tcW w:w="2410" w:type="dxa"/>
            <w:gridSpan w:val="2"/>
            <w:tcBorders>
              <w:top w:val="single" w:color="auto" w:sz="12" w:space="0"/>
            </w:tcBorders>
            <w:vAlign w:val="center"/>
          </w:tcPr>
          <w:p w14:paraId="6DC8D066">
            <w:pPr>
              <w:pStyle w:val="35"/>
              <w:spacing w:before="0"/>
              <w:jc w:val="both"/>
              <w:rPr>
                <w:rFonts w:ascii="Arial" w:hAnsi="Arial" w:cs="Arial"/>
                <w:sz w:val="20"/>
                <w:szCs w:val="20"/>
              </w:rPr>
            </w:pPr>
            <w:r>
              <w:rPr>
                <w:rFonts w:ascii="Arial" w:hAnsi="Arial" w:cs="Arial"/>
                <w:sz w:val="20"/>
                <w:szCs w:val="20"/>
              </w:rPr>
              <w:t>0 (0.00%)</w:t>
            </w:r>
          </w:p>
        </w:tc>
      </w:tr>
      <w:tr w14:paraId="3969DF53">
        <w:trPr>
          <w:trHeight w:val="229" w:hRule="atLeast"/>
        </w:trPr>
        <w:tc>
          <w:tcPr>
            <w:tcW w:w="3828" w:type="dxa"/>
            <w:vAlign w:val="center"/>
          </w:tcPr>
          <w:p w14:paraId="298897DD">
            <w:pPr>
              <w:pStyle w:val="35"/>
              <w:spacing w:before="0"/>
              <w:ind w:left="220" w:leftChars="100"/>
              <w:jc w:val="both"/>
              <w:rPr>
                <w:rFonts w:ascii="Arial" w:hAnsi="Arial" w:cs="Arial"/>
                <w:sz w:val="20"/>
                <w:szCs w:val="20"/>
              </w:rPr>
            </w:pPr>
            <w:r>
              <w:rPr>
                <w:rFonts w:ascii="Arial" w:hAnsi="Arial" w:cs="Arial"/>
                <w:sz w:val="20"/>
                <w:szCs w:val="20"/>
              </w:rPr>
              <w:t>Epinephrine &gt; 0.1 μg/kg/min (SOFA = 4)</w:t>
            </w:r>
          </w:p>
        </w:tc>
        <w:tc>
          <w:tcPr>
            <w:tcW w:w="1701" w:type="dxa"/>
            <w:vAlign w:val="center"/>
          </w:tcPr>
          <w:p w14:paraId="45CF2A16">
            <w:pPr>
              <w:pStyle w:val="35"/>
              <w:spacing w:before="0"/>
              <w:jc w:val="both"/>
              <w:rPr>
                <w:rFonts w:ascii="Arial" w:hAnsi="Arial" w:cs="Arial"/>
                <w:sz w:val="20"/>
                <w:szCs w:val="20"/>
              </w:rPr>
            </w:pPr>
            <w:r>
              <w:rPr>
                <w:rFonts w:ascii="Arial" w:hAnsi="Arial" w:cs="Arial"/>
                <w:sz w:val="20"/>
                <w:szCs w:val="20"/>
              </w:rPr>
              <w:t>3/6 (50.0%)</w:t>
            </w:r>
          </w:p>
        </w:tc>
        <w:tc>
          <w:tcPr>
            <w:tcW w:w="1899" w:type="dxa"/>
            <w:vAlign w:val="center"/>
          </w:tcPr>
          <w:p w14:paraId="1B4132EF">
            <w:pPr>
              <w:pStyle w:val="35"/>
              <w:spacing w:before="0"/>
              <w:jc w:val="both"/>
              <w:rPr>
                <w:rFonts w:ascii="Arial" w:hAnsi="Arial" w:cs="Arial"/>
                <w:sz w:val="20"/>
                <w:szCs w:val="20"/>
              </w:rPr>
            </w:pPr>
            <w:r>
              <w:rPr>
                <w:rFonts w:ascii="Arial" w:hAnsi="Arial" w:cs="Arial"/>
                <w:sz w:val="20"/>
                <w:szCs w:val="20"/>
              </w:rPr>
              <w:t>0/2 (0.0%)</w:t>
            </w:r>
          </w:p>
        </w:tc>
        <w:tc>
          <w:tcPr>
            <w:tcW w:w="2410" w:type="dxa"/>
            <w:gridSpan w:val="2"/>
            <w:vAlign w:val="center"/>
          </w:tcPr>
          <w:p w14:paraId="2E5CC1CC">
            <w:pPr>
              <w:pStyle w:val="35"/>
              <w:spacing w:before="0"/>
              <w:jc w:val="both"/>
              <w:rPr>
                <w:rFonts w:ascii="Arial" w:hAnsi="Arial" w:cs="Arial"/>
                <w:sz w:val="20"/>
                <w:szCs w:val="20"/>
              </w:rPr>
            </w:pPr>
            <w:r>
              <w:rPr>
                <w:rFonts w:ascii="Arial" w:hAnsi="Arial" w:cs="Arial"/>
                <w:sz w:val="20"/>
                <w:szCs w:val="20"/>
              </w:rPr>
              <w:t>N/A</w:t>
            </w:r>
          </w:p>
        </w:tc>
      </w:tr>
      <w:tr w14:paraId="67642DDA">
        <w:trPr>
          <w:trHeight w:val="229" w:hRule="atLeast"/>
        </w:trPr>
        <w:tc>
          <w:tcPr>
            <w:tcW w:w="3828" w:type="dxa"/>
            <w:vAlign w:val="center"/>
          </w:tcPr>
          <w:p w14:paraId="4AAFC5E1">
            <w:pPr>
              <w:pStyle w:val="35"/>
              <w:spacing w:before="0"/>
              <w:ind w:left="220" w:leftChars="100"/>
              <w:jc w:val="both"/>
              <w:rPr>
                <w:rFonts w:ascii="Arial" w:hAnsi="Arial" w:cs="Arial"/>
                <w:sz w:val="20"/>
                <w:szCs w:val="20"/>
              </w:rPr>
            </w:pPr>
            <w:r>
              <w:rPr>
                <w:rFonts w:ascii="Arial" w:hAnsi="Arial" w:cs="Arial"/>
                <w:sz w:val="20"/>
                <w:szCs w:val="20"/>
              </w:rPr>
              <w:t>Dobutamine use</w:t>
            </w:r>
          </w:p>
        </w:tc>
        <w:tc>
          <w:tcPr>
            <w:tcW w:w="1701" w:type="dxa"/>
            <w:vAlign w:val="center"/>
          </w:tcPr>
          <w:p w14:paraId="63EC270E">
            <w:pPr>
              <w:pStyle w:val="35"/>
              <w:spacing w:before="0"/>
              <w:jc w:val="both"/>
              <w:rPr>
                <w:rFonts w:ascii="Arial" w:hAnsi="Arial" w:cs="Arial"/>
                <w:sz w:val="20"/>
                <w:szCs w:val="20"/>
              </w:rPr>
            </w:pPr>
            <w:r>
              <w:rPr>
                <w:rFonts w:ascii="Arial" w:hAnsi="Arial" w:cs="Arial"/>
                <w:sz w:val="20"/>
                <w:szCs w:val="20"/>
              </w:rPr>
              <w:t>9 (0.77%)</w:t>
            </w:r>
          </w:p>
        </w:tc>
        <w:tc>
          <w:tcPr>
            <w:tcW w:w="1899" w:type="dxa"/>
            <w:vAlign w:val="center"/>
          </w:tcPr>
          <w:p w14:paraId="0926CFAC">
            <w:pPr>
              <w:pStyle w:val="35"/>
              <w:spacing w:before="0"/>
              <w:jc w:val="both"/>
              <w:rPr>
                <w:rFonts w:ascii="Arial" w:hAnsi="Arial" w:cs="Arial"/>
                <w:sz w:val="20"/>
                <w:szCs w:val="20"/>
              </w:rPr>
            </w:pPr>
            <w:r>
              <w:rPr>
                <w:rFonts w:ascii="Arial" w:hAnsi="Arial" w:cs="Arial"/>
                <w:sz w:val="20"/>
                <w:szCs w:val="20"/>
              </w:rPr>
              <w:t>10 (0.73%)</w:t>
            </w:r>
          </w:p>
        </w:tc>
        <w:tc>
          <w:tcPr>
            <w:tcW w:w="2410" w:type="dxa"/>
            <w:gridSpan w:val="2"/>
            <w:vAlign w:val="center"/>
          </w:tcPr>
          <w:p w14:paraId="62D4B954">
            <w:pPr>
              <w:pStyle w:val="35"/>
              <w:spacing w:before="0"/>
              <w:jc w:val="both"/>
              <w:rPr>
                <w:rFonts w:ascii="Arial" w:hAnsi="Arial" w:cs="Arial"/>
                <w:sz w:val="20"/>
                <w:szCs w:val="20"/>
              </w:rPr>
            </w:pPr>
            <w:r>
              <w:rPr>
                <w:rFonts w:ascii="Arial" w:hAnsi="Arial" w:cs="Arial"/>
                <w:sz w:val="20"/>
                <w:szCs w:val="20"/>
              </w:rPr>
              <w:t>6 (4.92%)</w:t>
            </w:r>
          </w:p>
        </w:tc>
      </w:tr>
      <w:tr w14:paraId="5B59D644">
        <w:trPr>
          <w:trHeight w:val="229" w:hRule="atLeast"/>
        </w:trPr>
        <w:tc>
          <w:tcPr>
            <w:tcW w:w="3828" w:type="dxa"/>
            <w:vAlign w:val="center"/>
          </w:tcPr>
          <w:p w14:paraId="2C98C55C">
            <w:pPr>
              <w:pStyle w:val="35"/>
              <w:spacing w:before="0"/>
              <w:ind w:left="220" w:leftChars="100"/>
              <w:jc w:val="both"/>
              <w:rPr>
                <w:rFonts w:ascii="Arial" w:hAnsi="Arial" w:cs="Arial"/>
                <w:sz w:val="20"/>
                <w:szCs w:val="20"/>
              </w:rPr>
            </w:pPr>
            <w:r>
              <w:rPr>
                <w:rFonts w:ascii="Arial" w:hAnsi="Arial" w:cs="Arial"/>
                <w:sz w:val="20"/>
                <w:szCs w:val="20"/>
              </w:rPr>
              <w:t>Any vasopressor use</w:t>
            </w:r>
          </w:p>
        </w:tc>
        <w:tc>
          <w:tcPr>
            <w:tcW w:w="1701" w:type="dxa"/>
            <w:vAlign w:val="center"/>
          </w:tcPr>
          <w:p w14:paraId="4B3D27C3">
            <w:pPr>
              <w:pStyle w:val="35"/>
              <w:spacing w:before="0"/>
              <w:jc w:val="both"/>
              <w:rPr>
                <w:rFonts w:ascii="Arial" w:hAnsi="Arial" w:cs="Arial"/>
                <w:sz w:val="20"/>
                <w:szCs w:val="20"/>
              </w:rPr>
            </w:pPr>
            <w:r>
              <w:rPr>
                <w:rFonts w:ascii="Arial" w:hAnsi="Arial" w:cs="Arial"/>
                <w:sz w:val="20"/>
                <w:szCs w:val="20"/>
              </w:rPr>
              <w:t>255 (21.94%)</w:t>
            </w:r>
          </w:p>
        </w:tc>
        <w:tc>
          <w:tcPr>
            <w:tcW w:w="1899" w:type="dxa"/>
            <w:vAlign w:val="center"/>
          </w:tcPr>
          <w:p w14:paraId="255A067D">
            <w:pPr>
              <w:pStyle w:val="35"/>
              <w:spacing w:before="0"/>
              <w:jc w:val="both"/>
              <w:rPr>
                <w:rFonts w:ascii="Arial" w:hAnsi="Arial" w:cs="Arial"/>
                <w:sz w:val="20"/>
                <w:szCs w:val="20"/>
              </w:rPr>
            </w:pPr>
            <w:r>
              <w:rPr>
                <w:rFonts w:ascii="Arial" w:hAnsi="Arial" w:cs="Arial"/>
                <w:sz w:val="20"/>
                <w:szCs w:val="20"/>
              </w:rPr>
              <w:t>322 (23.64%)</w:t>
            </w:r>
          </w:p>
        </w:tc>
        <w:tc>
          <w:tcPr>
            <w:tcW w:w="2410" w:type="dxa"/>
            <w:gridSpan w:val="2"/>
            <w:vAlign w:val="center"/>
          </w:tcPr>
          <w:p w14:paraId="0C520748">
            <w:pPr>
              <w:pStyle w:val="35"/>
              <w:spacing w:before="0"/>
              <w:jc w:val="both"/>
              <w:rPr>
                <w:rFonts w:ascii="Arial" w:hAnsi="Arial" w:cs="Arial"/>
                <w:sz w:val="20"/>
                <w:szCs w:val="20"/>
              </w:rPr>
            </w:pPr>
            <w:r>
              <w:rPr>
                <w:rFonts w:ascii="Arial" w:hAnsi="Arial" w:cs="Arial"/>
                <w:sz w:val="20"/>
                <w:szCs w:val="20"/>
              </w:rPr>
              <w:t>71 (58.20%)</w:t>
            </w:r>
          </w:p>
        </w:tc>
      </w:tr>
      <w:tr w14:paraId="3FF8CD6C">
        <w:trPr>
          <w:trHeight w:val="229" w:hRule="atLeast"/>
        </w:trPr>
        <w:tc>
          <w:tcPr>
            <w:tcW w:w="3828" w:type="dxa"/>
            <w:vAlign w:val="center"/>
          </w:tcPr>
          <w:p w14:paraId="15484CED">
            <w:pPr>
              <w:pStyle w:val="35"/>
              <w:spacing w:before="0"/>
              <w:ind w:left="220" w:leftChars="100"/>
              <w:jc w:val="both"/>
              <w:rPr>
                <w:rFonts w:ascii="Arial" w:hAnsi="Arial" w:cs="Arial"/>
                <w:sz w:val="20"/>
                <w:szCs w:val="20"/>
              </w:rPr>
            </w:pPr>
            <w:r>
              <w:rPr>
                <w:rFonts w:ascii="Arial" w:hAnsi="Arial" w:cs="Arial"/>
                <w:sz w:val="20"/>
                <w:szCs w:val="20"/>
              </w:rPr>
              <w:t>SOFA-1 cardiovascular score</w:t>
            </w:r>
          </w:p>
        </w:tc>
        <w:tc>
          <w:tcPr>
            <w:tcW w:w="1701" w:type="dxa"/>
            <w:vAlign w:val="center"/>
          </w:tcPr>
          <w:p w14:paraId="57D6340A">
            <w:pPr>
              <w:pStyle w:val="35"/>
              <w:spacing w:before="0"/>
              <w:jc w:val="both"/>
              <w:rPr>
                <w:rFonts w:ascii="Arial" w:hAnsi="Arial" w:cs="Arial"/>
                <w:sz w:val="20"/>
                <w:szCs w:val="20"/>
              </w:rPr>
            </w:pPr>
            <w:r>
              <w:rPr>
                <w:rFonts w:ascii="Arial" w:hAnsi="Arial" w:cs="Arial"/>
                <w:sz w:val="20"/>
                <w:szCs w:val="20"/>
              </w:rPr>
              <w:t>1.33 ± 1.30</w:t>
            </w:r>
          </w:p>
        </w:tc>
        <w:tc>
          <w:tcPr>
            <w:tcW w:w="1899" w:type="dxa"/>
            <w:vAlign w:val="center"/>
          </w:tcPr>
          <w:p w14:paraId="2AFFCE4A">
            <w:pPr>
              <w:pStyle w:val="35"/>
              <w:spacing w:before="0"/>
              <w:jc w:val="both"/>
              <w:rPr>
                <w:rFonts w:ascii="Arial" w:hAnsi="Arial" w:cs="Arial"/>
                <w:sz w:val="20"/>
                <w:szCs w:val="20"/>
              </w:rPr>
            </w:pPr>
            <w:r>
              <w:rPr>
                <w:rFonts w:ascii="Arial" w:hAnsi="Arial" w:cs="Arial"/>
                <w:sz w:val="20"/>
                <w:szCs w:val="20"/>
              </w:rPr>
              <w:t>1.33 ± 1.17</w:t>
            </w:r>
          </w:p>
        </w:tc>
        <w:tc>
          <w:tcPr>
            <w:tcW w:w="2410" w:type="dxa"/>
            <w:gridSpan w:val="2"/>
            <w:vAlign w:val="center"/>
          </w:tcPr>
          <w:p w14:paraId="272282C7">
            <w:pPr>
              <w:pStyle w:val="35"/>
              <w:spacing w:before="0"/>
              <w:jc w:val="both"/>
              <w:rPr>
                <w:rFonts w:ascii="Arial" w:hAnsi="Arial" w:cs="Arial"/>
                <w:sz w:val="20"/>
                <w:szCs w:val="20"/>
              </w:rPr>
            </w:pPr>
            <w:r>
              <w:rPr>
                <w:rFonts w:ascii="Arial" w:hAnsi="Arial" w:cs="Arial"/>
                <w:sz w:val="20"/>
                <w:szCs w:val="20"/>
              </w:rPr>
              <w:t>2.36 ± 1.53</w:t>
            </w:r>
          </w:p>
        </w:tc>
      </w:tr>
      <w:tr w14:paraId="625C5E9A">
        <w:trPr>
          <w:trHeight w:val="229" w:hRule="atLeast"/>
        </w:trPr>
        <w:tc>
          <w:tcPr>
            <w:tcW w:w="3828" w:type="dxa"/>
            <w:vAlign w:val="center"/>
          </w:tcPr>
          <w:p w14:paraId="251CE392">
            <w:pPr>
              <w:pStyle w:val="35"/>
              <w:spacing w:before="0"/>
              <w:ind w:left="220" w:leftChars="100"/>
              <w:jc w:val="both"/>
              <w:rPr>
                <w:rFonts w:ascii="Arial" w:hAnsi="Arial" w:cs="Arial"/>
                <w:sz w:val="20"/>
                <w:szCs w:val="20"/>
              </w:rPr>
            </w:pPr>
            <w:r>
              <w:rPr>
                <w:rFonts w:ascii="Arial" w:hAnsi="Arial" w:cs="Arial"/>
                <w:sz w:val="20"/>
                <w:szCs w:val="20"/>
              </w:rPr>
              <w:t>SOFA-2 cardiovascular score</w:t>
            </w:r>
          </w:p>
        </w:tc>
        <w:tc>
          <w:tcPr>
            <w:tcW w:w="1701" w:type="dxa"/>
            <w:vAlign w:val="center"/>
          </w:tcPr>
          <w:p w14:paraId="044BC81A">
            <w:pPr>
              <w:pStyle w:val="35"/>
              <w:spacing w:before="0"/>
              <w:jc w:val="both"/>
              <w:rPr>
                <w:rFonts w:ascii="Arial" w:hAnsi="Arial" w:cs="Arial"/>
                <w:sz w:val="20"/>
                <w:szCs w:val="20"/>
              </w:rPr>
            </w:pPr>
            <w:r>
              <w:rPr>
                <w:rFonts w:ascii="Arial" w:hAnsi="Arial" w:cs="Arial"/>
                <w:sz w:val="20"/>
                <w:szCs w:val="20"/>
              </w:rPr>
              <w:t>1.18 ± 1.02</w:t>
            </w:r>
          </w:p>
        </w:tc>
        <w:tc>
          <w:tcPr>
            <w:tcW w:w="1899" w:type="dxa"/>
            <w:vAlign w:val="center"/>
          </w:tcPr>
          <w:p w14:paraId="2D7063F5">
            <w:pPr>
              <w:pStyle w:val="35"/>
              <w:spacing w:before="0"/>
              <w:jc w:val="both"/>
              <w:rPr>
                <w:rFonts w:ascii="Arial" w:hAnsi="Arial" w:cs="Arial"/>
                <w:sz w:val="20"/>
                <w:szCs w:val="20"/>
              </w:rPr>
            </w:pPr>
            <w:r>
              <w:rPr>
                <w:rFonts w:ascii="Arial" w:hAnsi="Arial" w:cs="Arial"/>
                <w:sz w:val="20"/>
                <w:szCs w:val="20"/>
              </w:rPr>
              <w:t>1.13 ± 0.82</w:t>
            </w:r>
          </w:p>
        </w:tc>
        <w:tc>
          <w:tcPr>
            <w:tcW w:w="2410" w:type="dxa"/>
            <w:gridSpan w:val="2"/>
            <w:vAlign w:val="center"/>
          </w:tcPr>
          <w:p w14:paraId="24271DF9">
            <w:pPr>
              <w:pStyle w:val="35"/>
              <w:spacing w:before="0"/>
              <w:jc w:val="both"/>
              <w:rPr>
                <w:rFonts w:ascii="Arial" w:hAnsi="Arial" w:cs="Arial"/>
                <w:sz w:val="20"/>
                <w:szCs w:val="20"/>
              </w:rPr>
            </w:pPr>
            <w:r>
              <w:rPr>
                <w:rFonts w:ascii="Arial" w:hAnsi="Arial" w:cs="Arial"/>
                <w:sz w:val="20"/>
                <w:szCs w:val="20"/>
              </w:rPr>
              <w:t>1.74 ± 1.14</w:t>
            </w:r>
          </w:p>
        </w:tc>
      </w:tr>
      <w:tr w14:paraId="54CFE43E">
        <w:trPr>
          <w:trHeight w:val="229" w:hRule="atLeast"/>
        </w:trPr>
        <w:tc>
          <w:tcPr>
            <w:tcW w:w="3828" w:type="dxa"/>
            <w:vAlign w:val="center"/>
          </w:tcPr>
          <w:p w14:paraId="4CB83F02">
            <w:pPr>
              <w:pStyle w:val="35"/>
              <w:spacing w:before="0"/>
              <w:ind w:left="220" w:leftChars="100"/>
              <w:jc w:val="both"/>
              <w:rPr>
                <w:rFonts w:ascii="Arial" w:hAnsi="Arial" w:cs="Arial"/>
                <w:sz w:val="20"/>
                <w:szCs w:val="20"/>
              </w:rPr>
            </w:pPr>
            <w:r>
              <w:rPr>
                <w:rFonts w:ascii="Arial" w:hAnsi="Arial" w:cs="Arial"/>
                <w:sz w:val="20"/>
                <w:szCs w:val="20"/>
              </w:rPr>
              <w:t>Cardiovascular score difference</w:t>
            </w:r>
          </w:p>
        </w:tc>
        <w:tc>
          <w:tcPr>
            <w:tcW w:w="1701" w:type="dxa"/>
            <w:vAlign w:val="center"/>
          </w:tcPr>
          <w:p w14:paraId="562C0979">
            <w:pPr>
              <w:pStyle w:val="35"/>
              <w:spacing w:before="0"/>
              <w:jc w:val="both"/>
              <w:rPr>
                <w:rFonts w:ascii="Arial" w:hAnsi="Arial" w:cs="Arial"/>
                <w:sz w:val="20"/>
                <w:szCs w:val="20"/>
              </w:rPr>
            </w:pPr>
            <w:r>
              <w:rPr>
                <w:rFonts w:ascii="Arial" w:hAnsi="Arial" w:cs="Arial"/>
                <w:sz w:val="20"/>
                <w:szCs w:val="20"/>
              </w:rPr>
              <w:t>−0.15 ± 0.66</w:t>
            </w:r>
          </w:p>
        </w:tc>
        <w:tc>
          <w:tcPr>
            <w:tcW w:w="1899" w:type="dxa"/>
            <w:vAlign w:val="center"/>
          </w:tcPr>
          <w:p w14:paraId="1378FFA3">
            <w:pPr>
              <w:pStyle w:val="35"/>
              <w:spacing w:before="0"/>
              <w:jc w:val="both"/>
              <w:rPr>
                <w:rFonts w:ascii="Arial" w:hAnsi="Arial" w:cs="Arial"/>
                <w:sz w:val="20"/>
                <w:szCs w:val="20"/>
              </w:rPr>
            </w:pPr>
            <w:r>
              <w:rPr>
                <w:rFonts w:ascii="Arial" w:hAnsi="Arial" w:cs="Arial"/>
                <w:sz w:val="20"/>
                <w:szCs w:val="20"/>
              </w:rPr>
              <w:t>−0.20 ± 0.57</w:t>
            </w:r>
          </w:p>
        </w:tc>
        <w:tc>
          <w:tcPr>
            <w:tcW w:w="2410" w:type="dxa"/>
            <w:gridSpan w:val="2"/>
            <w:vAlign w:val="center"/>
          </w:tcPr>
          <w:p w14:paraId="6A6A3E70">
            <w:pPr>
              <w:pStyle w:val="35"/>
              <w:spacing w:before="0"/>
              <w:jc w:val="both"/>
              <w:rPr>
                <w:rFonts w:ascii="Arial" w:hAnsi="Arial" w:cs="Arial"/>
                <w:sz w:val="20"/>
                <w:szCs w:val="20"/>
              </w:rPr>
            </w:pPr>
            <w:r>
              <w:rPr>
                <w:rFonts w:ascii="Arial" w:hAnsi="Arial" w:cs="Arial"/>
                <w:sz w:val="20"/>
                <w:szCs w:val="20"/>
              </w:rPr>
              <w:t>−0.62 ± 0.78</w:t>
            </w:r>
          </w:p>
        </w:tc>
      </w:tr>
      <w:tr w14:paraId="7742F0AD">
        <w:trPr>
          <w:trHeight w:val="229" w:hRule="atLeast"/>
        </w:trPr>
        <w:tc>
          <w:tcPr>
            <w:tcW w:w="3828" w:type="dxa"/>
            <w:vAlign w:val="center"/>
          </w:tcPr>
          <w:p w14:paraId="2937B11A">
            <w:pPr>
              <w:pStyle w:val="35"/>
              <w:spacing w:before="0"/>
              <w:jc w:val="both"/>
              <w:rPr>
                <w:rFonts w:ascii="Arial" w:hAnsi="Arial" w:cs="Arial" w:eastAsiaTheme="minorEastAsia"/>
                <w:b/>
                <w:sz w:val="20"/>
                <w:szCs w:val="20"/>
                <w:lang w:eastAsia="zh-CN"/>
              </w:rPr>
            </w:pPr>
            <w:r>
              <w:rPr>
                <w:rFonts w:hint="eastAsia" w:ascii="Arial" w:hAnsi="Arial" w:cs="Arial" w:eastAsiaTheme="minorEastAsia"/>
                <w:b/>
                <w:sz w:val="20"/>
                <w:szCs w:val="20"/>
                <w:lang w:eastAsia="zh-CN"/>
              </w:rPr>
              <w:t>Overall SOFA Score</w:t>
            </w:r>
          </w:p>
        </w:tc>
        <w:tc>
          <w:tcPr>
            <w:tcW w:w="1701" w:type="dxa"/>
            <w:vAlign w:val="center"/>
          </w:tcPr>
          <w:p w14:paraId="29E4F33C">
            <w:pPr>
              <w:pStyle w:val="35"/>
              <w:spacing w:before="0"/>
              <w:jc w:val="both"/>
              <w:rPr>
                <w:rFonts w:ascii="Arial" w:hAnsi="Arial" w:cs="Arial"/>
                <w:sz w:val="20"/>
                <w:szCs w:val="20"/>
              </w:rPr>
            </w:pPr>
          </w:p>
        </w:tc>
        <w:tc>
          <w:tcPr>
            <w:tcW w:w="1899" w:type="dxa"/>
            <w:vAlign w:val="center"/>
          </w:tcPr>
          <w:p w14:paraId="594A159F">
            <w:pPr>
              <w:pStyle w:val="35"/>
              <w:spacing w:before="0"/>
              <w:jc w:val="both"/>
              <w:rPr>
                <w:rFonts w:ascii="Arial" w:hAnsi="Arial" w:cs="Arial"/>
                <w:sz w:val="20"/>
                <w:szCs w:val="20"/>
              </w:rPr>
            </w:pPr>
          </w:p>
        </w:tc>
        <w:tc>
          <w:tcPr>
            <w:tcW w:w="2410" w:type="dxa"/>
            <w:gridSpan w:val="2"/>
            <w:vAlign w:val="center"/>
          </w:tcPr>
          <w:p w14:paraId="2E920270">
            <w:pPr>
              <w:pStyle w:val="35"/>
              <w:spacing w:before="0"/>
              <w:jc w:val="both"/>
              <w:rPr>
                <w:rFonts w:ascii="Arial" w:hAnsi="Arial" w:cs="Arial"/>
                <w:sz w:val="20"/>
                <w:szCs w:val="20"/>
              </w:rPr>
            </w:pPr>
          </w:p>
        </w:tc>
      </w:tr>
      <w:tr w14:paraId="2F2CA776">
        <w:trPr>
          <w:trHeight w:val="229" w:hRule="atLeast"/>
        </w:trPr>
        <w:tc>
          <w:tcPr>
            <w:tcW w:w="3828" w:type="dxa"/>
            <w:vAlign w:val="center"/>
          </w:tcPr>
          <w:p w14:paraId="1A90658D">
            <w:pPr>
              <w:pStyle w:val="35"/>
              <w:spacing w:before="0"/>
              <w:ind w:left="220" w:leftChars="100"/>
              <w:jc w:val="both"/>
              <w:rPr>
                <w:rFonts w:ascii="Arial" w:hAnsi="Arial" w:cs="Arial"/>
                <w:sz w:val="20"/>
                <w:szCs w:val="20"/>
              </w:rPr>
            </w:pPr>
            <w:r>
              <w:rPr>
                <w:rFonts w:ascii="Arial" w:hAnsi="Arial" w:cs="Arial"/>
                <w:sz w:val="20"/>
                <w:szCs w:val="20"/>
              </w:rPr>
              <w:t>Total SOFA-1 score</w:t>
            </w:r>
          </w:p>
        </w:tc>
        <w:tc>
          <w:tcPr>
            <w:tcW w:w="1701" w:type="dxa"/>
            <w:vAlign w:val="center"/>
          </w:tcPr>
          <w:p w14:paraId="63C13C72">
            <w:pPr>
              <w:pStyle w:val="35"/>
              <w:spacing w:before="0"/>
              <w:jc w:val="both"/>
              <w:rPr>
                <w:rFonts w:ascii="Arial" w:hAnsi="Arial" w:cs="Arial"/>
                <w:sz w:val="20"/>
                <w:szCs w:val="20"/>
              </w:rPr>
            </w:pPr>
            <w:r>
              <w:rPr>
                <w:rFonts w:ascii="Arial" w:hAnsi="Arial" w:cs="Arial"/>
                <w:sz w:val="20"/>
                <w:szCs w:val="20"/>
              </w:rPr>
              <w:t>5.29 ± 2.83</w:t>
            </w:r>
          </w:p>
        </w:tc>
        <w:tc>
          <w:tcPr>
            <w:tcW w:w="1899" w:type="dxa"/>
            <w:vAlign w:val="center"/>
          </w:tcPr>
          <w:p w14:paraId="4AB48AC3">
            <w:pPr>
              <w:pStyle w:val="35"/>
              <w:spacing w:before="0"/>
              <w:jc w:val="both"/>
              <w:rPr>
                <w:rFonts w:ascii="Arial" w:hAnsi="Arial" w:cs="Arial"/>
                <w:sz w:val="20"/>
                <w:szCs w:val="20"/>
              </w:rPr>
            </w:pPr>
            <w:r>
              <w:rPr>
                <w:rFonts w:ascii="Arial" w:hAnsi="Arial" w:cs="Arial"/>
                <w:sz w:val="20"/>
                <w:szCs w:val="20"/>
              </w:rPr>
              <w:t>5.97 ± 2.65</w:t>
            </w:r>
          </w:p>
        </w:tc>
        <w:tc>
          <w:tcPr>
            <w:tcW w:w="2410" w:type="dxa"/>
            <w:gridSpan w:val="2"/>
            <w:vAlign w:val="center"/>
          </w:tcPr>
          <w:p w14:paraId="60ADFF28">
            <w:pPr>
              <w:pStyle w:val="35"/>
              <w:spacing w:before="0"/>
              <w:jc w:val="both"/>
              <w:rPr>
                <w:rFonts w:ascii="Arial" w:hAnsi="Arial" w:cs="Arial"/>
                <w:sz w:val="20"/>
                <w:szCs w:val="20"/>
              </w:rPr>
            </w:pPr>
            <w:r>
              <w:rPr>
                <w:rFonts w:ascii="Arial" w:hAnsi="Arial" w:cs="Arial"/>
                <w:sz w:val="20"/>
                <w:szCs w:val="20"/>
              </w:rPr>
              <w:t>6.11 ± 3.28</w:t>
            </w:r>
          </w:p>
        </w:tc>
      </w:tr>
      <w:tr w14:paraId="1ADDD0B5">
        <w:trPr>
          <w:trHeight w:val="271" w:hRule="atLeast"/>
        </w:trPr>
        <w:tc>
          <w:tcPr>
            <w:tcW w:w="3828" w:type="dxa"/>
            <w:tcBorders>
              <w:bottom w:val="single" w:color="auto" w:sz="12" w:space="0"/>
            </w:tcBorders>
            <w:vAlign w:val="center"/>
          </w:tcPr>
          <w:p w14:paraId="02436AB5">
            <w:pPr>
              <w:pStyle w:val="35"/>
              <w:spacing w:before="0"/>
              <w:ind w:left="220" w:leftChars="100"/>
              <w:jc w:val="both"/>
              <w:rPr>
                <w:rFonts w:ascii="Arial" w:hAnsi="Arial" w:cs="Arial"/>
                <w:sz w:val="20"/>
                <w:szCs w:val="20"/>
              </w:rPr>
            </w:pPr>
            <w:r>
              <w:rPr>
                <w:rFonts w:ascii="Arial" w:hAnsi="Arial" w:cs="Arial"/>
                <w:sz w:val="20"/>
                <w:szCs w:val="20"/>
              </w:rPr>
              <w:t>Total SOFA-2 score</w:t>
            </w:r>
          </w:p>
        </w:tc>
        <w:tc>
          <w:tcPr>
            <w:tcW w:w="1701" w:type="dxa"/>
            <w:tcBorders>
              <w:bottom w:val="single" w:color="auto" w:sz="12" w:space="0"/>
            </w:tcBorders>
            <w:vAlign w:val="center"/>
          </w:tcPr>
          <w:p w14:paraId="5A5E4671">
            <w:pPr>
              <w:pStyle w:val="35"/>
              <w:spacing w:before="0"/>
              <w:jc w:val="both"/>
              <w:rPr>
                <w:rFonts w:ascii="Arial" w:hAnsi="Arial" w:cs="Arial"/>
                <w:sz w:val="20"/>
                <w:szCs w:val="20"/>
              </w:rPr>
            </w:pPr>
            <w:r>
              <w:rPr>
                <w:rFonts w:ascii="Arial" w:hAnsi="Arial" w:cs="Arial"/>
                <w:sz w:val="20"/>
                <w:szCs w:val="20"/>
              </w:rPr>
              <w:t>4.93 ± 3.13</w:t>
            </w:r>
          </w:p>
        </w:tc>
        <w:tc>
          <w:tcPr>
            <w:tcW w:w="1899" w:type="dxa"/>
            <w:tcBorders>
              <w:bottom w:val="single" w:color="auto" w:sz="12" w:space="0"/>
            </w:tcBorders>
            <w:vAlign w:val="center"/>
          </w:tcPr>
          <w:p w14:paraId="19D7973A">
            <w:pPr>
              <w:pStyle w:val="35"/>
              <w:spacing w:before="0"/>
              <w:jc w:val="both"/>
              <w:rPr>
                <w:rFonts w:ascii="Arial" w:hAnsi="Arial" w:cs="Arial"/>
                <w:sz w:val="20"/>
                <w:szCs w:val="20"/>
              </w:rPr>
            </w:pPr>
            <w:r>
              <w:rPr>
                <w:rFonts w:ascii="Arial" w:hAnsi="Arial" w:cs="Arial"/>
                <w:sz w:val="20"/>
                <w:szCs w:val="20"/>
              </w:rPr>
              <w:t>4.65 ± 2.88</w:t>
            </w:r>
          </w:p>
        </w:tc>
        <w:tc>
          <w:tcPr>
            <w:tcW w:w="2410" w:type="dxa"/>
            <w:gridSpan w:val="2"/>
            <w:tcBorders>
              <w:bottom w:val="single" w:color="auto" w:sz="12" w:space="0"/>
            </w:tcBorders>
            <w:vAlign w:val="center"/>
          </w:tcPr>
          <w:p w14:paraId="77A785DD">
            <w:pPr>
              <w:pStyle w:val="35"/>
              <w:spacing w:before="0"/>
              <w:jc w:val="both"/>
              <w:rPr>
                <w:rFonts w:ascii="Arial" w:hAnsi="Arial" w:cs="Arial"/>
                <w:sz w:val="20"/>
                <w:szCs w:val="20"/>
              </w:rPr>
            </w:pPr>
            <w:r>
              <w:rPr>
                <w:rFonts w:ascii="Arial" w:hAnsi="Arial" w:cs="Arial"/>
                <w:sz w:val="20"/>
                <w:szCs w:val="20"/>
              </w:rPr>
              <w:t>5.11 ± 3.46</w:t>
            </w:r>
          </w:p>
        </w:tc>
      </w:tr>
    </w:tbl>
    <w:p w14:paraId="3C87BEA8">
      <w:pPr>
        <w:rPr>
          <w:rFonts w:ascii="Arial" w:hAnsi="Arial" w:cs="Arial"/>
          <w:sz w:val="16"/>
          <w:szCs w:val="16"/>
        </w:rPr>
      </w:pPr>
      <w:r>
        <w:rPr>
          <w:rFonts w:ascii="Arial" w:hAnsi="Arial" w:cs="Arial"/>
          <w:sz w:val="16"/>
          <w:szCs w:val="16"/>
        </w:rPr>
        <w:t>Abbreviations: Cr, creatinine; ECMO, extracorporeal membrane oxygenation; HFNC, high-flow nasal cannula; MAP, mean arterial</w:t>
      </w:r>
      <w:r>
        <w:rPr>
          <w:rFonts w:hint="eastAsia" w:ascii="Arial" w:hAnsi="Arial" w:cs="Arial" w:eastAsiaTheme="minorEastAsia"/>
          <w:sz w:val="16"/>
          <w:szCs w:val="16"/>
          <w:lang w:eastAsia="zh-CN"/>
        </w:rPr>
        <w:t xml:space="preserve"> </w:t>
      </w:r>
      <w:r>
        <w:rPr>
          <w:rFonts w:ascii="Arial" w:hAnsi="Arial" w:cs="Arial"/>
          <w:sz w:val="16"/>
          <w:szCs w:val="16"/>
        </w:rPr>
        <w:t>pressure;</w:t>
      </w:r>
      <w:r>
        <w:rPr>
          <w:rFonts w:hint="eastAsia" w:ascii="Arial" w:hAnsi="Arial" w:cs="Arial" w:eastAsiaTheme="minorEastAsia"/>
          <w:sz w:val="16"/>
          <w:szCs w:val="16"/>
          <w:lang w:eastAsia="zh-CN"/>
        </w:rPr>
        <w:t xml:space="preserve"> </w:t>
      </w:r>
      <w:r>
        <w:rPr>
          <w:rFonts w:ascii="Arial" w:hAnsi="Arial" w:cs="Arial"/>
          <w:sz w:val="16"/>
          <w:szCs w:val="16"/>
        </w:rPr>
        <w:t>MV, mechanical ventilation; NIV, noninvasive ventilation; P/F, PaO</w:t>
      </w:r>
      <w:r>
        <w:rPr>
          <w:rFonts w:ascii="Arial" w:hAnsi="Arial" w:cs="Arial"/>
          <w:sz w:val="16"/>
          <w:szCs w:val="16"/>
          <w:vertAlign w:val="subscript"/>
        </w:rPr>
        <w:t>2</w:t>
      </w:r>
      <w:r>
        <w:rPr>
          <w:rFonts w:ascii="Arial" w:hAnsi="Arial" w:cs="Arial"/>
          <w:sz w:val="16"/>
          <w:szCs w:val="16"/>
        </w:rPr>
        <w:t>/FiO</w:t>
      </w:r>
      <w:r>
        <w:rPr>
          <w:rFonts w:ascii="Arial" w:hAnsi="Arial" w:cs="Arial"/>
          <w:sz w:val="16"/>
          <w:szCs w:val="16"/>
          <w:vertAlign w:val="subscript"/>
        </w:rPr>
        <w:t>2</w:t>
      </w:r>
      <w:r>
        <w:rPr>
          <w:rFonts w:ascii="Arial" w:hAnsi="Arial" w:cs="Arial"/>
          <w:sz w:val="16"/>
          <w:szCs w:val="16"/>
        </w:rPr>
        <w:t>; RRT, renal replacement therapy; S/F, SpO</w:t>
      </w:r>
      <w:r>
        <w:rPr>
          <w:rFonts w:ascii="Arial" w:hAnsi="Arial" w:cs="Arial"/>
          <w:sz w:val="16"/>
          <w:szCs w:val="16"/>
          <w:vertAlign w:val="subscript"/>
        </w:rPr>
        <w:t>2</w:t>
      </w:r>
      <w:r>
        <w:rPr>
          <w:rFonts w:ascii="Arial" w:hAnsi="Arial" w:cs="Arial"/>
          <w:sz w:val="16"/>
          <w:szCs w:val="16"/>
        </w:rPr>
        <w:t>/FiO</w:t>
      </w:r>
      <w:r>
        <w:rPr>
          <w:rFonts w:ascii="Arial" w:hAnsi="Arial" w:cs="Arial"/>
          <w:sz w:val="16"/>
          <w:szCs w:val="16"/>
          <w:vertAlign w:val="subscript"/>
        </w:rPr>
        <w:t>2</w:t>
      </w:r>
      <w:r>
        <w:rPr>
          <w:rFonts w:ascii="Arial" w:hAnsi="Arial" w:cs="Arial"/>
          <w:sz w:val="16"/>
          <w:szCs w:val="16"/>
        </w:rPr>
        <w:t>;</w:t>
      </w:r>
      <w:r>
        <w:rPr>
          <w:rFonts w:hint="eastAsia" w:ascii="Arial" w:hAnsi="Arial" w:cs="Arial" w:eastAsiaTheme="minorEastAsia"/>
          <w:sz w:val="16"/>
          <w:szCs w:val="16"/>
          <w:lang w:eastAsia="zh-CN"/>
        </w:rPr>
        <w:t xml:space="preserve"> </w:t>
      </w:r>
      <w:r>
        <w:rPr>
          <w:rFonts w:ascii="Arial" w:hAnsi="Arial" w:cs="Arial"/>
          <w:sz w:val="16"/>
          <w:szCs w:val="16"/>
        </w:rPr>
        <w:t>SOFA, Sequential Organ Failure Assessment; UO, urine output.</w:t>
      </w:r>
    </w:p>
    <w:p w14:paraId="232A607E">
      <w:pPr>
        <w:rPr>
          <w:rFonts w:ascii="Arial" w:hAnsi="Arial" w:cs="Arial" w:eastAsiaTheme="minorEastAsia"/>
          <w:sz w:val="16"/>
          <w:szCs w:val="16"/>
          <w:lang w:eastAsia="zh-CN"/>
        </w:rPr>
      </w:pPr>
      <w:r>
        <w:rPr>
          <w:rFonts w:ascii="Arial" w:hAnsi="Arial" w:cs="Arial"/>
          <w:sz w:val="16"/>
          <w:szCs w:val="16"/>
        </w:rPr>
        <w:t>Note: Continuous variables presented as mean ± SD; categorical variables as n (%). Score difference = SOFA-2 − SOFA-1.</w:t>
      </w:r>
      <w:r>
        <w:rPr>
          <w:rFonts w:hint="eastAsia" w:ascii="Arial" w:hAnsi="Arial" w:cs="Arial" w:eastAsiaTheme="minorEastAsia"/>
          <w:sz w:val="16"/>
          <w:szCs w:val="16"/>
          <w:lang w:eastAsia="zh-CN"/>
        </w:rPr>
        <w:t xml:space="preserve"> </w:t>
      </w:r>
      <w:r>
        <w:rPr>
          <w:rFonts w:ascii="Arial" w:hAnsi="Arial" w:cs="Arial"/>
          <w:sz w:val="16"/>
          <w:szCs w:val="16"/>
        </w:rPr>
        <w:t>SpO</w:t>
      </w:r>
      <w:r>
        <w:rPr>
          <w:rFonts w:ascii="Arial" w:hAnsi="Arial" w:cs="Arial"/>
          <w:sz w:val="16"/>
          <w:szCs w:val="16"/>
          <w:vertAlign w:val="subscript"/>
        </w:rPr>
        <w:t>2</w:t>
      </w:r>
      <w:r>
        <w:rPr>
          <w:rFonts w:ascii="Arial" w:hAnsi="Arial" w:cs="Arial"/>
          <w:sz w:val="16"/>
          <w:szCs w:val="16"/>
        </w:rPr>
        <w:t>/FiO</w:t>
      </w:r>
      <w:r>
        <w:rPr>
          <w:rFonts w:ascii="Arial" w:hAnsi="Arial" w:cs="Arial"/>
          <w:sz w:val="16"/>
          <w:szCs w:val="16"/>
          <w:vertAlign w:val="subscript"/>
        </w:rPr>
        <w:t>2</w:t>
      </w:r>
      <w:r>
        <w:rPr>
          <w:rFonts w:ascii="Arial" w:hAnsi="Arial" w:cs="Arial"/>
          <w:sz w:val="16"/>
          <w:szCs w:val="16"/>
        </w:rPr>
        <w:t xml:space="preserve"> calculated only when SpO</w:t>
      </w:r>
      <w:r>
        <w:rPr>
          <w:rFonts w:ascii="Arial" w:hAnsi="Arial" w:cs="Arial"/>
          <w:sz w:val="16"/>
          <w:szCs w:val="16"/>
          <w:vertAlign w:val="subscript"/>
        </w:rPr>
        <w:t>2</w:t>
      </w:r>
      <w:r>
        <w:rPr>
          <w:rFonts w:ascii="Arial" w:hAnsi="Arial" w:cs="Arial"/>
          <w:sz w:val="16"/>
          <w:szCs w:val="16"/>
        </w:rPr>
        <w:t xml:space="preserve"> &lt; 98% (SOFA-2 criterion). Threshold statistics: n/N (x%) indicates n patients</w:t>
      </w:r>
      <w:r>
        <w:rPr>
          <w:rFonts w:hint="eastAsia" w:ascii="Arial" w:hAnsi="Arial" w:cs="Arial" w:eastAsiaTheme="minorEastAsia"/>
          <w:sz w:val="16"/>
          <w:szCs w:val="16"/>
          <w:lang w:eastAsia="zh-CN"/>
        </w:rPr>
        <w:t xml:space="preserve"> </w:t>
      </w:r>
      <w:r>
        <w:rPr>
          <w:rFonts w:ascii="Arial" w:hAnsi="Arial" w:cs="Arial"/>
          <w:sz w:val="16"/>
          <w:szCs w:val="16"/>
        </w:rPr>
        <w:t>meeting criterion among N with available data.</w:t>
      </w:r>
      <w:r>
        <w:rPr>
          <w:rFonts w:ascii="Arial" w:hAnsi="Arial" w:cs="Arial" w:eastAsiaTheme="minorEastAsia"/>
          <w:sz w:val="16"/>
          <w:szCs w:val="16"/>
          <w:lang w:eastAsia="zh-CN"/>
        </w:rPr>
        <w:br w:type="page"/>
      </w:r>
    </w:p>
    <w:p w14:paraId="5A68129B">
      <w:pPr>
        <w:pStyle w:val="28"/>
        <w:spacing w:before="60"/>
      </w:pPr>
      <w:bookmarkStart w:id="20" w:name="_Tocgb26xa"/>
      <w:r>
        <w:rPr>
          <w:rFonts w:hint="eastAsia"/>
        </w:rPr>
        <w:t>eTable 9. Pooled Cox Model for 28-Day Mortality Adjusted for Age, Sex, and Database</w:t>
      </w:r>
      <w:bookmarkEnd w:id="20"/>
    </w:p>
    <w:tbl>
      <w:tblPr>
        <w:tblStyle w:val="17"/>
        <w:tblW w:w="0" w:type="auto"/>
        <w:tblInd w:w="0" w:type="dxa"/>
        <w:tblLayout w:type="fixed"/>
        <w:tblCellMar>
          <w:top w:w="15" w:type="dxa"/>
          <w:left w:w="15" w:type="dxa"/>
          <w:bottom w:w="15" w:type="dxa"/>
          <w:right w:w="15" w:type="dxa"/>
        </w:tblCellMar>
      </w:tblPr>
      <w:tblGrid>
        <w:gridCol w:w="3852"/>
        <w:gridCol w:w="2959"/>
        <w:gridCol w:w="1934"/>
      </w:tblGrid>
      <w:tr w14:paraId="7EF8A1F4">
        <w:trPr>
          <w:trHeight w:val="432" w:hRule="atLeast"/>
        </w:trPr>
        <w:tc>
          <w:tcPr>
            <w:tcW w:w="3852" w:type="dxa"/>
            <w:tcBorders>
              <w:top w:val="single" w:color="auto" w:sz="12" w:space="0"/>
              <w:left w:val="nil"/>
              <w:bottom w:val="single" w:color="auto" w:sz="12" w:space="0"/>
              <w:right w:val="nil"/>
            </w:tcBorders>
            <w:tcMar>
              <w:top w:w="0" w:type="dxa"/>
              <w:left w:w="108" w:type="dxa"/>
              <w:bottom w:w="0" w:type="dxa"/>
              <w:right w:w="108" w:type="dxa"/>
            </w:tcMar>
            <w:vAlign w:val="center"/>
          </w:tcPr>
          <w:p w14:paraId="6E5A544A">
            <w:pPr>
              <w:pStyle w:val="35"/>
              <w:spacing w:before="0"/>
              <w:jc w:val="both"/>
              <w:rPr>
                <w:rFonts w:ascii="Arial" w:hAnsi="Arial" w:cs="Arial"/>
                <w:b/>
                <w:bCs/>
                <w:sz w:val="20"/>
                <w:szCs w:val="20"/>
              </w:rPr>
            </w:pPr>
            <w:r>
              <w:rPr>
                <w:rFonts w:hint="eastAsia" w:ascii="Arial" w:hAnsi="Arial" w:cs="Arial"/>
                <w:b/>
                <w:bCs/>
                <w:sz w:val="20"/>
                <w:szCs w:val="20"/>
              </w:rPr>
              <w:t>Term</w:t>
            </w:r>
          </w:p>
        </w:tc>
        <w:tc>
          <w:tcPr>
            <w:tcW w:w="2959" w:type="dxa"/>
            <w:tcBorders>
              <w:top w:val="single" w:color="auto" w:sz="12" w:space="0"/>
              <w:left w:val="nil"/>
              <w:bottom w:val="single" w:color="auto" w:sz="12" w:space="0"/>
              <w:right w:val="nil"/>
            </w:tcBorders>
            <w:tcMar>
              <w:top w:w="0" w:type="dxa"/>
              <w:left w:w="108" w:type="dxa"/>
              <w:bottom w:w="0" w:type="dxa"/>
              <w:right w:w="108" w:type="dxa"/>
            </w:tcMar>
            <w:vAlign w:val="center"/>
          </w:tcPr>
          <w:p w14:paraId="62B92AB2">
            <w:pPr>
              <w:pStyle w:val="35"/>
              <w:spacing w:before="0"/>
              <w:jc w:val="both"/>
              <w:rPr>
                <w:rFonts w:ascii="Arial" w:hAnsi="Arial" w:cs="Arial"/>
                <w:b/>
                <w:bCs/>
                <w:sz w:val="20"/>
                <w:szCs w:val="20"/>
              </w:rPr>
            </w:pPr>
            <w:r>
              <w:rPr>
                <w:rFonts w:hint="eastAsia" w:ascii="Arial" w:hAnsi="Arial" w:cs="Arial"/>
                <w:b/>
                <w:bCs/>
                <w:sz w:val="20"/>
                <w:szCs w:val="20"/>
              </w:rPr>
              <w:t>HR (95% CI)</w:t>
            </w:r>
          </w:p>
        </w:tc>
        <w:tc>
          <w:tcPr>
            <w:tcW w:w="1934" w:type="dxa"/>
            <w:tcBorders>
              <w:top w:val="single" w:color="auto" w:sz="12" w:space="0"/>
              <w:left w:val="nil"/>
              <w:bottom w:val="single" w:color="auto" w:sz="12" w:space="0"/>
              <w:right w:val="nil"/>
            </w:tcBorders>
            <w:tcMar>
              <w:top w:w="0" w:type="dxa"/>
              <w:left w:w="108" w:type="dxa"/>
              <w:bottom w:w="0" w:type="dxa"/>
              <w:right w:w="108" w:type="dxa"/>
            </w:tcMar>
            <w:vAlign w:val="center"/>
          </w:tcPr>
          <w:p w14:paraId="189CA41C">
            <w:pPr>
              <w:pStyle w:val="35"/>
              <w:spacing w:before="0"/>
              <w:jc w:val="both"/>
              <w:rPr>
                <w:rFonts w:ascii="Arial" w:hAnsi="Arial" w:cs="Arial"/>
                <w:b/>
                <w:bCs/>
                <w:sz w:val="20"/>
                <w:szCs w:val="20"/>
              </w:rPr>
            </w:pPr>
            <w:r>
              <w:rPr>
                <w:rFonts w:hint="eastAsia" w:ascii="Arial" w:hAnsi="Arial" w:cs="Arial"/>
                <w:b/>
                <w:bCs/>
                <w:sz w:val="20"/>
                <w:szCs w:val="20"/>
              </w:rPr>
              <w:t>P value</w:t>
            </w:r>
          </w:p>
        </w:tc>
      </w:tr>
      <w:tr w14:paraId="48E3EA75">
        <w:trPr>
          <w:trHeight w:val="322" w:hRule="atLeast"/>
        </w:trPr>
        <w:tc>
          <w:tcPr>
            <w:tcW w:w="3852" w:type="dxa"/>
            <w:tcBorders>
              <w:top w:val="nil"/>
              <w:left w:val="nil"/>
              <w:bottom w:val="nil"/>
              <w:right w:val="nil"/>
            </w:tcBorders>
            <w:tcMar>
              <w:top w:w="0" w:type="dxa"/>
              <w:left w:w="108" w:type="dxa"/>
              <w:bottom w:w="0" w:type="dxa"/>
              <w:right w:w="108" w:type="dxa"/>
            </w:tcMar>
            <w:vAlign w:val="center"/>
          </w:tcPr>
          <w:p w14:paraId="6ED1633B">
            <w:pPr>
              <w:pStyle w:val="35"/>
              <w:spacing w:before="0"/>
              <w:jc w:val="both"/>
              <w:rPr>
                <w:rFonts w:ascii="Arial" w:hAnsi="Arial" w:cs="Arial"/>
                <w:b/>
                <w:bCs/>
                <w:sz w:val="20"/>
                <w:szCs w:val="20"/>
              </w:rPr>
            </w:pPr>
            <w:r>
              <w:rPr>
                <w:rFonts w:hint="eastAsia" w:ascii="Arial" w:hAnsi="Arial" w:cs="Arial"/>
                <w:b/>
                <w:bCs/>
                <w:sz w:val="20"/>
                <w:szCs w:val="20"/>
              </w:rPr>
              <w:t>Concordant Positive vs SOFA-2 Only</w:t>
            </w:r>
          </w:p>
        </w:tc>
        <w:tc>
          <w:tcPr>
            <w:tcW w:w="2959" w:type="dxa"/>
            <w:tcBorders>
              <w:top w:val="nil"/>
              <w:left w:val="nil"/>
              <w:bottom w:val="nil"/>
              <w:right w:val="nil"/>
            </w:tcBorders>
            <w:tcMar>
              <w:top w:w="0" w:type="dxa"/>
              <w:left w:w="108" w:type="dxa"/>
              <w:bottom w:w="0" w:type="dxa"/>
              <w:right w:w="108" w:type="dxa"/>
            </w:tcMar>
            <w:vAlign w:val="center"/>
          </w:tcPr>
          <w:p w14:paraId="05B3EEBC">
            <w:pPr>
              <w:pStyle w:val="35"/>
              <w:spacing w:before="0"/>
              <w:jc w:val="both"/>
              <w:rPr>
                <w:rFonts w:ascii="Arial" w:hAnsi="Arial" w:cs="Arial"/>
                <w:sz w:val="20"/>
                <w:szCs w:val="20"/>
              </w:rPr>
            </w:pPr>
            <w:r>
              <w:rPr>
                <w:rFonts w:hint="eastAsia" w:ascii="Arial" w:hAnsi="Arial" w:cs="Arial"/>
                <w:sz w:val="20"/>
                <w:szCs w:val="20"/>
              </w:rPr>
              <w:t>1.509 (1.416–1.609)</w:t>
            </w:r>
          </w:p>
        </w:tc>
        <w:tc>
          <w:tcPr>
            <w:tcW w:w="1934" w:type="dxa"/>
            <w:tcBorders>
              <w:top w:val="nil"/>
              <w:left w:val="nil"/>
              <w:bottom w:val="nil"/>
              <w:right w:val="nil"/>
            </w:tcBorders>
            <w:tcMar>
              <w:top w:w="0" w:type="dxa"/>
              <w:left w:w="108" w:type="dxa"/>
              <w:bottom w:w="0" w:type="dxa"/>
              <w:right w:w="108" w:type="dxa"/>
            </w:tcMar>
            <w:vAlign w:val="center"/>
          </w:tcPr>
          <w:p w14:paraId="2A692F41">
            <w:pPr>
              <w:pStyle w:val="35"/>
              <w:spacing w:before="0"/>
              <w:jc w:val="both"/>
              <w:rPr>
                <w:rFonts w:ascii="Arial" w:hAnsi="Arial" w:cs="Arial"/>
                <w:sz w:val="20"/>
                <w:szCs w:val="20"/>
              </w:rPr>
            </w:pPr>
            <w:r>
              <w:rPr>
                <w:rFonts w:hint="eastAsia" w:ascii="Arial" w:hAnsi="Arial" w:cs="Arial"/>
                <w:sz w:val="20"/>
                <w:szCs w:val="20"/>
              </w:rPr>
              <w:t>&lt; .001</w:t>
            </w:r>
          </w:p>
        </w:tc>
      </w:tr>
      <w:tr w14:paraId="02F751C1">
        <w:trPr>
          <w:trHeight w:val="322" w:hRule="atLeast"/>
        </w:trPr>
        <w:tc>
          <w:tcPr>
            <w:tcW w:w="3852" w:type="dxa"/>
            <w:tcBorders>
              <w:top w:val="nil"/>
              <w:left w:val="nil"/>
              <w:bottom w:val="nil"/>
              <w:right w:val="nil"/>
            </w:tcBorders>
            <w:tcMar>
              <w:top w:w="0" w:type="dxa"/>
              <w:left w:w="108" w:type="dxa"/>
              <w:bottom w:w="0" w:type="dxa"/>
              <w:right w:w="108" w:type="dxa"/>
            </w:tcMar>
            <w:vAlign w:val="center"/>
          </w:tcPr>
          <w:p w14:paraId="1E701E25">
            <w:pPr>
              <w:pStyle w:val="35"/>
              <w:spacing w:before="0"/>
              <w:jc w:val="both"/>
              <w:rPr>
                <w:rFonts w:ascii="Arial" w:hAnsi="Arial" w:cs="Arial"/>
                <w:b/>
                <w:bCs/>
                <w:sz w:val="20"/>
                <w:szCs w:val="20"/>
              </w:rPr>
            </w:pPr>
            <w:r>
              <w:rPr>
                <w:rFonts w:hint="eastAsia" w:ascii="Arial" w:hAnsi="Arial" w:cs="Arial"/>
                <w:b/>
                <w:bCs/>
                <w:sz w:val="20"/>
                <w:szCs w:val="20"/>
              </w:rPr>
              <w:t>SOFA-1 Only vs SOFA-2 Only</w:t>
            </w:r>
          </w:p>
        </w:tc>
        <w:tc>
          <w:tcPr>
            <w:tcW w:w="2959" w:type="dxa"/>
            <w:tcBorders>
              <w:top w:val="nil"/>
              <w:left w:val="nil"/>
              <w:bottom w:val="nil"/>
              <w:right w:val="nil"/>
            </w:tcBorders>
            <w:tcMar>
              <w:top w:w="0" w:type="dxa"/>
              <w:left w:w="108" w:type="dxa"/>
              <w:bottom w:w="0" w:type="dxa"/>
              <w:right w:w="108" w:type="dxa"/>
            </w:tcMar>
            <w:vAlign w:val="center"/>
          </w:tcPr>
          <w:p w14:paraId="2E5656DF">
            <w:pPr>
              <w:pStyle w:val="35"/>
              <w:spacing w:before="0"/>
              <w:jc w:val="both"/>
              <w:rPr>
                <w:rFonts w:ascii="Arial" w:hAnsi="Arial" w:cs="Arial"/>
                <w:sz w:val="20"/>
                <w:szCs w:val="20"/>
              </w:rPr>
            </w:pPr>
            <w:r>
              <w:rPr>
                <w:rFonts w:ascii="Arial" w:hAnsi="Arial" w:cs="Arial"/>
                <w:sz w:val="20"/>
                <w:szCs w:val="20"/>
              </w:rPr>
              <w:t>0.962 (0.855-1.083)</w:t>
            </w:r>
          </w:p>
        </w:tc>
        <w:tc>
          <w:tcPr>
            <w:tcW w:w="1934" w:type="dxa"/>
            <w:tcBorders>
              <w:top w:val="nil"/>
              <w:left w:val="nil"/>
              <w:bottom w:val="nil"/>
              <w:right w:val="nil"/>
            </w:tcBorders>
            <w:tcMar>
              <w:top w:w="0" w:type="dxa"/>
              <w:left w:w="108" w:type="dxa"/>
              <w:bottom w:w="0" w:type="dxa"/>
              <w:right w:w="108" w:type="dxa"/>
            </w:tcMar>
            <w:vAlign w:val="center"/>
          </w:tcPr>
          <w:p w14:paraId="3CF3719B">
            <w:pPr>
              <w:pStyle w:val="35"/>
              <w:pBdr>
                <w:bottom w:val="none" w:color="auto" w:sz="0" w:space="0"/>
              </w:pBdr>
              <w:spacing w:before="0"/>
              <w:jc w:val="both"/>
              <w:rPr>
                <w:rFonts w:ascii="Arial" w:hAnsi="Arial" w:cs="Arial"/>
                <w:sz w:val="20"/>
                <w:szCs w:val="20"/>
              </w:rPr>
            </w:pPr>
            <w:r>
              <w:rPr>
                <w:rFonts w:ascii="Arial" w:hAnsi="Arial" w:cs="Arial"/>
                <w:sz w:val="20"/>
                <w:szCs w:val="20"/>
              </w:rPr>
              <w:t>.521</w:t>
            </w:r>
          </w:p>
        </w:tc>
      </w:tr>
      <w:tr w14:paraId="79964304">
        <w:trPr>
          <w:trHeight w:val="322" w:hRule="atLeast"/>
        </w:trPr>
        <w:tc>
          <w:tcPr>
            <w:tcW w:w="3852" w:type="dxa"/>
            <w:tcBorders>
              <w:top w:val="nil"/>
              <w:left w:val="nil"/>
              <w:bottom w:val="nil"/>
              <w:right w:val="nil"/>
            </w:tcBorders>
            <w:tcMar>
              <w:top w:w="0" w:type="dxa"/>
              <w:left w:w="108" w:type="dxa"/>
              <w:bottom w:w="0" w:type="dxa"/>
              <w:right w:w="108" w:type="dxa"/>
            </w:tcMar>
            <w:vAlign w:val="center"/>
          </w:tcPr>
          <w:p w14:paraId="2ECAE549">
            <w:pPr>
              <w:pStyle w:val="35"/>
              <w:spacing w:before="0"/>
              <w:jc w:val="both"/>
              <w:rPr>
                <w:rFonts w:ascii="Arial" w:hAnsi="Arial" w:cs="Arial"/>
                <w:b/>
                <w:bCs/>
                <w:sz w:val="20"/>
                <w:szCs w:val="20"/>
              </w:rPr>
            </w:pPr>
            <w:r>
              <w:rPr>
                <w:rFonts w:hint="eastAsia" w:ascii="Arial" w:hAnsi="Arial" w:cs="Arial"/>
                <w:b/>
                <w:bCs/>
                <w:sz w:val="20"/>
                <w:szCs w:val="20"/>
              </w:rPr>
              <w:t>Concordant Negative vs SOFA-2 Only</w:t>
            </w:r>
          </w:p>
        </w:tc>
        <w:tc>
          <w:tcPr>
            <w:tcW w:w="2959" w:type="dxa"/>
            <w:tcBorders>
              <w:top w:val="nil"/>
              <w:left w:val="nil"/>
              <w:bottom w:val="nil"/>
              <w:right w:val="nil"/>
            </w:tcBorders>
            <w:tcMar>
              <w:top w:w="0" w:type="dxa"/>
              <w:left w:w="108" w:type="dxa"/>
              <w:bottom w:w="0" w:type="dxa"/>
              <w:right w:w="108" w:type="dxa"/>
            </w:tcMar>
            <w:vAlign w:val="center"/>
          </w:tcPr>
          <w:p w14:paraId="57BD89A8">
            <w:pPr>
              <w:pStyle w:val="35"/>
              <w:spacing w:before="0"/>
              <w:jc w:val="both"/>
              <w:rPr>
                <w:rFonts w:ascii="Arial" w:hAnsi="Arial" w:cs="Arial"/>
                <w:sz w:val="20"/>
                <w:szCs w:val="20"/>
              </w:rPr>
            </w:pPr>
            <w:r>
              <w:rPr>
                <w:rFonts w:ascii="Arial" w:hAnsi="Arial" w:cs="Arial"/>
                <w:sz w:val="20"/>
                <w:szCs w:val="20"/>
              </w:rPr>
              <w:t>0.749 (0.699-0.803)</w:t>
            </w:r>
          </w:p>
        </w:tc>
        <w:tc>
          <w:tcPr>
            <w:tcW w:w="1934" w:type="dxa"/>
            <w:tcBorders>
              <w:top w:val="nil"/>
              <w:left w:val="nil"/>
              <w:bottom w:val="nil"/>
              <w:right w:val="nil"/>
            </w:tcBorders>
            <w:tcMar>
              <w:top w:w="0" w:type="dxa"/>
              <w:left w:w="108" w:type="dxa"/>
              <w:bottom w:w="0" w:type="dxa"/>
              <w:right w:w="108" w:type="dxa"/>
            </w:tcMar>
            <w:vAlign w:val="center"/>
          </w:tcPr>
          <w:p w14:paraId="118E6BDA">
            <w:pPr>
              <w:pStyle w:val="35"/>
              <w:pBdr>
                <w:bottom w:val="none" w:color="auto" w:sz="0" w:space="0"/>
              </w:pBdr>
              <w:spacing w:before="0"/>
              <w:jc w:val="both"/>
              <w:rPr>
                <w:rFonts w:ascii="Arial" w:hAnsi="Arial" w:cs="Arial"/>
                <w:sz w:val="20"/>
                <w:szCs w:val="20"/>
              </w:rPr>
            </w:pPr>
            <w:r>
              <w:rPr>
                <w:rFonts w:ascii="Arial" w:hAnsi="Arial" w:cs="Arial"/>
                <w:sz w:val="20"/>
                <w:szCs w:val="20"/>
              </w:rPr>
              <w:t>&lt; .001</w:t>
            </w:r>
          </w:p>
        </w:tc>
      </w:tr>
      <w:tr w14:paraId="6E188199">
        <w:trPr>
          <w:trHeight w:val="322" w:hRule="atLeast"/>
        </w:trPr>
        <w:tc>
          <w:tcPr>
            <w:tcW w:w="3852" w:type="dxa"/>
            <w:tcBorders>
              <w:top w:val="nil"/>
              <w:left w:val="nil"/>
              <w:bottom w:val="nil"/>
              <w:right w:val="nil"/>
            </w:tcBorders>
            <w:tcMar>
              <w:top w:w="0" w:type="dxa"/>
              <w:left w:w="108" w:type="dxa"/>
              <w:bottom w:w="0" w:type="dxa"/>
              <w:right w:w="108" w:type="dxa"/>
            </w:tcMar>
            <w:vAlign w:val="center"/>
          </w:tcPr>
          <w:p w14:paraId="59601580">
            <w:pPr>
              <w:pStyle w:val="35"/>
              <w:spacing w:before="0"/>
              <w:jc w:val="both"/>
              <w:rPr>
                <w:rFonts w:ascii="Arial" w:hAnsi="Arial" w:cs="Arial"/>
                <w:b/>
                <w:bCs/>
                <w:sz w:val="20"/>
                <w:szCs w:val="20"/>
              </w:rPr>
            </w:pPr>
            <w:r>
              <w:rPr>
                <w:rFonts w:hint="eastAsia" w:ascii="Arial" w:hAnsi="Arial" w:cs="Arial"/>
                <w:b/>
                <w:bCs/>
                <w:sz w:val="20"/>
                <w:szCs w:val="20"/>
              </w:rPr>
              <w:t>Concordant Positive vs SOFA-1 Only</w:t>
            </w:r>
          </w:p>
        </w:tc>
        <w:tc>
          <w:tcPr>
            <w:tcW w:w="2959" w:type="dxa"/>
            <w:tcBorders>
              <w:top w:val="nil"/>
              <w:left w:val="nil"/>
              <w:bottom w:val="nil"/>
              <w:right w:val="nil"/>
            </w:tcBorders>
            <w:tcMar>
              <w:top w:w="0" w:type="dxa"/>
              <w:left w:w="108" w:type="dxa"/>
              <w:bottom w:w="0" w:type="dxa"/>
              <w:right w:w="108" w:type="dxa"/>
            </w:tcMar>
            <w:vAlign w:val="center"/>
          </w:tcPr>
          <w:p w14:paraId="63BD4341">
            <w:pPr>
              <w:pStyle w:val="35"/>
              <w:spacing w:before="0"/>
              <w:jc w:val="both"/>
              <w:rPr>
                <w:rFonts w:ascii="Arial" w:hAnsi="Arial" w:cs="Arial"/>
                <w:sz w:val="20"/>
                <w:szCs w:val="20"/>
              </w:rPr>
            </w:pPr>
            <w:r>
              <w:rPr>
                <w:rFonts w:ascii="Arial" w:hAnsi="Arial" w:cs="Arial"/>
                <w:sz w:val="20"/>
                <w:szCs w:val="20"/>
              </w:rPr>
              <w:t>1.569 (1.410-1.745)</w:t>
            </w:r>
          </w:p>
        </w:tc>
        <w:tc>
          <w:tcPr>
            <w:tcW w:w="1934" w:type="dxa"/>
            <w:tcBorders>
              <w:top w:val="nil"/>
              <w:left w:val="nil"/>
              <w:bottom w:val="nil"/>
              <w:right w:val="nil"/>
            </w:tcBorders>
            <w:tcMar>
              <w:top w:w="0" w:type="dxa"/>
              <w:left w:w="108" w:type="dxa"/>
              <w:bottom w:w="0" w:type="dxa"/>
              <w:right w:w="108" w:type="dxa"/>
            </w:tcMar>
            <w:vAlign w:val="center"/>
          </w:tcPr>
          <w:p w14:paraId="0F7B64D2">
            <w:pPr>
              <w:pStyle w:val="35"/>
              <w:pBdr>
                <w:bottom w:val="none" w:color="auto" w:sz="0" w:space="0"/>
              </w:pBdr>
              <w:spacing w:before="0"/>
              <w:jc w:val="both"/>
              <w:rPr>
                <w:rFonts w:ascii="Arial" w:hAnsi="Arial" w:cs="Arial"/>
                <w:sz w:val="20"/>
                <w:szCs w:val="20"/>
              </w:rPr>
            </w:pPr>
            <w:r>
              <w:rPr>
                <w:rFonts w:ascii="Arial" w:hAnsi="Arial" w:cs="Arial"/>
                <w:sz w:val="20"/>
                <w:szCs w:val="20"/>
              </w:rPr>
              <w:t>&lt; .001</w:t>
            </w:r>
          </w:p>
        </w:tc>
      </w:tr>
      <w:tr w14:paraId="46C0BBDA">
        <w:trPr>
          <w:trHeight w:val="322" w:hRule="atLeast"/>
        </w:trPr>
        <w:tc>
          <w:tcPr>
            <w:tcW w:w="3852" w:type="dxa"/>
            <w:tcBorders>
              <w:top w:val="nil"/>
              <w:left w:val="nil"/>
              <w:bottom w:val="nil"/>
              <w:right w:val="nil"/>
            </w:tcBorders>
            <w:tcMar>
              <w:top w:w="0" w:type="dxa"/>
              <w:left w:w="108" w:type="dxa"/>
              <w:bottom w:w="0" w:type="dxa"/>
              <w:right w:w="108" w:type="dxa"/>
            </w:tcMar>
            <w:vAlign w:val="center"/>
          </w:tcPr>
          <w:p w14:paraId="3E81BA5C">
            <w:pPr>
              <w:pStyle w:val="35"/>
              <w:spacing w:before="0"/>
              <w:jc w:val="both"/>
              <w:rPr>
                <w:rFonts w:ascii="Arial" w:hAnsi="Arial" w:cs="Arial"/>
                <w:b/>
                <w:bCs/>
                <w:sz w:val="20"/>
                <w:szCs w:val="20"/>
              </w:rPr>
            </w:pPr>
            <w:r>
              <w:rPr>
                <w:rFonts w:hint="eastAsia" w:ascii="Arial" w:hAnsi="Arial" w:cs="Arial"/>
                <w:b/>
                <w:bCs/>
                <w:sz w:val="20"/>
                <w:szCs w:val="20"/>
              </w:rPr>
              <w:t>Concordant Positive vs Concordant Negative</w:t>
            </w:r>
          </w:p>
        </w:tc>
        <w:tc>
          <w:tcPr>
            <w:tcW w:w="2959" w:type="dxa"/>
            <w:tcBorders>
              <w:top w:val="nil"/>
              <w:left w:val="nil"/>
              <w:bottom w:val="nil"/>
              <w:right w:val="nil"/>
            </w:tcBorders>
            <w:tcMar>
              <w:top w:w="0" w:type="dxa"/>
              <w:left w:w="108" w:type="dxa"/>
              <w:bottom w:w="0" w:type="dxa"/>
              <w:right w:w="108" w:type="dxa"/>
            </w:tcMar>
            <w:vAlign w:val="center"/>
          </w:tcPr>
          <w:p w14:paraId="2920685A">
            <w:pPr>
              <w:pStyle w:val="35"/>
              <w:spacing w:before="0"/>
              <w:jc w:val="both"/>
              <w:rPr>
                <w:rFonts w:ascii="Arial" w:hAnsi="Arial" w:cs="Arial"/>
                <w:sz w:val="20"/>
                <w:szCs w:val="20"/>
              </w:rPr>
            </w:pPr>
            <w:r>
              <w:rPr>
                <w:rFonts w:ascii="Arial" w:hAnsi="Arial" w:cs="Arial"/>
                <w:sz w:val="20"/>
                <w:szCs w:val="20"/>
              </w:rPr>
              <w:t>2.014 (1.919-2.115)</w:t>
            </w:r>
          </w:p>
        </w:tc>
        <w:tc>
          <w:tcPr>
            <w:tcW w:w="1934" w:type="dxa"/>
            <w:tcBorders>
              <w:top w:val="nil"/>
              <w:left w:val="nil"/>
              <w:bottom w:val="nil"/>
              <w:right w:val="nil"/>
            </w:tcBorders>
            <w:tcMar>
              <w:top w:w="0" w:type="dxa"/>
              <w:left w:w="108" w:type="dxa"/>
              <w:bottom w:w="0" w:type="dxa"/>
              <w:right w:w="108" w:type="dxa"/>
            </w:tcMar>
            <w:vAlign w:val="center"/>
          </w:tcPr>
          <w:p w14:paraId="09094884">
            <w:pPr>
              <w:pStyle w:val="35"/>
              <w:pBdr>
                <w:bottom w:val="none" w:color="auto" w:sz="0" w:space="0"/>
              </w:pBdr>
              <w:spacing w:before="0"/>
              <w:jc w:val="both"/>
              <w:rPr>
                <w:rFonts w:ascii="Arial" w:hAnsi="Arial" w:cs="Arial"/>
                <w:sz w:val="20"/>
                <w:szCs w:val="20"/>
              </w:rPr>
            </w:pPr>
            <w:r>
              <w:rPr>
                <w:rFonts w:ascii="Arial" w:hAnsi="Arial" w:cs="Arial"/>
                <w:sz w:val="20"/>
                <w:szCs w:val="20"/>
              </w:rPr>
              <w:t>&lt; .001</w:t>
            </w:r>
          </w:p>
        </w:tc>
      </w:tr>
      <w:tr w14:paraId="2DD02436">
        <w:trPr>
          <w:trHeight w:val="282" w:hRule="atLeast"/>
        </w:trPr>
        <w:tc>
          <w:tcPr>
            <w:tcW w:w="3852" w:type="dxa"/>
            <w:tcBorders>
              <w:top w:val="nil"/>
              <w:left w:val="nil"/>
              <w:bottom w:val="single" w:color="auto" w:sz="12" w:space="0"/>
              <w:right w:val="nil"/>
            </w:tcBorders>
            <w:tcMar>
              <w:top w:w="0" w:type="dxa"/>
              <w:left w:w="108" w:type="dxa"/>
              <w:bottom w:w="0" w:type="dxa"/>
              <w:right w:w="108" w:type="dxa"/>
            </w:tcMar>
            <w:vAlign w:val="center"/>
          </w:tcPr>
          <w:p w14:paraId="0B503788">
            <w:pPr>
              <w:pStyle w:val="35"/>
              <w:spacing w:before="0"/>
              <w:jc w:val="both"/>
              <w:rPr>
                <w:rFonts w:ascii="Arial" w:hAnsi="Arial" w:cs="Arial"/>
                <w:b/>
                <w:bCs/>
                <w:sz w:val="20"/>
                <w:szCs w:val="20"/>
              </w:rPr>
            </w:pPr>
            <w:r>
              <w:rPr>
                <w:rFonts w:hint="eastAsia" w:ascii="Arial" w:hAnsi="Arial" w:cs="Arial"/>
                <w:b/>
                <w:bCs/>
                <w:sz w:val="20"/>
                <w:szCs w:val="20"/>
              </w:rPr>
              <w:t>SOFA-1 Only vs Concordant Negative</w:t>
            </w:r>
          </w:p>
        </w:tc>
        <w:tc>
          <w:tcPr>
            <w:tcW w:w="2959" w:type="dxa"/>
            <w:tcBorders>
              <w:top w:val="nil"/>
              <w:left w:val="nil"/>
              <w:bottom w:val="single" w:color="auto" w:sz="12" w:space="0"/>
              <w:right w:val="nil"/>
            </w:tcBorders>
            <w:tcMar>
              <w:top w:w="0" w:type="dxa"/>
              <w:left w:w="108" w:type="dxa"/>
              <w:bottom w:w="0" w:type="dxa"/>
              <w:right w:w="108" w:type="dxa"/>
            </w:tcMar>
            <w:vAlign w:val="center"/>
          </w:tcPr>
          <w:p w14:paraId="0163D9B0">
            <w:pPr>
              <w:pStyle w:val="35"/>
              <w:spacing w:before="0"/>
              <w:jc w:val="both"/>
              <w:rPr>
                <w:rFonts w:ascii="Arial" w:hAnsi="Arial" w:cs="Arial"/>
                <w:sz w:val="20"/>
                <w:szCs w:val="20"/>
              </w:rPr>
            </w:pPr>
            <w:r>
              <w:rPr>
                <w:rFonts w:ascii="Arial" w:hAnsi="Arial" w:cs="Arial"/>
                <w:sz w:val="20"/>
                <w:szCs w:val="20"/>
              </w:rPr>
              <w:t>1.284 (1.148-1.436)</w:t>
            </w:r>
          </w:p>
        </w:tc>
        <w:tc>
          <w:tcPr>
            <w:tcW w:w="1934" w:type="dxa"/>
            <w:tcBorders>
              <w:top w:val="nil"/>
              <w:left w:val="nil"/>
              <w:bottom w:val="single" w:color="auto" w:sz="12" w:space="0"/>
              <w:right w:val="nil"/>
            </w:tcBorders>
            <w:tcMar>
              <w:top w:w="0" w:type="dxa"/>
              <w:left w:w="108" w:type="dxa"/>
              <w:bottom w:w="0" w:type="dxa"/>
              <w:right w:w="108" w:type="dxa"/>
            </w:tcMar>
            <w:vAlign w:val="center"/>
          </w:tcPr>
          <w:p w14:paraId="3FAF6E90">
            <w:pPr>
              <w:pStyle w:val="35"/>
              <w:pBdr>
                <w:bottom w:val="none" w:color="auto" w:sz="0" w:space="0"/>
              </w:pBdr>
              <w:spacing w:before="0"/>
              <w:jc w:val="both"/>
              <w:rPr>
                <w:rFonts w:ascii="Arial" w:hAnsi="Arial" w:cs="Arial"/>
                <w:sz w:val="20"/>
                <w:szCs w:val="20"/>
              </w:rPr>
            </w:pPr>
            <w:r>
              <w:rPr>
                <w:rFonts w:ascii="Arial" w:hAnsi="Arial" w:cs="Arial"/>
                <w:sz w:val="20"/>
                <w:szCs w:val="20"/>
              </w:rPr>
              <w:t>&lt; .001</w:t>
            </w:r>
          </w:p>
        </w:tc>
      </w:tr>
    </w:tbl>
    <w:p w14:paraId="01B54924">
      <w:pPr>
        <w:rPr>
          <w:rFonts w:ascii="Arial" w:hAnsi="Arial" w:cs="Arial"/>
          <w:sz w:val="16"/>
          <w:szCs w:val="16"/>
        </w:rPr>
      </w:pPr>
      <w:r>
        <w:rPr>
          <w:rFonts w:ascii="Arial" w:hAnsi="Arial" w:cs="Arial"/>
          <w:sz w:val="16"/>
          <w:szCs w:val="16"/>
        </w:rPr>
        <w:t>Abbreviations: HR, hazard ratio; CI, confidence interval. Note: A pooled Cox proportional hazards model for 28-day ICU mortality was fitted across all 3 databases and adjusted for age, sex, and database. Pairwise hazard ratios were derived from the same fitted model.</w:t>
      </w:r>
    </w:p>
    <w:p w14:paraId="22FC3E45">
      <w:pPr>
        <w:rPr>
          <w:rFonts w:ascii="Arial" w:hAnsi="Arial" w:cs="Arial"/>
          <w:sz w:val="16"/>
          <w:szCs w:val="16"/>
        </w:rPr>
      </w:pPr>
      <w:r>
        <w:rPr>
          <w:rFonts w:ascii="Arial" w:hAnsi="Arial" w:cs="Arial"/>
          <w:sz w:val="16"/>
          <w:szCs w:val="16"/>
        </w:rPr>
        <w:br w:type="page"/>
      </w:r>
    </w:p>
    <w:p w14:paraId="20D8E02E">
      <w:pPr>
        <w:pStyle w:val="28"/>
        <w:spacing w:before="60"/>
      </w:pPr>
      <w:bookmarkStart w:id="21" w:name="_Toc0y3xfn"/>
      <w:r>
        <w:t xml:space="preserve">eTable </w:t>
      </w:r>
      <w:r>
        <w:rPr>
          <w:rFonts w:hint="eastAsia" w:eastAsiaTheme="minorEastAsia"/>
          <w:lang w:eastAsia="zh-CN"/>
        </w:rPr>
        <w:t>10</w:t>
      </w:r>
      <w:r>
        <w:t>. Proportion of Missing Data for SOFA Component Variables</w:t>
      </w:r>
      <w:bookmarkEnd w:id="21"/>
    </w:p>
    <w:tbl>
      <w:tblPr>
        <w:tblStyle w:val="17"/>
        <w:tblW w:w="0" w:type="auto"/>
        <w:tblInd w:w="0" w:type="dxa"/>
        <w:tblLayout w:type="fixed"/>
        <w:tblCellMar>
          <w:top w:w="0" w:type="dxa"/>
          <w:left w:w="28" w:type="dxa"/>
          <w:bottom w:w="0" w:type="dxa"/>
          <w:right w:w="28" w:type="dxa"/>
        </w:tblCellMar>
      </w:tblPr>
      <w:tblGrid>
        <w:gridCol w:w="1536"/>
        <w:gridCol w:w="1814"/>
        <w:gridCol w:w="1871"/>
        <w:gridCol w:w="1531"/>
        <w:gridCol w:w="1531"/>
        <w:gridCol w:w="1502"/>
      </w:tblGrid>
      <w:tr w14:paraId="04EBA5EF">
        <w:tc>
          <w:tcPr>
            <w:tcW w:w="1536" w:type="dxa"/>
            <w:tcBorders>
              <w:top w:val="single" w:color="auto" w:sz="12" w:space="0"/>
              <w:bottom w:val="single" w:color="auto" w:sz="12" w:space="0"/>
            </w:tcBorders>
            <w:vAlign w:val="center"/>
          </w:tcPr>
          <w:p w14:paraId="798FFDBC">
            <w:pPr>
              <w:rPr>
                <w:rFonts w:ascii="Arial" w:hAnsi="Arial" w:cs="Arial"/>
                <w:b/>
                <w:bCs/>
                <w:sz w:val="20"/>
                <w:szCs w:val="20"/>
              </w:rPr>
            </w:pPr>
            <w:r>
              <w:rPr>
                <w:rFonts w:ascii="Arial" w:hAnsi="Arial" w:cs="Arial"/>
                <w:b/>
                <w:bCs/>
                <w:sz w:val="20"/>
                <w:szCs w:val="20"/>
              </w:rPr>
              <w:t>Organ System</w:t>
            </w:r>
          </w:p>
        </w:tc>
        <w:tc>
          <w:tcPr>
            <w:tcW w:w="1814" w:type="dxa"/>
            <w:tcBorders>
              <w:top w:val="single" w:color="auto" w:sz="12" w:space="0"/>
              <w:bottom w:val="single" w:color="auto" w:sz="12" w:space="0"/>
            </w:tcBorders>
            <w:vAlign w:val="center"/>
          </w:tcPr>
          <w:p w14:paraId="563DD4BC">
            <w:pPr>
              <w:rPr>
                <w:rFonts w:ascii="Arial" w:hAnsi="Arial" w:cs="Arial"/>
                <w:b/>
                <w:bCs/>
                <w:sz w:val="20"/>
                <w:szCs w:val="20"/>
              </w:rPr>
            </w:pPr>
            <w:r>
              <w:rPr>
                <w:rFonts w:ascii="Arial" w:hAnsi="Arial" w:cs="Arial"/>
                <w:b/>
                <w:bCs/>
                <w:sz w:val="20"/>
                <w:szCs w:val="20"/>
              </w:rPr>
              <w:t>Variable</w:t>
            </w:r>
          </w:p>
        </w:tc>
        <w:tc>
          <w:tcPr>
            <w:tcW w:w="1871" w:type="dxa"/>
            <w:tcBorders>
              <w:top w:val="single" w:color="auto" w:sz="12" w:space="0"/>
              <w:bottom w:val="single" w:color="auto" w:sz="12" w:space="0"/>
            </w:tcBorders>
            <w:vAlign w:val="center"/>
          </w:tcPr>
          <w:p w14:paraId="61FB0669">
            <w:pPr>
              <w:rPr>
                <w:rFonts w:ascii="Arial" w:hAnsi="Arial" w:cs="Arial"/>
                <w:b/>
                <w:bCs/>
                <w:sz w:val="20"/>
                <w:szCs w:val="20"/>
              </w:rPr>
            </w:pPr>
            <w:r>
              <w:rPr>
                <w:rFonts w:ascii="Arial" w:hAnsi="Arial" w:cs="Arial"/>
                <w:b/>
                <w:color w:val="000000"/>
                <w:sz w:val="20"/>
                <w:szCs w:val="20"/>
              </w:rPr>
              <w:t>Group</w:t>
            </w:r>
          </w:p>
        </w:tc>
        <w:tc>
          <w:tcPr>
            <w:tcW w:w="1531" w:type="dxa"/>
            <w:tcBorders>
              <w:top w:val="single" w:color="auto" w:sz="12" w:space="0"/>
              <w:bottom w:val="single" w:color="auto" w:sz="12" w:space="0"/>
            </w:tcBorders>
            <w:vAlign w:val="center"/>
          </w:tcPr>
          <w:p w14:paraId="54802CD6">
            <w:pPr>
              <w:rPr>
                <w:rFonts w:ascii="Arial" w:hAnsi="Arial" w:cs="Arial"/>
                <w:b/>
                <w:bCs/>
                <w:sz w:val="20"/>
                <w:szCs w:val="20"/>
              </w:rPr>
            </w:pPr>
            <w:r>
              <w:rPr>
                <w:rFonts w:ascii="Arial" w:hAnsi="Arial" w:cs="Arial"/>
                <w:b/>
                <w:bCs/>
                <w:sz w:val="20"/>
                <w:szCs w:val="20"/>
              </w:rPr>
              <w:t>MIMIC-IV (N=24,521)</w:t>
            </w:r>
          </w:p>
        </w:tc>
        <w:tc>
          <w:tcPr>
            <w:tcW w:w="1531" w:type="dxa"/>
            <w:tcBorders>
              <w:top w:val="single" w:color="auto" w:sz="12" w:space="0"/>
              <w:bottom w:val="single" w:color="auto" w:sz="12" w:space="0"/>
            </w:tcBorders>
            <w:vAlign w:val="center"/>
          </w:tcPr>
          <w:p w14:paraId="1218638E">
            <w:pPr>
              <w:rPr>
                <w:rFonts w:ascii="Arial" w:hAnsi="Arial" w:cs="Arial"/>
                <w:b/>
                <w:bCs/>
                <w:sz w:val="20"/>
                <w:szCs w:val="20"/>
              </w:rPr>
            </w:pPr>
            <w:r>
              <w:rPr>
                <w:rFonts w:ascii="Arial" w:hAnsi="Arial" w:cs="Arial"/>
                <w:b/>
                <w:bCs/>
                <w:sz w:val="20"/>
                <w:szCs w:val="20"/>
              </w:rPr>
              <w:t>eICU-CRD (N=12,209)</w:t>
            </w:r>
          </w:p>
        </w:tc>
        <w:tc>
          <w:tcPr>
            <w:tcW w:w="1502" w:type="dxa"/>
            <w:tcBorders>
              <w:top w:val="single" w:color="auto" w:sz="12" w:space="0"/>
              <w:bottom w:val="single" w:color="auto" w:sz="12" w:space="0"/>
            </w:tcBorders>
            <w:vAlign w:val="center"/>
          </w:tcPr>
          <w:p w14:paraId="36362D19">
            <w:pPr>
              <w:rPr>
                <w:rFonts w:ascii="Arial" w:hAnsi="Arial" w:cs="Arial"/>
                <w:b/>
                <w:bCs/>
                <w:sz w:val="20"/>
                <w:szCs w:val="20"/>
              </w:rPr>
            </w:pPr>
            <w:r>
              <w:rPr>
                <w:rFonts w:ascii="Arial" w:hAnsi="Arial" w:cs="Arial"/>
                <w:b/>
                <w:bCs/>
                <w:sz w:val="20"/>
                <w:szCs w:val="20"/>
              </w:rPr>
              <w:t>AmsterdamUMCdb (N=4,720)</w:t>
            </w:r>
          </w:p>
        </w:tc>
      </w:tr>
      <w:tr w14:paraId="28552E7F">
        <w:trPr>
          <w:trHeight w:val="283" w:hRule="atLeast"/>
        </w:trPr>
        <w:tc>
          <w:tcPr>
            <w:tcW w:w="1536" w:type="dxa"/>
            <w:vMerge w:val="restart"/>
            <w:tcBorders>
              <w:top w:val="single" w:color="auto" w:sz="12" w:space="0"/>
            </w:tcBorders>
            <w:vAlign w:val="center"/>
          </w:tcPr>
          <w:p w14:paraId="29FE5E99">
            <w:pPr>
              <w:rPr>
                <w:rFonts w:ascii="Arial" w:hAnsi="Arial" w:cs="Arial"/>
                <w:b/>
                <w:bCs/>
                <w:sz w:val="20"/>
                <w:szCs w:val="20"/>
              </w:rPr>
            </w:pPr>
            <w:r>
              <w:rPr>
                <w:rFonts w:ascii="Arial" w:hAnsi="Arial" w:cs="Arial"/>
                <w:b/>
                <w:bCs/>
                <w:sz w:val="20"/>
                <w:szCs w:val="20"/>
              </w:rPr>
              <w:t>Respiratory </w:t>
            </w:r>
          </w:p>
        </w:tc>
        <w:tc>
          <w:tcPr>
            <w:tcW w:w="1814" w:type="dxa"/>
            <w:tcBorders>
              <w:top w:val="single" w:color="auto" w:sz="12" w:space="0"/>
            </w:tcBorders>
            <w:vAlign w:val="center"/>
          </w:tcPr>
          <w:p w14:paraId="6A62CCA3">
            <w:pPr>
              <w:rPr>
                <w:rFonts w:ascii="Arial" w:hAnsi="Arial" w:cs="Arial"/>
                <w:sz w:val="20"/>
                <w:szCs w:val="20"/>
              </w:rPr>
            </w:pPr>
            <w:r>
              <w:rPr>
                <w:rFonts w:ascii="Arial" w:hAnsi="Arial" w:cs="Arial"/>
                <w:sz w:val="20"/>
                <w:szCs w:val="20"/>
              </w:rPr>
              <w:t>PaO</w:t>
            </w:r>
            <w:r>
              <w:rPr>
                <w:sz w:val="20"/>
                <w:szCs w:val="20"/>
              </w:rPr>
              <w:t>₂</w:t>
            </w:r>
          </w:p>
        </w:tc>
        <w:tc>
          <w:tcPr>
            <w:tcW w:w="1871" w:type="dxa"/>
            <w:tcBorders>
              <w:top w:val="single" w:color="auto" w:sz="12" w:space="0"/>
            </w:tcBorders>
            <w:vAlign w:val="center"/>
          </w:tcPr>
          <w:p w14:paraId="5DFD57B8">
            <w:pPr>
              <w:rPr>
                <w:rFonts w:ascii="Arial" w:hAnsi="Arial" w:cs="Arial"/>
                <w:sz w:val="20"/>
                <w:szCs w:val="20"/>
              </w:rPr>
            </w:pPr>
            <w:r>
              <w:rPr>
                <w:rFonts w:ascii="Arial" w:hAnsi="Arial" w:cs="Arial"/>
                <w:sz w:val="20"/>
                <w:szCs w:val="20"/>
              </w:rPr>
              <w:t>SOFA-1 &amp; SOFA-2</w:t>
            </w:r>
          </w:p>
        </w:tc>
        <w:tc>
          <w:tcPr>
            <w:tcW w:w="1531" w:type="dxa"/>
            <w:tcBorders>
              <w:top w:val="single" w:color="auto" w:sz="12" w:space="0"/>
            </w:tcBorders>
            <w:vAlign w:val="center"/>
          </w:tcPr>
          <w:p w14:paraId="29E5E555">
            <w:pPr>
              <w:rPr>
                <w:rFonts w:ascii="Arial" w:hAnsi="Arial" w:cs="Arial"/>
                <w:sz w:val="20"/>
                <w:szCs w:val="20"/>
              </w:rPr>
            </w:pPr>
            <w:r>
              <w:rPr>
                <w:rFonts w:ascii="Arial" w:hAnsi="Arial" w:cs="Arial"/>
                <w:sz w:val="20"/>
                <w:szCs w:val="20"/>
              </w:rPr>
              <w:t>7,328 (29.9%)</w:t>
            </w:r>
          </w:p>
        </w:tc>
        <w:tc>
          <w:tcPr>
            <w:tcW w:w="1531" w:type="dxa"/>
            <w:tcBorders>
              <w:top w:val="single" w:color="auto" w:sz="12" w:space="0"/>
            </w:tcBorders>
            <w:vAlign w:val="center"/>
          </w:tcPr>
          <w:p w14:paraId="29BAB1B0">
            <w:pPr>
              <w:rPr>
                <w:rFonts w:ascii="Arial" w:hAnsi="Arial" w:cs="Arial"/>
                <w:sz w:val="20"/>
                <w:szCs w:val="20"/>
              </w:rPr>
            </w:pPr>
            <w:r>
              <w:rPr>
                <w:rFonts w:ascii="Arial" w:hAnsi="Arial" w:cs="Arial"/>
                <w:sz w:val="20"/>
                <w:szCs w:val="20"/>
              </w:rPr>
              <w:t>5,290 (43.3%)</w:t>
            </w:r>
          </w:p>
        </w:tc>
        <w:tc>
          <w:tcPr>
            <w:tcW w:w="1502" w:type="dxa"/>
            <w:tcBorders>
              <w:top w:val="single" w:color="auto" w:sz="12" w:space="0"/>
            </w:tcBorders>
            <w:vAlign w:val="center"/>
          </w:tcPr>
          <w:p w14:paraId="175B8B5F">
            <w:pPr>
              <w:rPr>
                <w:rFonts w:ascii="Arial" w:hAnsi="Arial" w:cs="Arial"/>
                <w:sz w:val="20"/>
                <w:szCs w:val="20"/>
              </w:rPr>
            </w:pPr>
            <w:r>
              <w:rPr>
                <w:rFonts w:ascii="Arial" w:hAnsi="Arial" w:cs="Arial"/>
                <w:sz w:val="20"/>
                <w:szCs w:val="20"/>
              </w:rPr>
              <w:t>20 (0.4%)</w:t>
            </w:r>
          </w:p>
        </w:tc>
      </w:tr>
      <w:tr w14:paraId="64CA70E6">
        <w:trPr>
          <w:trHeight w:val="283" w:hRule="atLeast"/>
        </w:trPr>
        <w:tc>
          <w:tcPr>
            <w:tcW w:w="1536" w:type="dxa"/>
            <w:vMerge w:val="continue"/>
            <w:vAlign w:val="center"/>
          </w:tcPr>
          <w:p w14:paraId="189A3B65">
            <w:pPr>
              <w:rPr>
                <w:rFonts w:ascii="Arial" w:hAnsi="Arial" w:cs="Arial"/>
                <w:b/>
                <w:bCs/>
                <w:sz w:val="20"/>
                <w:szCs w:val="20"/>
              </w:rPr>
            </w:pPr>
          </w:p>
        </w:tc>
        <w:tc>
          <w:tcPr>
            <w:tcW w:w="1814" w:type="dxa"/>
            <w:vAlign w:val="center"/>
          </w:tcPr>
          <w:p w14:paraId="57D35457">
            <w:pPr>
              <w:rPr>
                <w:rFonts w:ascii="Arial" w:hAnsi="Arial" w:cs="Arial"/>
                <w:sz w:val="20"/>
                <w:szCs w:val="20"/>
              </w:rPr>
            </w:pPr>
            <w:r>
              <w:rPr>
                <w:rFonts w:ascii="Arial" w:hAnsi="Arial" w:cs="Arial"/>
                <w:sz w:val="20"/>
                <w:szCs w:val="20"/>
              </w:rPr>
              <w:t>FiO</w:t>
            </w:r>
            <w:r>
              <w:rPr>
                <w:sz w:val="20"/>
                <w:szCs w:val="20"/>
              </w:rPr>
              <w:t>₂</w:t>
            </w:r>
          </w:p>
        </w:tc>
        <w:tc>
          <w:tcPr>
            <w:tcW w:w="1871" w:type="dxa"/>
            <w:vAlign w:val="center"/>
          </w:tcPr>
          <w:p w14:paraId="46ED1D59">
            <w:pPr>
              <w:rPr>
                <w:rFonts w:ascii="Arial" w:hAnsi="Arial" w:cs="Arial"/>
                <w:sz w:val="20"/>
                <w:szCs w:val="20"/>
              </w:rPr>
            </w:pPr>
            <w:r>
              <w:rPr>
                <w:rFonts w:ascii="Arial" w:hAnsi="Arial" w:cs="Arial"/>
                <w:sz w:val="20"/>
                <w:szCs w:val="20"/>
              </w:rPr>
              <w:t>SOFA-1 &amp; SOFA-2</w:t>
            </w:r>
          </w:p>
        </w:tc>
        <w:tc>
          <w:tcPr>
            <w:tcW w:w="1531" w:type="dxa"/>
            <w:vAlign w:val="center"/>
          </w:tcPr>
          <w:p w14:paraId="7AC7DD3B">
            <w:pPr>
              <w:rPr>
                <w:rFonts w:ascii="Arial" w:hAnsi="Arial" w:cs="Arial"/>
                <w:sz w:val="20"/>
                <w:szCs w:val="20"/>
              </w:rPr>
            </w:pPr>
            <w:r>
              <w:rPr>
                <w:rFonts w:ascii="Arial" w:hAnsi="Arial" w:cs="Arial"/>
                <w:sz w:val="20"/>
                <w:szCs w:val="20"/>
              </w:rPr>
              <w:t>7,453 (30.4%)</w:t>
            </w:r>
          </w:p>
        </w:tc>
        <w:tc>
          <w:tcPr>
            <w:tcW w:w="1531" w:type="dxa"/>
            <w:vAlign w:val="center"/>
          </w:tcPr>
          <w:p w14:paraId="76DC6371">
            <w:pPr>
              <w:rPr>
                <w:rFonts w:ascii="Arial" w:hAnsi="Arial" w:cs="Arial"/>
                <w:sz w:val="20"/>
                <w:szCs w:val="20"/>
              </w:rPr>
            </w:pPr>
            <w:r>
              <w:rPr>
                <w:rFonts w:ascii="Arial" w:hAnsi="Arial" w:cs="Arial"/>
                <w:sz w:val="20"/>
                <w:szCs w:val="20"/>
              </w:rPr>
              <w:t>3,056 (25.0%)</w:t>
            </w:r>
          </w:p>
        </w:tc>
        <w:tc>
          <w:tcPr>
            <w:tcW w:w="1502" w:type="dxa"/>
            <w:vAlign w:val="center"/>
          </w:tcPr>
          <w:p w14:paraId="405D0E96">
            <w:pPr>
              <w:rPr>
                <w:rFonts w:ascii="Arial" w:hAnsi="Arial" w:cs="Arial"/>
                <w:sz w:val="20"/>
                <w:szCs w:val="20"/>
              </w:rPr>
            </w:pPr>
            <w:r>
              <w:rPr>
                <w:rFonts w:ascii="Arial" w:hAnsi="Arial" w:cs="Arial"/>
                <w:sz w:val="20"/>
                <w:szCs w:val="20"/>
              </w:rPr>
              <w:t>530 (11.2%)</w:t>
            </w:r>
          </w:p>
        </w:tc>
      </w:tr>
      <w:tr w14:paraId="7A469CD4">
        <w:trPr>
          <w:trHeight w:val="283" w:hRule="atLeast"/>
        </w:trPr>
        <w:tc>
          <w:tcPr>
            <w:tcW w:w="1536" w:type="dxa"/>
            <w:vMerge w:val="continue"/>
            <w:tcBorders>
              <w:bottom w:val="single" w:color="auto" w:sz="4" w:space="0"/>
            </w:tcBorders>
            <w:vAlign w:val="center"/>
          </w:tcPr>
          <w:p w14:paraId="3EA1C9AA">
            <w:pPr>
              <w:rPr>
                <w:rFonts w:ascii="Arial" w:hAnsi="Arial" w:cs="Arial"/>
                <w:b/>
                <w:bCs/>
                <w:sz w:val="20"/>
                <w:szCs w:val="20"/>
              </w:rPr>
            </w:pPr>
          </w:p>
        </w:tc>
        <w:tc>
          <w:tcPr>
            <w:tcW w:w="1814" w:type="dxa"/>
            <w:tcBorders>
              <w:bottom w:val="single" w:color="auto" w:sz="4" w:space="0"/>
            </w:tcBorders>
            <w:vAlign w:val="center"/>
          </w:tcPr>
          <w:p w14:paraId="3E20D564">
            <w:pPr>
              <w:rPr>
                <w:rFonts w:ascii="Arial" w:hAnsi="Arial" w:cs="Arial"/>
                <w:sz w:val="20"/>
                <w:szCs w:val="20"/>
              </w:rPr>
            </w:pPr>
            <w:r>
              <w:rPr>
                <w:rFonts w:ascii="Arial" w:hAnsi="Arial" w:cs="Arial"/>
                <w:sz w:val="20"/>
                <w:szCs w:val="20"/>
              </w:rPr>
              <w:t>SpO</w:t>
            </w:r>
            <w:r>
              <w:rPr>
                <w:sz w:val="20"/>
                <w:szCs w:val="20"/>
              </w:rPr>
              <w:t>₂</w:t>
            </w:r>
          </w:p>
        </w:tc>
        <w:tc>
          <w:tcPr>
            <w:tcW w:w="1871" w:type="dxa"/>
            <w:tcBorders>
              <w:bottom w:val="single" w:color="auto" w:sz="4" w:space="0"/>
            </w:tcBorders>
            <w:vAlign w:val="center"/>
          </w:tcPr>
          <w:p w14:paraId="5E427DB3">
            <w:pPr>
              <w:rPr>
                <w:rFonts w:ascii="Arial" w:hAnsi="Arial" w:cs="Arial"/>
                <w:sz w:val="20"/>
                <w:szCs w:val="20"/>
              </w:rPr>
            </w:pPr>
            <w:r>
              <w:rPr>
                <w:rFonts w:ascii="Arial" w:hAnsi="Arial" w:cs="Arial"/>
                <w:sz w:val="20"/>
                <w:szCs w:val="20"/>
              </w:rPr>
              <w:t xml:space="preserve">SOFA-2 </w:t>
            </w:r>
            <w:r>
              <w:rPr>
                <w:rFonts w:hint="eastAsia" w:ascii="Arial" w:hAnsi="Arial" w:cs="Arial" w:eastAsiaTheme="minorEastAsia"/>
                <w:sz w:val="20"/>
                <w:szCs w:val="20"/>
                <w:lang w:eastAsia="zh-CN"/>
              </w:rPr>
              <w:t>O</w:t>
            </w:r>
            <w:r>
              <w:rPr>
                <w:rFonts w:ascii="Arial" w:hAnsi="Arial" w:cs="Arial"/>
                <w:sz w:val="20"/>
                <w:szCs w:val="20"/>
              </w:rPr>
              <w:t>nly</w:t>
            </w:r>
          </w:p>
        </w:tc>
        <w:tc>
          <w:tcPr>
            <w:tcW w:w="1531" w:type="dxa"/>
            <w:tcBorders>
              <w:bottom w:val="single" w:color="auto" w:sz="4" w:space="0"/>
            </w:tcBorders>
            <w:vAlign w:val="center"/>
          </w:tcPr>
          <w:p w14:paraId="7DE35A1E">
            <w:pPr>
              <w:rPr>
                <w:rFonts w:ascii="Arial" w:hAnsi="Arial" w:cs="Arial"/>
                <w:sz w:val="20"/>
                <w:szCs w:val="20"/>
              </w:rPr>
            </w:pPr>
            <w:r>
              <w:rPr>
                <w:rFonts w:ascii="Arial" w:hAnsi="Arial" w:cs="Arial"/>
                <w:sz w:val="20"/>
                <w:szCs w:val="20"/>
              </w:rPr>
              <w:t>43 (0.2%)</w:t>
            </w:r>
          </w:p>
        </w:tc>
        <w:tc>
          <w:tcPr>
            <w:tcW w:w="1531" w:type="dxa"/>
            <w:tcBorders>
              <w:bottom w:val="single" w:color="auto" w:sz="4" w:space="0"/>
            </w:tcBorders>
            <w:vAlign w:val="center"/>
          </w:tcPr>
          <w:p w14:paraId="10F69201">
            <w:pPr>
              <w:rPr>
                <w:rFonts w:ascii="Arial" w:hAnsi="Arial" w:cs="Arial"/>
                <w:sz w:val="20"/>
                <w:szCs w:val="20"/>
              </w:rPr>
            </w:pPr>
            <w:r>
              <w:rPr>
                <w:rFonts w:ascii="Arial" w:hAnsi="Arial" w:cs="Arial"/>
                <w:sz w:val="20"/>
                <w:szCs w:val="20"/>
              </w:rPr>
              <w:t>137 (1.1%)</w:t>
            </w:r>
          </w:p>
        </w:tc>
        <w:tc>
          <w:tcPr>
            <w:tcW w:w="1502" w:type="dxa"/>
            <w:tcBorders>
              <w:bottom w:val="single" w:color="auto" w:sz="4" w:space="0"/>
            </w:tcBorders>
            <w:vAlign w:val="center"/>
          </w:tcPr>
          <w:p w14:paraId="63D78E3E">
            <w:pPr>
              <w:rPr>
                <w:rFonts w:ascii="Arial" w:hAnsi="Arial" w:cs="Arial"/>
                <w:sz w:val="20"/>
                <w:szCs w:val="20"/>
              </w:rPr>
            </w:pPr>
            <w:r>
              <w:rPr>
                <w:rFonts w:ascii="Arial" w:hAnsi="Arial" w:cs="Arial"/>
                <w:sz w:val="20"/>
                <w:szCs w:val="20"/>
              </w:rPr>
              <w:t>11 (0.2%)</w:t>
            </w:r>
          </w:p>
        </w:tc>
      </w:tr>
      <w:tr w14:paraId="0540CE2E">
        <w:trPr>
          <w:trHeight w:val="283" w:hRule="atLeast"/>
        </w:trPr>
        <w:tc>
          <w:tcPr>
            <w:tcW w:w="1536" w:type="dxa"/>
            <w:tcBorders>
              <w:top w:val="single" w:color="auto" w:sz="4" w:space="0"/>
              <w:bottom w:val="single" w:color="auto" w:sz="4" w:space="0"/>
            </w:tcBorders>
            <w:vAlign w:val="center"/>
          </w:tcPr>
          <w:p w14:paraId="05092EBD">
            <w:pPr>
              <w:rPr>
                <w:rFonts w:ascii="Arial" w:hAnsi="Arial" w:cs="Arial"/>
                <w:b/>
                <w:bCs/>
                <w:sz w:val="20"/>
                <w:szCs w:val="20"/>
              </w:rPr>
            </w:pPr>
            <w:r>
              <w:rPr>
                <w:rFonts w:ascii="Arial" w:hAnsi="Arial" w:cs="Arial"/>
                <w:b/>
                <w:bCs/>
                <w:sz w:val="20"/>
                <w:szCs w:val="20"/>
              </w:rPr>
              <w:t>Coagulation</w:t>
            </w:r>
          </w:p>
        </w:tc>
        <w:tc>
          <w:tcPr>
            <w:tcW w:w="1814" w:type="dxa"/>
            <w:tcBorders>
              <w:top w:val="single" w:color="auto" w:sz="4" w:space="0"/>
              <w:bottom w:val="single" w:color="auto" w:sz="4" w:space="0"/>
            </w:tcBorders>
            <w:vAlign w:val="center"/>
          </w:tcPr>
          <w:p w14:paraId="38B962B7">
            <w:pPr>
              <w:rPr>
                <w:rFonts w:ascii="Arial" w:hAnsi="Arial" w:cs="Arial"/>
                <w:sz w:val="20"/>
                <w:szCs w:val="20"/>
              </w:rPr>
            </w:pPr>
            <w:r>
              <w:rPr>
                <w:rFonts w:ascii="Arial" w:hAnsi="Arial" w:cs="Arial"/>
                <w:sz w:val="20"/>
                <w:szCs w:val="20"/>
              </w:rPr>
              <w:t>Platelet count</w:t>
            </w:r>
          </w:p>
        </w:tc>
        <w:tc>
          <w:tcPr>
            <w:tcW w:w="1871" w:type="dxa"/>
            <w:tcBorders>
              <w:top w:val="single" w:color="auto" w:sz="4" w:space="0"/>
              <w:bottom w:val="single" w:color="auto" w:sz="4" w:space="0"/>
            </w:tcBorders>
            <w:vAlign w:val="center"/>
          </w:tcPr>
          <w:p w14:paraId="1A6DAB3D">
            <w:pPr>
              <w:rPr>
                <w:rFonts w:ascii="Arial" w:hAnsi="Arial" w:cs="Arial"/>
                <w:sz w:val="20"/>
                <w:szCs w:val="20"/>
              </w:rPr>
            </w:pPr>
            <w:r>
              <w:rPr>
                <w:rFonts w:ascii="Arial" w:hAnsi="Arial" w:cs="Arial"/>
                <w:sz w:val="20"/>
                <w:szCs w:val="20"/>
              </w:rPr>
              <w:t>SOFA-1 &amp; SOFA-2</w:t>
            </w:r>
          </w:p>
        </w:tc>
        <w:tc>
          <w:tcPr>
            <w:tcW w:w="1531" w:type="dxa"/>
            <w:tcBorders>
              <w:top w:val="single" w:color="auto" w:sz="4" w:space="0"/>
              <w:bottom w:val="single" w:color="auto" w:sz="4" w:space="0"/>
            </w:tcBorders>
            <w:vAlign w:val="center"/>
          </w:tcPr>
          <w:p w14:paraId="66B5B07A">
            <w:pPr>
              <w:rPr>
                <w:rFonts w:ascii="Arial" w:hAnsi="Arial" w:cs="Arial"/>
                <w:sz w:val="20"/>
                <w:szCs w:val="20"/>
              </w:rPr>
            </w:pPr>
            <w:r>
              <w:rPr>
                <w:rFonts w:ascii="Arial" w:hAnsi="Arial" w:cs="Arial"/>
                <w:sz w:val="20"/>
                <w:szCs w:val="20"/>
              </w:rPr>
              <w:t>360 (1.5%)</w:t>
            </w:r>
          </w:p>
        </w:tc>
        <w:tc>
          <w:tcPr>
            <w:tcW w:w="1531" w:type="dxa"/>
            <w:tcBorders>
              <w:top w:val="single" w:color="auto" w:sz="4" w:space="0"/>
              <w:bottom w:val="single" w:color="auto" w:sz="4" w:space="0"/>
            </w:tcBorders>
            <w:vAlign w:val="center"/>
          </w:tcPr>
          <w:p w14:paraId="59341E90">
            <w:pPr>
              <w:rPr>
                <w:rFonts w:ascii="Arial" w:hAnsi="Arial" w:cs="Arial"/>
                <w:sz w:val="20"/>
                <w:szCs w:val="20"/>
              </w:rPr>
            </w:pPr>
            <w:r>
              <w:rPr>
                <w:rFonts w:ascii="Arial" w:hAnsi="Arial" w:cs="Arial"/>
                <w:sz w:val="20"/>
                <w:szCs w:val="20"/>
              </w:rPr>
              <w:t>6,772 (55.5%)</w:t>
            </w:r>
          </w:p>
        </w:tc>
        <w:tc>
          <w:tcPr>
            <w:tcW w:w="1502" w:type="dxa"/>
            <w:tcBorders>
              <w:top w:val="single" w:color="auto" w:sz="4" w:space="0"/>
              <w:bottom w:val="single" w:color="auto" w:sz="4" w:space="0"/>
            </w:tcBorders>
            <w:vAlign w:val="center"/>
          </w:tcPr>
          <w:p w14:paraId="5E05711A">
            <w:pPr>
              <w:rPr>
                <w:rFonts w:ascii="Arial" w:hAnsi="Arial" w:cs="Arial"/>
                <w:sz w:val="20"/>
                <w:szCs w:val="20"/>
              </w:rPr>
            </w:pPr>
            <w:r>
              <w:rPr>
                <w:rFonts w:ascii="Arial" w:hAnsi="Arial" w:cs="Arial"/>
                <w:sz w:val="20"/>
                <w:szCs w:val="20"/>
              </w:rPr>
              <w:t>104 (2.2%)</w:t>
            </w:r>
          </w:p>
        </w:tc>
      </w:tr>
      <w:tr w14:paraId="14088C48">
        <w:trPr>
          <w:trHeight w:val="283" w:hRule="atLeast"/>
        </w:trPr>
        <w:tc>
          <w:tcPr>
            <w:tcW w:w="1536" w:type="dxa"/>
            <w:tcBorders>
              <w:top w:val="single" w:color="auto" w:sz="4" w:space="0"/>
              <w:bottom w:val="single" w:color="auto" w:sz="4" w:space="0"/>
            </w:tcBorders>
            <w:vAlign w:val="center"/>
          </w:tcPr>
          <w:p w14:paraId="42EFEFD4">
            <w:pPr>
              <w:rPr>
                <w:rFonts w:ascii="Arial" w:hAnsi="Arial" w:cs="Arial"/>
                <w:b/>
                <w:bCs/>
                <w:sz w:val="20"/>
                <w:szCs w:val="20"/>
              </w:rPr>
            </w:pPr>
            <w:r>
              <w:rPr>
                <w:rFonts w:ascii="Arial" w:hAnsi="Arial" w:cs="Arial"/>
                <w:b/>
                <w:bCs/>
                <w:sz w:val="20"/>
                <w:szCs w:val="20"/>
              </w:rPr>
              <w:t>Liver</w:t>
            </w:r>
          </w:p>
        </w:tc>
        <w:tc>
          <w:tcPr>
            <w:tcW w:w="1814" w:type="dxa"/>
            <w:tcBorders>
              <w:top w:val="single" w:color="auto" w:sz="4" w:space="0"/>
              <w:bottom w:val="single" w:color="auto" w:sz="4" w:space="0"/>
            </w:tcBorders>
            <w:vAlign w:val="center"/>
          </w:tcPr>
          <w:p w14:paraId="335CD759">
            <w:pPr>
              <w:rPr>
                <w:rFonts w:ascii="Arial" w:hAnsi="Arial" w:cs="Arial"/>
                <w:sz w:val="20"/>
                <w:szCs w:val="20"/>
              </w:rPr>
            </w:pPr>
            <w:r>
              <w:rPr>
                <w:rFonts w:ascii="Arial" w:hAnsi="Arial" w:cs="Arial"/>
                <w:sz w:val="20"/>
                <w:szCs w:val="20"/>
              </w:rPr>
              <w:t>Bilirubin</w:t>
            </w:r>
          </w:p>
        </w:tc>
        <w:tc>
          <w:tcPr>
            <w:tcW w:w="1871" w:type="dxa"/>
            <w:tcBorders>
              <w:top w:val="single" w:color="auto" w:sz="4" w:space="0"/>
              <w:bottom w:val="single" w:color="auto" w:sz="4" w:space="0"/>
            </w:tcBorders>
            <w:vAlign w:val="center"/>
          </w:tcPr>
          <w:p w14:paraId="73A53DE4">
            <w:pPr>
              <w:rPr>
                <w:rFonts w:ascii="Arial" w:hAnsi="Arial" w:cs="Arial"/>
                <w:sz w:val="20"/>
                <w:szCs w:val="20"/>
              </w:rPr>
            </w:pPr>
            <w:r>
              <w:rPr>
                <w:rFonts w:ascii="Arial" w:hAnsi="Arial" w:cs="Arial"/>
                <w:sz w:val="20"/>
                <w:szCs w:val="20"/>
              </w:rPr>
              <w:t>SOFA-1 &amp; SOFA-2</w:t>
            </w:r>
          </w:p>
        </w:tc>
        <w:tc>
          <w:tcPr>
            <w:tcW w:w="1531" w:type="dxa"/>
            <w:tcBorders>
              <w:top w:val="single" w:color="auto" w:sz="4" w:space="0"/>
              <w:bottom w:val="single" w:color="auto" w:sz="4" w:space="0"/>
            </w:tcBorders>
            <w:vAlign w:val="center"/>
          </w:tcPr>
          <w:p w14:paraId="230A1531">
            <w:pPr>
              <w:rPr>
                <w:rFonts w:ascii="Arial" w:hAnsi="Arial" w:cs="Arial"/>
                <w:sz w:val="20"/>
                <w:szCs w:val="20"/>
              </w:rPr>
            </w:pPr>
            <w:r>
              <w:rPr>
                <w:rFonts w:ascii="Arial" w:hAnsi="Arial" w:cs="Arial"/>
                <w:sz w:val="20"/>
                <w:szCs w:val="20"/>
              </w:rPr>
              <w:t>11,175 (45.6%)</w:t>
            </w:r>
          </w:p>
        </w:tc>
        <w:tc>
          <w:tcPr>
            <w:tcW w:w="1531" w:type="dxa"/>
            <w:tcBorders>
              <w:top w:val="single" w:color="auto" w:sz="4" w:space="0"/>
              <w:bottom w:val="single" w:color="auto" w:sz="4" w:space="0"/>
            </w:tcBorders>
            <w:vAlign w:val="center"/>
          </w:tcPr>
          <w:p w14:paraId="632CF698">
            <w:pPr>
              <w:rPr>
                <w:rFonts w:ascii="Arial" w:hAnsi="Arial" w:cs="Arial"/>
                <w:sz w:val="20"/>
                <w:szCs w:val="20"/>
              </w:rPr>
            </w:pPr>
            <w:r>
              <w:rPr>
                <w:rFonts w:ascii="Arial" w:hAnsi="Arial" w:cs="Arial"/>
                <w:sz w:val="20"/>
                <w:szCs w:val="20"/>
              </w:rPr>
              <w:t>5,411 (44.3%)</w:t>
            </w:r>
          </w:p>
        </w:tc>
        <w:tc>
          <w:tcPr>
            <w:tcW w:w="1502" w:type="dxa"/>
            <w:tcBorders>
              <w:top w:val="single" w:color="auto" w:sz="4" w:space="0"/>
              <w:bottom w:val="single" w:color="auto" w:sz="4" w:space="0"/>
            </w:tcBorders>
            <w:vAlign w:val="center"/>
          </w:tcPr>
          <w:p w14:paraId="0FF283DF">
            <w:pPr>
              <w:rPr>
                <w:rFonts w:ascii="Arial" w:hAnsi="Arial" w:cs="Arial"/>
                <w:sz w:val="20"/>
                <w:szCs w:val="20"/>
              </w:rPr>
            </w:pPr>
            <w:r>
              <w:rPr>
                <w:rFonts w:ascii="Arial" w:hAnsi="Arial" w:cs="Arial"/>
                <w:sz w:val="20"/>
                <w:szCs w:val="20"/>
              </w:rPr>
              <w:t>1,658 (35.1%)</w:t>
            </w:r>
          </w:p>
        </w:tc>
      </w:tr>
      <w:tr w14:paraId="5146E37D">
        <w:trPr>
          <w:trHeight w:val="283" w:hRule="atLeast"/>
        </w:trPr>
        <w:tc>
          <w:tcPr>
            <w:tcW w:w="1536" w:type="dxa"/>
            <w:tcBorders>
              <w:top w:val="single" w:color="auto" w:sz="4" w:space="0"/>
            </w:tcBorders>
            <w:vAlign w:val="center"/>
          </w:tcPr>
          <w:p w14:paraId="3CB768A5">
            <w:pPr>
              <w:rPr>
                <w:rFonts w:ascii="Arial" w:hAnsi="Arial" w:cs="Arial"/>
                <w:b/>
                <w:bCs/>
                <w:sz w:val="20"/>
                <w:szCs w:val="20"/>
              </w:rPr>
            </w:pPr>
            <w:r>
              <w:rPr>
                <w:rFonts w:ascii="Arial" w:hAnsi="Arial" w:cs="Arial"/>
                <w:b/>
                <w:bCs/>
                <w:sz w:val="20"/>
                <w:szCs w:val="20"/>
              </w:rPr>
              <w:t>Cardiovascular</w:t>
            </w:r>
          </w:p>
        </w:tc>
        <w:tc>
          <w:tcPr>
            <w:tcW w:w="1814" w:type="dxa"/>
            <w:tcBorders>
              <w:top w:val="single" w:color="auto" w:sz="4" w:space="0"/>
            </w:tcBorders>
            <w:vAlign w:val="center"/>
          </w:tcPr>
          <w:p w14:paraId="0A8BEF1A">
            <w:pPr>
              <w:rPr>
                <w:rFonts w:ascii="Arial" w:hAnsi="Arial" w:cs="Arial"/>
                <w:sz w:val="20"/>
                <w:szCs w:val="20"/>
              </w:rPr>
            </w:pPr>
            <w:r>
              <w:rPr>
                <w:rFonts w:ascii="Arial" w:hAnsi="Arial" w:cs="Arial"/>
                <w:sz w:val="20"/>
                <w:szCs w:val="20"/>
              </w:rPr>
              <w:t>Mean arterial pressure</w:t>
            </w:r>
          </w:p>
        </w:tc>
        <w:tc>
          <w:tcPr>
            <w:tcW w:w="1871" w:type="dxa"/>
            <w:tcBorders>
              <w:top w:val="single" w:color="auto" w:sz="4" w:space="0"/>
            </w:tcBorders>
            <w:vAlign w:val="center"/>
          </w:tcPr>
          <w:p w14:paraId="0437969D">
            <w:pPr>
              <w:rPr>
                <w:rFonts w:ascii="Arial" w:hAnsi="Arial" w:cs="Arial"/>
                <w:sz w:val="20"/>
                <w:szCs w:val="20"/>
              </w:rPr>
            </w:pPr>
            <w:r>
              <w:rPr>
                <w:rFonts w:ascii="Arial" w:hAnsi="Arial" w:cs="Arial"/>
                <w:sz w:val="20"/>
                <w:szCs w:val="20"/>
              </w:rPr>
              <w:t>SOFA-1 &amp; SOFA-2</w:t>
            </w:r>
          </w:p>
        </w:tc>
        <w:tc>
          <w:tcPr>
            <w:tcW w:w="1531" w:type="dxa"/>
            <w:tcBorders>
              <w:top w:val="single" w:color="auto" w:sz="4" w:space="0"/>
            </w:tcBorders>
            <w:vAlign w:val="center"/>
          </w:tcPr>
          <w:p w14:paraId="726A06EF">
            <w:pPr>
              <w:rPr>
                <w:rFonts w:ascii="Arial" w:hAnsi="Arial" w:cs="Arial"/>
                <w:sz w:val="20"/>
                <w:szCs w:val="20"/>
              </w:rPr>
            </w:pPr>
            <w:r>
              <w:rPr>
                <w:rFonts w:ascii="Arial" w:hAnsi="Arial" w:cs="Arial"/>
                <w:sz w:val="20"/>
                <w:szCs w:val="20"/>
              </w:rPr>
              <w:t>45 (0.2%)</w:t>
            </w:r>
          </w:p>
        </w:tc>
        <w:tc>
          <w:tcPr>
            <w:tcW w:w="1531" w:type="dxa"/>
            <w:tcBorders>
              <w:top w:val="single" w:color="auto" w:sz="4" w:space="0"/>
            </w:tcBorders>
            <w:vAlign w:val="center"/>
          </w:tcPr>
          <w:p w14:paraId="0358C5A9">
            <w:pPr>
              <w:rPr>
                <w:rFonts w:ascii="Arial" w:hAnsi="Arial" w:cs="Arial"/>
                <w:sz w:val="20"/>
                <w:szCs w:val="20"/>
              </w:rPr>
            </w:pPr>
            <w:r>
              <w:rPr>
                <w:rFonts w:ascii="Arial" w:hAnsi="Arial" w:cs="Arial"/>
                <w:sz w:val="20"/>
                <w:szCs w:val="20"/>
              </w:rPr>
              <w:t>44 (0.4%)</w:t>
            </w:r>
          </w:p>
        </w:tc>
        <w:tc>
          <w:tcPr>
            <w:tcW w:w="1502" w:type="dxa"/>
            <w:tcBorders>
              <w:top w:val="single" w:color="auto" w:sz="4" w:space="0"/>
            </w:tcBorders>
            <w:vAlign w:val="center"/>
          </w:tcPr>
          <w:p w14:paraId="18CB6B2B">
            <w:pPr>
              <w:rPr>
                <w:rFonts w:ascii="Arial" w:hAnsi="Arial" w:cs="Arial"/>
                <w:sz w:val="20"/>
                <w:szCs w:val="20"/>
              </w:rPr>
            </w:pPr>
            <w:r>
              <w:rPr>
                <w:rFonts w:ascii="Arial" w:hAnsi="Arial" w:cs="Arial"/>
                <w:sz w:val="20"/>
                <w:szCs w:val="20"/>
              </w:rPr>
              <w:t>22 (0.5%)</w:t>
            </w:r>
          </w:p>
        </w:tc>
      </w:tr>
      <w:tr w14:paraId="4B0B081F">
        <w:trPr>
          <w:trHeight w:val="283" w:hRule="atLeast"/>
        </w:trPr>
        <w:tc>
          <w:tcPr>
            <w:tcW w:w="1536" w:type="dxa"/>
            <w:tcBorders>
              <w:top w:val="single" w:color="auto" w:sz="4" w:space="0"/>
              <w:bottom w:val="single" w:color="auto" w:sz="4" w:space="0"/>
            </w:tcBorders>
            <w:vAlign w:val="center"/>
          </w:tcPr>
          <w:p w14:paraId="3CC5EF8C">
            <w:pPr>
              <w:rPr>
                <w:rFonts w:ascii="Arial" w:hAnsi="Arial" w:cs="Arial"/>
                <w:b/>
                <w:bCs/>
                <w:sz w:val="20"/>
                <w:szCs w:val="20"/>
              </w:rPr>
            </w:pPr>
            <w:r>
              <w:rPr>
                <w:rFonts w:ascii="Arial" w:hAnsi="Arial" w:cs="Arial"/>
                <w:b/>
                <w:bCs/>
                <w:sz w:val="20"/>
                <w:szCs w:val="20"/>
              </w:rPr>
              <w:t>CNS</w:t>
            </w:r>
          </w:p>
        </w:tc>
        <w:tc>
          <w:tcPr>
            <w:tcW w:w="1814" w:type="dxa"/>
            <w:tcBorders>
              <w:top w:val="single" w:color="auto" w:sz="4" w:space="0"/>
              <w:bottom w:val="single" w:color="auto" w:sz="4" w:space="0"/>
            </w:tcBorders>
            <w:vAlign w:val="center"/>
          </w:tcPr>
          <w:p w14:paraId="003BD1F6">
            <w:pPr>
              <w:rPr>
                <w:rFonts w:ascii="Arial" w:hAnsi="Arial" w:cs="Arial"/>
                <w:sz w:val="20"/>
                <w:szCs w:val="20"/>
              </w:rPr>
            </w:pPr>
            <w:r>
              <w:rPr>
                <w:rFonts w:ascii="Arial" w:hAnsi="Arial" w:cs="Arial"/>
                <w:sz w:val="20"/>
                <w:szCs w:val="20"/>
              </w:rPr>
              <w:t>Glasgow Coma Scale</w:t>
            </w:r>
          </w:p>
        </w:tc>
        <w:tc>
          <w:tcPr>
            <w:tcW w:w="1871" w:type="dxa"/>
            <w:tcBorders>
              <w:top w:val="single" w:color="auto" w:sz="4" w:space="0"/>
              <w:bottom w:val="single" w:color="auto" w:sz="4" w:space="0"/>
            </w:tcBorders>
            <w:vAlign w:val="center"/>
          </w:tcPr>
          <w:p w14:paraId="6598DAF9">
            <w:pPr>
              <w:rPr>
                <w:rFonts w:ascii="Arial" w:hAnsi="Arial" w:cs="Arial"/>
                <w:sz w:val="20"/>
                <w:szCs w:val="20"/>
              </w:rPr>
            </w:pPr>
            <w:r>
              <w:rPr>
                <w:rFonts w:ascii="Arial" w:hAnsi="Arial" w:cs="Arial"/>
                <w:sz w:val="20"/>
                <w:szCs w:val="20"/>
              </w:rPr>
              <w:t>SOFA-1 &amp; SOFA-2</w:t>
            </w:r>
          </w:p>
        </w:tc>
        <w:tc>
          <w:tcPr>
            <w:tcW w:w="1531" w:type="dxa"/>
            <w:tcBorders>
              <w:top w:val="single" w:color="auto" w:sz="4" w:space="0"/>
              <w:bottom w:val="single" w:color="auto" w:sz="4" w:space="0"/>
            </w:tcBorders>
            <w:vAlign w:val="center"/>
          </w:tcPr>
          <w:p w14:paraId="7FED2A97">
            <w:pPr>
              <w:rPr>
                <w:rFonts w:ascii="Arial" w:hAnsi="Arial" w:cs="Arial"/>
                <w:sz w:val="20"/>
                <w:szCs w:val="20"/>
              </w:rPr>
            </w:pPr>
            <w:r>
              <w:rPr>
                <w:rFonts w:ascii="Arial" w:hAnsi="Arial" w:cs="Arial"/>
                <w:sz w:val="20"/>
                <w:szCs w:val="20"/>
              </w:rPr>
              <w:t>61 (0.2%)</w:t>
            </w:r>
          </w:p>
        </w:tc>
        <w:tc>
          <w:tcPr>
            <w:tcW w:w="1531" w:type="dxa"/>
            <w:tcBorders>
              <w:top w:val="single" w:color="auto" w:sz="4" w:space="0"/>
              <w:bottom w:val="single" w:color="auto" w:sz="4" w:space="0"/>
            </w:tcBorders>
            <w:vAlign w:val="center"/>
          </w:tcPr>
          <w:p w14:paraId="485977B7">
            <w:pPr>
              <w:rPr>
                <w:rFonts w:ascii="Arial" w:hAnsi="Arial" w:cs="Arial"/>
                <w:sz w:val="20"/>
                <w:szCs w:val="20"/>
              </w:rPr>
            </w:pPr>
            <w:r>
              <w:rPr>
                <w:rFonts w:ascii="Arial" w:hAnsi="Arial" w:cs="Arial"/>
                <w:sz w:val="20"/>
                <w:szCs w:val="20"/>
              </w:rPr>
              <w:t>1,159 (9.5%)</w:t>
            </w:r>
          </w:p>
        </w:tc>
        <w:tc>
          <w:tcPr>
            <w:tcW w:w="1502" w:type="dxa"/>
            <w:tcBorders>
              <w:top w:val="single" w:color="auto" w:sz="4" w:space="0"/>
              <w:bottom w:val="single" w:color="auto" w:sz="4" w:space="0"/>
            </w:tcBorders>
            <w:vAlign w:val="center"/>
          </w:tcPr>
          <w:p w14:paraId="659590AF">
            <w:pPr>
              <w:rPr>
                <w:rFonts w:ascii="Arial" w:hAnsi="Arial" w:cs="Arial"/>
                <w:sz w:val="20"/>
                <w:szCs w:val="20"/>
              </w:rPr>
            </w:pPr>
            <w:r>
              <w:rPr>
                <w:rFonts w:ascii="Arial" w:hAnsi="Arial" w:cs="Arial"/>
                <w:sz w:val="20"/>
                <w:szCs w:val="20"/>
              </w:rPr>
              <w:t>2,236 (47.4%)</w:t>
            </w:r>
          </w:p>
        </w:tc>
      </w:tr>
      <w:tr w14:paraId="28380547">
        <w:trPr>
          <w:trHeight w:val="283" w:hRule="atLeast"/>
        </w:trPr>
        <w:tc>
          <w:tcPr>
            <w:tcW w:w="1536" w:type="dxa"/>
            <w:vMerge w:val="restart"/>
            <w:tcBorders>
              <w:top w:val="single" w:color="auto" w:sz="4" w:space="0"/>
            </w:tcBorders>
            <w:vAlign w:val="center"/>
          </w:tcPr>
          <w:p w14:paraId="4CCB0294">
            <w:pPr>
              <w:jc w:val="both"/>
              <w:rPr>
                <w:rFonts w:ascii="Arial" w:hAnsi="Arial" w:cs="Arial" w:eastAsiaTheme="minorEastAsia"/>
                <w:b/>
                <w:bCs/>
                <w:sz w:val="20"/>
                <w:szCs w:val="20"/>
                <w:lang w:eastAsia="zh-CN"/>
              </w:rPr>
            </w:pPr>
            <w:r>
              <w:rPr>
                <w:rFonts w:hint="eastAsia" w:ascii="Arial" w:hAnsi="Arial" w:cs="Arial" w:eastAsiaTheme="minorEastAsia"/>
                <w:b/>
                <w:bCs/>
                <w:sz w:val="20"/>
                <w:szCs w:val="20"/>
                <w:lang w:eastAsia="zh-CN"/>
              </w:rPr>
              <w:t>Renal</w:t>
            </w:r>
          </w:p>
        </w:tc>
        <w:tc>
          <w:tcPr>
            <w:tcW w:w="1814" w:type="dxa"/>
            <w:tcBorders>
              <w:top w:val="single" w:color="auto" w:sz="4" w:space="0"/>
            </w:tcBorders>
            <w:vAlign w:val="center"/>
          </w:tcPr>
          <w:p w14:paraId="023182B4">
            <w:pPr>
              <w:rPr>
                <w:rFonts w:ascii="Arial" w:hAnsi="Arial" w:cs="Arial"/>
                <w:sz w:val="20"/>
                <w:szCs w:val="20"/>
              </w:rPr>
            </w:pPr>
            <w:r>
              <w:rPr>
                <w:rFonts w:ascii="Arial" w:hAnsi="Arial" w:cs="Arial"/>
                <w:sz w:val="20"/>
                <w:szCs w:val="20"/>
              </w:rPr>
              <w:t>Creatinine</w:t>
            </w:r>
          </w:p>
        </w:tc>
        <w:tc>
          <w:tcPr>
            <w:tcW w:w="1871" w:type="dxa"/>
            <w:tcBorders>
              <w:top w:val="single" w:color="auto" w:sz="4" w:space="0"/>
            </w:tcBorders>
            <w:vAlign w:val="center"/>
          </w:tcPr>
          <w:p w14:paraId="72AF4F5B">
            <w:pPr>
              <w:rPr>
                <w:rFonts w:ascii="Arial" w:hAnsi="Arial" w:cs="Arial"/>
                <w:sz w:val="20"/>
                <w:szCs w:val="20"/>
              </w:rPr>
            </w:pPr>
            <w:r>
              <w:rPr>
                <w:rFonts w:ascii="Arial" w:hAnsi="Arial" w:cs="Arial"/>
                <w:sz w:val="20"/>
                <w:szCs w:val="20"/>
              </w:rPr>
              <w:t>SOFA-1 &amp; SOFA-2</w:t>
            </w:r>
          </w:p>
        </w:tc>
        <w:tc>
          <w:tcPr>
            <w:tcW w:w="1531" w:type="dxa"/>
            <w:tcBorders>
              <w:top w:val="single" w:color="auto" w:sz="4" w:space="0"/>
            </w:tcBorders>
            <w:vAlign w:val="center"/>
          </w:tcPr>
          <w:p w14:paraId="22787174">
            <w:pPr>
              <w:rPr>
                <w:rFonts w:ascii="Arial" w:hAnsi="Arial" w:cs="Arial"/>
                <w:sz w:val="20"/>
                <w:szCs w:val="20"/>
              </w:rPr>
            </w:pPr>
            <w:r>
              <w:rPr>
                <w:rFonts w:ascii="Arial" w:hAnsi="Arial" w:cs="Arial"/>
                <w:sz w:val="20"/>
                <w:szCs w:val="20"/>
              </w:rPr>
              <w:t>283 (1.2%)</w:t>
            </w:r>
          </w:p>
        </w:tc>
        <w:tc>
          <w:tcPr>
            <w:tcW w:w="1531" w:type="dxa"/>
            <w:tcBorders>
              <w:top w:val="single" w:color="auto" w:sz="4" w:space="0"/>
            </w:tcBorders>
            <w:vAlign w:val="center"/>
          </w:tcPr>
          <w:p w14:paraId="148FC9CB">
            <w:pPr>
              <w:rPr>
                <w:rFonts w:ascii="Arial" w:hAnsi="Arial" w:cs="Arial"/>
                <w:sz w:val="20"/>
                <w:szCs w:val="20"/>
              </w:rPr>
            </w:pPr>
            <w:r>
              <w:rPr>
                <w:rFonts w:ascii="Arial" w:hAnsi="Arial" w:cs="Arial"/>
                <w:sz w:val="20"/>
                <w:szCs w:val="20"/>
              </w:rPr>
              <w:t>432 (3.5%)</w:t>
            </w:r>
          </w:p>
        </w:tc>
        <w:tc>
          <w:tcPr>
            <w:tcW w:w="1502" w:type="dxa"/>
            <w:tcBorders>
              <w:top w:val="single" w:color="auto" w:sz="4" w:space="0"/>
            </w:tcBorders>
            <w:vAlign w:val="center"/>
          </w:tcPr>
          <w:p w14:paraId="0CCA8B69">
            <w:pPr>
              <w:rPr>
                <w:rFonts w:ascii="Arial" w:hAnsi="Arial" w:cs="Arial"/>
                <w:sz w:val="20"/>
                <w:szCs w:val="20"/>
              </w:rPr>
            </w:pPr>
            <w:r>
              <w:rPr>
                <w:rFonts w:ascii="Arial" w:hAnsi="Arial" w:cs="Arial"/>
                <w:sz w:val="20"/>
                <w:szCs w:val="20"/>
              </w:rPr>
              <w:t>117 (2.5%)</w:t>
            </w:r>
          </w:p>
        </w:tc>
      </w:tr>
      <w:tr w14:paraId="514747E8">
        <w:trPr>
          <w:trHeight w:val="283" w:hRule="atLeast"/>
        </w:trPr>
        <w:tc>
          <w:tcPr>
            <w:tcW w:w="1536" w:type="dxa"/>
            <w:vMerge w:val="continue"/>
            <w:vAlign w:val="center"/>
          </w:tcPr>
          <w:p w14:paraId="17EEED98">
            <w:pPr>
              <w:rPr>
                <w:rFonts w:ascii="Arial" w:hAnsi="Arial" w:cs="Arial"/>
                <w:sz w:val="20"/>
                <w:szCs w:val="20"/>
              </w:rPr>
            </w:pPr>
          </w:p>
        </w:tc>
        <w:tc>
          <w:tcPr>
            <w:tcW w:w="1814" w:type="dxa"/>
            <w:vAlign w:val="center"/>
          </w:tcPr>
          <w:p w14:paraId="7905981F">
            <w:pPr>
              <w:rPr>
                <w:rFonts w:ascii="Arial" w:hAnsi="Arial" w:cs="Arial"/>
                <w:sz w:val="20"/>
                <w:szCs w:val="20"/>
              </w:rPr>
            </w:pPr>
            <w:r>
              <w:rPr>
                <w:rFonts w:ascii="Arial" w:hAnsi="Arial" w:cs="Arial"/>
                <w:sz w:val="20"/>
                <w:szCs w:val="20"/>
              </w:rPr>
              <w:t>Urine output (6h)</w:t>
            </w:r>
          </w:p>
        </w:tc>
        <w:tc>
          <w:tcPr>
            <w:tcW w:w="1871" w:type="dxa"/>
            <w:vAlign w:val="center"/>
          </w:tcPr>
          <w:p w14:paraId="614F2F74">
            <w:pPr>
              <w:rPr>
                <w:rFonts w:ascii="Arial" w:hAnsi="Arial" w:cs="Arial"/>
                <w:sz w:val="20"/>
                <w:szCs w:val="20"/>
              </w:rPr>
            </w:pPr>
            <w:r>
              <w:rPr>
                <w:rFonts w:ascii="Arial" w:hAnsi="Arial" w:cs="Arial"/>
                <w:sz w:val="20"/>
                <w:szCs w:val="20"/>
              </w:rPr>
              <w:t xml:space="preserve">SOFA-2 </w:t>
            </w:r>
            <w:r>
              <w:rPr>
                <w:rFonts w:hint="eastAsia" w:ascii="Arial" w:hAnsi="Arial" w:cs="Arial" w:eastAsiaTheme="minorEastAsia"/>
                <w:sz w:val="20"/>
                <w:szCs w:val="20"/>
                <w:lang w:eastAsia="zh-CN"/>
              </w:rPr>
              <w:t>O</w:t>
            </w:r>
            <w:r>
              <w:rPr>
                <w:rFonts w:ascii="Arial" w:hAnsi="Arial" w:cs="Arial"/>
                <w:sz w:val="20"/>
                <w:szCs w:val="20"/>
              </w:rPr>
              <w:t>nly</w:t>
            </w:r>
          </w:p>
        </w:tc>
        <w:tc>
          <w:tcPr>
            <w:tcW w:w="1531" w:type="dxa"/>
            <w:vAlign w:val="center"/>
          </w:tcPr>
          <w:p w14:paraId="5A1D6808">
            <w:pPr>
              <w:rPr>
                <w:rFonts w:ascii="Arial" w:hAnsi="Arial" w:cs="Arial"/>
                <w:sz w:val="20"/>
                <w:szCs w:val="20"/>
              </w:rPr>
            </w:pPr>
            <w:r>
              <w:rPr>
                <w:rFonts w:ascii="Arial" w:hAnsi="Arial" w:cs="Arial"/>
                <w:sz w:val="20"/>
                <w:szCs w:val="20"/>
              </w:rPr>
              <w:t>3,324 (13.6%)</w:t>
            </w:r>
          </w:p>
        </w:tc>
        <w:tc>
          <w:tcPr>
            <w:tcW w:w="1531" w:type="dxa"/>
            <w:vAlign w:val="center"/>
          </w:tcPr>
          <w:p w14:paraId="2432CEAF">
            <w:pPr>
              <w:rPr>
                <w:rFonts w:ascii="Arial" w:hAnsi="Arial" w:cs="Arial"/>
                <w:sz w:val="20"/>
                <w:szCs w:val="20"/>
              </w:rPr>
            </w:pPr>
            <w:r>
              <w:rPr>
                <w:rFonts w:ascii="Arial" w:hAnsi="Arial" w:cs="Arial"/>
                <w:sz w:val="20"/>
                <w:szCs w:val="20"/>
              </w:rPr>
              <w:t>9,087 (74.4%)</w:t>
            </w:r>
          </w:p>
        </w:tc>
        <w:tc>
          <w:tcPr>
            <w:tcW w:w="1502" w:type="dxa"/>
            <w:vAlign w:val="center"/>
          </w:tcPr>
          <w:p w14:paraId="48B42E99">
            <w:pPr>
              <w:rPr>
                <w:rFonts w:ascii="Arial" w:hAnsi="Arial" w:cs="Arial"/>
                <w:sz w:val="20"/>
                <w:szCs w:val="20"/>
              </w:rPr>
            </w:pPr>
            <w:r>
              <w:rPr>
                <w:rFonts w:ascii="Arial" w:hAnsi="Arial" w:cs="Arial"/>
                <w:sz w:val="20"/>
                <w:szCs w:val="20"/>
              </w:rPr>
              <w:t>256 (5.4%)</w:t>
            </w:r>
          </w:p>
        </w:tc>
      </w:tr>
      <w:tr w14:paraId="2BEC45F9">
        <w:trPr>
          <w:trHeight w:val="283" w:hRule="atLeast"/>
        </w:trPr>
        <w:tc>
          <w:tcPr>
            <w:tcW w:w="1536" w:type="dxa"/>
            <w:vMerge w:val="continue"/>
            <w:vAlign w:val="center"/>
          </w:tcPr>
          <w:p w14:paraId="4D1DF40E">
            <w:pPr>
              <w:rPr>
                <w:rFonts w:ascii="Arial" w:hAnsi="Arial" w:cs="Arial"/>
                <w:sz w:val="20"/>
                <w:szCs w:val="20"/>
              </w:rPr>
            </w:pPr>
          </w:p>
        </w:tc>
        <w:tc>
          <w:tcPr>
            <w:tcW w:w="1814" w:type="dxa"/>
            <w:vAlign w:val="center"/>
          </w:tcPr>
          <w:p w14:paraId="3EB03FBB">
            <w:pPr>
              <w:rPr>
                <w:rFonts w:ascii="Arial" w:hAnsi="Arial" w:cs="Arial"/>
                <w:sz w:val="20"/>
                <w:szCs w:val="20"/>
              </w:rPr>
            </w:pPr>
            <w:r>
              <w:rPr>
                <w:rFonts w:ascii="Arial" w:hAnsi="Arial" w:cs="Arial"/>
                <w:sz w:val="20"/>
                <w:szCs w:val="20"/>
              </w:rPr>
              <w:t>Urine output (12h)</w:t>
            </w:r>
          </w:p>
        </w:tc>
        <w:tc>
          <w:tcPr>
            <w:tcW w:w="1871" w:type="dxa"/>
            <w:vAlign w:val="center"/>
          </w:tcPr>
          <w:p w14:paraId="4B7CAC05">
            <w:pPr>
              <w:rPr>
                <w:rFonts w:ascii="Arial" w:hAnsi="Arial" w:cs="Arial"/>
                <w:sz w:val="20"/>
                <w:szCs w:val="20"/>
              </w:rPr>
            </w:pPr>
            <w:r>
              <w:rPr>
                <w:rFonts w:ascii="Arial" w:hAnsi="Arial" w:cs="Arial"/>
                <w:sz w:val="20"/>
                <w:szCs w:val="20"/>
              </w:rPr>
              <w:t xml:space="preserve">SOFA-2 </w:t>
            </w:r>
            <w:r>
              <w:rPr>
                <w:rFonts w:hint="eastAsia" w:ascii="Arial" w:hAnsi="Arial" w:cs="Arial" w:eastAsiaTheme="minorEastAsia"/>
                <w:sz w:val="20"/>
                <w:szCs w:val="20"/>
                <w:lang w:eastAsia="zh-CN"/>
              </w:rPr>
              <w:t>O</w:t>
            </w:r>
            <w:r>
              <w:rPr>
                <w:rFonts w:ascii="Arial" w:hAnsi="Arial" w:cs="Arial"/>
                <w:sz w:val="20"/>
                <w:szCs w:val="20"/>
              </w:rPr>
              <w:t>nly</w:t>
            </w:r>
          </w:p>
        </w:tc>
        <w:tc>
          <w:tcPr>
            <w:tcW w:w="1531" w:type="dxa"/>
            <w:vAlign w:val="center"/>
          </w:tcPr>
          <w:p w14:paraId="2C7335F7">
            <w:pPr>
              <w:rPr>
                <w:rFonts w:ascii="Arial" w:hAnsi="Arial" w:cs="Arial"/>
                <w:sz w:val="20"/>
                <w:szCs w:val="20"/>
              </w:rPr>
            </w:pPr>
            <w:r>
              <w:rPr>
                <w:rFonts w:ascii="Arial" w:hAnsi="Arial" w:cs="Arial"/>
                <w:sz w:val="20"/>
                <w:szCs w:val="20"/>
              </w:rPr>
              <w:t>4,782 (19.5%)</w:t>
            </w:r>
          </w:p>
        </w:tc>
        <w:tc>
          <w:tcPr>
            <w:tcW w:w="1531" w:type="dxa"/>
            <w:vAlign w:val="center"/>
          </w:tcPr>
          <w:p w14:paraId="6FF7CBB0">
            <w:pPr>
              <w:rPr>
                <w:rFonts w:ascii="Arial" w:hAnsi="Arial" w:cs="Arial"/>
                <w:sz w:val="20"/>
                <w:szCs w:val="20"/>
              </w:rPr>
            </w:pPr>
            <w:r>
              <w:rPr>
                <w:rFonts w:ascii="Arial" w:hAnsi="Arial" w:cs="Arial"/>
                <w:sz w:val="20"/>
                <w:szCs w:val="20"/>
              </w:rPr>
              <w:t>9,257 (75.8%)</w:t>
            </w:r>
          </w:p>
        </w:tc>
        <w:tc>
          <w:tcPr>
            <w:tcW w:w="1502" w:type="dxa"/>
            <w:vAlign w:val="center"/>
          </w:tcPr>
          <w:p w14:paraId="5AD10495">
            <w:pPr>
              <w:rPr>
                <w:rFonts w:ascii="Arial" w:hAnsi="Arial" w:cs="Arial"/>
                <w:sz w:val="20"/>
                <w:szCs w:val="20"/>
              </w:rPr>
            </w:pPr>
            <w:r>
              <w:rPr>
                <w:rFonts w:ascii="Arial" w:hAnsi="Arial" w:cs="Arial"/>
                <w:sz w:val="20"/>
                <w:szCs w:val="20"/>
              </w:rPr>
              <w:t>265 (5.6%)</w:t>
            </w:r>
          </w:p>
        </w:tc>
      </w:tr>
      <w:tr w14:paraId="7298B119">
        <w:trPr>
          <w:trHeight w:val="283" w:hRule="atLeast"/>
        </w:trPr>
        <w:tc>
          <w:tcPr>
            <w:tcW w:w="1536" w:type="dxa"/>
            <w:vMerge w:val="continue"/>
            <w:tcBorders>
              <w:bottom w:val="single" w:color="auto" w:sz="12" w:space="0"/>
            </w:tcBorders>
            <w:vAlign w:val="center"/>
          </w:tcPr>
          <w:p w14:paraId="68C18BBA">
            <w:pPr>
              <w:rPr>
                <w:rFonts w:ascii="Arial" w:hAnsi="Arial" w:cs="Arial"/>
                <w:sz w:val="20"/>
                <w:szCs w:val="20"/>
              </w:rPr>
            </w:pPr>
          </w:p>
        </w:tc>
        <w:tc>
          <w:tcPr>
            <w:tcW w:w="1814" w:type="dxa"/>
            <w:tcBorders>
              <w:bottom w:val="single" w:color="auto" w:sz="12" w:space="0"/>
            </w:tcBorders>
            <w:vAlign w:val="center"/>
          </w:tcPr>
          <w:p w14:paraId="1C55A237">
            <w:pPr>
              <w:rPr>
                <w:rFonts w:ascii="Arial" w:hAnsi="Arial" w:cs="Arial"/>
                <w:sz w:val="20"/>
                <w:szCs w:val="20"/>
              </w:rPr>
            </w:pPr>
            <w:r>
              <w:rPr>
                <w:rFonts w:ascii="Arial" w:hAnsi="Arial" w:cs="Arial"/>
                <w:sz w:val="20"/>
                <w:szCs w:val="20"/>
              </w:rPr>
              <w:t>Urine output (24h)</w:t>
            </w:r>
          </w:p>
        </w:tc>
        <w:tc>
          <w:tcPr>
            <w:tcW w:w="1871" w:type="dxa"/>
            <w:tcBorders>
              <w:bottom w:val="single" w:color="auto" w:sz="12" w:space="0"/>
            </w:tcBorders>
            <w:vAlign w:val="center"/>
          </w:tcPr>
          <w:p w14:paraId="0A607F53">
            <w:pPr>
              <w:rPr>
                <w:rFonts w:ascii="Arial" w:hAnsi="Arial" w:cs="Arial"/>
                <w:sz w:val="20"/>
                <w:szCs w:val="20"/>
              </w:rPr>
            </w:pPr>
            <w:r>
              <w:rPr>
                <w:rFonts w:ascii="Arial" w:hAnsi="Arial" w:cs="Arial"/>
                <w:sz w:val="20"/>
                <w:szCs w:val="20"/>
              </w:rPr>
              <w:t>SOFA-1 &amp; SOFA-2</w:t>
            </w:r>
          </w:p>
        </w:tc>
        <w:tc>
          <w:tcPr>
            <w:tcW w:w="1531" w:type="dxa"/>
            <w:tcBorders>
              <w:bottom w:val="single" w:color="auto" w:sz="12" w:space="0"/>
            </w:tcBorders>
            <w:vAlign w:val="center"/>
          </w:tcPr>
          <w:p w14:paraId="1B5A4D33">
            <w:pPr>
              <w:rPr>
                <w:rFonts w:ascii="Arial" w:hAnsi="Arial" w:cs="Arial"/>
                <w:sz w:val="20"/>
                <w:szCs w:val="20"/>
              </w:rPr>
            </w:pPr>
            <w:r>
              <w:rPr>
                <w:rFonts w:ascii="Arial" w:hAnsi="Arial" w:cs="Arial"/>
                <w:sz w:val="20"/>
                <w:szCs w:val="20"/>
              </w:rPr>
              <w:t>1,523 (6.2%)</w:t>
            </w:r>
          </w:p>
        </w:tc>
        <w:tc>
          <w:tcPr>
            <w:tcW w:w="1531" w:type="dxa"/>
            <w:tcBorders>
              <w:bottom w:val="single" w:color="auto" w:sz="12" w:space="0"/>
            </w:tcBorders>
            <w:vAlign w:val="center"/>
          </w:tcPr>
          <w:p w14:paraId="53594B7C">
            <w:pPr>
              <w:rPr>
                <w:rFonts w:ascii="Arial" w:hAnsi="Arial" w:cs="Arial"/>
                <w:sz w:val="20"/>
                <w:szCs w:val="20"/>
              </w:rPr>
            </w:pPr>
            <w:r>
              <w:rPr>
                <w:rFonts w:ascii="Arial" w:hAnsi="Arial" w:cs="Arial"/>
                <w:sz w:val="20"/>
                <w:szCs w:val="20"/>
              </w:rPr>
              <w:t>9,120 (74.7%)</w:t>
            </w:r>
          </w:p>
        </w:tc>
        <w:tc>
          <w:tcPr>
            <w:tcW w:w="1502" w:type="dxa"/>
            <w:tcBorders>
              <w:bottom w:val="single" w:color="auto" w:sz="12" w:space="0"/>
            </w:tcBorders>
            <w:vAlign w:val="center"/>
          </w:tcPr>
          <w:p w14:paraId="607A85AF">
            <w:pPr>
              <w:rPr>
                <w:rFonts w:ascii="Arial" w:hAnsi="Arial" w:cs="Arial"/>
                <w:sz w:val="20"/>
                <w:szCs w:val="20"/>
              </w:rPr>
            </w:pPr>
            <w:r>
              <w:rPr>
                <w:rFonts w:ascii="Arial" w:hAnsi="Arial" w:cs="Arial"/>
                <w:sz w:val="20"/>
                <w:szCs w:val="20"/>
              </w:rPr>
              <w:t>124 (2.6%)</w:t>
            </w:r>
          </w:p>
        </w:tc>
      </w:tr>
    </w:tbl>
    <w:p w14:paraId="29A8F460">
      <w:pPr>
        <w:widowControl/>
        <w:autoSpaceDE/>
        <w:autoSpaceDN/>
        <w:rPr>
          <w:rFonts w:ascii="Arial" w:hAnsi="Arial" w:cs="Arial" w:eastAsiaTheme="minorEastAsia"/>
          <w:sz w:val="16"/>
          <w:szCs w:val="16"/>
          <w:lang w:eastAsia="zh-CN"/>
        </w:rPr>
      </w:pPr>
      <w:r>
        <w:rPr>
          <w:rFonts w:ascii="Arial" w:hAnsi="Arial" w:cs="Arial"/>
          <w:sz w:val="16"/>
          <w:szCs w:val="16"/>
        </w:rPr>
        <w:t>Missing rates were calculated at the patient level among sepsis-positive patients included in the predictive modeling cohort. A variable was considered missing if no valid value was recorded during the first 24 hours after sepsis diagnosis. Abbreviations: CNS, central nervous system.</w:t>
      </w:r>
      <w:r>
        <w:rPr>
          <w:rFonts w:ascii="Arial" w:hAnsi="Arial" w:cs="Arial" w:eastAsiaTheme="minorEastAsia"/>
          <w:sz w:val="16"/>
          <w:szCs w:val="16"/>
          <w:lang w:eastAsia="zh-CN"/>
        </w:rPr>
        <w:br w:type="page"/>
      </w:r>
    </w:p>
    <w:p w14:paraId="1A6DA6E8">
      <w:pPr>
        <w:rPr>
          <w:rFonts w:ascii="Arial" w:hAnsi="Arial" w:cs="Arial" w:eastAsiaTheme="minorEastAsia"/>
          <w:sz w:val="16"/>
          <w:szCs w:val="16"/>
          <w:lang w:eastAsia="zh-CN"/>
        </w:rPr>
        <w:sectPr>
          <w:pgSz w:w="12240" w:h="15840"/>
          <w:pgMar w:top="1400" w:right="1080" w:bottom="1040" w:left="1440" w:header="0" w:footer="844" w:gutter="0"/>
          <w:lnNumType w:countBy="1" w:restart="continuous"/>
          <w:cols w:space="720" w:num="1"/>
        </w:sectPr>
      </w:pPr>
    </w:p>
    <w:p w14:paraId="0495D198">
      <w:pPr>
        <w:pStyle w:val="28"/>
        <w:rPr>
          <w:rFonts w:eastAsiaTheme="minorEastAsia"/>
          <w:lang w:eastAsia="zh-CN"/>
        </w:rPr>
      </w:pPr>
      <w:bookmarkStart w:id="22" w:name="_Toc1cjsoo"/>
      <w:bookmarkStart w:id="23" w:name="_Toc218072626"/>
      <w:r>
        <w:t>eFigure 1. Predictive Modeling Development and Validation Framework</w:t>
      </w:r>
      <w:bookmarkEnd w:id="22"/>
    </w:p>
    <w:p w14:paraId="25EC26AB">
      <w:pPr>
        <w:rPr>
          <w:rFonts w:ascii="Arial" w:hAnsi="Arial" w:cs="Arial"/>
          <w:b/>
          <w:bCs/>
          <w:spacing w:val="-2"/>
          <w:sz w:val="24"/>
          <w:szCs w:val="24"/>
        </w:rPr>
      </w:pPr>
      <w:r>
        <w:rPr>
          <w:rFonts w:hint="eastAsia"/>
        </w:rPr>
        <w:drawing>
          <wp:inline distT="0" distB="0" distL="0" distR="0">
            <wp:extent cx="5505450" cy="4876800"/>
            <wp:effectExtent l="0" t="0" r="0" b="0"/>
            <wp:docPr id="4"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0"/>
                    <pic:cNvPicPr>
                      <a:picLocks noChangeAspect="1" noChangeArrowheads="1"/>
                    </pic:cNvPicPr>
                  </pic:nvPicPr>
                  <pic:blipFill>
                    <a:blip r:embed="rId9"/>
                    <a:srcRect/>
                    <a:stretch>
                      <a:fillRect/>
                    </a:stretch>
                  </pic:blipFill>
                  <pic:spPr>
                    <a:xfrm>
                      <a:off x="0" y="0"/>
                      <a:ext cx="5505450" cy="4876800"/>
                    </a:xfrm>
                    <a:prstGeom prst="rect">
                      <a:avLst/>
                    </a:prstGeom>
                    <a:noFill/>
                    <a:ln>
                      <a:noFill/>
                    </a:ln>
                  </pic:spPr>
                </pic:pic>
              </a:graphicData>
            </a:graphic>
          </wp:inline>
        </w:drawing>
      </w:r>
      <w:r>
        <w:br w:type="page"/>
      </w:r>
    </w:p>
    <w:p w14:paraId="64C605D9">
      <w:pPr>
        <w:pStyle w:val="28"/>
        <w:rPr>
          <w:rFonts w:eastAsiaTheme="minorEastAsia"/>
          <w:spacing w:val="-5"/>
          <w:lang w:eastAsia="zh-CN"/>
        </w:rPr>
      </w:pPr>
      <w:bookmarkStart w:id="24" w:name="_Toc7wec2t"/>
      <w:r>
        <w:t>eFigure</w:t>
      </w:r>
      <w:r>
        <w:rPr>
          <w:spacing w:val="-12"/>
        </w:rPr>
        <w:t xml:space="preserve"> </w:t>
      </w:r>
      <w:r>
        <w:rPr>
          <w:rFonts w:hint="eastAsia" w:eastAsiaTheme="minorEastAsia"/>
          <w:lang w:eastAsia="zh-CN"/>
        </w:rPr>
        <w:t>2</w:t>
      </w:r>
      <w:r>
        <w:t>.</w:t>
      </w:r>
      <w:r>
        <w:rPr>
          <w:spacing w:val="-5"/>
        </w:rPr>
        <w:t xml:space="preserve"> </w:t>
      </w:r>
      <w:r>
        <w:t>Diagnostic</w:t>
      </w:r>
      <w:r>
        <w:rPr>
          <w:spacing w:val="-12"/>
        </w:rPr>
        <w:t xml:space="preserve"> </w:t>
      </w:r>
      <w:r>
        <w:t>Concordance</w:t>
      </w:r>
      <w:r>
        <w:rPr>
          <w:spacing w:val="-11"/>
        </w:rPr>
        <w:t xml:space="preserve"> </w:t>
      </w:r>
      <w:r>
        <w:t>and</w:t>
      </w:r>
      <w:r>
        <w:rPr>
          <w:spacing w:val="-11"/>
        </w:rPr>
        <w:t xml:space="preserve"> </w:t>
      </w:r>
      <w:r>
        <w:t>Timeliness</w:t>
      </w:r>
      <w:r>
        <w:rPr>
          <w:spacing w:val="-11"/>
        </w:rPr>
        <w:t xml:space="preserve"> </w:t>
      </w:r>
      <w:r>
        <w:t>Between</w:t>
      </w:r>
      <w:r>
        <w:rPr>
          <w:spacing w:val="-12"/>
        </w:rPr>
        <w:t xml:space="preserve"> </w:t>
      </w:r>
      <w:r>
        <w:t>SOFA-2</w:t>
      </w:r>
      <w:r>
        <w:rPr>
          <w:spacing w:val="-11"/>
        </w:rPr>
        <w:t xml:space="preserve"> </w:t>
      </w:r>
      <w:r>
        <w:t>and</w:t>
      </w:r>
      <w:r>
        <w:rPr>
          <w:spacing w:val="-11"/>
        </w:rPr>
        <w:t xml:space="preserve"> </w:t>
      </w:r>
      <w:r>
        <w:t>SOFA-1</w:t>
      </w:r>
      <w:r>
        <w:rPr>
          <w:spacing w:val="-11"/>
        </w:rPr>
        <w:t xml:space="preserve"> </w:t>
      </w:r>
      <w:r>
        <w:t>(MIMIC-</w:t>
      </w:r>
      <w:r>
        <w:rPr>
          <w:spacing w:val="-5"/>
        </w:rPr>
        <w:t>IV)</w:t>
      </w:r>
      <w:bookmarkEnd w:id="23"/>
      <w:bookmarkEnd w:id="24"/>
    </w:p>
    <w:p w14:paraId="3372B337">
      <w:pPr>
        <w:pStyle w:val="2"/>
        <w:rPr>
          <w:rFonts w:ascii="Arial" w:hAnsi="Arial" w:cs="Arial" w:eastAsiaTheme="minorEastAsia"/>
          <w:sz w:val="24"/>
          <w:szCs w:val="24"/>
          <w:lang w:eastAsia="zh-CN"/>
        </w:rPr>
        <w:sectPr>
          <w:pgSz w:w="12240" w:h="15840"/>
          <w:pgMar w:top="1400" w:right="1080" w:bottom="1040" w:left="1440" w:header="0" w:footer="844" w:gutter="0"/>
          <w:lnNumType w:countBy="1" w:restart="continuous"/>
          <w:cols w:space="720" w:num="1"/>
        </w:sectPr>
      </w:pPr>
    </w:p>
    <w:p w14:paraId="67323802">
      <w:pPr>
        <w:pStyle w:val="5"/>
        <w:jc w:val="center"/>
        <w:rPr>
          <w:rFonts w:ascii="Arial" w:hAnsi="Arial" w:cs="Arial" w:eastAsiaTheme="minorEastAsia"/>
          <w:lang w:eastAsia="zh-CN"/>
        </w:rPr>
      </w:pPr>
      <w:r>
        <w:drawing>
          <wp:inline distT="0" distB="0" distL="0" distR="0">
            <wp:extent cx="6100445" cy="1524635"/>
            <wp:effectExtent l="0" t="0" r="0" b="0"/>
            <wp:docPr id="7"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6"/>
                    <pic:cNvPicPr>
                      <a:picLocks noChangeAspect="1" noChangeArrowheads="1"/>
                    </pic:cNvPicPr>
                  </pic:nvPicPr>
                  <pic:blipFill>
                    <a:blip r:embed="rId10"/>
                    <a:srcRect/>
                    <a:stretch>
                      <a:fillRect/>
                    </a:stretch>
                  </pic:blipFill>
                  <pic:spPr>
                    <a:xfrm>
                      <a:off x="0" y="0"/>
                      <a:ext cx="6136706" cy="1534176"/>
                    </a:xfrm>
                    <a:prstGeom prst="rect">
                      <a:avLst/>
                    </a:prstGeom>
                    <a:noFill/>
                    <a:ln>
                      <a:noFill/>
                    </a:ln>
                  </pic:spPr>
                </pic:pic>
              </a:graphicData>
            </a:graphic>
          </wp:inline>
        </w:drawing>
      </w:r>
    </w:p>
    <w:p w14:paraId="7E1AFC63">
      <w:pPr>
        <w:pStyle w:val="5"/>
        <w:rPr>
          <w:rFonts w:ascii="Arial" w:hAnsi="Arial" w:cs="Arial"/>
        </w:rPr>
      </w:pPr>
      <w:r>
        <w:rPr>
          <w:rFonts w:ascii="Arial" w:hAnsi="Arial" w:cs="Arial"/>
        </w:rPr>
        <w:t>(A)</w:t>
      </w:r>
      <w:r>
        <w:rPr>
          <w:rFonts w:ascii="Arial" w:hAnsi="Arial" w:cs="Arial"/>
          <w:spacing w:val="-10"/>
        </w:rPr>
        <w:t xml:space="preserve"> </w:t>
      </w:r>
      <w:r>
        <w:rPr>
          <w:rFonts w:ascii="Arial" w:hAnsi="Arial" w:cs="Arial"/>
        </w:rPr>
        <w:t>Distribution</w:t>
      </w:r>
      <w:r>
        <w:rPr>
          <w:rFonts w:ascii="Arial" w:hAnsi="Arial" w:cs="Arial"/>
          <w:spacing w:val="-10"/>
        </w:rPr>
        <w:t xml:space="preserve"> </w:t>
      </w:r>
      <w:r>
        <w:rPr>
          <w:rFonts w:ascii="Arial" w:hAnsi="Arial" w:cs="Arial"/>
        </w:rPr>
        <w:t>of</w:t>
      </w:r>
      <w:r>
        <w:rPr>
          <w:rFonts w:ascii="Arial" w:hAnsi="Arial" w:cs="Arial"/>
          <w:spacing w:val="-10"/>
        </w:rPr>
        <w:t xml:space="preserve"> </w:t>
      </w:r>
      <w:r>
        <w:rPr>
          <w:rFonts w:ascii="Arial" w:hAnsi="Arial" w:cs="Arial"/>
        </w:rPr>
        <w:t>diagnostic</w:t>
      </w:r>
      <w:r>
        <w:rPr>
          <w:rFonts w:ascii="Arial" w:hAnsi="Arial" w:cs="Arial"/>
          <w:spacing w:val="-10"/>
        </w:rPr>
        <w:t xml:space="preserve"> </w:t>
      </w:r>
      <w:r>
        <w:rPr>
          <w:rFonts w:ascii="Arial" w:hAnsi="Arial" w:cs="Arial"/>
        </w:rPr>
        <w:t>concordance</w:t>
      </w:r>
      <w:r>
        <w:rPr>
          <w:rFonts w:ascii="Arial" w:hAnsi="Arial" w:cs="Arial"/>
          <w:spacing w:val="-10"/>
        </w:rPr>
        <w:t xml:space="preserve"> </w:t>
      </w:r>
      <w:r>
        <w:rPr>
          <w:rFonts w:ascii="Arial" w:hAnsi="Arial" w:cs="Arial"/>
        </w:rPr>
        <w:t>groups</w:t>
      </w:r>
      <w:r>
        <w:rPr>
          <w:rFonts w:ascii="Arial" w:hAnsi="Arial" w:cs="Arial"/>
          <w:spacing w:val="-10"/>
        </w:rPr>
        <w:t xml:space="preserve"> </w:t>
      </w:r>
      <w:r>
        <w:rPr>
          <w:rFonts w:ascii="Arial" w:hAnsi="Arial" w:cs="Arial"/>
        </w:rPr>
        <w:t>based</w:t>
      </w:r>
      <w:r>
        <w:rPr>
          <w:rFonts w:ascii="Arial" w:hAnsi="Arial" w:cs="Arial"/>
          <w:spacing w:val="-10"/>
        </w:rPr>
        <w:t xml:space="preserve"> </w:t>
      </w:r>
      <w:r>
        <w:rPr>
          <w:rFonts w:ascii="Arial" w:hAnsi="Arial" w:cs="Arial"/>
        </w:rPr>
        <w:t>on</w:t>
      </w:r>
      <w:r>
        <w:rPr>
          <w:rFonts w:ascii="Arial" w:hAnsi="Arial" w:cs="Arial"/>
          <w:spacing w:val="-10"/>
        </w:rPr>
        <w:t xml:space="preserve"> </w:t>
      </w:r>
      <w:r>
        <w:rPr>
          <w:rFonts w:ascii="Arial" w:hAnsi="Arial" w:cs="Arial"/>
        </w:rPr>
        <w:t>SOFA-1</w:t>
      </w:r>
      <w:r>
        <w:rPr>
          <w:rFonts w:ascii="Arial" w:hAnsi="Arial" w:cs="Arial"/>
          <w:spacing w:val="-10"/>
        </w:rPr>
        <w:t xml:space="preserve"> </w:t>
      </w:r>
      <w:r>
        <w:rPr>
          <w:rFonts w:ascii="Arial" w:hAnsi="Arial" w:cs="Arial"/>
        </w:rPr>
        <w:t>and</w:t>
      </w:r>
      <w:r>
        <w:rPr>
          <w:rFonts w:ascii="Arial" w:hAnsi="Arial" w:cs="Arial"/>
          <w:spacing w:val="-10"/>
        </w:rPr>
        <w:t xml:space="preserve"> </w:t>
      </w:r>
      <w:r>
        <w:rPr>
          <w:rFonts w:ascii="Arial" w:hAnsi="Arial" w:cs="Arial"/>
        </w:rPr>
        <w:t>SOFA-2</w:t>
      </w:r>
      <w:r>
        <w:rPr>
          <w:rFonts w:ascii="Arial" w:hAnsi="Arial" w:cs="Arial"/>
          <w:spacing w:val="-10"/>
        </w:rPr>
        <w:t xml:space="preserve"> </w:t>
      </w:r>
      <w:r>
        <w:rPr>
          <w:rFonts w:ascii="Arial" w:hAnsi="Arial" w:cs="Arial"/>
        </w:rPr>
        <w:t>sepsis</w:t>
      </w:r>
      <w:r>
        <w:rPr>
          <w:rFonts w:ascii="Arial" w:hAnsi="Arial" w:cs="Arial"/>
          <w:spacing w:val="-10"/>
        </w:rPr>
        <w:t xml:space="preserve"> </w:t>
      </w:r>
      <w:r>
        <w:rPr>
          <w:rFonts w:ascii="Arial" w:hAnsi="Arial" w:cs="Arial"/>
        </w:rPr>
        <w:t>detection. (B)</w:t>
      </w:r>
      <w:r>
        <w:rPr>
          <w:rFonts w:ascii="Arial" w:hAnsi="Arial" w:cs="Arial"/>
          <w:spacing w:val="-10"/>
        </w:rPr>
        <w:t xml:space="preserve"> </w:t>
      </w:r>
      <w:r>
        <w:rPr>
          <w:rFonts w:ascii="Arial" w:hAnsi="Arial" w:cs="Arial"/>
        </w:rPr>
        <w:t>Timing-based</w:t>
      </w:r>
      <w:r>
        <w:rPr>
          <w:rFonts w:ascii="Arial" w:hAnsi="Arial" w:cs="Arial"/>
          <w:spacing w:val="-10"/>
        </w:rPr>
        <w:t xml:space="preserve"> </w:t>
      </w:r>
      <w:r>
        <w:rPr>
          <w:rFonts w:ascii="Arial" w:hAnsi="Arial" w:cs="Arial"/>
        </w:rPr>
        <w:t>subgroups</w:t>
      </w:r>
      <w:r>
        <w:rPr>
          <w:rFonts w:ascii="Arial" w:hAnsi="Arial" w:cs="Arial"/>
          <w:spacing w:val="-10"/>
        </w:rPr>
        <w:t xml:space="preserve"> </w:t>
      </w:r>
      <w:r>
        <w:rPr>
          <w:rFonts w:ascii="Arial" w:hAnsi="Arial" w:cs="Arial"/>
        </w:rPr>
        <w:t>within</w:t>
      </w:r>
      <w:r>
        <w:rPr>
          <w:rFonts w:ascii="Arial" w:hAnsi="Arial" w:cs="Arial"/>
          <w:spacing w:val="-10"/>
        </w:rPr>
        <w:t xml:space="preserve"> </w:t>
      </w:r>
      <w:r>
        <w:rPr>
          <w:rFonts w:ascii="Arial" w:hAnsi="Arial" w:cs="Arial"/>
        </w:rPr>
        <w:t>Concordant</w:t>
      </w:r>
      <w:r>
        <w:rPr>
          <w:rFonts w:ascii="Arial" w:hAnsi="Arial" w:cs="Arial"/>
          <w:spacing w:val="40"/>
        </w:rPr>
        <w:t xml:space="preserve"> </w:t>
      </w:r>
      <w:r>
        <w:rPr>
          <w:rFonts w:ascii="Arial" w:hAnsi="Arial" w:cs="Arial"/>
        </w:rPr>
        <w:t>Positive patients (SOFA-1 earlier, Simultaneous, or SOFA-2 earlier).</w:t>
      </w:r>
      <w:r>
        <w:rPr>
          <w:rFonts w:ascii="Arial" w:hAnsi="Arial" w:cs="Arial"/>
          <w:spacing w:val="34"/>
        </w:rPr>
        <w:t xml:space="preserve"> </w:t>
      </w:r>
      <w:r>
        <w:rPr>
          <w:rFonts w:ascii="Arial" w:hAnsi="Arial" w:cs="Arial"/>
        </w:rPr>
        <w:t>(C) Distribution of diagnostic time differences among concordant positive</w:t>
      </w:r>
      <w:r>
        <w:rPr>
          <w:rFonts w:ascii="Arial" w:hAnsi="Arial" w:cs="Arial"/>
          <w:spacing w:val="40"/>
        </w:rPr>
        <w:t xml:space="preserve"> </w:t>
      </w:r>
      <w:r>
        <w:rPr>
          <w:rFonts w:ascii="Arial" w:hAnsi="Arial" w:cs="Arial"/>
        </w:rPr>
        <w:t>patients, calculated as the SOFA-2 diagnosis time minus the SOFA-1 diagnosis time.</w:t>
      </w:r>
    </w:p>
    <w:p w14:paraId="63246347">
      <w:pPr>
        <w:pStyle w:val="5"/>
        <w:spacing w:line="300" w:lineRule="auto"/>
        <w:jc w:val="both"/>
        <w:sectPr>
          <w:type w:val="continuous"/>
          <w:pgSz w:w="12240" w:h="15840"/>
          <w:pgMar w:top="1300" w:right="1080" w:bottom="1040" w:left="1440" w:header="0" w:footer="844" w:gutter="0"/>
          <w:lnNumType w:countBy="1" w:restart="continuous"/>
          <w:cols w:space="720" w:num="1"/>
        </w:sectPr>
      </w:pPr>
    </w:p>
    <w:p w14:paraId="68D5D09A">
      <w:pPr>
        <w:pStyle w:val="28"/>
      </w:pPr>
      <w:bookmarkStart w:id="25" w:name="_Toczqsy4c"/>
      <w:bookmarkStart w:id="26" w:name="_Toc218072627"/>
      <w:r>
        <w:t xml:space="preserve">eFigure </w:t>
      </w:r>
      <w:r>
        <w:rPr>
          <w:rFonts w:hint="eastAsia" w:eastAsiaTheme="minorEastAsia"/>
          <w:lang w:eastAsia="zh-CN"/>
        </w:rPr>
        <w:t>3</w:t>
      </w:r>
      <w:r>
        <w:t>. Diagnostic Concordance and Timeliness Between SOFA-2 and SOFA-1 (eICU-CRD)</w:t>
      </w:r>
      <w:bookmarkEnd w:id="25"/>
      <w:bookmarkEnd w:id="26"/>
    </w:p>
    <w:p w14:paraId="2DFC0A2F">
      <w:pPr>
        <w:pStyle w:val="2"/>
        <w:sectPr>
          <w:pgSz w:w="12240" w:h="15840"/>
          <w:pgMar w:top="1400" w:right="1080" w:bottom="1040" w:left="1440" w:header="0" w:footer="844" w:gutter="0"/>
          <w:lnNumType w:countBy="1" w:restart="continuous"/>
          <w:cols w:space="720" w:num="1"/>
        </w:sectPr>
      </w:pPr>
    </w:p>
    <w:p w14:paraId="0F1892BD">
      <w:pPr>
        <w:pStyle w:val="5"/>
        <w:jc w:val="center"/>
        <w:rPr>
          <w:rFonts w:ascii="Arial" w:hAnsi="Arial" w:cs="Arial" w:eastAsiaTheme="minorEastAsia"/>
          <w:lang w:eastAsia="zh-CN"/>
        </w:rPr>
      </w:pPr>
      <w:r>
        <w:drawing>
          <wp:inline distT="0" distB="0" distL="0" distR="0">
            <wp:extent cx="6068695" cy="1520825"/>
            <wp:effectExtent l="0" t="0" r="0" b="3175"/>
            <wp:docPr id="10"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7"/>
                    <pic:cNvPicPr>
                      <a:picLocks noChangeAspect="1" noChangeArrowheads="1"/>
                    </pic:cNvPicPr>
                  </pic:nvPicPr>
                  <pic:blipFill>
                    <a:blip r:embed="rId11"/>
                    <a:srcRect/>
                    <a:stretch>
                      <a:fillRect/>
                    </a:stretch>
                  </pic:blipFill>
                  <pic:spPr>
                    <a:xfrm>
                      <a:off x="0" y="0"/>
                      <a:ext cx="6096288" cy="1528306"/>
                    </a:xfrm>
                    <a:prstGeom prst="rect">
                      <a:avLst/>
                    </a:prstGeom>
                    <a:noFill/>
                    <a:ln>
                      <a:noFill/>
                    </a:ln>
                  </pic:spPr>
                </pic:pic>
              </a:graphicData>
            </a:graphic>
          </wp:inline>
        </w:drawing>
      </w:r>
    </w:p>
    <w:p w14:paraId="590FC8C8">
      <w:pPr>
        <w:pStyle w:val="5"/>
        <w:rPr>
          <w:rFonts w:ascii="Arial" w:hAnsi="Arial" w:cs="Arial"/>
        </w:rPr>
      </w:pPr>
      <w:r>
        <w:rPr>
          <w:rFonts w:ascii="Arial" w:hAnsi="Arial" w:cs="Arial"/>
        </w:rPr>
        <w:t>(A) Distribution of diagnostic concordance groups based on SOFA-1 and SOFA-2 sepsis detection. (B) Timing-based subgroups within Concordant Positive patients (SOFA-1 earlier, Simultaneous, or SOFA-2 earlier). (C) Distribution of diagnostic time differences among concordant positive patients, calculated as the SOFA-2 diagnosis time minus the SOFA-1 diagnosis time.</w:t>
      </w:r>
    </w:p>
    <w:p w14:paraId="4473082F">
      <w:pPr>
        <w:pStyle w:val="5"/>
        <w:spacing w:line="300" w:lineRule="auto"/>
        <w:jc w:val="both"/>
        <w:sectPr>
          <w:type w:val="continuous"/>
          <w:pgSz w:w="12240" w:h="15840"/>
          <w:pgMar w:top="1300" w:right="1080" w:bottom="1040" w:left="1440" w:header="0" w:footer="844" w:gutter="0"/>
          <w:lnNumType w:countBy="1" w:restart="continuous"/>
          <w:cols w:space="720" w:num="1"/>
        </w:sectPr>
      </w:pPr>
    </w:p>
    <w:p w14:paraId="7D618FAA">
      <w:pPr>
        <w:pStyle w:val="28"/>
      </w:pPr>
      <w:bookmarkStart w:id="27" w:name="_Tocwtncmm"/>
      <w:bookmarkStart w:id="28" w:name="_Toc218072628"/>
      <w:r>
        <w:t xml:space="preserve">eFigure </w:t>
      </w:r>
      <w:r>
        <w:rPr>
          <w:rFonts w:hint="eastAsia" w:eastAsiaTheme="minorEastAsia"/>
          <w:lang w:eastAsia="zh-CN"/>
        </w:rPr>
        <w:t>4</w:t>
      </w:r>
      <w:r>
        <w:t>. Diagnostic Concordance and Timeliness Between SOFA-2 and SOFA-1 (AmsterdamUMCdb)</w:t>
      </w:r>
      <w:bookmarkEnd w:id="27"/>
      <w:bookmarkEnd w:id="28"/>
    </w:p>
    <w:p w14:paraId="79B923A4">
      <w:pPr>
        <w:pStyle w:val="2"/>
        <w:sectPr>
          <w:pgSz w:w="12240" w:h="15840"/>
          <w:pgMar w:top="1400" w:right="1080" w:bottom="1040" w:left="1440" w:header="0" w:footer="844" w:gutter="0"/>
          <w:lnNumType w:countBy="1" w:restart="continuous"/>
          <w:cols w:space="720" w:num="1"/>
        </w:sectPr>
      </w:pPr>
    </w:p>
    <w:p w14:paraId="3DAC80A1">
      <w:pPr>
        <w:pStyle w:val="5"/>
        <w:jc w:val="center"/>
        <w:rPr>
          <w:rFonts w:ascii="Arial" w:hAnsi="Arial" w:cs="Arial" w:eastAsiaTheme="minorEastAsia"/>
          <w:lang w:eastAsia="zh-CN"/>
        </w:rPr>
      </w:pPr>
      <w:r>
        <w:drawing>
          <wp:inline distT="0" distB="0" distL="0" distR="0">
            <wp:extent cx="5486400" cy="1383665"/>
            <wp:effectExtent l="0" t="0" r="0" b="6985"/>
            <wp:docPr id="13"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8"/>
                    <pic:cNvPicPr>
                      <a:picLocks noChangeAspect="1" noChangeArrowheads="1"/>
                    </pic:cNvPicPr>
                  </pic:nvPicPr>
                  <pic:blipFill>
                    <a:blip r:embed="rId12"/>
                    <a:srcRect/>
                    <a:stretch>
                      <a:fillRect/>
                    </a:stretch>
                  </pic:blipFill>
                  <pic:spPr>
                    <a:xfrm>
                      <a:off x="0" y="0"/>
                      <a:ext cx="5486400" cy="1383665"/>
                    </a:xfrm>
                    <a:prstGeom prst="rect">
                      <a:avLst/>
                    </a:prstGeom>
                    <a:noFill/>
                    <a:ln>
                      <a:noFill/>
                    </a:ln>
                  </pic:spPr>
                </pic:pic>
              </a:graphicData>
            </a:graphic>
          </wp:inline>
        </w:drawing>
      </w:r>
    </w:p>
    <w:p w14:paraId="5F559162">
      <w:pPr>
        <w:pStyle w:val="5"/>
        <w:rPr>
          <w:rFonts w:ascii="Arial" w:hAnsi="Arial" w:cs="Arial"/>
        </w:rPr>
      </w:pPr>
      <w:r>
        <w:rPr>
          <w:rFonts w:ascii="Arial" w:hAnsi="Arial" w:cs="Arial"/>
        </w:rPr>
        <w:t>(A) Distribution of diagnostic concordance groups based on SOFA-1 and SOFA-2 sepsis detection. (B) Timing-based subgroups within Concordant Positive patients (SOFA-1 earlier, Simultaneous, or SOFA-2 earlier). (C) Distribution of diagnostic time differences among concordant positive patients, calculated as the SOFA-2 diagnosis time minus the SOFA-1 diagnosis time.</w:t>
      </w:r>
    </w:p>
    <w:p w14:paraId="2E2DC29F">
      <w:pPr>
        <w:pStyle w:val="5"/>
        <w:spacing w:line="300" w:lineRule="auto"/>
        <w:jc w:val="both"/>
        <w:sectPr>
          <w:type w:val="continuous"/>
          <w:pgSz w:w="12240" w:h="15840"/>
          <w:pgMar w:top="1300" w:right="1080" w:bottom="1040" w:left="1440" w:header="0" w:footer="844" w:gutter="0"/>
          <w:lnNumType w:countBy="1" w:restart="continuous"/>
          <w:cols w:space="720" w:num="1"/>
        </w:sectPr>
      </w:pPr>
    </w:p>
    <w:p w14:paraId="5AA9E3C3">
      <w:pPr>
        <w:pStyle w:val="28"/>
      </w:pPr>
      <w:bookmarkStart w:id="29" w:name="_Toc218072629"/>
      <w:bookmarkStart w:id="30" w:name="_Toc30wkyz"/>
      <w:r>
        <w:t xml:space="preserve">eFigure </w:t>
      </w:r>
      <w:r>
        <w:rPr>
          <w:rFonts w:hint="eastAsia" w:eastAsiaTheme="minorEastAsia"/>
          <w:lang w:eastAsia="zh-CN"/>
        </w:rPr>
        <w:t>5</w:t>
      </w:r>
      <w:r>
        <w:t>. Clinical Outcomes by Diagnostic Concordance Group (MIMIC-IV)</w:t>
      </w:r>
      <w:bookmarkEnd w:id="29"/>
      <w:bookmarkEnd w:id="30"/>
    </w:p>
    <w:p w14:paraId="0285E91F">
      <w:pPr>
        <w:pStyle w:val="5"/>
        <w:jc w:val="center"/>
        <w:rPr>
          <w:rFonts w:ascii="Arial" w:hAnsi="Arial" w:cs="Arial" w:eastAsiaTheme="minorEastAsia"/>
          <w:lang w:eastAsia="zh-CN"/>
        </w:rPr>
      </w:pPr>
      <w:r>
        <w:drawing>
          <wp:inline distT="0" distB="0" distL="0" distR="0">
            <wp:extent cx="5486400" cy="6101080"/>
            <wp:effectExtent l="0" t="0" r="0" b="0"/>
            <wp:docPr id="16"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9"/>
                    <pic:cNvPicPr>
                      <a:picLocks noChangeAspect="1" noChangeArrowheads="1"/>
                    </pic:cNvPicPr>
                  </pic:nvPicPr>
                  <pic:blipFill>
                    <a:blip r:embed="rId13"/>
                    <a:srcRect/>
                    <a:stretch>
                      <a:fillRect/>
                    </a:stretch>
                  </pic:blipFill>
                  <pic:spPr>
                    <a:xfrm>
                      <a:off x="0" y="0"/>
                      <a:ext cx="5486400" cy="6101080"/>
                    </a:xfrm>
                    <a:prstGeom prst="rect">
                      <a:avLst/>
                    </a:prstGeom>
                    <a:noFill/>
                    <a:ln>
                      <a:noFill/>
                    </a:ln>
                  </pic:spPr>
                </pic:pic>
              </a:graphicData>
            </a:graphic>
          </wp:inline>
        </w:drawing>
      </w:r>
    </w:p>
    <w:p w14:paraId="74AA08E6">
      <w:pPr>
        <w:pStyle w:val="5"/>
        <w:rPr>
          <w:rFonts w:ascii="Arial" w:hAnsi="Arial" w:cs="Arial"/>
        </w:rPr>
      </w:pPr>
      <w:r>
        <w:rPr>
          <w:rFonts w:ascii="Arial" w:hAnsi="Arial" w:cs="Arial"/>
        </w:rPr>
        <w:t>(A) ICU mortality across four groups. (B) Hospital mortality across four groups. (C) Kaplan-Meier survival curves showing 28-day survival by group. ns indicates no significant difference; *** indicates P &lt; 0.001; ** indicates P &lt; 0.01; * indicates P &lt; 0.05.</w:t>
      </w:r>
    </w:p>
    <w:p w14:paraId="4E3A4CEA">
      <w:pPr>
        <w:pStyle w:val="5"/>
        <w:spacing w:line="300" w:lineRule="auto"/>
        <w:sectPr>
          <w:pgSz w:w="12240" w:h="15840"/>
          <w:pgMar w:top="1400" w:right="1080" w:bottom="1040" w:left="1440" w:header="0" w:footer="844" w:gutter="0"/>
          <w:lnNumType w:countBy="1" w:restart="continuous"/>
          <w:cols w:space="720" w:num="1"/>
        </w:sectPr>
      </w:pPr>
    </w:p>
    <w:p w14:paraId="750A8942">
      <w:pPr>
        <w:pStyle w:val="28"/>
        <w:rPr>
          <w:rFonts w:eastAsiaTheme="minorEastAsia"/>
          <w:lang w:eastAsia="zh-CN"/>
        </w:rPr>
      </w:pPr>
      <w:bookmarkStart w:id="31" w:name="_Toc218072630"/>
      <w:bookmarkStart w:id="32" w:name="_Tocob33mz"/>
      <w:r>
        <w:t xml:space="preserve">eFigure </w:t>
      </w:r>
      <w:r>
        <w:rPr>
          <w:rFonts w:hint="eastAsia" w:eastAsiaTheme="minorEastAsia"/>
          <w:lang w:eastAsia="zh-CN"/>
        </w:rPr>
        <w:t>6</w:t>
      </w:r>
      <w:r>
        <w:t>. Clinical Outcomes by Diagnostic Concordance Group (eICU-CRD)</w:t>
      </w:r>
      <w:bookmarkEnd w:id="31"/>
      <w:bookmarkEnd w:id="32"/>
    </w:p>
    <w:p w14:paraId="382A49F9">
      <w:pPr>
        <w:pStyle w:val="5"/>
        <w:jc w:val="center"/>
        <w:rPr>
          <w:rFonts w:ascii="Arial" w:hAnsi="Arial" w:cs="Arial" w:eastAsiaTheme="minorEastAsia"/>
          <w:lang w:eastAsia="zh-CN"/>
        </w:rPr>
      </w:pPr>
      <w:r>
        <w:drawing>
          <wp:inline distT="0" distB="0" distL="0" distR="0">
            <wp:extent cx="5486400" cy="6101080"/>
            <wp:effectExtent l="0" t="0" r="0" b="0"/>
            <wp:docPr id="19"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0"/>
                    <pic:cNvPicPr>
                      <a:picLocks noChangeAspect="1" noChangeArrowheads="1"/>
                    </pic:cNvPicPr>
                  </pic:nvPicPr>
                  <pic:blipFill>
                    <a:blip r:embed="rId14"/>
                    <a:srcRect/>
                    <a:stretch>
                      <a:fillRect/>
                    </a:stretch>
                  </pic:blipFill>
                  <pic:spPr>
                    <a:xfrm>
                      <a:off x="0" y="0"/>
                      <a:ext cx="5486400" cy="6101080"/>
                    </a:xfrm>
                    <a:prstGeom prst="rect">
                      <a:avLst/>
                    </a:prstGeom>
                    <a:noFill/>
                    <a:ln>
                      <a:noFill/>
                    </a:ln>
                  </pic:spPr>
                </pic:pic>
              </a:graphicData>
            </a:graphic>
          </wp:inline>
        </w:drawing>
      </w:r>
    </w:p>
    <w:p w14:paraId="3978198D">
      <w:pPr>
        <w:pStyle w:val="5"/>
        <w:rPr>
          <w:rFonts w:ascii="Arial" w:hAnsi="Arial" w:cs="Arial"/>
        </w:rPr>
      </w:pPr>
      <w:r>
        <w:rPr>
          <w:rFonts w:ascii="Arial" w:hAnsi="Arial" w:cs="Arial"/>
        </w:rPr>
        <w:t>(A) ICU mortality across four groups. (B) Hospital mortality across four groups. (C) Kaplan-Meier survival curves showing 28-day survival by group. ns indicates no significant difference; *** indicates P &lt; 0.001; ** indicates P &lt; 0.01; * indicates P &lt; 0.05.</w:t>
      </w:r>
    </w:p>
    <w:p w14:paraId="7A6ED70B">
      <w:pPr>
        <w:pStyle w:val="5"/>
        <w:spacing w:line="300" w:lineRule="auto"/>
        <w:sectPr>
          <w:pgSz w:w="12240" w:h="15840"/>
          <w:pgMar w:top="1400" w:right="1080" w:bottom="1040" w:left="1440" w:header="0" w:footer="844" w:gutter="0"/>
          <w:lnNumType w:countBy="1" w:restart="continuous"/>
          <w:cols w:space="720" w:num="1"/>
        </w:sectPr>
      </w:pPr>
    </w:p>
    <w:p w14:paraId="4E78E940">
      <w:pPr>
        <w:pStyle w:val="28"/>
      </w:pPr>
      <w:bookmarkStart w:id="33" w:name="_Toc218072631"/>
      <w:bookmarkStart w:id="34" w:name="_Tocz6y3wq"/>
      <w:r>
        <w:t xml:space="preserve">eFigure </w:t>
      </w:r>
      <w:r>
        <w:rPr>
          <w:rFonts w:hint="eastAsia" w:eastAsiaTheme="minorEastAsia"/>
          <w:lang w:eastAsia="zh-CN"/>
        </w:rPr>
        <w:t>7</w:t>
      </w:r>
      <w:r>
        <w:t>. Clinical Outcomes by Diagnostic Concordance Group (AmsterdamUMCdb)</w:t>
      </w:r>
      <w:bookmarkEnd w:id="33"/>
      <w:bookmarkEnd w:id="34"/>
    </w:p>
    <w:p w14:paraId="7C8BA5F5">
      <w:pPr>
        <w:pStyle w:val="5"/>
        <w:tabs>
          <w:tab w:val="left" w:pos="5339"/>
        </w:tabs>
        <w:jc w:val="center"/>
        <w:rPr>
          <w:rFonts w:ascii="Arial" w:hAnsi="Arial" w:cs="Arial" w:eastAsiaTheme="minorEastAsia"/>
          <w:lang w:eastAsia="zh-CN"/>
        </w:rPr>
      </w:pPr>
      <w:r>
        <w:rPr>
          <w:rFonts w:eastAsiaTheme="minorEastAsia"/>
          <w:lang w:eastAsia="zh-CN"/>
        </w:rPr>
        <w:tab/>
      </w:r>
      <w:r>
        <w:rPr>
          <w:rFonts w:eastAsiaTheme="minorEastAsia"/>
          <w:lang w:eastAsia="zh-CN"/>
        </w:rPr>
        <w:drawing>
          <wp:inline distT="0" distB="0" distL="0" distR="0">
            <wp:extent cx="4121150" cy="7823200"/>
            <wp:effectExtent l="0" t="0" r="0" b="0"/>
            <wp:docPr id="22" name="picture" descr="descript"/>
            <wp:cNvGraphicFramePr/>
            <a:graphic xmlns:a="http://schemas.openxmlformats.org/drawingml/2006/main">
              <a:graphicData uri="http://schemas.openxmlformats.org/drawingml/2006/picture">
                <pic:pic xmlns:pic="http://schemas.openxmlformats.org/drawingml/2006/picture">
                  <pic:nvPicPr>
                    <pic:cNvPr id="22" name="picture" descr="descript"/>
                    <pic:cNvPicPr/>
                  </pic:nvPicPr>
                  <pic:blipFill>
                    <a:blip r:embed="rId15"/>
                    <a:stretch>
                      <a:fillRect/>
                    </a:stretch>
                  </pic:blipFill>
                  <pic:spPr>
                    <a:xfrm>
                      <a:off x="0" y="0"/>
                      <a:ext cx="4121779" cy="7823200"/>
                    </a:xfrm>
                    <a:prstGeom prst="rect">
                      <a:avLst/>
                    </a:prstGeom>
                  </pic:spPr>
                </pic:pic>
              </a:graphicData>
            </a:graphic>
          </wp:inline>
        </w:drawing>
      </w:r>
    </w:p>
    <w:p w14:paraId="602F0E39">
      <w:pPr>
        <w:pStyle w:val="5"/>
        <w:rPr>
          <w:rFonts w:ascii="Arial" w:hAnsi="Arial" w:cs="Arial"/>
        </w:rPr>
      </w:pPr>
      <w:r>
        <w:rPr>
          <w:rFonts w:ascii="Arial" w:hAnsi="Arial" w:cs="Arial"/>
        </w:rPr>
        <w:t>(A) ICU mortality across four groups. (B) Kaplan-Meier survival curves showing 28-day survival by group. ns indicates no significant difference;*** indicates P &lt; 0.001; ** indicates P &lt; 0.01; * indicates P &lt; 0.05.</w:t>
      </w:r>
    </w:p>
    <w:p w14:paraId="64D5546D">
      <w:pPr>
        <w:pStyle w:val="5"/>
        <w:sectPr>
          <w:pgSz w:w="12240" w:h="15840"/>
          <w:pgMar w:top="1400" w:right="1080" w:bottom="1040" w:left="1440" w:header="0" w:footer="844" w:gutter="0"/>
          <w:lnNumType w:countBy="1" w:restart="continuous"/>
          <w:cols w:space="720" w:num="1"/>
        </w:sectPr>
      </w:pPr>
    </w:p>
    <w:p w14:paraId="126FA62B">
      <w:pPr>
        <w:pStyle w:val="28"/>
        <w:rPr>
          <w:rFonts w:eastAsiaTheme="minorEastAsia"/>
          <w:lang w:eastAsia="zh-CN"/>
        </w:rPr>
      </w:pPr>
      <w:bookmarkStart w:id="35" w:name="_Toc7o4rm3"/>
      <w:bookmarkStart w:id="36" w:name="_Toc218072632"/>
      <w:r>
        <w:t xml:space="preserve">eFigure </w:t>
      </w:r>
      <w:r>
        <w:rPr>
          <w:rFonts w:hint="eastAsia" w:eastAsiaTheme="minorEastAsia"/>
          <w:lang w:eastAsia="zh-CN"/>
        </w:rPr>
        <w:t>8</w:t>
      </w:r>
      <w:r>
        <w:t>. Cox Regression Forest Plot (MIMIC-IV)</w:t>
      </w:r>
      <w:bookmarkEnd w:id="35"/>
      <w:bookmarkEnd w:id="36"/>
    </w:p>
    <w:p w14:paraId="2CB0546B">
      <w:pPr>
        <w:pStyle w:val="5"/>
        <w:jc w:val="center"/>
        <w:rPr>
          <w:rFonts w:ascii="Arial" w:hAnsi="Arial" w:cs="Arial" w:eastAsiaTheme="minorEastAsia"/>
          <w:lang w:eastAsia="zh-CN"/>
        </w:rPr>
      </w:pPr>
      <w:r>
        <w:rPr>
          <w:rFonts w:ascii="Arial" w:hAnsi="Arial" w:cs="Arial" w:eastAsiaTheme="minorEastAsia"/>
          <w:lang w:eastAsia="zh-CN"/>
        </w:rPr>
        <w:drawing>
          <wp:inline distT="0" distB="0" distL="0" distR="0">
            <wp:extent cx="6172200" cy="2684780"/>
            <wp:effectExtent l="0" t="0" r="0" b="0"/>
            <wp:docPr id="25" name="picture" descr="descript"/>
            <wp:cNvGraphicFramePr/>
            <a:graphic xmlns:a="http://schemas.openxmlformats.org/drawingml/2006/main">
              <a:graphicData uri="http://schemas.openxmlformats.org/drawingml/2006/picture">
                <pic:pic xmlns:pic="http://schemas.openxmlformats.org/drawingml/2006/picture">
                  <pic:nvPicPr>
                    <pic:cNvPr id="25" name="picture" descr="descript"/>
                    <pic:cNvPicPr/>
                  </pic:nvPicPr>
                  <pic:blipFill>
                    <a:blip r:embed="rId16"/>
                    <a:stretch>
                      <a:fillRect/>
                    </a:stretch>
                  </pic:blipFill>
                  <pic:spPr>
                    <a:xfrm>
                      <a:off x="0" y="0"/>
                      <a:ext cx="6172200" cy="2684809"/>
                    </a:xfrm>
                    <a:prstGeom prst="rect">
                      <a:avLst/>
                    </a:prstGeom>
                  </pic:spPr>
                </pic:pic>
              </a:graphicData>
            </a:graphic>
          </wp:inline>
        </w:drawing>
      </w:r>
    </w:p>
    <w:p w14:paraId="136D7EDD">
      <w:pPr>
        <w:pStyle w:val="5"/>
        <w:rPr>
          <w:rFonts w:ascii="Arial" w:hAnsi="Arial" w:cs="Arial"/>
        </w:rPr>
      </w:pPr>
      <w:r>
        <w:rPr>
          <w:rFonts w:ascii="Arial" w:hAnsi="Arial" w:cs="Arial"/>
        </w:rPr>
        <w:t>Hazard ratios (HR) for 28-day mortality by concordance group, shown for both unadjusted and age/sex-adjusted models. The reference group is SOFA-2 Only. ns indicates not significant, while *** represents p &lt; 0.001.</w:t>
      </w:r>
    </w:p>
    <w:p w14:paraId="1518479D">
      <w:pPr>
        <w:pStyle w:val="5"/>
        <w:spacing w:line="300" w:lineRule="auto"/>
        <w:sectPr>
          <w:pgSz w:w="12240" w:h="15840"/>
          <w:pgMar w:top="1400" w:right="1080" w:bottom="1040" w:left="1440" w:header="0" w:footer="844" w:gutter="0"/>
          <w:lnNumType w:countBy="1" w:restart="continuous"/>
          <w:cols w:space="720" w:num="1"/>
        </w:sectPr>
      </w:pPr>
    </w:p>
    <w:p w14:paraId="1FAE6971">
      <w:pPr>
        <w:pStyle w:val="28"/>
      </w:pPr>
      <w:bookmarkStart w:id="37" w:name="_Toc218072633"/>
      <w:bookmarkStart w:id="38" w:name="_Toc2gjhho"/>
      <w:r>
        <w:t xml:space="preserve">eFigure </w:t>
      </w:r>
      <w:r>
        <w:rPr>
          <w:rFonts w:hint="eastAsia" w:eastAsiaTheme="minorEastAsia"/>
          <w:lang w:eastAsia="zh-CN"/>
        </w:rPr>
        <w:t>9</w:t>
      </w:r>
      <w:r>
        <w:t>. Cox Regression Forest Plot (eICU-CRD)</w:t>
      </w:r>
      <w:bookmarkEnd w:id="37"/>
      <w:bookmarkEnd w:id="38"/>
    </w:p>
    <w:p w14:paraId="360B6C30">
      <w:pPr>
        <w:pStyle w:val="5"/>
        <w:jc w:val="center"/>
        <w:rPr>
          <w:rFonts w:ascii="Arial" w:hAnsi="Arial" w:cs="Arial" w:eastAsiaTheme="minorEastAsia"/>
          <w:lang w:eastAsia="zh-CN"/>
        </w:rPr>
      </w:pPr>
      <w:r>
        <w:rPr>
          <w:rFonts w:ascii="Arial" w:hAnsi="Arial" w:cs="Arial" w:eastAsiaTheme="minorEastAsia"/>
          <w:lang w:eastAsia="zh-CN"/>
        </w:rPr>
        <w:drawing>
          <wp:inline distT="0" distB="0" distL="0" distR="0">
            <wp:extent cx="6172200" cy="2684780"/>
            <wp:effectExtent l="0" t="0" r="0" b="0"/>
            <wp:docPr id="28" name="picture" descr="descript"/>
            <wp:cNvGraphicFramePr/>
            <a:graphic xmlns:a="http://schemas.openxmlformats.org/drawingml/2006/main">
              <a:graphicData uri="http://schemas.openxmlformats.org/drawingml/2006/picture">
                <pic:pic xmlns:pic="http://schemas.openxmlformats.org/drawingml/2006/picture">
                  <pic:nvPicPr>
                    <pic:cNvPr id="28" name="picture" descr="descript"/>
                    <pic:cNvPicPr/>
                  </pic:nvPicPr>
                  <pic:blipFill>
                    <a:blip r:embed="rId17"/>
                    <a:stretch>
                      <a:fillRect/>
                    </a:stretch>
                  </pic:blipFill>
                  <pic:spPr>
                    <a:xfrm>
                      <a:off x="0" y="0"/>
                      <a:ext cx="6172200" cy="2684809"/>
                    </a:xfrm>
                    <a:prstGeom prst="rect">
                      <a:avLst/>
                    </a:prstGeom>
                  </pic:spPr>
                </pic:pic>
              </a:graphicData>
            </a:graphic>
          </wp:inline>
        </w:drawing>
      </w:r>
    </w:p>
    <w:p w14:paraId="483F276B">
      <w:pPr>
        <w:pStyle w:val="5"/>
        <w:rPr>
          <w:rFonts w:ascii="Arial" w:hAnsi="Arial" w:cs="Arial"/>
        </w:rPr>
      </w:pPr>
      <w:r>
        <w:rPr>
          <w:rFonts w:ascii="Arial" w:hAnsi="Arial" w:cs="Arial"/>
        </w:rPr>
        <w:t>Hazard ratios (HR) for 28-day mortality by concordance group, shown for both unadjusted and age/sex-adjusted models. The reference group is SOFA-2 Only. ns indicates not significant, while *** represents p &lt; 0.001.</w:t>
      </w:r>
    </w:p>
    <w:p w14:paraId="05BDEC5C">
      <w:pPr>
        <w:pStyle w:val="5"/>
        <w:spacing w:line="300" w:lineRule="auto"/>
        <w:sectPr>
          <w:pgSz w:w="12240" w:h="15840"/>
          <w:pgMar w:top="1400" w:right="1080" w:bottom="1040" w:left="1440" w:header="0" w:footer="844" w:gutter="0"/>
          <w:lnNumType w:countBy="1" w:restart="continuous"/>
          <w:cols w:space="720" w:num="1"/>
        </w:sectPr>
      </w:pPr>
    </w:p>
    <w:p w14:paraId="577EB168">
      <w:pPr>
        <w:pStyle w:val="28"/>
      </w:pPr>
      <w:bookmarkStart w:id="39" w:name="_Toc218072634"/>
      <w:bookmarkStart w:id="40" w:name="_Tocs43q9e"/>
      <w:r>
        <w:t xml:space="preserve">eFigure </w:t>
      </w:r>
      <w:r>
        <w:rPr>
          <w:rFonts w:hint="eastAsia" w:eastAsiaTheme="minorEastAsia"/>
          <w:lang w:eastAsia="zh-CN"/>
        </w:rPr>
        <w:t>10</w:t>
      </w:r>
      <w:r>
        <w:t>. Cox Regression Forest Plot (AmsterdamUMCdb)</w:t>
      </w:r>
      <w:bookmarkEnd w:id="39"/>
      <w:bookmarkEnd w:id="40"/>
    </w:p>
    <w:p w14:paraId="1528F455">
      <w:pPr>
        <w:pStyle w:val="5"/>
        <w:jc w:val="center"/>
        <w:rPr>
          <w:rFonts w:ascii="Arial" w:hAnsi="Arial" w:cs="Arial" w:eastAsiaTheme="minorEastAsia"/>
          <w:lang w:eastAsia="zh-CN"/>
        </w:rPr>
      </w:pPr>
      <w:r>
        <w:rPr>
          <w:rFonts w:ascii="Arial" w:hAnsi="Arial" w:cs="Arial" w:eastAsiaTheme="minorEastAsia"/>
          <w:lang w:eastAsia="zh-CN"/>
        </w:rPr>
        <w:drawing>
          <wp:inline distT="0" distB="0" distL="0" distR="0">
            <wp:extent cx="6172200" cy="2684780"/>
            <wp:effectExtent l="0" t="0" r="0" b="0"/>
            <wp:docPr id="31" name="picture" descr="descript"/>
            <wp:cNvGraphicFramePr/>
            <a:graphic xmlns:a="http://schemas.openxmlformats.org/drawingml/2006/main">
              <a:graphicData uri="http://schemas.openxmlformats.org/drawingml/2006/picture">
                <pic:pic xmlns:pic="http://schemas.openxmlformats.org/drawingml/2006/picture">
                  <pic:nvPicPr>
                    <pic:cNvPr id="31" name="picture" descr="descript"/>
                    <pic:cNvPicPr/>
                  </pic:nvPicPr>
                  <pic:blipFill>
                    <a:blip r:embed="rId18"/>
                    <a:stretch>
                      <a:fillRect/>
                    </a:stretch>
                  </pic:blipFill>
                  <pic:spPr>
                    <a:xfrm>
                      <a:off x="0" y="0"/>
                      <a:ext cx="6172200" cy="2684809"/>
                    </a:xfrm>
                    <a:prstGeom prst="rect">
                      <a:avLst/>
                    </a:prstGeom>
                  </pic:spPr>
                </pic:pic>
              </a:graphicData>
            </a:graphic>
          </wp:inline>
        </w:drawing>
      </w:r>
    </w:p>
    <w:p w14:paraId="415B1DBE">
      <w:pPr>
        <w:pStyle w:val="5"/>
        <w:rPr>
          <w:rFonts w:eastAsiaTheme="minorEastAsia"/>
          <w:lang w:eastAsia="zh-CN"/>
        </w:rPr>
      </w:pPr>
      <w:r>
        <w:rPr>
          <w:rFonts w:ascii="Arial" w:hAnsi="Arial" w:cs="Arial"/>
        </w:rPr>
        <w:t>Hazard ratios (HR) for 28-day mortality by concordance group, shown for both unadjusted and age/sex-adjusted models. The reference group is SOFA-2 Only. ns indicates not significant, while *** represents p &lt; 0.001.</w:t>
      </w:r>
      <w:r>
        <w:rPr>
          <w:rFonts w:eastAsiaTheme="minorEastAsia"/>
          <w:lang w:eastAsia="zh-CN"/>
        </w:rPr>
        <w:br w:type="page"/>
      </w:r>
    </w:p>
    <w:p w14:paraId="6659ADAF">
      <w:pPr>
        <w:pStyle w:val="5"/>
        <w:spacing w:line="300" w:lineRule="auto"/>
        <w:rPr>
          <w:rFonts w:eastAsiaTheme="minorEastAsia"/>
          <w:lang w:eastAsia="zh-CN"/>
        </w:rPr>
        <w:sectPr>
          <w:pgSz w:w="12240" w:h="15840"/>
          <w:pgMar w:top="1400" w:right="1080" w:bottom="1040" w:left="1440" w:header="0" w:footer="844" w:gutter="0"/>
          <w:lnNumType w:countBy="1" w:restart="continuous"/>
          <w:cols w:space="720" w:num="1"/>
        </w:sectPr>
      </w:pPr>
    </w:p>
    <w:p w14:paraId="5841F102">
      <w:pPr>
        <w:pStyle w:val="28"/>
      </w:pPr>
      <w:bookmarkStart w:id="41" w:name="_Toc218072635"/>
      <w:bookmarkStart w:id="42" w:name="_Tocgv1nvu"/>
      <w:r>
        <w:t>eFigure 1</w:t>
      </w:r>
      <w:r>
        <w:rPr>
          <w:rFonts w:hint="eastAsia" w:eastAsiaTheme="minorEastAsia"/>
          <w:lang w:eastAsia="zh-CN"/>
        </w:rPr>
        <w:t>1</w:t>
      </w:r>
      <w:r>
        <w:t>. Dumbbell Plot of SOFA-1 vs SOFA-2 Organ Score Differences</w:t>
      </w:r>
      <w:bookmarkEnd w:id="41"/>
      <w:bookmarkEnd w:id="42"/>
    </w:p>
    <w:p w14:paraId="55BD8BBD">
      <w:pPr>
        <w:pStyle w:val="5"/>
        <w:jc w:val="center"/>
        <w:rPr>
          <w:rFonts w:ascii="Arial" w:hAnsi="Arial" w:cs="Arial" w:eastAsiaTheme="minorEastAsia"/>
          <w:lang w:eastAsia="zh-CN"/>
        </w:rPr>
      </w:pPr>
    </w:p>
    <w:p w14:paraId="5163E24B">
      <w:pPr>
        <w:pStyle w:val="5"/>
        <w:jc w:val="center"/>
        <w:rPr>
          <w:rFonts w:ascii="Arial" w:hAnsi="Arial" w:cs="Arial" w:eastAsiaTheme="minorEastAsia"/>
          <w:lang w:eastAsia="zh-CN"/>
        </w:rPr>
      </w:pPr>
      <w:r>
        <w:rPr>
          <w:rFonts w:ascii="Arial" w:hAnsi="Arial" w:cs="Arial" w:eastAsiaTheme="minorEastAsia"/>
          <w:lang w:eastAsia="zh-CN"/>
        </w:rPr>
        <w:drawing>
          <wp:inline distT="0" distB="0" distL="114300" distR="114300">
            <wp:extent cx="6164580" cy="1945005"/>
            <wp:effectExtent l="0" t="0" r="0" b="0"/>
            <wp:docPr id="34" name="图片 3" descr="SupFig_CrossDB_2a_dumbbell_sofa_Figure_dumbbell_sofa_comparison_all_databa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 descr="SupFig_CrossDB_2a_dumbbell_sofa_Figure_dumbbell_sofa_comparison_all_databases"/>
                    <pic:cNvPicPr>
                      <a:picLocks noChangeAspect="1"/>
                    </pic:cNvPicPr>
                  </pic:nvPicPr>
                  <pic:blipFill>
                    <a:blip r:embed="rId19"/>
                    <a:srcRect t="12139" b="4310"/>
                    <a:stretch>
                      <a:fillRect/>
                    </a:stretch>
                  </pic:blipFill>
                  <pic:spPr>
                    <a:xfrm>
                      <a:off x="0" y="0"/>
                      <a:ext cx="6164580" cy="1945005"/>
                    </a:xfrm>
                    <a:prstGeom prst="rect">
                      <a:avLst/>
                    </a:prstGeom>
                  </pic:spPr>
                </pic:pic>
              </a:graphicData>
            </a:graphic>
          </wp:inline>
        </w:drawing>
      </w:r>
    </w:p>
    <w:p w14:paraId="2C5D702C">
      <w:pPr>
        <w:pStyle w:val="5"/>
        <w:rPr>
          <w:rFonts w:ascii="Arial" w:hAnsi="Arial" w:cs="Arial"/>
        </w:rPr>
      </w:pPr>
      <w:r>
        <w:rPr>
          <w:rFonts w:ascii="Arial" w:hAnsi="Arial" w:cs="Arial"/>
        </w:rPr>
        <w:t>Paired within-database differences in organ subscores at diagnosis among Concordant Positive patients (SOFA-2 minus SOFA-1). Systematic increases are concentrated in respiratory and renal components across all three databases.</w:t>
      </w:r>
    </w:p>
    <w:p w14:paraId="26C3AC8E">
      <w:pPr>
        <w:pStyle w:val="5"/>
        <w:spacing w:line="300" w:lineRule="auto"/>
        <w:sectPr>
          <w:type w:val="continuous"/>
          <w:pgSz w:w="12240" w:h="15840"/>
          <w:pgMar w:top="1300" w:right="1080" w:bottom="1040" w:left="1440" w:header="0" w:footer="844" w:gutter="0"/>
          <w:lnNumType w:countBy="1" w:restart="continuous"/>
          <w:cols w:space="720" w:num="1"/>
        </w:sectPr>
      </w:pPr>
    </w:p>
    <w:p w14:paraId="28DE2B68">
      <w:pPr>
        <w:pStyle w:val="28"/>
      </w:pPr>
      <w:bookmarkStart w:id="43" w:name="_Tocl053oy"/>
      <w:bookmarkStart w:id="44" w:name="_Toc218072636"/>
      <w:r>
        <w:t>eFigure 1</w:t>
      </w:r>
      <w:r>
        <w:rPr>
          <w:rFonts w:hint="eastAsia" w:eastAsiaTheme="minorEastAsia"/>
          <w:lang w:eastAsia="zh-CN"/>
        </w:rPr>
        <w:t>2</w:t>
      </w:r>
      <w:r>
        <w:t>. Dynamic SOFA Trajectories (MIMIC-IV)</w:t>
      </w:r>
      <w:bookmarkEnd w:id="43"/>
      <w:bookmarkEnd w:id="44"/>
    </w:p>
    <w:p w14:paraId="4B49F4A8">
      <w:pPr>
        <w:pStyle w:val="2"/>
        <w:sectPr>
          <w:pgSz w:w="12240" w:h="15840"/>
          <w:pgMar w:top="1400" w:right="1080" w:bottom="1040" w:left="1440" w:header="0" w:footer="844" w:gutter="0"/>
          <w:lnNumType w:countBy="1" w:restart="continuous"/>
          <w:cols w:space="720" w:num="1"/>
        </w:sectPr>
      </w:pPr>
    </w:p>
    <w:p w14:paraId="36921B87">
      <w:pPr>
        <w:pStyle w:val="5"/>
        <w:spacing w:line="300" w:lineRule="auto"/>
        <w:ind w:right="358"/>
        <w:jc w:val="center"/>
        <w:rPr>
          <w:rFonts w:eastAsiaTheme="minorEastAsia"/>
          <w:lang w:eastAsia="zh-CN"/>
        </w:rPr>
      </w:pPr>
      <w:r>
        <w:drawing>
          <wp:inline distT="0" distB="0" distL="0" distR="0">
            <wp:extent cx="5486400" cy="3847465"/>
            <wp:effectExtent l="0" t="0" r="0" b="635"/>
            <wp:docPr id="37"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15"/>
                    <pic:cNvPicPr>
                      <a:picLocks noChangeAspect="1" noChangeArrowheads="1"/>
                    </pic:cNvPicPr>
                  </pic:nvPicPr>
                  <pic:blipFill>
                    <a:blip r:embed="rId20"/>
                    <a:srcRect/>
                    <a:stretch>
                      <a:fillRect/>
                    </a:stretch>
                  </pic:blipFill>
                  <pic:spPr>
                    <a:xfrm>
                      <a:off x="0" y="0"/>
                      <a:ext cx="5486400" cy="3847465"/>
                    </a:xfrm>
                    <a:prstGeom prst="rect">
                      <a:avLst/>
                    </a:prstGeom>
                    <a:noFill/>
                    <a:ln>
                      <a:noFill/>
                    </a:ln>
                  </pic:spPr>
                </pic:pic>
              </a:graphicData>
            </a:graphic>
          </wp:inline>
        </w:drawing>
      </w:r>
    </w:p>
    <w:p w14:paraId="1C513B1C">
      <w:pPr>
        <w:pStyle w:val="5"/>
        <w:rPr>
          <w:rFonts w:ascii="Arial" w:hAnsi="Arial" w:cs="Arial"/>
        </w:rPr>
      </w:pPr>
      <w:r>
        <w:rPr>
          <w:rFonts w:ascii="Arial" w:hAnsi="Arial" w:cs="Arial"/>
        </w:rPr>
        <w:t>(A) SOFA-1 score trajectories following sepsis detection. (B) SOFA-2 score trajectories following sepsis detection. (C) Difference between SOFA-2 and SOFA-1 scores (SOFA-2 - SOFA-1). (D–E) Organ-specific SOFA heatmaps in patients who died in the ICU. (F) Distribution of maximum SOFA-2 scores.</w:t>
      </w:r>
    </w:p>
    <w:p w14:paraId="250AD72F">
      <w:pPr>
        <w:pStyle w:val="5"/>
        <w:spacing w:line="300" w:lineRule="auto"/>
        <w:jc w:val="both"/>
        <w:sectPr>
          <w:type w:val="continuous"/>
          <w:pgSz w:w="12240" w:h="15840"/>
          <w:pgMar w:top="1300" w:right="1080" w:bottom="1040" w:left="1440" w:header="0" w:footer="844" w:gutter="0"/>
          <w:lnNumType w:countBy="1" w:restart="continuous"/>
          <w:cols w:space="720" w:num="1"/>
        </w:sectPr>
      </w:pPr>
    </w:p>
    <w:p w14:paraId="65F135BD">
      <w:pPr>
        <w:pStyle w:val="28"/>
      </w:pPr>
      <w:bookmarkStart w:id="45" w:name="_Toc218072637"/>
      <w:bookmarkStart w:id="46" w:name="_Tocscq25l"/>
      <w:r>
        <w:t>eFigure 1</w:t>
      </w:r>
      <w:r>
        <w:rPr>
          <w:rFonts w:hint="eastAsia" w:eastAsiaTheme="minorEastAsia"/>
          <w:lang w:eastAsia="zh-CN"/>
        </w:rPr>
        <w:t>3</w:t>
      </w:r>
      <w:r>
        <w:t>. Dynamic SOFA Trajectories (eICU-CRD)</w:t>
      </w:r>
      <w:bookmarkEnd w:id="45"/>
      <w:bookmarkEnd w:id="46"/>
    </w:p>
    <w:p w14:paraId="012C6F17">
      <w:pPr>
        <w:pStyle w:val="2"/>
        <w:sectPr>
          <w:pgSz w:w="12240" w:h="15840"/>
          <w:pgMar w:top="1400" w:right="1080" w:bottom="1040" w:left="1440" w:header="0" w:footer="844" w:gutter="0"/>
          <w:lnNumType w:countBy="1" w:restart="continuous"/>
          <w:cols w:space="720" w:num="1"/>
        </w:sectPr>
      </w:pPr>
    </w:p>
    <w:p w14:paraId="60109E2D">
      <w:pPr>
        <w:pStyle w:val="5"/>
        <w:jc w:val="center"/>
        <w:rPr>
          <w:rFonts w:eastAsiaTheme="minorEastAsia"/>
          <w:lang w:eastAsia="zh-CN"/>
        </w:rPr>
      </w:pPr>
    </w:p>
    <w:p w14:paraId="7E1B3C8A">
      <w:pPr>
        <w:pStyle w:val="5"/>
        <w:jc w:val="center"/>
        <w:rPr>
          <w:rFonts w:ascii="Arial" w:hAnsi="Arial" w:cs="Arial" w:eastAsiaTheme="minorEastAsia"/>
          <w:lang w:eastAsia="zh-CN"/>
        </w:rPr>
      </w:pPr>
      <w:r>
        <w:drawing>
          <wp:inline distT="0" distB="0" distL="0" distR="0">
            <wp:extent cx="5486400" cy="3871595"/>
            <wp:effectExtent l="0" t="0" r="0" b="0"/>
            <wp:docPr id="40"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16"/>
                    <pic:cNvPicPr>
                      <a:picLocks noChangeAspect="1" noChangeArrowheads="1"/>
                    </pic:cNvPicPr>
                  </pic:nvPicPr>
                  <pic:blipFill>
                    <a:blip r:embed="rId21"/>
                    <a:srcRect/>
                    <a:stretch>
                      <a:fillRect/>
                    </a:stretch>
                  </pic:blipFill>
                  <pic:spPr>
                    <a:xfrm>
                      <a:off x="0" y="0"/>
                      <a:ext cx="5486400" cy="3871595"/>
                    </a:xfrm>
                    <a:prstGeom prst="rect">
                      <a:avLst/>
                    </a:prstGeom>
                    <a:noFill/>
                    <a:ln>
                      <a:noFill/>
                    </a:ln>
                  </pic:spPr>
                </pic:pic>
              </a:graphicData>
            </a:graphic>
          </wp:inline>
        </w:drawing>
      </w:r>
    </w:p>
    <w:p w14:paraId="044F593D">
      <w:pPr>
        <w:pStyle w:val="5"/>
        <w:rPr>
          <w:rFonts w:ascii="Arial" w:hAnsi="Arial" w:cs="Arial"/>
        </w:rPr>
      </w:pPr>
      <w:r>
        <w:rPr>
          <w:rFonts w:ascii="Arial" w:hAnsi="Arial" w:cs="Arial"/>
        </w:rPr>
        <w:t>(A) SOFA-1 score trajectories following sepsis detection. (B) SOFA-2 score trajectories following sepsis detection. (C) Difference between SOFA-2 and SOFA-1 scores (SOFA-2 - SOFA-1). (D–E) Organ-specific SOFA component heatmaps in patients who died in the ICU. (F) Distribution of maximum SOFA-2 scores.</w:t>
      </w:r>
    </w:p>
    <w:p w14:paraId="679468B3">
      <w:pPr>
        <w:pStyle w:val="5"/>
        <w:spacing w:line="300" w:lineRule="auto"/>
        <w:jc w:val="both"/>
        <w:sectPr>
          <w:type w:val="continuous"/>
          <w:pgSz w:w="12240" w:h="15840"/>
          <w:pgMar w:top="1300" w:right="1080" w:bottom="1040" w:left="1440" w:header="0" w:footer="844" w:gutter="0"/>
          <w:lnNumType w:countBy="1" w:restart="continuous"/>
          <w:cols w:space="720" w:num="1"/>
        </w:sectPr>
      </w:pPr>
    </w:p>
    <w:p w14:paraId="0014A515">
      <w:pPr>
        <w:pStyle w:val="28"/>
      </w:pPr>
      <w:bookmarkStart w:id="47" w:name="_Toc218072638"/>
      <w:bookmarkStart w:id="48" w:name="_Tocdz1w6t"/>
      <w:r>
        <w:t>eFigure 1</w:t>
      </w:r>
      <w:r>
        <w:rPr>
          <w:rFonts w:hint="eastAsia" w:eastAsiaTheme="minorEastAsia"/>
          <w:lang w:eastAsia="zh-CN"/>
        </w:rPr>
        <w:t>4</w:t>
      </w:r>
      <w:r>
        <w:t>. Dynamic SOFA Trajectories (AmsterdamUMCdb)</w:t>
      </w:r>
      <w:bookmarkEnd w:id="47"/>
      <w:bookmarkEnd w:id="48"/>
    </w:p>
    <w:p w14:paraId="6B9E121E">
      <w:pPr>
        <w:pStyle w:val="2"/>
        <w:rPr>
          <w:rFonts w:ascii="Arial" w:hAnsi="Arial" w:cs="Arial"/>
          <w:sz w:val="24"/>
          <w:szCs w:val="24"/>
        </w:rPr>
        <w:sectPr>
          <w:pgSz w:w="12240" w:h="15840"/>
          <w:pgMar w:top="1400" w:right="1080" w:bottom="1040" w:left="1440" w:header="0" w:footer="844" w:gutter="0"/>
          <w:lnNumType w:countBy="1" w:restart="continuous"/>
          <w:cols w:space="720" w:num="1"/>
        </w:sectPr>
      </w:pPr>
    </w:p>
    <w:p w14:paraId="6AF6C604">
      <w:pPr>
        <w:pStyle w:val="5"/>
        <w:jc w:val="center"/>
        <w:rPr>
          <w:rFonts w:ascii="Arial" w:hAnsi="Arial" w:cs="Arial" w:eastAsiaTheme="minorEastAsia"/>
          <w:lang w:eastAsia="zh-CN"/>
        </w:rPr>
      </w:pPr>
      <w:r>
        <w:drawing>
          <wp:inline distT="0" distB="0" distL="0" distR="0">
            <wp:extent cx="5486400" cy="3865245"/>
            <wp:effectExtent l="0" t="0" r="0" b="1905"/>
            <wp:docPr id="43"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17"/>
                    <pic:cNvPicPr>
                      <a:picLocks noChangeAspect="1" noChangeArrowheads="1"/>
                    </pic:cNvPicPr>
                  </pic:nvPicPr>
                  <pic:blipFill>
                    <a:blip r:embed="rId22"/>
                    <a:srcRect/>
                    <a:stretch>
                      <a:fillRect/>
                    </a:stretch>
                  </pic:blipFill>
                  <pic:spPr>
                    <a:xfrm>
                      <a:off x="0" y="0"/>
                      <a:ext cx="5486400" cy="3865245"/>
                    </a:xfrm>
                    <a:prstGeom prst="rect">
                      <a:avLst/>
                    </a:prstGeom>
                    <a:noFill/>
                    <a:ln>
                      <a:noFill/>
                    </a:ln>
                  </pic:spPr>
                </pic:pic>
              </a:graphicData>
            </a:graphic>
          </wp:inline>
        </w:drawing>
      </w:r>
    </w:p>
    <w:p w14:paraId="07010400">
      <w:pPr>
        <w:pStyle w:val="5"/>
        <w:rPr>
          <w:rFonts w:ascii="Arial" w:hAnsi="Arial" w:cs="Arial"/>
        </w:rPr>
      </w:pPr>
      <w:r>
        <w:rPr>
          <w:rFonts w:ascii="Arial" w:hAnsi="Arial" w:cs="Arial"/>
        </w:rPr>
        <w:t>(A) SOFA-1 score trajectories following sepsis detection. (B) SOFA-2 score trajectories following sepsis detection. (C) Difference between SOFA-2 and SOFA-1 scores (SOFA-2 - SOFA-1). (D–E) Organ-specific SOFA heatmaps in patients who died in the ICU. (F) Distribution of maximum SOFA-2 scores.</w:t>
      </w:r>
    </w:p>
    <w:p w14:paraId="54FDDE4B">
      <w:pPr>
        <w:pStyle w:val="5"/>
        <w:spacing w:line="300" w:lineRule="auto"/>
        <w:jc w:val="both"/>
        <w:sectPr>
          <w:type w:val="continuous"/>
          <w:pgSz w:w="12240" w:h="15840"/>
          <w:pgMar w:top="1300" w:right="1080" w:bottom="1040" w:left="1440" w:header="0" w:footer="844" w:gutter="0"/>
          <w:lnNumType w:countBy="1" w:restart="continuous"/>
          <w:cols w:space="720" w:num="1"/>
        </w:sectPr>
      </w:pPr>
    </w:p>
    <w:p w14:paraId="7E9DC7D7">
      <w:pPr>
        <w:pStyle w:val="28"/>
        <w:rPr>
          <w:rFonts w:eastAsiaTheme="minorEastAsia"/>
          <w:lang w:eastAsia="zh-CN"/>
        </w:rPr>
      </w:pPr>
      <w:bookmarkStart w:id="49" w:name="_Toca20kau"/>
      <w:bookmarkStart w:id="50" w:name="_Toc218072640"/>
      <w:r>
        <w:t>eFigure 15. Machine Learning Model Comparison (MIMIC-IV)</w:t>
      </w:r>
      <w:bookmarkEnd w:id="49"/>
      <w:bookmarkEnd w:id="50"/>
    </w:p>
    <w:p w14:paraId="1EF3A80F">
      <w:pPr>
        <w:pStyle w:val="28"/>
        <w:rPr>
          <w:rFonts w:eastAsiaTheme="minorEastAsia"/>
          <w:lang w:eastAsia="zh-CN"/>
        </w:rPr>
        <w:sectPr>
          <w:pgSz w:w="12240" w:h="15840"/>
          <w:pgMar w:top="1400" w:right="1080" w:bottom="1040" w:left="1440" w:header="0" w:footer="844" w:gutter="0"/>
          <w:lnNumType w:countBy="1" w:restart="continuous"/>
          <w:cols w:space="720" w:num="1"/>
        </w:sectPr>
      </w:pPr>
    </w:p>
    <w:p w14:paraId="68C3C87F">
      <w:pPr>
        <w:pStyle w:val="5"/>
        <w:jc w:val="center"/>
        <w:rPr>
          <w:rFonts w:eastAsiaTheme="minorEastAsia"/>
          <w:lang w:eastAsia="zh-CN"/>
        </w:rPr>
      </w:pPr>
    </w:p>
    <w:p w14:paraId="6B7CA089">
      <w:pPr>
        <w:pStyle w:val="5"/>
        <w:jc w:val="center"/>
        <w:rPr>
          <w:rFonts w:ascii="Trebuchet MS" w:eastAsiaTheme="minorEastAsia"/>
          <w:lang w:eastAsia="zh-CN"/>
        </w:rPr>
      </w:pPr>
      <w:r>
        <w:drawing>
          <wp:inline distT="0" distB="0" distL="0" distR="0">
            <wp:extent cx="5486400" cy="4257040"/>
            <wp:effectExtent l="0" t="0" r="0" b="0"/>
            <wp:docPr id="46"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18"/>
                    <pic:cNvPicPr>
                      <a:picLocks noChangeAspect="1" noChangeArrowheads="1"/>
                    </pic:cNvPicPr>
                  </pic:nvPicPr>
                  <pic:blipFill>
                    <a:blip r:embed="rId23"/>
                    <a:srcRect/>
                    <a:stretch>
                      <a:fillRect/>
                    </a:stretch>
                  </pic:blipFill>
                  <pic:spPr>
                    <a:xfrm>
                      <a:off x="0" y="0"/>
                      <a:ext cx="5486400" cy="4257040"/>
                    </a:xfrm>
                    <a:prstGeom prst="rect">
                      <a:avLst/>
                    </a:prstGeom>
                    <a:noFill/>
                    <a:ln>
                      <a:noFill/>
                    </a:ln>
                  </pic:spPr>
                </pic:pic>
              </a:graphicData>
            </a:graphic>
          </wp:inline>
        </w:drawing>
      </w:r>
    </w:p>
    <w:p w14:paraId="01193808">
      <w:pPr>
        <w:pStyle w:val="5"/>
        <w:rPr>
          <w:rFonts w:eastAsiaTheme="minorEastAsia"/>
          <w:lang w:eastAsia="zh-CN"/>
        </w:rPr>
      </w:pPr>
      <w:r>
        <w:rPr>
          <w:rFonts w:ascii="Arial" w:hAnsi="Arial" w:cs="Arial"/>
        </w:rPr>
        <w:t>(A) Comparison of AUROC values across five machine learning models using SOFA-1 and SOFA-2 score. (B) ROC curves comparing SOFA-1 and SOFA-2 using the best-performing model. (C) SHAP value summary plot for the best-performing SOFA-2 model in external validation. (D) Calibration curves comparing SOFA-1 and SOFA-2 using the best-performing model in the external validation cohort.</w:t>
      </w:r>
      <w:r>
        <w:rPr>
          <w:rFonts w:eastAsiaTheme="minorEastAsia"/>
          <w:lang w:eastAsia="zh-CN"/>
        </w:rPr>
        <w:br w:type="page"/>
      </w:r>
    </w:p>
    <w:p w14:paraId="031376C8">
      <w:pPr>
        <w:pStyle w:val="5"/>
        <w:spacing w:line="300" w:lineRule="auto"/>
        <w:jc w:val="both"/>
        <w:rPr>
          <w:rFonts w:eastAsiaTheme="minorEastAsia"/>
          <w:lang w:eastAsia="zh-CN"/>
        </w:rPr>
        <w:sectPr>
          <w:type w:val="continuous"/>
          <w:pgSz w:w="12240" w:h="15840"/>
          <w:pgMar w:top="1300" w:right="1080" w:bottom="1040" w:left="1440" w:header="0" w:footer="844" w:gutter="0"/>
          <w:lnNumType w:countBy="1" w:restart="continuous"/>
          <w:cols w:space="720" w:num="1"/>
        </w:sectPr>
      </w:pPr>
    </w:p>
    <w:p w14:paraId="17041D52">
      <w:pPr>
        <w:pStyle w:val="28"/>
      </w:pPr>
      <w:bookmarkStart w:id="51" w:name="_Tocj3z1pq"/>
      <w:bookmarkStart w:id="52" w:name="_Toc218072641"/>
      <w:r>
        <w:t>eFigure 1</w:t>
      </w:r>
      <w:r>
        <w:rPr>
          <w:rFonts w:hint="eastAsia" w:eastAsiaTheme="minorEastAsia"/>
          <w:lang w:eastAsia="zh-CN"/>
        </w:rPr>
        <w:t>6</w:t>
      </w:r>
      <w:r>
        <w:t>. Machine Learning Model Comparison (eICU-CRD)</w:t>
      </w:r>
      <w:bookmarkEnd w:id="51"/>
      <w:bookmarkEnd w:id="52"/>
    </w:p>
    <w:p w14:paraId="5DA4B530">
      <w:pPr>
        <w:pStyle w:val="5"/>
        <w:jc w:val="center"/>
        <w:rPr>
          <w:rFonts w:ascii="Arial" w:hAnsi="Arial" w:cs="Arial"/>
        </w:rPr>
      </w:pPr>
      <w:r>
        <w:drawing>
          <wp:inline distT="0" distB="0" distL="0" distR="0">
            <wp:extent cx="5486400" cy="4257040"/>
            <wp:effectExtent l="0" t="0" r="0" b="0"/>
            <wp:docPr id="4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19"/>
                    <pic:cNvPicPr>
                      <a:picLocks noChangeAspect="1" noChangeArrowheads="1"/>
                    </pic:cNvPicPr>
                  </pic:nvPicPr>
                  <pic:blipFill>
                    <a:blip r:embed="rId24"/>
                    <a:srcRect/>
                    <a:stretch>
                      <a:fillRect/>
                    </a:stretch>
                  </pic:blipFill>
                  <pic:spPr>
                    <a:xfrm>
                      <a:off x="0" y="0"/>
                      <a:ext cx="5486400" cy="4257040"/>
                    </a:xfrm>
                    <a:prstGeom prst="rect">
                      <a:avLst/>
                    </a:prstGeom>
                    <a:noFill/>
                    <a:ln>
                      <a:noFill/>
                    </a:ln>
                  </pic:spPr>
                </pic:pic>
              </a:graphicData>
            </a:graphic>
          </wp:inline>
        </w:drawing>
      </w:r>
    </w:p>
    <w:p w14:paraId="5FE140B2">
      <w:pPr>
        <w:pStyle w:val="5"/>
        <w:rPr>
          <w:rFonts w:eastAsiaTheme="minorEastAsia"/>
          <w:lang w:eastAsia="zh-CN"/>
        </w:rPr>
      </w:pPr>
      <w:r>
        <w:rPr>
          <w:rFonts w:ascii="Arial" w:hAnsi="Arial" w:cs="Arial"/>
        </w:rPr>
        <w:t>(A) Comparison of AUROC values across five machine learning models using SOFA-1 and SOFA-2 score. (B) ROC curves comparing SOFA-1 and SOFA-2 using the best-performing model. (C) SHAP value summary plot for the best-performing SOFA-2 model in external validation. (D) Calibration curves comparing SOFA-1 and SOFA-2 using the best-performing model in the external validation cohort.</w:t>
      </w:r>
      <w:r>
        <w:rPr>
          <w:rFonts w:eastAsiaTheme="minorEastAsia"/>
          <w:lang w:eastAsia="zh-CN"/>
        </w:rPr>
        <w:br w:type="page"/>
      </w:r>
    </w:p>
    <w:p w14:paraId="01FCD751">
      <w:pPr>
        <w:pStyle w:val="28"/>
      </w:pPr>
      <w:bookmarkStart w:id="53" w:name="_Toc218072642"/>
      <w:bookmarkStart w:id="54" w:name="_Toc4vn1kn"/>
      <w:r>
        <w:rPr>
          <w:rFonts w:hint="eastAsia"/>
        </w:rPr>
        <w:t>e</w:t>
      </w:r>
      <w:r>
        <w:t>Figure 1</w:t>
      </w:r>
      <w:r>
        <w:rPr>
          <w:rFonts w:hint="eastAsia" w:eastAsiaTheme="minorEastAsia"/>
          <w:lang w:eastAsia="zh-CN"/>
        </w:rPr>
        <w:t>7</w:t>
      </w:r>
      <w:r>
        <w:t>. Machine Learning Model Comparison (AmsterdamUMCdb)</w:t>
      </w:r>
      <w:bookmarkEnd w:id="53"/>
      <w:bookmarkEnd w:id="54"/>
    </w:p>
    <w:p w14:paraId="5F65E2F8">
      <w:pPr>
        <w:pStyle w:val="5"/>
        <w:jc w:val="center"/>
        <w:rPr>
          <w:rFonts w:ascii="Arial" w:hAnsi="Arial" w:cs="Arial"/>
        </w:rPr>
      </w:pPr>
      <w:r>
        <w:rPr>
          <w:rFonts w:ascii="Arial" w:hAnsi="Arial" w:cs="Arial"/>
        </w:rPr>
        <w:t xml:space="preserve"> </w:t>
      </w:r>
      <w:r>
        <w:drawing>
          <wp:inline distT="0" distB="0" distL="0" distR="0">
            <wp:extent cx="5486400" cy="4257040"/>
            <wp:effectExtent l="0" t="0" r="0" b="0"/>
            <wp:docPr id="52"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图片 23"/>
                    <pic:cNvPicPr>
                      <a:picLocks noChangeAspect="1" noChangeArrowheads="1"/>
                    </pic:cNvPicPr>
                  </pic:nvPicPr>
                  <pic:blipFill>
                    <a:blip r:embed="rId25"/>
                    <a:srcRect/>
                    <a:stretch>
                      <a:fillRect/>
                    </a:stretch>
                  </pic:blipFill>
                  <pic:spPr>
                    <a:xfrm>
                      <a:off x="0" y="0"/>
                      <a:ext cx="5486400" cy="4257040"/>
                    </a:xfrm>
                    <a:prstGeom prst="rect">
                      <a:avLst/>
                    </a:prstGeom>
                    <a:noFill/>
                    <a:ln>
                      <a:noFill/>
                    </a:ln>
                  </pic:spPr>
                </pic:pic>
              </a:graphicData>
            </a:graphic>
          </wp:inline>
        </w:drawing>
      </w:r>
    </w:p>
    <w:p w14:paraId="5DDA5D06">
      <w:pPr>
        <w:pStyle w:val="5"/>
        <w:rPr>
          <w:rFonts w:ascii="Arial" w:hAnsi="Arial" w:cs="Arial"/>
        </w:rPr>
      </w:pPr>
      <w:r>
        <w:rPr>
          <w:rFonts w:ascii="Arial" w:hAnsi="Arial" w:cs="Arial"/>
        </w:rPr>
        <w:t>(A) Comparison of AUROC values across five machine learning models using SOFA-1 and SOFA-2 score. (B) ROC curves comparing SOFA-1 and SOFA-2 using the best-performing model. (C) SHAP value summary plot for the best-performing SOFA-2 model in external validation. (D) Calibration curves comparing SOFA-1 and SOFA-2 using the best-performing model in the external validation cohort.</w:t>
      </w:r>
    </w:p>
    <w:p w14:paraId="6194AB8A">
      <w:pPr>
        <w:pStyle w:val="28"/>
        <w:rPr>
          <w:rFonts w:eastAsiaTheme="minorEastAsia"/>
          <w:lang w:eastAsia="zh-CN"/>
        </w:rPr>
      </w:pPr>
      <w:bookmarkStart w:id="55" w:name="_Tocojx5n6"/>
      <w:r>
        <w:rPr>
          <w:rFonts w:eastAsiaTheme="minorEastAsia"/>
          <w:lang w:eastAsia="zh-CN"/>
        </w:rPr>
        <w:br w:type="page"/>
      </w:r>
      <w:bookmarkStart w:id="56" w:name="_Toc218072639"/>
      <w:r>
        <w:t>eFigure 1</w:t>
      </w:r>
      <w:r>
        <w:rPr>
          <w:rFonts w:hint="eastAsia" w:eastAsiaTheme="minorEastAsia"/>
          <w:lang w:eastAsia="zh-CN"/>
        </w:rPr>
        <w:t>8</w:t>
      </w:r>
      <w:r>
        <w:t>. SHAP Summary Plot for SOFA-1 Features</w:t>
      </w:r>
      <w:bookmarkEnd w:id="55"/>
      <w:bookmarkEnd w:id="56"/>
    </w:p>
    <w:p w14:paraId="4DE0293C">
      <w:pPr>
        <w:pStyle w:val="5"/>
        <w:rPr>
          <w:rFonts w:ascii="Arial" w:hAnsi="Arial" w:cs="Arial" w:eastAsiaTheme="minorEastAsia"/>
          <w:lang w:eastAsia="zh-CN"/>
        </w:rPr>
      </w:pPr>
      <w:r>
        <w:drawing>
          <wp:inline distT="0" distB="0" distL="0" distR="0">
            <wp:extent cx="5486400" cy="3259455"/>
            <wp:effectExtent l="0" t="0" r="0" b="0"/>
            <wp:docPr id="55" name="图片 28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图片 2853"/>
                    <pic:cNvPicPr>
                      <a:picLocks noChangeAspect="1" noChangeArrowheads="1"/>
                    </pic:cNvPicPr>
                  </pic:nvPicPr>
                  <pic:blipFill>
                    <a:blip r:embed="rId26" cstate="print"/>
                    <a:srcRect/>
                    <a:stretch>
                      <a:fillRect/>
                    </a:stretch>
                  </pic:blipFill>
                  <pic:spPr>
                    <a:xfrm>
                      <a:off x="0" y="0"/>
                      <a:ext cx="5486400" cy="3259455"/>
                    </a:xfrm>
                    <a:prstGeom prst="rect">
                      <a:avLst/>
                    </a:prstGeom>
                    <a:noFill/>
                    <a:ln>
                      <a:noFill/>
                    </a:ln>
                  </pic:spPr>
                </pic:pic>
              </a:graphicData>
            </a:graphic>
          </wp:inline>
        </w:drawing>
      </w:r>
    </w:p>
    <w:p w14:paraId="58351863">
      <w:pPr>
        <w:pStyle w:val="5"/>
        <w:rPr>
          <w:rFonts w:ascii="Arial" w:hAnsi="Arial" w:cs="Arial"/>
        </w:rPr>
      </w:pPr>
      <w:r>
        <w:rPr>
          <w:rFonts w:ascii="Arial" w:hAnsi="Arial" w:cs="Arial"/>
        </w:rPr>
        <w:t>SHAP summary plot for the best-performing SOFA-1 model in external validation.</w:t>
      </w:r>
      <w:r>
        <w:rPr>
          <w:rFonts w:ascii="Arial" w:hAnsi="Arial" w:cs="Arial"/>
        </w:rPr>
        <w:br w:type="page"/>
      </w:r>
    </w:p>
    <w:p w14:paraId="29F4C51B">
      <w:pPr>
        <w:pStyle w:val="28"/>
      </w:pPr>
      <w:bookmarkStart w:id="57" w:name="_Tocebk433"/>
      <w:r>
        <w:rPr>
          <w:rFonts w:hint="eastAsia"/>
        </w:rPr>
        <w:t>eFigure 19. Overlap Between Infection and Sepsis Definitions in MIMIC-IV</w:t>
      </w:r>
      <w:bookmarkEnd w:id="57"/>
    </w:p>
    <w:p w14:paraId="1D45E0F5">
      <w:pPr>
        <w:pStyle w:val="5"/>
        <w:jc w:val="center"/>
        <w:rPr>
          <w:rFonts w:ascii="Arial" w:hAnsi="Arial" w:cs="Arial" w:eastAsiaTheme="minorEastAsia"/>
          <w:sz w:val="52"/>
          <w:szCs w:val="52"/>
          <w:lang w:eastAsia="zh-CN"/>
        </w:rPr>
      </w:pPr>
      <w:r>
        <w:rPr>
          <w:rFonts w:ascii="Arial" w:hAnsi="Arial" w:cs="Arial" w:eastAsiaTheme="minorEastAsia"/>
          <w:sz w:val="52"/>
          <w:szCs w:val="52"/>
          <w:lang w:eastAsia="zh-CN"/>
        </w:rPr>
        <w:drawing>
          <wp:inline distT="0" distB="0" distL="0" distR="0">
            <wp:extent cx="4076700" cy="3963670"/>
            <wp:effectExtent l="0" t="0" r="0" b="0"/>
            <wp:docPr id="58" name="picture" descr="descript"/>
            <wp:cNvGraphicFramePr/>
            <a:graphic xmlns:a="http://schemas.openxmlformats.org/drawingml/2006/main">
              <a:graphicData uri="http://schemas.openxmlformats.org/drawingml/2006/picture">
                <pic:pic xmlns:pic="http://schemas.openxmlformats.org/drawingml/2006/picture">
                  <pic:nvPicPr>
                    <pic:cNvPr id="58" name="picture" descr="descript"/>
                    <pic:cNvPicPr/>
                  </pic:nvPicPr>
                  <pic:blipFill>
                    <a:blip r:embed="rId27"/>
                    <a:stretch>
                      <a:fillRect/>
                    </a:stretch>
                  </pic:blipFill>
                  <pic:spPr>
                    <a:xfrm>
                      <a:off x="0" y="0"/>
                      <a:ext cx="4076700" cy="3963807"/>
                    </a:xfrm>
                    <a:prstGeom prst="rect">
                      <a:avLst/>
                    </a:prstGeom>
                  </pic:spPr>
                </pic:pic>
              </a:graphicData>
            </a:graphic>
          </wp:inline>
        </w:drawing>
      </w:r>
    </w:p>
    <w:p w14:paraId="4F8ED9B8">
      <w:pPr>
        <w:pStyle w:val="5"/>
        <w:rPr>
          <w:rFonts w:ascii="Arial" w:hAnsi="Arial" w:cs="Arial"/>
          <w:b/>
          <w:bCs/>
          <w:spacing w:val="-2"/>
        </w:rPr>
      </w:pPr>
      <w:r>
        <w:rPr>
          <w:rFonts w:hint="eastAsia" w:ascii="Arial" w:hAnsi="Arial" w:cs="Arial"/>
        </w:rPr>
        <w:t>(A) Among patients identified using the culture + antibiotics–based suspected infection definition (n = 56,156), 69.3% also met the ICD + antibiotics definition. (B) Among patients identified using the ICD + antibiotics–based suspected infection definition (n = 44,492), 87.4% also met the culture + antibiotics definition. (C) Among patients with culture-based sepsis (n = 23,535), 78.0% were also classified as septic by the ICD-based definition. (D) Among patients with ICD-based sepsis (n = 20,817), 88.2% were also classified as septic by the culture-based definition.</w:t>
      </w:r>
      <w:r>
        <w:br w:type="page"/>
      </w:r>
    </w:p>
    <w:p w14:paraId="77562F4B">
      <w:pPr>
        <w:pStyle w:val="28"/>
        <w:rPr>
          <w:rFonts w:eastAsiaTheme="minorEastAsia"/>
          <w:lang w:eastAsia="zh-CN"/>
        </w:rPr>
      </w:pPr>
      <w:bookmarkStart w:id="58" w:name="_Tock93hwu"/>
      <w:r>
        <w:rPr>
          <w:rFonts w:hint="eastAsia"/>
        </w:rPr>
        <w:t xml:space="preserve">eFigure </w:t>
      </w:r>
      <w:r>
        <w:rPr>
          <w:rFonts w:hint="eastAsia" w:eastAsiaTheme="minorEastAsia"/>
          <w:lang w:eastAsia="zh-CN"/>
        </w:rPr>
        <w:t>20</w:t>
      </w:r>
      <w:r>
        <w:rPr>
          <w:rFonts w:hint="eastAsia"/>
        </w:rPr>
        <w:t>. Sensitivity Analysis Comparing Mixed-Definition and Culture-Based Suspected Infection Definitions</w:t>
      </w:r>
      <w:bookmarkEnd w:id="58"/>
    </w:p>
    <w:p w14:paraId="0B5171C2">
      <w:pPr>
        <w:pStyle w:val="5"/>
        <w:rPr>
          <w:rFonts w:ascii="Arial" w:hAnsi="Arial" w:cs="Arial"/>
          <w:sz w:val="52"/>
          <w:szCs w:val="52"/>
          <w:lang w:eastAsia="zh-CN"/>
        </w:rPr>
      </w:pPr>
      <w:r>
        <w:rPr>
          <w:rFonts w:ascii="Arial" w:hAnsi="Arial" w:cs="Arial"/>
          <w:sz w:val="52"/>
          <w:szCs w:val="52"/>
          <w:lang w:eastAsia="zh-CN"/>
        </w:rPr>
        <w:drawing>
          <wp:inline distT="0" distB="0" distL="0" distR="0">
            <wp:extent cx="6172200" cy="1494790"/>
            <wp:effectExtent l="0" t="0" r="0" b="0"/>
            <wp:docPr id="61" name="picture" descr="descript"/>
            <wp:cNvGraphicFramePr/>
            <a:graphic xmlns:a="http://schemas.openxmlformats.org/drawingml/2006/main">
              <a:graphicData uri="http://schemas.openxmlformats.org/drawingml/2006/picture">
                <pic:pic xmlns:pic="http://schemas.openxmlformats.org/drawingml/2006/picture">
                  <pic:nvPicPr>
                    <pic:cNvPr id="61" name="picture" descr="descript"/>
                    <pic:cNvPicPr/>
                  </pic:nvPicPr>
                  <pic:blipFill>
                    <a:blip r:embed="rId28"/>
                    <a:stretch>
                      <a:fillRect/>
                    </a:stretch>
                  </pic:blipFill>
                  <pic:spPr>
                    <a:xfrm>
                      <a:off x="0" y="0"/>
                      <a:ext cx="6172200" cy="1495169"/>
                    </a:xfrm>
                    <a:prstGeom prst="rect">
                      <a:avLst/>
                    </a:prstGeom>
                  </pic:spPr>
                </pic:pic>
              </a:graphicData>
            </a:graphic>
          </wp:inline>
        </w:drawing>
      </w:r>
    </w:p>
    <w:p w14:paraId="467FD117">
      <w:pPr>
        <w:pStyle w:val="5"/>
        <w:rPr>
          <w:rFonts w:ascii="Arial" w:hAnsi="Arial" w:cs="Arial" w:eastAsiaTheme="minorEastAsia"/>
          <w:sz w:val="52"/>
          <w:szCs w:val="52"/>
          <w:lang w:eastAsia="zh-CN"/>
        </w:rPr>
      </w:pPr>
      <w:r>
        <w:rPr>
          <w:rFonts w:hint="eastAsia" w:ascii="Arial" w:hAnsi="Arial" w:cs="Arial"/>
        </w:rPr>
        <w:t xml:space="preserve"> (A) Distribution of diagnostic concordance groups under the mixed-definition and culture-based suspected infection definitions. (B) Timing-based subgroups within Concordant Positive patients. (C) ICU Mortality rates under both definitions</w:t>
      </w:r>
      <w:r>
        <w:rPr>
          <w:rFonts w:hint="eastAsia" w:ascii="Arial" w:hAnsi="Arial" w:cs="Arial" w:eastAsiaTheme="minorEastAsia"/>
          <w:lang w:eastAsia="zh-CN"/>
        </w:rPr>
        <w:t>.</w:t>
      </w:r>
      <w:r>
        <w:rPr>
          <w:rFonts w:ascii="Arial" w:hAnsi="Arial" w:cs="Arial"/>
          <w:sz w:val="52"/>
          <w:szCs w:val="52"/>
          <w:lang w:eastAsia="zh-CN"/>
        </w:rPr>
        <w:br w:type="page"/>
      </w:r>
    </w:p>
    <w:p w14:paraId="4B943B90">
      <w:pPr>
        <w:pStyle w:val="28"/>
        <w:rPr>
          <w:rFonts w:eastAsiaTheme="minorEastAsia"/>
          <w:lang w:eastAsia="zh-CN"/>
        </w:rPr>
      </w:pPr>
      <w:bookmarkStart w:id="59" w:name="_Toc218072643"/>
      <w:bookmarkStart w:id="60" w:name="_Toc0nwcrg"/>
      <w:r>
        <w:rPr>
          <w:rFonts w:hint="eastAsia"/>
        </w:rPr>
        <w:t>Reference</w:t>
      </w:r>
      <w:bookmarkEnd w:id="59"/>
      <w:r>
        <w:rPr>
          <w:rFonts w:hint="eastAsia" w:eastAsiaTheme="minorEastAsia"/>
          <w:lang w:eastAsia="zh-CN"/>
        </w:rPr>
        <w:t>s</w:t>
      </w:r>
      <w:bookmarkEnd w:id="60"/>
    </w:p>
    <w:p w14:paraId="612401AC">
      <w:pPr>
        <w:pStyle w:val="37"/>
        <w:bidi w:val="0"/>
      </w:pPr>
      <w:r>
        <w:rPr>
          <w:rFonts w:ascii="Arial" w:hAnsi="Arial" w:cs="Arial" w:eastAsiaTheme="minorEastAsia"/>
          <w:lang w:eastAsia="zh-CN"/>
        </w:rPr>
        <w:fldChar w:fldCharType="begin"/>
      </w:r>
      <w:r>
        <w:rPr>
          <w:rFonts w:hint="eastAsia" w:ascii="Arial" w:hAnsi="Arial" w:cs="Arial" w:eastAsiaTheme="minorEastAsia"/>
          <w:lang w:eastAsia="zh-CN"/>
        </w:rPr>
        <w:instrText xml:space="preserve"> ADDIN ZOTERO_BIBL {"uncited":[],"omitted":[],"custom":[]} CSL_BIBLIOGRAPHY </w:instrText>
      </w:r>
      <w:r>
        <w:rPr>
          <w:rFonts w:ascii="Arial" w:hAnsi="Arial" w:cs="Arial" w:eastAsiaTheme="minorEastAsia"/>
          <w:lang w:eastAsia="zh-CN"/>
        </w:rPr>
        <w:fldChar w:fldCharType="separate"/>
      </w:r>
      <w:r>
        <w:t xml:space="preserve">1. Johnson AEW, Bulgarelli L, Shen L, Gayles A, Shammout A, Horng S, et al. MIMIC-IV, a freely accessible electronic health record dataset. Sci Data. 2023;10:1. </w:t>
      </w:r>
      <w:r>
        <w:fldChar w:fldCharType="begin"/>
      </w:r>
      <w:r>
        <w:instrText xml:space="preserve"> HYPERLINK "https://doi.org/10.1038/s41597-022-01899-x" </w:instrText>
      </w:r>
      <w:r>
        <w:fldChar w:fldCharType="separate"/>
      </w:r>
      <w:r>
        <w:t>https://doi.org/10.1038/s41597-022-01899-x</w:t>
      </w:r>
      <w:r>
        <w:fldChar w:fldCharType="end"/>
      </w:r>
      <w:r>
        <w:t>.</w:t>
      </w:r>
    </w:p>
    <w:p w14:paraId="64119A6E">
      <w:pPr>
        <w:pStyle w:val="37"/>
        <w:bidi w:val="0"/>
      </w:pPr>
      <w:r>
        <w:t xml:space="preserve">2. Pollard TJ, Johnson AEW, Raffa JD, Celi LA, Mark RG, Badawi O. The eICU Collaborative Research Database, a freely available multi-center database for critical care research. Sci Data. 2018;5:180178. </w:t>
      </w:r>
      <w:r>
        <w:fldChar w:fldCharType="begin"/>
      </w:r>
      <w:r>
        <w:instrText xml:space="preserve"> HYPERLINK "https://doi.org/10.1038/sdata.2018.178" </w:instrText>
      </w:r>
      <w:r>
        <w:fldChar w:fldCharType="separate"/>
      </w:r>
      <w:r>
        <w:t>https://doi.org/10.1038/sdata.2018.178</w:t>
      </w:r>
      <w:r>
        <w:fldChar w:fldCharType="end"/>
      </w:r>
      <w:r>
        <w:t>.</w:t>
      </w:r>
    </w:p>
    <w:p w14:paraId="629569B6">
      <w:pPr>
        <w:pStyle w:val="37"/>
        <w:bidi w:val="0"/>
      </w:pPr>
      <w:r>
        <w:t xml:space="preserve">3. Thoral PJ, Peppink JM, Driessen RH, Sijbrands EJG, Kompanje EJO, Kaplan L, et al. Sharing ICU Patient Data Responsibly Under the Society of Critical Care Medicine/European Society of Intensive Care Medicine Joint Data Science Collaboration: The Amsterdam University Medical Centers Database (AmsterdamUMCdb) Example. Crit Care Med. 2021;49:e563–77. </w:t>
      </w:r>
      <w:r>
        <w:fldChar w:fldCharType="begin"/>
      </w:r>
      <w:r>
        <w:instrText xml:space="preserve"> HYPERLINK "https://doi.org/10.1097/CCM.0000000000004916" </w:instrText>
      </w:r>
      <w:r>
        <w:fldChar w:fldCharType="separate"/>
      </w:r>
      <w:r>
        <w:t>https://doi.org/10.1097/CCM.0000000000004916</w:t>
      </w:r>
      <w:r>
        <w:fldChar w:fldCharType="end"/>
      </w:r>
      <w:r>
        <w:t>.</w:t>
      </w:r>
    </w:p>
    <w:p w14:paraId="31426ACF">
      <w:pPr>
        <w:pStyle w:val="37"/>
        <w:bidi w:val="0"/>
      </w:pPr>
      <w:r>
        <w:t xml:space="preserve">4. Vincent JL, Moreno R, Takala J, Willatts S, De Mendonça A, Bruining H, et al. The SOFA (Sepsis-related Organ Failure Assessment) score to describe organ dysfunction/failure. On behalf of the Working Group on Sepsis-Related Problems of the European Society of Intensive Care Medicine. Intensive Care Med. 1996;22:707–10. </w:t>
      </w:r>
      <w:r>
        <w:fldChar w:fldCharType="begin"/>
      </w:r>
      <w:r>
        <w:instrText xml:space="preserve"> HYPERLINK "https://doi.org/10.1007/BF01709751" </w:instrText>
      </w:r>
      <w:r>
        <w:fldChar w:fldCharType="separate"/>
      </w:r>
      <w:r>
        <w:t>https://doi.org/10.1007/BF01709751</w:t>
      </w:r>
      <w:r>
        <w:fldChar w:fldCharType="end"/>
      </w:r>
      <w:r>
        <w:t>.</w:t>
      </w:r>
    </w:p>
    <w:p w14:paraId="47D9A138">
      <w:pPr>
        <w:pStyle w:val="37"/>
        <w:bidi w:val="0"/>
      </w:pPr>
      <w:r>
        <w:t xml:space="preserve">5. Moreno R, Rhodes A, Ranzani O, Salluh JIF, Berger-Estilita J, Coopersmith CM, et al. Rationale and Methodological Approach Underlying the Development of the Sequential Organ Failure Assessment (SOFA)–2 Score: A Consensus Statement. JAMA Netw Open. 2025;8:e2545040. </w:t>
      </w:r>
      <w:r>
        <w:fldChar w:fldCharType="begin"/>
      </w:r>
      <w:r>
        <w:instrText xml:space="preserve"> HYPERLINK "https://doi.org/10.1001/jamanetworkopen.2025.45040" </w:instrText>
      </w:r>
      <w:r>
        <w:fldChar w:fldCharType="separate"/>
      </w:r>
      <w:r>
        <w:t>https://doi.org/10.1001/jamanetworkopen.2025.45040</w:t>
      </w:r>
      <w:r>
        <w:fldChar w:fldCharType="end"/>
      </w:r>
      <w:r>
        <w:t>.</w:t>
      </w:r>
    </w:p>
    <w:p w14:paraId="5FBA1835">
      <w:pPr>
        <w:pStyle w:val="37"/>
        <w:bidi w:val="0"/>
      </w:pPr>
      <w:r>
        <w:t>6. Singer M, Deutschman CS, Seymour CW, Shankar-Hari M, Ann</w:t>
      </w:r>
      <w:bookmarkStart w:id="61" w:name="_GoBack"/>
      <w:bookmarkEnd w:id="61"/>
      <w:r>
        <w:t xml:space="preserve">ane D, Bauer M, et al. The Third International Consensus Definitions for Sepsis and Septic Shock (Sepsis-3). JAMA. 2016;315:801–10. </w:t>
      </w:r>
      <w:r>
        <w:fldChar w:fldCharType="begin"/>
      </w:r>
      <w:r>
        <w:instrText xml:space="preserve"> HYPERLINK "https://doi.org/10.1001/jama.2016.0287" </w:instrText>
      </w:r>
      <w:r>
        <w:fldChar w:fldCharType="separate"/>
      </w:r>
      <w:r>
        <w:t>https://doi.org/10.1001/jama.2016.0287</w:t>
      </w:r>
      <w:r>
        <w:fldChar w:fldCharType="end"/>
      </w:r>
      <w:r>
        <w:t>.</w:t>
      </w:r>
    </w:p>
    <w:p w14:paraId="2A879DB5">
      <w:pPr>
        <w:pStyle w:val="37"/>
        <w:bidi w:val="0"/>
      </w:pPr>
      <w:r>
        <w:t xml:space="preserve">7. Pan W, Xu Z, Rajendran S, Wang F. An adaptive federated learning framework for clinical risk prediction with electronic health records from multiple hospitals. Patterns (N Y). 2024;5:100898. </w:t>
      </w:r>
      <w:r>
        <w:fldChar w:fldCharType="begin"/>
      </w:r>
      <w:r>
        <w:instrText xml:space="preserve"> HYPERLINK "https://doi.org/10.1016/j.patter.2023.100898" </w:instrText>
      </w:r>
      <w:r>
        <w:fldChar w:fldCharType="separate"/>
      </w:r>
      <w:r>
        <w:t>https://doi.org/10.1016/j.patter.2023.100898</w:t>
      </w:r>
      <w:r>
        <w:fldChar w:fldCharType="end"/>
      </w:r>
      <w:r>
        <w:t>.</w:t>
      </w:r>
    </w:p>
    <w:p w14:paraId="46766250">
      <w:pPr>
        <w:pStyle w:val="37"/>
        <w:bidi w:val="0"/>
      </w:pPr>
      <w:r>
        <w:t xml:space="preserve">8. Liu R, Greenstein JL, Fackler JC, Bembea MM, Winslow RL. Spectral clustering of risk score trajectories stratifies sepsis patients by clinical outcome and interventions received. Elife. 2020;9:e58142. </w:t>
      </w:r>
      <w:r>
        <w:fldChar w:fldCharType="begin"/>
      </w:r>
      <w:r>
        <w:instrText xml:space="preserve"> HYPERLINK "https://doi.org/10.7554/eLife.58142" </w:instrText>
      </w:r>
      <w:r>
        <w:fldChar w:fldCharType="separate"/>
      </w:r>
      <w:r>
        <w:t>https://doi.org/10.7554/eLife.58142</w:t>
      </w:r>
      <w:r>
        <w:fldChar w:fldCharType="end"/>
      </w:r>
      <w:r>
        <w:t>.</w:t>
      </w:r>
    </w:p>
    <w:p w14:paraId="35ADE2AB">
      <w:pPr>
        <w:pStyle w:val="37"/>
        <w:bidi w:val="0"/>
      </w:pPr>
      <w:r>
        <w:t xml:space="preserve">9. Yang M, Zhuang J, Hu W, Li J, Wang Y, Zhang Z, et al. Enhancing Patient Selection in Sepsis Clinical Trials Design Through an AI Enrichment Strategy: Algorithm Development and Validation. J Med Internet Res. 2024;26:e54621. </w:t>
      </w:r>
      <w:r>
        <w:fldChar w:fldCharType="begin"/>
      </w:r>
      <w:r>
        <w:instrText xml:space="preserve"> HYPERLINK "https://doi.org/10.2196/54621" </w:instrText>
      </w:r>
      <w:r>
        <w:fldChar w:fldCharType="separate"/>
      </w:r>
      <w:r>
        <w:t>https://doi.org/10.2196/54621</w:t>
      </w:r>
      <w:r>
        <w:fldChar w:fldCharType="end"/>
      </w:r>
      <w:r>
        <w:t>.</w:t>
      </w:r>
    </w:p>
    <w:p w14:paraId="5F1FA349">
      <w:pPr>
        <w:pStyle w:val="37"/>
        <w:bidi w:val="0"/>
      </w:pPr>
      <w:r>
        <w:t xml:space="preserve">10. Chandra J, Armengol de la Hoz MA, Lee G, Lee A, Thoral P, Elbers P, et al. A novel Vascular Leak Index identifies sepsis patients with a higher risk for in-hospital death and fluid accumulation. Crit Care. 2022;26:103. </w:t>
      </w:r>
      <w:r>
        <w:fldChar w:fldCharType="begin"/>
      </w:r>
      <w:r>
        <w:instrText xml:space="preserve"> HYPERLINK "https://doi.org/10.1186/s13054-022-03968-4" </w:instrText>
      </w:r>
      <w:r>
        <w:fldChar w:fldCharType="separate"/>
      </w:r>
      <w:r>
        <w:t>https://doi.org/10.1186/s13054-022-03968-4</w:t>
      </w:r>
      <w:r>
        <w:fldChar w:fldCharType="end"/>
      </w:r>
      <w:r>
        <w:t>.</w:t>
      </w:r>
    </w:p>
    <w:p w14:paraId="6CFD97DF">
      <w:pPr>
        <w:pStyle w:val="37"/>
        <w:bidi w:val="0"/>
      </w:pPr>
      <w:r>
        <w:t xml:space="preserve">11. Bennett N, Plečko D, Ukor I-F, Meinshausen N, Bühlmann P. ricu: R’s interface to intensive care data. GigaScience. 2022;12:giad041. </w:t>
      </w:r>
      <w:r>
        <w:fldChar w:fldCharType="begin"/>
      </w:r>
      <w:r>
        <w:instrText xml:space="preserve"> HYPERLINK "https://doi.org/10.1093/gigascience/giad041" </w:instrText>
      </w:r>
      <w:r>
        <w:fldChar w:fldCharType="separate"/>
      </w:r>
      <w:r>
        <w:t>https://doi.org/10.1093/gigascience/giad041</w:t>
      </w:r>
      <w:r>
        <w:fldChar w:fldCharType="end"/>
      </w:r>
      <w:r>
        <w:t>.</w:t>
      </w:r>
    </w:p>
    <w:p w14:paraId="48DF5D09">
      <w:pPr>
        <w:pStyle w:val="37"/>
        <w:bidi w:val="0"/>
      </w:pPr>
      <w:r>
        <w:fldChar w:fldCharType="end"/>
      </w:r>
    </w:p>
    <w:p w14:paraId="44EB3461">
      <w:pPr>
        <w:pStyle w:val="37"/>
        <w:bidi w:val="0"/>
      </w:pPr>
    </w:p>
    <w:sectPr>
      <w:type w:val="continuous"/>
      <w:pgSz w:w="12240" w:h="15840"/>
      <w:pgMar w:top="1300" w:right="1080" w:bottom="1040" w:left="1440" w:header="0" w:footer="844" w:gutter="0"/>
      <w:lnNumType w:countBy="1" w:restart="continuous"/>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Times New Roman"/>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Helvetica Neue">
    <w:panose1 w:val="02000503000000020004"/>
    <w:charset w:val="00"/>
    <w:family w:val="auto"/>
    <w:pitch w:val="default"/>
    <w:sig w:usb0="E50002FF" w:usb1="500079DB" w:usb2="00000010" w:usb3="00000000" w:csb0="00000000" w:csb1="00000000"/>
  </w:font>
  <w:font w:name="Cambria">
    <w:altName w:val="苹方-简"/>
    <w:panose1 w:val="02040503050406030204"/>
    <w:charset w:val="00"/>
    <w:family w:val="roman"/>
    <w:pitch w:val="default"/>
    <w:sig w:usb0="00000000" w:usb1="00000000" w:usb2="02000000" w:usb3="00000000" w:csb0="0000019F" w:csb1="00000000"/>
  </w:font>
  <w:font w:name="苹方-简">
    <w:panose1 w:val="020B0400000000000000"/>
    <w:charset w:val="86"/>
    <w:family w:val="auto"/>
    <w:pitch w:val="default"/>
    <w:sig w:usb0="A00002FF" w:usb1="7ACFFDFB" w:usb2="00000017" w:usb3="00000000" w:csb0="00040001" w:csb1="00000000"/>
  </w:font>
  <w:font w:name="wingdings">
    <w:panose1 w:val="05000000000000000000"/>
    <w:charset w:val="00"/>
    <w:family w:val="auto"/>
    <w:pitch w:val="default"/>
    <w:sig w:usb0="00000000" w:usb1="00000000" w:usb2="00000000" w:usb3="00000000" w:csb0="80000000" w:csb1="00000000"/>
  </w:font>
  <w:font w:name="Trebuchet MS">
    <w:panose1 w:val="020B0603020202020204"/>
    <w:charset w:val="00"/>
    <w:family w:val="swiss"/>
    <w:pitch w:val="default"/>
    <w:sig w:usb0="00000287" w:usb1="00000000" w:usb2="00000000" w:usb3="00000000" w:csb0="2000009F"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PingFang SC">
    <w:panose1 w:val="020B0400000000000000"/>
    <w:charset w:val="86"/>
    <w:family w:val="auto"/>
    <w:pitch w:val="default"/>
    <w:sig w:usb0="A00002FF" w:usb1="7ACFFDFB" w:usb2="00000017" w:usb3="00000000" w:csb0="00040001" w:csb1="00000000"/>
  </w:font>
  <w:font w:name="Tahoma">
    <w:panose1 w:val="020B0604030504040204"/>
    <w:charset w:val="00"/>
    <w:family w:val="auto"/>
    <w:pitch w:val="default"/>
    <w:sig w:usb0="E1002A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73A987">
    <w:pPr>
      <w:pStyle w:val="5"/>
      <w:spacing w:line="14" w:lineRule="auto"/>
      <w:rPr>
        <w:sz w:val="20"/>
      </w:rPr>
    </w:pPr>
    <w:r>
      <w:rPr>
        <w:sz w:val="20"/>
      </w:rPr>
      <mc:AlternateContent>
        <mc:Choice Requires="wps">
          <w:drawing>
            <wp:anchor distT="0" distB="0" distL="0" distR="0" simplePos="0" relativeHeight="251660288" behindDoc="1" locked="0" layoutInCell="1" allowOverlap="1">
              <wp:simplePos x="0" y="0"/>
              <wp:positionH relativeFrom="page">
                <wp:posOffset>3803650</wp:posOffset>
              </wp:positionH>
              <wp:positionV relativeFrom="page">
                <wp:posOffset>9382760</wp:posOffset>
              </wp:positionV>
              <wp:extent cx="164465" cy="192405"/>
              <wp:effectExtent l="0" t="0" r="0" b="0"/>
              <wp:wrapNone/>
              <wp:docPr id="66" name="Textbox 1"/>
              <wp:cNvGraphicFramePr/>
              <a:graphic xmlns:a="http://schemas.openxmlformats.org/drawingml/2006/main">
                <a:graphicData uri="http://schemas.microsoft.com/office/word/2010/wordprocessingShape">
                  <wps:wsp>
                    <wps:cNvSpPr txBox="1"/>
                    <wps:spPr>
                      <a:xfrm>
                        <a:off x="0" y="0"/>
                        <a:ext cx="164465" cy="192405"/>
                      </a:xfrm>
                      <a:prstGeom prst="rect">
                        <a:avLst/>
                      </a:prstGeom>
                    </wps:spPr>
                    <wps:txbx>
                      <w:txbxContent>
                        <w:p w14:paraId="32FC3CDC">
                          <w:pPr>
                            <w:spacing w:before="16"/>
                            <w:ind w:left="20"/>
                            <w:rPr>
                              <w:rFonts w:eastAsiaTheme="minorEastAsia"/>
                              <w:spacing w:val="-5"/>
                              <w:lang w:eastAsia="zh-CN"/>
                            </w:rPr>
                          </w:pPr>
                        </w:p>
                        <w:p w14:paraId="3B2AC433">
                          <w:pPr>
                            <w:spacing w:before="16"/>
                            <w:ind w:left="20"/>
                            <w:rPr>
                              <w:rFonts w:eastAsiaTheme="minorEastAsia"/>
                              <w:lang w:eastAsia="zh-CN"/>
                            </w:rPr>
                          </w:pPr>
                        </w:p>
                      </w:txbxContent>
                    </wps:txbx>
                    <wps:bodyPr wrap="square" lIns="0" tIns="0" rIns="0" bIns="0" rtlCol="0">
                      <a:noAutofit/>
                    </wps:bodyPr>
                  </wps:wsp>
                </a:graphicData>
              </a:graphic>
            </wp:anchor>
          </w:drawing>
        </mc:Choice>
        <mc:Fallback>
          <w:pict>
            <v:shape id="Textbox 1" o:spid="_x0000_s1026" o:spt="202" type="#_x0000_t202" style="position:absolute;left:0pt;margin-left:299.5pt;margin-top:738.8pt;height:15.15pt;width:12.95pt;mso-position-horizontal-relative:page;mso-position-vertical-relative:page;z-index:-251656192;mso-width-relative:page;mso-height-relative:page;" filled="f" stroked="f" coordsize="21600,21600" o:gfxdata="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DGXjtC2wAAAA0BAAAPAAAAAAAAAAEAIAAAACIAAABkcnMvZG93bnJldi54bWxQSwECFAAUAAAA&#10;CACHTuJAEtY0xrIBAAB0AwAADgAAAAAAAAABACAAAAAqAQAAZHJzL2Uyb0RvYy54bWxQSwUGAAAA&#10;AAYABgBZAQAATgUAAAAA&#10;">
              <v:fill on="f" focussize="0,0"/>
              <v:stroke on="f"/>
              <v:imagedata o:title=""/>
              <o:lock v:ext="edit" aspectratio="f"/>
              <v:textbox inset="0mm,0mm,0mm,0mm">
                <w:txbxContent>
                  <w:p w14:paraId="32FC3CDC">
                    <w:pPr>
                      <w:spacing w:before="16"/>
                      <w:ind w:left="20"/>
                      <w:rPr>
                        <w:rFonts w:eastAsiaTheme="minorEastAsia"/>
                        <w:spacing w:val="-5"/>
                        <w:lang w:eastAsia="zh-CN"/>
                      </w:rPr>
                    </w:pPr>
                  </w:p>
                  <w:p w14:paraId="3B2AC433">
                    <w:pPr>
                      <w:spacing w:before="16"/>
                      <w:ind w:left="20"/>
                      <w:rPr>
                        <w:rFonts w:eastAsiaTheme="minorEastAsia"/>
                        <w:lang w:eastAsia="zh-CN"/>
                      </w:rPr>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FE00DC">
    <w:pPr>
      <w:pStyle w:val="5"/>
      <w:spacing w:line="14" w:lineRule="auto"/>
      <w:rPr>
        <w:sz w:val="20"/>
      </w:rPr>
    </w:pPr>
    <w:r>
      <w:rPr>
        <w:sz w:val="20"/>
      </w:rPr>
      <mc:AlternateContent>
        <mc:Choice Requires="wps">
          <w:drawing>
            <wp:anchor distT="0" distB="0" distL="0" distR="0" simplePos="0" relativeHeight="251661312" behindDoc="1" locked="0" layoutInCell="1" allowOverlap="1">
              <wp:simplePos x="0" y="0"/>
              <wp:positionH relativeFrom="page">
                <wp:posOffset>3803650</wp:posOffset>
              </wp:positionH>
              <wp:positionV relativeFrom="page">
                <wp:posOffset>9382760</wp:posOffset>
              </wp:positionV>
              <wp:extent cx="164465" cy="192405"/>
              <wp:effectExtent l="0" t="0" r="0" b="0"/>
              <wp:wrapNone/>
              <wp:docPr id="68" name="Textbox 1"/>
              <wp:cNvGraphicFramePr/>
              <a:graphic xmlns:a="http://schemas.openxmlformats.org/drawingml/2006/main">
                <a:graphicData uri="http://schemas.microsoft.com/office/word/2010/wordprocessingShape">
                  <wps:wsp>
                    <wps:cNvSpPr txBox="1"/>
                    <wps:spPr>
                      <a:xfrm>
                        <a:off x="0" y="0"/>
                        <a:ext cx="164465" cy="192405"/>
                      </a:xfrm>
                      <a:prstGeom prst="rect">
                        <a:avLst/>
                      </a:prstGeom>
                    </wps:spPr>
                    <wps:txbx>
                      <w:txbxContent>
                        <w:p w14:paraId="3C747B9B">
                          <w:pPr>
                            <w:spacing w:before="16"/>
                            <w:ind w:left="2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wps:txbx>
                    <wps:bodyPr wrap="square" lIns="0" tIns="0" rIns="0" bIns="0" rtlCol="0">
                      <a:noAutofit/>
                    </wps:bodyPr>
                  </wps:wsp>
                </a:graphicData>
              </a:graphic>
            </wp:anchor>
          </w:drawing>
        </mc:Choice>
        <mc:Fallback>
          <w:pict>
            <v:shape id="Textbox 1" o:spid="_x0000_s1026" o:spt="202" type="#_x0000_t202" style="position:absolute;left:0pt;margin-left:299.5pt;margin-top:738.8pt;height:15.15pt;width:12.95pt;mso-position-horizontal-relative:page;mso-position-vertical-relative:page;z-index:-251655168;mso-width-relative:page;mso-height-relative:page;" filled="f" stroked="f" coordsize="21600,21600" o:gfxdata="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MZeO0LbAAAADQEAAA8AAAAAAAAAAQAgAAAAIgAAAGRycy9kb3ducmV2LnhtbFBLAQIUABQAAAAI&#10;AIdO4kA7z4f5sQEAAHQDAAAOAAAAAAAAAAEAIAAAACoBAABkcnMvZTJvRG9jLnhtbFBLBQYAAAAA&#10;BgAGAFkBAABNBQAAAAA=&#10;">
              <v:fill on="f" focussize="0,0"/>
              <v:stroke on="f"/>
              <v:imagedata o:title=""/>
              <o:lock v:ext="edit" aspectratio="f"/>
              <v:textbox inset="0mm,0mm,0mm,0mm">
                <w:txbxContent>
                  <w:p w14:paraId="3C747B9B">
                    <w:pPr>
                      <w:spacing w:before="16"/>
                      <w:ind w:left="2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8629CA">
    <w:pPr>
      <w:pStyle w:val="5"/>
      <w:spacing w:line="14" w:lineRule="auto"/>
      <w:rPr>
        <w:sz w:val="20"/>
      </w:rPr>
    </w:pPr>
    <w:r>
      <w:rPr>
        <w:sz w:val="20"/>
      </w:rPr>
      <mc:AlternateContent>
        <mc:Choice Requires="wps">
          <w:drawing>
            <wp:anchor distT="0" distB="0" distL="0" distR="0" simplePos="0" relativeHeight="251659264" behindDoc="1" locked="0" layoutInCell="1" allowOverlap="1">
              <wp:simplePos x="0" y="0"/>
              <wp:positionH relativeFrom="page">
                <wp:posOffset>3803650</wp:posOffset>
              </wp:positionH>
              <wp:positionV relativeFrom="page">
                <wp:posOffset>9382760</wp:posOffset>
              </wp:positionV>
              <wp:extent cx="164465" cy="192405"/>
              <wp:effectExtent l="0" t="0" r="0" b="0"/>
              <wp:wrapNone/>
              <wp:docPr id="64" name="Textbox 1"/>
              <wp:cNvGraphicFramePr/>
              <a:graphic xmlns:a="http://schemas.openxmlformats.org/drawingml/2006/main">
                <a:graphicData uri="http://schemas.microsoft.com/office/word/2010/wordprocessingShape">
                  <wps:wsp>
                    <wps:cNvSpPr txBox="1"/>
                    <wps:spPr>
                      <a:xfrm>
                        <a:off x="0" y="0"/>
                        <a:ext cx="164465" cy="192405"/>
                      </a:xfrm>
                      <a:prstGeom prst="rect">
                        <a:avLst/>
                      </a:prstGeom>
                    </wps:spPr>
                    <wps:txbx>
                      <w:txbxContent>
                        <w:p w14:paraId="7BC77902">
                          <w:pPr>
                            <w:spacing w:before="16"/>
                            <w:ind w:left="2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wps:txbx>
                    <wps:bodyPr wrap="square" lIns="0" tIns="0" rIns="0" bIns="0" rtlCol="0">
                      <a:noAutofit/>
                    </wps:bodyPr>
                  </wps:wsp>
                </a:graphicData>
              </a:graphic>
            </wp:anchor>
          </w:drawing>
        </mc:Choice>
        <mc:Fallback>
          <w:pict>
            <v:shape id="Textbox 1" o:spid="_x0000_s1026" o:spt="202" type="#_x0000_t202" style="position:absolute;left:0pt;margin-left:299.5pt;margin-top:738.8pt;height:15.15pt;width:12.95pt;mso-position-horizontal-relative:page;mso-position-vertical-relative:page;z-index:-251657216;mso-width-relative:page;mso-height-relative:page;" filled="f" stroked="f" coordsize="21600,21600" o:gfxdata="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DGXjtC2wAAAA0BAAAPAAAAAAAAAAEAIAAAACIAAABkcnMvZG93bnJldi54bWxQSwECFAAUAAAA&#10;CACHTuJARwopRbIBAAB0AwAADgAAAAAAAAABACAAAAAqAQAAZHJzL2Uyb0RvYy54bWxQSwUGAAAA&#10;AAYABgBZAQAATgUAAAAA&#10;">
              <v:fill on="f" focussize="0,0"/>
              <v:stroke on="f"/>
              <v:imagedata o:title=""/>
              <o:lock v:ext="edit" aspectratio="f"/>
              <v:textbox inset="0mm,0mm,0mm,0mm">
                <w:txbxContent>
                  <w:p w14:paraId="7BC77902">
                    <w:pPr>
                      <w:spacing w:before="16"/>
                      <w:ind w:left="2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E3C2BA">
    <w:pPr>
      <w:pStyle w:val="10"/>
      <w:rPr>
        <w:rFonts w:eastAsiaTheme="minorEastAsia"/>
        <w:lang w:eastAsia="zh-CN"/>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25E082">
    <w:pPr>
      <w:pStyle w:val="10"/>
      <w:rPr>
        <w:rFonts w:eastAsiaTheme="minor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FBC0A4C"/>
    <w:multiLevelType w:val="multilevel"/>
    <w:tmpl w:val="EFBC0A4C"/>
    <w:lvl w:ilvl="0" w:tentative="0">
      <w:start w:val="1"/>
      <w:numFmt w:val="bullet"/>
      <w:lvlText w:val=""/>
      <w:lvlJc w:val="left"/>
      <w:pPr>
        <w:ind w:left="449" w:hanging="336"/>
      </w:pPr>
      <w:rPr>
        <w:rFonts w:hint="default" w:ascii="wingdings" w:hAnsi="wingdings" w:eastAsia="wingdings" w:cs="wingdings"/>
        <w:spacing w:val="0"/>
        <w:sz w:val="20"/>
      </w:rPr>
    </w:lvl>
    <w:lvl w:ilvl="1" w:tentative="0">
      <w:start w:val="1"/>
      <w:numFmt w:val="bullet"/>
      <w:lvlText w:val="¡"/>
      <w:lvlJc w:val="left"/>
      <w:pPr>
        <w:ind w:left="889" w:hanging="336"/>
      </w:pPr>
      <w:rPr>
        <w:rFonts w:hint="default" w:ascii="wingdings" w:hAnsi="wingdings" w:cs="wingdings"/>
      </w:rPr>
    </w:lvl>
    <w:lvl w:ilvl="2" w:tentative="0">
      <w:start w:val="1"/>
      <w:numFmt w:val="bullet"/>
      <w:lvlText w:val=""/>
      <w:lvlJc w:val="left"/>
      <w:pPr>
        <w:ind w:left="1329" w:hanging="336"/>
      </w:pPr>
      <w:rPr>
        <w:rFonts w:hint="default" w:ascii="wingdings" w:hAnsi="wingdings" w:cs="wingdings"/>
      </w:rPr>
    </w:lvl>
    <w:lvl w:ilvl="3" w:tentative="0">
      <w:start w:val="1"/>
      <w:numFmt w:val="bullet"/>
      <w:lvlText w:val=""/>
      <w:lvlJc w:val="left"/>
      <w:pPr>
        <w:ind w:left="1769" w:hanging="336"/>
      </w:pPr>
      <w:rPr>
        <w:rFonts w:hint="default" w:ascii="wingdings" w:hAnsi="wingdings" w:cs="wingdings"/>
      </w:rPr>
    </w:lvl>
    <w:lvl w:ilvl="4" w:tentative="0">
      <w:start w:val="1"/>
      <w:numFmt w:val="bullet"/>
      <w:lvlText w:val="¡"/>
      <w:lvlJc w:val="left"/>
      <w:pPr>
        <w:ind w:left="2209" w:hanging="336"/>
      </w:pPr>
      <w:rPr>
        <w:rFonts w:hint="default" w:ascii="wingdings" w:hAnsi="wingdings" w:cs="wingdings"/>
      </w:rPr>
    </w:lvl>
    <w:lvl w:ilvl="5" w:tentative="0">
      <w:start w:val="1"/>
      <w:numFmt w:val="bullet"/>
      <w:lvlText w:val=""/>
      <w:lvlJc w:val="left"/>
      <w:pPr>
        <w:ind w:left="2649" w:hanging="336"/>
      </w:pPr>
      <w:rPr>
        <w:rFonts w:hint="default" w:ascii="wingdings" w:hAnsi="wingdings" w:cs="wingdings"/>
      </w:rPr>
    </w:lvl>
    <w:lvl w:ilvl="6" w:tentative="0">
      <w:start w:val="1"/>
      <w:numFmt w:val="bullet"/>
      <w:lvlText w:val=""/>
      <w:lvlJc w:val="left"/>
      <w:pPr>
        <w:ind w:left="3089" w:hanging="336"/>
      </w:pPr>
      <w:rPr>
        <w:rFonts w:hint="default" w:ascii="wingdings" w:hAnsi="wingdings" w:cs="wingdings"/>
      </w:rPr>
    </w:lvl>
    <w:lvl w:ilvl="7" w:tentative="0">
      <w:start w:val="1"/>
      <w:numFmt w:val="bullet"/>
      <w:lvlText w:val="¡"/>
      <w:lvlJc w:val="left"/>
      <w:pPr>
        <w:ind w:left="3529" w:hanging="336"/>
      </w:pPr>
      <w:rPr>
        <w:rFonts w:hint="default" w:ascii="wingdings" w:hAnsi="wingdings" w:cs="wingdings"/>
      </w:rPr>
    </w:lvl>
    <w:lvl w:ilvl="8" w:tentative="0">
      <w:start w:val="1"/>
      <w:numFmt w:val="bullet"/>
      <w:lvlText w:val=""/>
      <w:lvlJc w:val="left"/>
      <w:pPr>
        <w:ind w:left="3969" w:hanging="336"/>
      </w:pPr>
      <w:rPr>
        <w:rFonts w:hint="default" w:ascii="wingdings" w:hAnsi="wingdings" w:cs="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9"/>
  <w:bordersDoNotSurroundHeader w:val="0"/>
  <w:bordersDoNotSurroundFooter w:val="0"/>
  <w:trackRevisions w:val="1"/>
  <w:documentProtection w:enforcement="0"/>
  <w:defaultTabStop w:val="720"/>
  <w:drawingGridHorizontalSpacing w:val="110"/>
  <w:displayHorizontalDrawingGridEvery w:val="1"/>
  <w:displayVerticalDrawingGridEvery w:val="1"/>
  <w:noPunctuationKerning w:val="1"/>
  <w:characterSpacingControl w:val="doNotCompress"/>
  <w:compat>
    <w:ulTrailSpac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10358"/>
    <w:rsid w:val="000130CF"/>
    <w:rsid w:val="00022402"/>
    <w:rsid w:val="00023D8B"/>
    <w:rsid w:val="0003713E"/>
    <w:rsid w:val="000707A7"/>
    <w:rsid w:val="000A7153"/>
    <w:rsid w:val="000B10F9"/>
    <w:rsid w:val="000B26C1"/>
    <w:rsid w:val="000C7609"/>
    <w:rsid w:val="000E70EF"/>
    <w:rsid w:val="00115EB8"/>
    <w:rsid w:val="00132C78"/>
    <w:rsid w:val="001363BD"/>
    <w:rsid w:val="00172A27"/>
    <w:rsid w:val="00173010"/>
    <w:rsid w:val="001C28E0"/>
    <w:rsid w:val="001F2F30"/>
    <w:rsid w:val="00215155"/>
    <w:rsid w:val="00231FA0"/>
    <w:rsid w:val="00240DCF"/>
    <w:rsid w:val="00280211"/>
    <w:rsid w:val="002B678E"/>
    <w:rsid w:val="002C6835"/>
    <w:rsid w:val="002C6E9F"/>
    <w:rsid w:val="002D6EAC"/>
    <w:rsid w:val="002E0FE3"/>
    <w:rsid w:val="002F63BD"/>
    <w:rsid w:val="003101E0"/>
    <w:rsid w:val="0031272C"/>
    <w:rsid w:val="00313DCC"/>
    <w:rsid w:val="0034464D"/>
    <w:rsid w:val="00344B4B"/>
    <w:rsid w:val="003525DA"/>
    <w:rsid w:val="003536D7"/>
    <w:rsid w:val="00360B25"/>
    <w:rsid w:val="003626D4"/>
    <w:rsid w:val="003B61BD"/>
    <w:rsid w:val="003D7A2F"/>
    <w:rsid w:val="003F13A5"/>
    <w:rsid w:val="00400FEA"/>
    <w:rsid w:val="0045368C"/>
    <w:rsid w:val="004712F7"/>
    <w:rsid w:val="0048622A"/>
    <w:rsid w:val="004A1A5D"/>
    <w:rsid w:val="004C1183"/>
    <w:rsid w:val="004E31CE"/>
    <w:rsid w:val="004E5671"/>
    <w:rsid w:val="00503073"/>
    <w:rsid w:val="00513163"/>
    <w:rsid w:val="0054697C"/>
    <w:rsid w:val="005623C1"/>
    <w:rsid w:val="005A3F53"/>
    <w:rsid w:val="005E3D23"/>
    <w:rsid w:val="005F6690"/>
    <w:rsid w:val="00604078"/>
    <w:rsid w:val="006430A3"/>
    <w:rsid w:val="006458A3"/>
    <w:rsid w:val="00656E3A"/>
    <w:rsid w:val="006A03B2"/>
    <w:rsid w:val="006A2B76"/>
    <w:rsid w:val="006B5387"/>
    <w:rsid w:val="006B6054"/>
    <w:rsid w:val="006C7320"/>
    <w:rsid w:val="006D0530"/>
    <w:rsid w:val="007050F8"/>
    <w:rsid w:val="007110A0"/>
    <w:rsid w:val="0072550E"/>
    <w:rsid w:val="00745F49"/>
    <w:rsid w:val="007560BA"/>
    <w:rsid w:val="007714C2"/>
    <w:rsid w:val="00775F70"/>
    <w:rsid w:val="007B6336"/>
    <w:rsid w:val="007E4894"/>
    <w:rsid w:val="0080544A"/>
    <w:rsid w:val="00837997"/>
    <w:rsid w:val="00871A78"/>
    <w:rsid w:val="00894936"/>
    <w:rsid w:val="008B0C4C"/>
    <w:rsid w:val="008B1097"/>
    <w:rsid w:val="008C7D1E"/>
    <w:rsid w:val="00904BCC"/>
    <w:rsid w:val="009275A4"/>
    <w:rsid w:val="00962A57"/>
    <w:rsid w:val="009742E4"/>
    <w:rsid w:val="0098312D"/>
    <w:rsid w:val="009B1CD4"/>
    <w:rsid w:val="00A219FF"/>
    <w:rsid w:val="00B1056D"/>
    <w:rsid w:val="00B43179"/>
    <w:rsid w:val="00B879FE"/>
    <w:rsid w:val="00BE5957"/>
    <w:rsid w:val="00BE7A19"/>
    <w:rsid w:val="00BF2AD3"/>
    <w:rsid w:val="00BF4C0D"/>
    <w:rsid w:val="00C35EBA"/>
    <w:rsid w:val="00C44158"/>
    <w:rsid w:val="00C520D6"/>
    <w:rsid w:val="00C6416A"/>
    <w:rsid w:val="00C81194"/>
    <w:rsid w:val="00C836B3"/>
    <w:rsid w:val="00CA3C5B"/>
    <w:rsid w:val="00CA5795"/>
    <w:rsid w:val="00CC4F83"/>
    <w:rsid w:val="00D55CE9"/>
    <w:rsid w:val="00D60A87"/>
    <w:rsid w:val="00D60C63"/>
    <w:rsid w:val="00DB01D1"/>
    <w:rsid w:val="00DB1C87"/>
    <w:rsid w:val="00DD065B"/>
    <w:rsid w:val="00E02215"/>
    <w:rsid w:val="00E14E4B"/>
    <w:rsid w:val="00E22D48"/>
    <w:rsid w:val="00E56BFD"/>
    <w:rsid w:val="00E56E48"/>
    <w:rsid w:val="00E664EB"/>
    <w:rsid w:val="00E66829"/>
    <w:rsid w:val="00E72E9A"/>
    <w:rsid w:val="00E8197B"/>
    <w:rsid w:val="00E81D9B"/>
    <w:rsid w:val="00E87164"/>
    <w:rsid w:val="00EB0E05"/>
    <w:rsid w:val="00EB12BA"/>
    <w:rsid w:val="00ED3E53"/>
    <w:rsid w:val="00ED7E37"/>
    <w:rsid w:val="00EF64E8"/>
    <w:rsid w:val="00F1403F"/>
    <w:rsid w:val="00F16997"/>
    <w:rsid w:val="00F301A0"/>
    <w:rsid w:val="00F537A6"/>
    <w:rsid w:val="00F72422"/>
    <w:rsid w:val="00F80C4F"/>
    <w:rsid w:val="00F9698A"/>
    <w:rsid w:val="00FD6506"/>
    <w:rsid w:val="1FDDE679"/>
    <w:rsid w:val="2A757E31"/>
    <w:rsid w:val="2FD7D8B8"/>
    <w:rsid w:val="3E7DF5C0"/>
    <w:rsid w:val="3FBEBCF7"/>
    <w:rsid w:val="3FE17AB9"/>
    <w:rsid w:val="3FF7E2B2"/>
    <w:rsid w:val="6538402D"/>
    <w:rsid w:val="6FFFF8DF"/>
    <w:rsid w:val="7BF431F6"/>
    <w:rsid w:val="7BFB4C31"/>
    <w:rsid w:val="7F8FF5AD"/>
    <w:rsid w:val="7FFC6D59"/>
    <w:rsid w:val="7FFFE13F"/>
    <w:rsid w:val="9FFBC324"/>
    <w:rsid w:val="B7CECC83"/>
    <w:rsid w:val="BAD39AA4"/>
    <w:rsid w:val="BBE6F79E"/>
    <w:rsid w:val="BD879C03"/>
    <w:rsid w:val="CBD6FBD5"/>
    <w:rsid w:val="CFF32C6D"/>
    <w:rsid w:val="DBFF38FE"/>
    <w:rsid w:val="DCFBDEE6"/>
    <w:rsid w:val="DEF3723C"/>
    <w:rsid w:val="EF77DF5D"/>
    <w:rsid w:val="F37B20AA"/>
    <w:rsid w:val="FBB99078"/>
    <w:rsid w:val="FCB5367F"/>
    <w:rsid w:val="FDFFEFFD"/>
    <w:rsid w:val="FE7F573E"/>
    <w:rsid w:val="FF2F880A"/>
    <w:rsid w:val="FFC7FE81"/>
    <w:rsid w:val="FFFE87AA"/>
  </w:rsids>
  <m:mathPr>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utoSpaceDE w:val="0"/>
      <w:autoSpaceDN w:val="0"/>
    </w:pPr>
    <w:rPr>
      <w:rFonts w:ascii="Times New Roman" w:hAnsi="Times New Roman" w:eastAsia="Times New Roman" w:cs="Times New Roman"/>
      <w:sz w:val="22"/>
      <w:szCs w:val="22"/>
      <w:lang w:val="en-US" w:eastAsia="en-US" w:bidi="ar-SA"/>
    </w:rPr>
  </w:style>
  <w:style w:type="paragraph" w:styleId="2">
    <w:name w:val="heading 1"/>
    <w:basedOn w:val="1"/>
    <w:link w:val="27"/>
    <w:qFormat/>
    <w:uiPriority w:val="9"/>
    <w:pPr>
      <w:spacing w:before="91"/>
      <w:outlineLvl w:val="0"/>
    </w:pPr>
    <w:rPr>
      <w:b/>
      <w:bCs/>
      <w:sz w:val="18"/>
      <w:szCs w:val="18"/>
    </w:rPr>
  </w:style>
  <w:style w:type="paragraph" w:styleId="3">
    <w:name w:val="heading 3"/>
    <w:basedOn w:val="1"/>
    <w:next w:val="1"/>
    <w:link w:val="31"/>
    <w:semiHidden/>
    <w:unhideWhenUsed/>
    <w:qFormat/>
    <w:uiPriority w:val="9"/>
    <w:pPr>
      <w:keepNext/>
      <w:keepLines/>
      <w:spacing w:before="260" w:after="260" w:line="416" w:lineRule="auto"/>
      <w:outlineLvl w:val="2"/>
    </w:pPr>
    <w:rPr>
      <w:b/>
      <w:bCs/>
      <w:sz w:val="32"/>
      <w:szCs w:val="32"/>
    </w:rPr>
  </w:style>
  <w:style w:type="character" w:default="1" w:styleId="19">
    <w:name w:val="Default Paragraph Font"/>
    <w:unhideWhenUsed/>
    <w:uiPriority w:val="1"/>
  </w:style>
  <w:style w:type="table" w:default="1" w:styleId="17">
    <w:name w:val="Normal Table"/>
    <w:semiHidden/>
    <w:unhideWhenUsed/>
    <w:uiPriority w:val="99"/>
    <w:tblPr>
      <w:tblCellMar>
        <w:top w:w="0" w:type="dxa"/>
        <w:left w:w="108" w:type="dxa"/>
        <w:bottom w:w="0" w:type="dxa"/>
        <w:right w:w="108" w:type="dxa"/>
      </w:tblCellMar>
    </w:tblPr>
  </w:style>
  <w:style w:type="paragraph" w:styleId="4">
    <w:name w:val="toc 7"/>
    <w:basedOn w:val="1"/>
    <w:next w:val="1"/>
    <w:autoRedefine/>
    <w:unhideWhenUsed/>
    <w:qFormat/>
    <w:uiPriority w:val="39"/>
    <w:pPr>
      <w:ind w:left="1100"/>
    </w:pPr>
    <w:rPr>
      <w:rFonts w:asciiTheme="minorHAnsi" w:hAnsiTheme="minorHAnsi" w:cstheme="minorHAnsi"/>
      <w:sz w:val="20"/>
      <w:szCs w:val="20"/>
    </w:rPr>
  </w:style>
  <w:style w:type="paragraph" w:styleId="5">
    <w:name w:val="Body Text"/>
    <w:basedOn w:val="1"/>
    <w:link w:val="32"/>
    <w:qFormat/>
    <w:uiPriority w:val="1"/>
    <w:rPr>
      <w:sz w:val="16"/>
      <w:szCs w:val="16"/>
    </w:rPr>
  </w:style>
  <w:style w:type="paragraph" w:styleId="6">
    <w:name w:val="toc 5"/>
    <w:basedOn w:val="1"/>
    <w:next w:val="1"/>
    <w:autoRedefine/>
    <w:unhideWhenUsed/>
    <w:qFormat/>
    <w:uiPriority w:val="39"/>
    <w:pPr>
      <w:ind w:left="660"/>
    </w:pPr>
    <w:rPr>
      <w:rFonts w:asciiTheme="minorHAnsi" w:hAnsiTheme="minorHAnsi" w:cstheme="minorHAnsi"/>
      <w:sz w:val="20"/>
      <w:szCs w:val="20"/>
    </w:rPr>
  </w:style>
  <w:style w:type="paragraph" w:styleId="7">
    <w:name w:val="toc 3"/>
    <w:basedOn w:val="1"/>
    <w:next w:val="1"/>
    <w:autoRedefine/>
    <w:unhideWhenUsed/>
    <w:qFormat/>
    <w:uiPriority w:val="39"/>
    <w:pPr>
      <w:ind w:left="220"/>
    </w:pPr>
    <w:rPr>
      <w:rFonts w:asciiTheme="minorHAnsi" w:hAnsiTheme="minorHAnsi" w:cstheme="minorHAnsi"/>
      <w:sz w:val="20"/>
      <w:szCs w:val="20"/>
    </w:rPr>
  </w:style>
  <w:style w:type="paragraph" w:styleId="8">
    <w:name w:val="toc 8"/>
    <w:basedOn w:val="1"/>
    <w:next w:val="1"/>
    <w:autoRedefine/>
    <w:unhideWhenUsed/>
    <w:qFormat/>
    <w:uiPriority w:val="39"/>
    <w:pPr>
      <w:ind w:left="1320"/>
    </w:pPr>
    <w:rPr>
      <w:rFonts w:asciiTheme="minorHAnsi" w:hAnsiTheme="minorHAnsi" w:cstheme="minorHAnsi"/>
      <w:sz w:val="20"/>
      <w:szCs w:val="20"/>
    </w:rPr>
  </w:style>
  <w:style w:type="paragraph" w:styleId="9">
    <w:name w:val="footer"/>
    <w:basedOn w:val="1"/>
    <w:link w:val="34"/>
    <w:unhideWhenUsed/>
    <w:qFormat/>
    <w:uiPriority w:val="99"/>
    <w:pPr>
      <w:tabs>
        <w:tab w:val="center" w:pos="4153"/>
        <w:tab w:val="right" w:pos="8306"/>
      </w:tabs>
      <w:snapToGrid w:val="0"/>
    </w:pPr>
    <w:rPr>
      <w:sz w:val="18"/>
      <w:szCs w:val="18"/>
    </w:rPr>
  </w:style>
  <w:style w:type="paragraph" w:styleId="10">
    <w:name w:val="header"/>
    <w:basedOn w:val="1"/>
    <w:link w:val="30"/>
    <w:unhideWhenUsed/>
    <w:qFormat/>
    <w:uiPriority w:val="99"/>
    <w:pPr>
      <w:tabs>
        <w:tab w:val="center" w:pos="4153"/>
        <w:tab w:val="right" w:pos="8306"/>
      </w:tabs>
      <w:snapToGrid w:val="0"/>
      <w:jc w:val="center"/>
    </w:pPr>
    <w:rPr>
      <w:sz w:val="18"/>
      <w:szCs w:val="18"/>
    </w:rPr>
  </w:style>
  <w:style w:type="paragraph" w:styleId="11">
    <w:name w:val="toc 1"/>
    <w:basedOn w:val="1"/>
    <w:next w:val="1"/>
    <w:autoRedefine/>
    <w:unhideWhenUsed/>
    <w:qFormat/>
    <w:uiPriority w:val="39"/>
    <w:pPr>
      <w:spacing w:before="360"/>
    </w:pPr>
    <w:rPr>
      <w:bCs/>
      <w:sz w:val="20"/>
      <w:szCs w:val="24"/>
    </w:rPr>
  </w:style>
  <w:style w:type="paragraph" w:styleId="12">
    <w:name w:val="toc 4"/>
    <w:basedOn w:val="1"/>
    <w:next w:val="1"/>
    <w:autoRedefine/>
    <w:unhideWhenUsed/>
    <w:qFormat/>
    <w:uiPriority w:val="39"/>
    <w:pPr>
      <w:ind w:left="440"/>
    </w:pPr>
    <w:rPr>
      <w:rFonts w:asciiTheme="minorHAnsi" w:hAnsiTheme="minorHAnsi" w:cstheme="minorHAnsi"/>
      <w:sz w:val="20"/>
      <w:szCs w:val="20"/>
    </w:rPr>
  </w:style>
  <w:style w:type="paragraph" w:styleId="13">
    <w:name w:val="toc 6"/>
    <w:basedOn w:val="1"/>
    <w:next w:val="1"/>
    <w:autoRedefine/>
    <w:unhideWhenUsed/>
    <w:qFormat/>
    <w:uiPriority w:val="39"/>
    <w:pPr>
      <w:ind w:left="880"/>
    </w:pPr>
    <w:rPr>
      <w:rFonts w:asciiTheme="minorHAnsi" w:hAnsiTheme="minorHAnsi" w:cstheme="minorHAnsi"/>
      <w:sz w:val="20"/>
      <w:szCs w:val="20"/>
    </w:rPr>
  </w:style>
  <w:style w:type="paragraph" w:styleId="14">
    <w:name w:val="toc 2"/>
    <w:basedOn w:val="1"/>
    <w:next w:val="1"/>
    <w:autoRedefine/>
    <w:unhideWhenUsed/>
    <w:qFormat/>
    <w:uiPriority w:val="39"/>
    <w:pPr>
      <w:spacing w:before="240"/>
    </w:pPr>
    <w:rPr>
      <w:rFonts w:asciiTheme="minorHAnsi" w:hAnsiTheme="minorHAnsi" w:cstheme="minorHAnsi"/>
      <w:b/>
      <w:bCs/>
      <w:sz w:val="20"/>
      <w:szCs w:val="20"/>
    </w:rPr>
  </w:style>
  <w:style w:type="paragraph" w:styleId="15">
    <w:name w:val="toc 9"/>
    <w:basedOn w:val="1"/>
    <w:next w:val="1"/>
    <w:autoRedefine/>
    <w:unhideWhenUsed/>
    <w:qFormat/>
    <w:uiPriority w:val="39"/>
    <w:pPr>
      <w:ind w:left="1540"/>
    </w:pPr>
    <w:rPr>
      <w:rFonts w:asciiTheme="minorHAnsi" w:hAnsiTheme="minorHAnsi" w:cstheme="minorHAnsi"/>
      <w:sz w:val="20"/>
      <w:szCs w:val="20"/>
    </w:rPr>
  </w:style>
  <w:style w:type="paragraph" w:styleId="16">
    <w:name w:val="Title"/>
    <w:basedOn w:val="1"/>
    <w:qFormat/>
    <w:uiPriority w:val="10"/>
    <w:pPr>
      <w:spacing w:before="97"/>
    </w:pPr>
    <w:rPr>
      <w:b/>
      <w:bCs/>
      <w:sz w:val="28"/>
      <w:szCs w:val="28"/>
    </w:rPr>
  </w:style>
  <w:style w:type="table" w:styleId="18">
    <w:name w:val="Table Grid"/>
    <w:basedOn w:val="17"/>
    <w:uiPriority w:val="39"/>
    <w:rPr>
      <w:rFonts w:ascii="Times New Roman" w:hAnsi="Times New Roman" w:cs="Times New Roman"/>
    </w:rPr>
    <w:tblPr>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Pr>
    <w:tcPr>
      <w:shd w:val="clear" w:color="auto" w:fill="auto"/>
      <w:vAlign w:val="center"/>
    </w:tcPr>
  </w:style>
  <w:style w:type="character" w:styleId="20">
    <w:name w:val="line number"/>
    <w:basedOn w:val="19"/>
    <w:semiHidden/>
    <w:unhideWhenUsed/>
    <w:uiPriority w:val="99"/>
  </w:style>
  <w:style w:type="character" w:styleId="21">
    <w:name w:val="Hyperlink"/>
    <w:basedOn w:val="19"/>
    <w:unhideWhenUsed/>
    <w:qFormat/>
    <w:uiPriority w:val="99"/>
    <w:rPr>
      <w:color w:val="0000FF" w:themeColor="hyperlink"/>
      <w:u w:val="single"/>
      <w14:textFill>
        <w14:solidFill>
          <w14:schemeClr w14:val="hlink"/>
        </w14:solidFill>
      </w14:textFill>
    </w:rPr>
  </w:style>
  <w:style w:type="table" w:customStyle="1" w:styleId="22">
    <w:name w:val="Table Normal"/>
    <w:semiHidden/>
    <w:unhideWhenUsed/>
    <w:qFormat/>
    <w:uiPriority w:val="2"/>
    <w:tblPr>
      <w:tblCellMar>
        <w:top w:w="0" w:type="dxa"/>
        <w:left w:w="0" w:type="dxa"/>
        <w:bottom w:w="0" w:type="dxa"/>
        <w:right w:w="0" w:type="dxa"/>
      </w:tblCellMar>
    </w:tblPr>
  </w:style>
  <w:style w:type="paragraph" w:customStyle="1" w:styleId="23">
    <w:name w:val="修订1"/>
    <w:hidden/>
    <w:unhideWhenUsed/>
    <w:uiPriority w:val="99"/>
    <w:rPr>
      <w:rFonts w:ascii="Times New Roman" w:hAnsi="Times New Roman" w:eastAsia="Times New Roman" w:cs="Times New Roman"/>
      <w:sz w:val="22"/>
      <w:szCs w:val="22"/>
      <w:lang w:val="en-US" w:eastAsia="en-US" w:bidi="ar-SA"/>
    </w:rPr>
  </w:style>
  <w:style w:type="character" w:customStyle="1" w:styleId="24">
    <w:name w:val="未处理的提及1"/>
    <w:basedOn w:val="19"/>
    <w:semiHidden/>
    <w:unhideWhenUsed/>
    <w:qFormat/>
    <w:uiPriority w:val="99"/>
    <w:rPr>
      <w:color w:val="605E5C"/>
      <w:shd w:val="clear" w:color="auto" w:fill="E1DFDD"/>
    </w:rPr>
  </w:style>
  <w:style w:type="paragraph" w:styleId="25">
    <w:name w:val="List Paragraph"/>
    <w:basedOn w:val="1"/>
    <w:qFormat/>
    <w:uiPriority w:val="1"/>
    <w:pPr>
      <w:spacing w:before="48"/>
      <w:ind w:left="435" w:hanging="272"/>
    </w:pPr>
  </w:style>
  <w:style w:type="character" w:customStyle="1" w:styleId="26">
    <w:name w:val="biaoti 字符"/>
    <w:basedOn w:val="27"/>
    <w:link w:val="28"/>
    <w:qFormat/>
    <w:uiPriority w:val="0"/>
    <w:rPr>
      <w:rFonts w:ascii="Arial" w:hAnsi="Arial" w:eastAsia="Times New Roman" w:cs="Arial"/>
      <w:spacing w:val="-2"/>
      <w:sz w:val="24"/>
      <w:szCs w:val="24"/>
    </w:rPr>
  </w:style>
  <w:style w:type="character" w:customStyle="1" w:styleId="27">
    <w:name w:val="标题 1 字符"/>
    <w:basedOn w:val="19"/>
    <w:link w:val="2"/>
    <w:uiPriority w:val="9"/>
    <w:rPr>
      <w:rFonts w:ascii="Times New Roman" w:hAnsi="Times New Roman" w:eastAsia="Times New Roman" w:cs="Times New Roman"/>
      <w:b/>
      <w:bCs/>
      <w:sz w:val="18"/>
      <w:szCs w:val="18"/>
    </w:rPr>
  </w:style>
  <w:style w:type="paragraph" w:customStyle="1" w:styleId="28">
    <w:name w:val="biaoti"/>
    <w:basedOn w:val="2"/>
    <w:link w:val="26"/>
    <w:qFormat/>
    <w:uiPriority w:val="0"/>
    <w:pPr>
      <w:spacing w:before="111" w:after="3"/>
    </w:pPr>
    <w:rPr>
      <w:rFonts w:ascii="Arial" w:hAnsi="Arial" w:cs="Arial"/>
      <w:spacing w:val="-2"/>
      <w:sz w:val="24"/>
      <w:szCs w:val="24"/>
    </w:rPr>
  </w:style>
  <w:style w:type="paragraph" w:customStyle="1" w:styleId="29">
    <w:name w:val="书目2"/>
    <w:basedOn w:val="1"/>
    <w:uiPriority w:val="0"/>
    <w:pPr>
      <w:spacing w:after="240"/>
    </w:pPr>
  </w:style>
  <w:style w:type="character" w:customStyle="1" w:styleId="30">
    <w:name w:val="页眉 字符"/>
    <w:basedOn w:val="19"/>
    <w:link w:val="10"/>
    <w:qFormat/>
    <w:uiPriority w:val="99"/>
    <w:rPr>
      <w:rFonts w:ascii="Times New Roman" w:hAnsi="Times New Roman" w:eastAsia="Times New Roman" w:cs="Times New Roman"/>
      <w:sz w:val="18"/>
      <w:szCs w:val="18"/>
    </w:rPr>
  </w:style>
  <w:style w:type="character" w:customStyle="1" w:styleId="31">
    <w:name w:val="标题 3 字符"/>
    <w:basedOn w:val="19"/>
    <w:link w:val="3"/>
    <w:semiHidden/>
    <w:qFormat/>
    <w:uiPriority w:val="9"/>
    <w:rPr>
      <w:rFonts w:ascii="Times New Roman" w:hAnsi="Times New Roman" w:eastAsia="Times New Roman" w:cs="Times New Roman"/>
      <w:b/>
      <w:bCs/>
      <w:sz w:val="32"/>
      <w:szCs w:val="32"/>
    </w:rPr>
  </w:style>
  <w:style w:type="character" w:customStyle="1" w:styleId="32">
    <w:name w:val="正文文本 字符"/>
    <w:basedOn w:val="19"/>
    <w:link w:val="5"/>
    <w:uiPriority w:val="1"/>
    <w:rPr>
      <w:rFonts w:ascii="Times New Roman" w:hAnsi="Times New Roman" w:eastAsia="Times New Roman" w:cs="Times New Roman"/>
      <w:sz w:val="16"/>
      <w:szCs w:val="16"/>
    </w:rPr>
  </w:style>
  <w:style w:type="paragraph" w:customStyle="1" w:styleId="33">
    <w:name w:val="书目1"/>
    <w:basedOn w:val="1"/>
    <w:uiPriority w:val="0"/>
    <w:pPr>
      <w:tabs>
        <w:tab w:val="left" w:pos="264"/>
      </w:tabs>
      <w:spacing w:after="240"/>
      <w:ind w:left="264" w:hanging="264"/>
    </w:pPr>
  </w:style>
  <w:style w:type="character" w:customStyle="1" w:styleId="34">
    <w:name w:val="页脚 字符"/>
    <w:basedOn w:val="19"/>
    <w:link w:val="9"/>
    <w:qFormat/>
    <w:uiPriority w:val="99"/>
    <w:rPr>
      <w:rFonts w:ascii="Times New Roman" w:hAnsi="Times New Roman" w:eastAsia="Times New Roman" w:cs="Times New Roman"/>
      <w:sz w:val="18"/>
      <w:szCs w:val="18"/>
    </w:rPr>
  </w:style>
  <w:style w:type="paragraph" w:customStyle="1" w:styleId="35">
    <w:name w:val="Table Paragraph"/>
    <w:basedOn w:val="1"/>
    <w:qFormat/>
    <w:uiPriority w:val="1"/>
    <w:pPr>
      <w:spacing w:before="16"/>
    </w:pPr>
  </w:style>
  <w:style w:type="paragraph" w:customStyle="1" w:styleId="36">
    <w:name w:val="TOC 标题1"/>
    <w:basedOn w:val="2"/>
    <w:next w:val="1"/>
    <w:unhideWhenUsed/>
    <w:qFormat/>
    <w:uiPriority w:val="39"/>
    <w:pPr>
      <w:keepNext/>
      <w:keepLines/>
      <w:widowControl/>
      <w:autoSpaceDE/>
      <w:autoSpaceDN/>
      <w:spacing w:before="240" w:line="259" w:lineRule="auto"/>
      <w:outlineLvl w:val="9"/>
    </w:pPr>
    <w:rPr>
      <w:rFonts w:asciiTheme="majorHAnsi" w:hAnsiTheme="majorHAnsi" w:eastAsiaTheme="majorEastAsia" w:cstheme="majorBidi"/>
      <w:b w:val="0"/>
      <w:bCs w:val="0"/>
      <w:color w:val="376092" w:themeColor="accent1" w:themeShade="BF"/>
      <w:sz w:val="32"/>
      <w:szCs w:val="32"/>
      <w:lang w:eastAsia="zh-CN"/>
    </w:rPr>
  </w:style>
  <w:style w:type="paragraph" w:customStyle="1" w:styleId="37">
    <w:name w:val="Bibliography Entry"/>
    <w:basedOn w:val="1"/>
    <w:uiPriority w:val="0"/>
    <w:pPr>
      <w:spacing w:after="240"/>
    </w:pPr>
  </w:style>
</w:styles>
</file>

<file path=word/_rels/document.xml.rels><?xml version="1.0" encoding="UTF-8" standalone="yes"?>
<Relationships xmlns="http://schemas.openxmlformats.org/package/2006/relationships"><Relationship Id="rId9" Type="http://schemas.openxmlformats.org/officeDocument/2006/relationships/image" Target="media/image1.png"/><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header" Target="header1.xml"/><Relationship Id="rId31" Type="http://schemas.openxmlformats.org/officeDocument/2006/relationships/fontTable" Target="fontTable.xml"/><Relationship Id="rId30" Type="http://schemas.openxmlformats.org/officeDocument/2006/relationships/numbering" Target="numbering.xml"/><Relationship Id="rId3" Type="http://schemas.openxmlformats.org/officeDocument/2006/relationships/footer" Target="footer1.xml"/><Relationship Id="rId29" Type="http://schemas.openxmlformats.org/officeDocument/2006/relationships/customXml" Target="../customXml/item1.xml"/><Relationship Id="rId28" Type="http://schemas.openxmlformats.org/officeDocument/2006/relationships/image" Target="media/image20.jpeg"/><Relationship Id="rId27" Type="http://schemas.openxmlformats.org/officeDocument/2006/relationships/image" Target="media/image19.png"/><Relationship Id="rId26" Type="http://schemas.openxmlformats.org/officeDocument/2006/relationships/image" Target="media/image18.jpeg"/><Relationship Id="rId25" Type="http://schemas.openxmlformats.org/officeDocument/2006/relationships/image" Target="media/image17.jpeg"/><Relationship Id="rId24" Type="http://schemas.openxmlformats.org/officeDocument/2006/relationships/image" Target="media/image16.jpeg"/><Relationship Id="rId23" Type="http://schemas.openxmlformats.org/officeDocument/2006/relationships/image" Target="media/image15.jpeg"/><Relationship Id="rId22" Type="http://schemas.openxmlformats.org/officeDocument/2006/relationships/image" Target="media/image14.jpeg"/><Relationship Id="rId21" Type="http://schemas.openxmlformats.org/officeDocument/2006/relationships/image" Target="media/image13.jpeg"/><Relationship Id="rId20" Type="http://schemas.openxmlformats.org/officeDocument/2006/relationships/image" Target="media/image12.jpeg"/><Relationship Id="rId2" Type="http://schemas.openxmlformats.org/officeDocument/2006/relationships/settings" Target="settings.xml"/><Relationship Id="rId19" Type="http://schemas.openxmlformats.org/officeDocument/2006/relationships/image" Target="media/image11.jpeg"/><Relationship Id="rId18" Type="http://schemas.openxmlformats.org/officeDocument/2006/relationships/image" Target="media/image10.jpeg"/><Relationship Id="rId17" Type="http://schemas.openxmlformats.org/officeDocument/2006/relationships/image" Target="media/image9.jpeg"/><Relationship Id="rId16" Type="http://schemas.openxmlformats.org/officeDocument/2006/relationships/image" Target="media/image8.jpeg"/><Relationship Id="rId15" Type="http://schemas.openxmlformats.org/officeDocument/2006/relationships/image" Target="media/image7.jpeg"/><Relationship Id="rId14" Type="http://schemas.openxmlformats.org/officeDocument/2006/relationships/image" Target="media/image6.jpeg"/><Relationship Id="rId13" Type="http://schemas.openxmlformats.org/officeDocument/2006/relationships/image" Target="media/image5.jpeg"/><Relationship Id="rId12" Type="http://schemas.openxmlformats.org/officeDocument/2006/relationships/image" Target="media/image4.jpeg"/><Relationship Id="rId11" Type="http://schemas.openxmlformats.org/officeDocument/2006/relationships/image" Target="media/image3.jpeg"/><Relationship Id="rId10" Type="http://schemas.openxmlformats.org/officeDocument/2006/relationships/image" Target="media/image2.jpe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42</Pages>
  <TotalTime>2</TotalTime>
  <ScaleCrop>false</ScaleCrop>
  <LinksUpToDate>false</LinksUpToDate>
  <Application>WPS Office_12.1.24709.24709_F1E327BC-269C-435d-A152-05C5408002CA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2026-03-28T19:45:00Z</dcterms:created>
  <dc:creator>Data</dc:creator>
  <cp:lastModifiedBy>朱海波</cp:lastModifiedBy>
  <dcterms:modified xsi:type="dcterms:W3CDTF">2026-03-28T05:07:52Z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ZOTERO_BIBSTYLE_1">
    <vt:lpwstr>{"firstLineIndent":0,"indent":0,"lineSpacing":240,"entrySpacing":240,"tabStops":[],"tabStopsCount":0}</vt:lpwstr>
  </property>
  <property fmtid="{D5CDD505-2E9C-101B-9397-08002B2CF9AE}" pid="3" name="ZOTERO_PREF_1">
    <vt:lpwstr>&lt;data data-version="3" zotero-version="7.0.32"&gt;&lt;session id="GwPj9gCN"/&gt;&lt;style id="http://www.zotero.org/styles/biomed-central" hasBibliography="1" bibliographyStyleHasBeenSet="1"/&gt;&lt;prefs&gt;&lt;pref name="fieldType" value="Field"/&gt;&lt;/prefs&gt;&lt;/data&gt;</vt:lpwstr>
  </property>
  <property fmtid="{D5CDD505-2E9C-101B-9397-08002B2CF9AE}" pid="4" name="KSOProductBuildVer">
    <vt:lpwstr>2052-12.1.24709.24709</vt:lpwstr>
  </property>
  <property fmtid="{D5CDD505-2E9C-101B-9397-08002B2CF9AE}" pid="5" name="ICV">
    <vt:lpwstr>F36FB921CB500B983EDFC669EFDF2EAA_42</vt:lpwstr>
  </property>
</Properties>
</file>