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6D8F7" w14:textId="56800330" w:rsidR="00BD17FE" w:rsidRPr="008A7BCF" w:rsidRDefault="009346E4" w:rsidP="00EF5A4B">
      <w:pPr>
        <w:pStyle w:val="Title"/>
      </w:pPr>
      <w:r w:rsidRPr="008A7BCF">
        <w:t>Supplementary material</w:t>
      </w:r>
    </w:p>
    <w:p w14:paraId="592DDE9B" w14:textId="60068824" w:rsidR="001C5C08" w:rsidRDefault="001C5C08" w:rsidP="00EF5A4B">
      <w:pPr>
        <w:pStyle w:val="Heading1"/>
      </w:pPr>
      <w:r w:rsidRPr="008A7BCF">
        <w:t xml:space="preserve">Supplementary </w:t>
      </w:r>
      <w:r>
        <w:t>Methods</w:t>
      </w:r>
    </w:p>
    <w:p w14:paraId="4CD882B2" w14:textId="77777777" w:rsidR="001C5C08" w:rsidRPr="008A7BCF" w:rsidRDefault="001C5C08" w:rsidP="001C5C08">
      <w:pPr>
        <w:pStyle w:val="Heading2"/>
      </w:pPr>
      <w:r w:rsidRPr="008A7BCF">
        <w:t>Ethics</w:t>
      </w:r>
    </w:p>
    <w:p w14:paraId="291AC97F" w14:textId="77777777" w:rsidR="001C5C08" w:rsidRPr="008A7BCF" w:rsidRDefault="001C5C08" w:rsidP="001C5C08">
      <w:pPr>
        <w:rPr>
          <w:rFonts w:ascii="Arial" w:hAnsi="Arial" w:cs="Arial"/>
          <w:sz w:val="20"/>
          <w:szCs w:val="20"/>
          <w:lang w:val="en-GB"/>
        </w:rPr>
      </w:pPr>
      <w:r>
        <w:rPr>
          <w:rFonts w:ascii="Arial" w:hAnsi="Arial" w:cs="Arial"/>
          <w:sz w:val="20"/>
          <w:szCs w:val="20"/>
          <w:lang w:val="en-GB"/>
        </w:rPr>
        <w:t>E</w:t>
      </w:r>
      <w:r w:rsidRPr="008A7BCF">
        <w:rPr>
          <w:rFonts w:ascii="Arial" w:hAnsi="Arial" w:cs="Arial"/>
          <w:sz w:val="20"/>
          <w:szCs w:val="20"/>
          <w:lang w:val="en-GB"/>
        </w:rPr>
        <w:t xml:space="preserve">thical approval for this study </w:t>
      </w:r>
      <w:r>
        <w:rPr>
          <w:rFonts w:ascii="Arial" w:hAnsi="Arial" w:cs="Arial"/>
          <w:sz w:val="20"/>
          <w:szCs w:val="20"/>
          <w:lang w:val="en-GB"/>
        </w:rPr>
        <w:t xml:space="preserve">was granted </w:t>
      </w:r>
      <w:r w:rsidRPr="008A7BCF">
        <w:rPr>
          <w:rFonts w:ascii="Arial" w:hAnsi="Arial" w:cs="Arial"/>
          <w:sz w:val="20"/>
          <w:szCs w:val="20"/>
          <w:lang w:val="en-GB"/>
        </w:rPr>
        <w:t>by the London – Queen Square Research Ethics Committee (REC reference 20/LO/1024)</w:t>
      </w:r>
      <w:r>
        <w:rPr>
          <w:rFonts w:ascii="Arial" w:hAnsi="Arial" w:cs="Arial"/>
          <w:sz w:val="20"/>
          <w:szCs w:val="20"/>
          <w:lang w:val="en-GB"/>
        </w:rPr>
        <w:t>, as a</w:t>
      </w:r>
      <w:r w:rsidRPr="008A7BCF">
        <w:rPr>
          <w:rFonts w:ascii="Arial" w:hAnsi="Arial" w:cs="Arial"/>
          <w:sz w:val="20"/>
          <w:szCs w:val="20"/>
          <w:lang w:val="en-GB"/>
        </w:rPr>
        <w:t xml:space="preserve"> </w:t>
      </w:r>
      <w:r w:rsidRPr="009F61E7">
        <w:rPr>
          <w:rFonts w:ascii="Arial" w:hAnsi="Arial" w:cs="Arial"/>
          <w:sz w:val="20"/>
          <w:szCs w:val="20"/>
        </w:rPr>
        <w:t>parallel study investigating biomarkers in sepsis.</w:t>
      </w:r>
      <w:r>
        <w:t xml:space="preserve"> </w:t>
      </w:r>
    </w:p>
    <w:p w14:paraId="03B0D705" w14:textId="77777777" w:rsidR="001C5C08" w:rsidRPr="008A7BCF" w:rsidRDefault="001C5C08" w:rsidP="001C5C08">
      <w:pPr>
        <w:pStyle w:val="Heading2"/>
      </w:pPr>
      <w:r w:rsidRPr="008A7BCF">
        <w:t>Study participants</w:t>
      </w:r>
    </w:p>
    <w:p w14:paraId="3235920A" w14:textId="77777777" w:rsidR="001C5C08" w:rsidRDefault="001C5C08" w:rsidP="001C5C08">
      <w:pPr>
        <w:rPr>
          <w:rFonts w:ascii="Arial" w:hAnsi="Arial" w:cs="Arial"/>
          <w:sz w:val="20"/>
          <w:szCs w:val="20"/>
          <w:lang w:val="en-GB"/>
        </w:rPr>
      </w:pPr>
      <w:r w:rsidRPr="008A7BCF">
        <w:rPr>
          <w:rFonts w:ascii="Arial" w:hAnsi="Arial" w:cs="Arial"/>
          <w:sz w:val="20"/>
          <w:szCs w:val="20"/>
          <w:lang w:val="en-GB"/>
        </w:rPr>
        <w:t>We conducted a prospective observational study of patients aged ≥18 years who presented to the Emergency Department at University College London (UCL) Hospitals between 1</w:t>
      </w:r>
      <w:r w:rsidRPr="008A7BCF">
        <w:rPr>
          <w:rFonts w:ascii="Arial" w:hAnsi="Arial" w:cs="Arial"/>
          <w:sz w:val="20"/>
          <w:szCs w:val="20"/>
          <w:vertAlign w:val="superscript"/>
          <w:lang w:val="en-GB"/>
        </w:rPr>
        <w:t>st</w:t>
      </w:r>
      <w:r w:rsidRPr="008A7BCF">
        <w:rPr>
          <w:rFonts w:ascii="Arial" w:hAnsi="Arial" w:cs="Arial"/>
          <w:sz w:val="20"/>
          <w:szCs w:val="20"/>
          <w:lang w:val="en-GB"/>
        </w:rPr>
        <w:t xml:space="preserve"> August 2021 and 26</w:t>
      </w:r>
      <w:r w:rsidRPr="008A7BCF">
        <w:rPr>
          <w:rFonts w:ascii="Arial" w:hAnsi="Arial" w:cs="Arial"/>
          <w:sz w:val="20"/>
          <w:szCs w:val="20"/>
          <w:vertAlign w:val="superscript"/>
          <w:lang w:val="en-GB"/>
        </w:rPr>
        <w:t>th</w:t>
      </w:r>
      <w:r w:rsidRPr="008A7BCF">
        <w:rPr>
          <w:rFonts w:ascii="Arial" w:hAnsi="Arial" w:cs="Arial"/>
          <w:sz w:val="20"/>
          <w:szCs w:val="20"/>
          <w:lang w:val="en-GB"/>
        </w:rPr>
        <w:t xml:space="preserve"> January 2023 who had blood cultures taken for suspicion of bacterial infection. Exclusion criteria included patients with underlying </w:t>
      </w:r>
      <w:proofErr w:type="spellStart"/>
      <w:r w:rsidRPr="008A7BCF">
        <w:rPr>
          <w:rFonts w:ascii="Arial" w:hAnsi="Arial" w:cs="Arial"/>
          <w:sz w:val="20"/>
          <w:szCs w:val="20"/>
          <w:lang w:val="en-GB"/>
        </w:rPr>
        <w:t>hemato</w:t>
      </w:r>
      <w:proofErr w:type="spellEnd"/>
      <w:r w:rsidRPr="008A7BCF">
        <w:rPr>
          <w:rFonts w:ascii="Arial" w:hAnsi="Arial" w:cs="Arial"/>
          <w:sz w:val="20"/>
          <w:szCs w:val="20"/>
          <w:lang w:val="en-GB"/>
        </w:rPr>
        <w:t xml:space="preserve">-oncologic diagnoses, patients on chronic immunosuppressive medications, severe anaemia with a contra-indication to blood transfusion, those not expected to survive beyond 24 hours of admission, and pregnant women. Patient demographics, clinical data (physiology, diagnoses, etc.), laboratory data, and clinical outcomes were recorded from electronic healthcare records until death or discharge. </w:t>
      </w:r>
    </w:p>
    <w:p w14:paraId="4C305E74" w14:textId="4552DA4B" w:rsidR="001C5C08" w:rsidRPr="0015740F" w:rsidRDefault="001C5C08" w:rsidP="001C5C08">
      <w:pPr>
        <w:rPr>
          <w:rFonts w:ascii="Arial" w:hAnsi="Arial" w:cs="Arial"/>
          <w:sz w:val="20"/>
          <w:szCs w:val="20"/>
          <w:lang w:val="en-GB"/>
        </w:rPr>
      </w:pPr>
      <w:r w:rsidRPr="009F61E7">
        <w:rPr>
          <w:rFonts w:ascii="Arial" w:hAnsi="Arial" w:cs="Arial"/>
          <w:sz w:val="20"/>
          <w:szCs w:val="20"/>
        </w:rPr>
        <w:t>Based on our previous data in surgical patients demonstrating a monocyte HLA-DR median fluorescence intensity (MFI) of 5,000 ± 1,250,</w:t>
      </w:r>
      <w:r w:rsidRPr="009F61E7">
        <w:rPr>
          <w:rFonts w:ascii="Arial" w:hAnsi="Arial" w:cs="Arial"/>
          <w:sz w:val="20"/>
          <w:szCs w:val="20"/>
        </w:rPr>
        <w:fldChar w:fldCharType="begin">
          <w:fldData xml:space="preserve">PEVuZE5vdGU+PENpdGU+PEF1dGhvcj5Tbm93PC9BdXRob3I+PFllYXI+MjAyNDwvWWVhcj48UmVj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</w:fldData>
        </w:fldChar>
      </w:r>
      <w:r w:rsidR="00AC3E4C">
        <w:rPr>
          <w:rFonts w:ascii="Arial" w:hAnsi="Arial" w:cs="Arial"/>
          <w:sz w:val="20"/>
          <w:szCs w:val="20"/>
        </w:rPr>
        <w:instrText xml:space="preserve"> ADDIN EN.CITE </w:instrText>
      </w:r>
      <w:r w:rsidR="00AC3E4C">
        <w:rPr>
          <w:rFonts w:ascii="Arial" w:hAnsi="Arial" w:cs="Arial"/>
          <w:sz w:val="20"/>
          <w:szCs w:val="20"/>
        </w:rPr>
        <w:fldChar w:fldCharType="begin">
          <w:fldData xml:space="preserve">PEVuZE5vdGU+PENpdGU+PEF1dGhvcj5Tbm93PC9BdXRob3I+PFllYXI+MjAyNDwvWWVhcj48UmVj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</w:fldData>
        </w:fldChar>
      </w:r>
      <w:r w:rsidR="00AC3E4C">
        <w:rPr>
          <w:rFonts w:ascii="Arial" w:hAnsi="Arial" w:cs="Arial"/>
          <w:sz w:val="20"/>
          <w:szCs w:val="20"/>
        </w:rPr>
        <w:instrText xml:space="preserve"> ADDIN EN.CITE.DATA </w:instrText>
      </w:r>
      <w:r w:rsidR="00AC3E4C">
        <w:rPr>
          <w:rFonts w:ascii="Arial" w:hAnsi="Arial" w:cs="Arial"/>
          <w:sz w:val="20"/>
          <w:szCs w:val="20"/>
        </w:rPr>
      </w:r>
      <w:r w:rsidR="00AC3E4C">
        <w:rPr>
          <w:rFonts w:ascii="Arial" w:hAnsi="Arial" w:cs="Arial"/>
          <w:sz w:val="20"/>
          <w:szCs w:val="20"/>
        </w:rPr>
        <w:fldChar w:fldCharType="end"/>
      </w:r>
      <w:r w:rsidRPr="009F61E7">
        <w:rPr>
          <w:rFonts w:ascii="Arial" w:hAnsi="Arial" w:cs="Arial"/>
          <w:sz w:val="20"/>
          <w:szCs w:val="20"/>
        </w:rPr>
      </w:r>
      <w:r w:rsidRPr="009F61E7">
        <w:rPr>
          <w:rFonts w:ascii="Arial" w:hAnsi="Arial" w:cs="Arial"/>
          <w:sz w:val="20"/>
          <w:szCs w:val="20"/>
        </w:rPr>
        <w:fldChar w:fldCharType="separate"/>
      </w:r>
      <w:r w:rsidR="00AC3E4C">
        <w:rPr>
          <w:rFonts w:ascii="Arial" w:hAnsi="Arial" w:cs="Arial"/>
          <w:noProof/>
          <w:sz w:val="20"/>
          <w:szCs w:val="20"/>
        </w:rPr>
        <w:t>(9)</w:t>
      </w:r>
      <w:r w:rsidRPr="009F61E7">
        <w:rPr>
          <w:rFonts w:ascii="Arial" w:hAnsi="Arial" w:cs="Arial"/>
          <w:sz w:val="20"/>
          <w:szCs w:val="20"/>
        </w:rPr>
        <w:fldChar w:fldCharType="end"/>
      </w:r>
      <w:r w:rsidRPr="009F61E7">
        <w:rPr>
          <w:rFonts w:ascii="Arial" w:hAnsi="Arial" w:cs="Arial"/>
          <w:sz w:val="20"/>
          <w:szCs w:val="20"/>
        </w:rPr>
        <w:t xml:space="preserve">  with a power of 80%, and alpha of 0.05, a sample size of </w:t>
      </w:r>
      <w:r w:rsidRPr="009F61E7">
        <w:rPr>
          <w:rFonts w:ascii="Arial" w:hAnsi="Arial" w:cs="Arial"/>
          <w:sz w:val="20"/>
          <w:szCs w:val="20"/>
          <w:u w:val="single"/>
        </w:rPr>
        <w:t>&gt;</w:t>
      </w:r>
      <w:r w:rsidRPr="009F61E7">
        <w:rPr>
          <w:rFonts w:ascii="Arial" w:hAnsi="Arial" w:cs="Arial"/>
          <w:sz w:val="20"/>
          <w:szCs w:val="20"/>
        </w:rPr>
        <w:t xml:space="preserve"> 25 patients per group </w:t>
      </w:r>
      <w:r>
        <w:rPr>
          <w:rFonts w:ascii="Arial" w:hAnsi="Arial" w:cs="Arial"/>
          <w:sz w:val="20"/>
          <w:szCs w:val="20"/>
        </w:rPr>
        <w:t>was</w:t>
      </w:r>
      <w:r w:rsidRPr="009F61E7">
        <w:rPr>
          <w:rFonts w:ascii="Arial" w:hAnsi="Arial" w:cs="Arial"/>
          <w:sz w:val="20"/>
          <w:szCs w:val="20"/>
        </w:rPr>
        <w:t xml:space="preserve"> </w:t>
      </w:r>
      <w:r>
        <w:rPr>
          <w:rFonts w:ascii="Arial" w:hAnsi="Arial" w:cs="Arial"/>
          <w:sz w:val="20"/>
          <w:szCs w:val="20"/>
        </w:rPr>
        <w:t>required</w:t>
      </w:r>
      <w:r w:rsidRPr="009F61E7">
        <w:rPr>
          <w:rFonts w:ascii="Arial" w:hAnsi="Arial" w:cs="Arial"/>
          <w:sz w:val="20"/>
          <w:szCs w:val="20"/>
        </w:rPr>
        <w:t xml:space="preserve"> to detect a statistically significant difference of 20% between groups.</w:t>
      </w:r>
    </w:p>
    <w:p w14:paraId="76A4534A" w14:textId="77777777" w:rsidR="001C5C08" w:rsidRPr="008A7BCF" w:rsidRDefault="001C5C08" w:rsidP="001C5C08">
      <w:pPr>
        <w:pStyle w:val="Heading2"/>
      </w:pPr>
      <w:bookmarkStart w:id="0" w:name="_Toc134183988"/>
      <w:r w:rsidRPr="008A7BCF">
        <w:t>Sample Processing</w:t>
      </w:r>
    </w:p>
    <w:p w14:paraId="191C4535" w14:textId="77777777" w:rsidR="001C5C08" w:rsidRPr="008A7BCF" w:rsidRDefault="001C5C08" w:rsidP="001C5C08">
      <w:pPr>
        <w:rPr>
          <w:rFonts w:ascii="Arial" w:hAnsi="Arial" w:cs="Arial"/>
          <w:sz w:val="20"/>
          <w:szCs w:val="20"/>
          <w:lang w:val="en-GB"/>
        </w:rPr>
      </w:pPr>
      <w:r w:rsidRPr="008A7BCF">
        <w:rPr>
          <w:rFonts w:ascii="Arial" w:hAnsi="Arial" w:cs="Arial"/>
          <w:sz w:val="20"/>
          <w:szCs w:val="20"/>
          <w:lang w:val="en-GB"/>
        </w:rPr>
        <w:t xml:space="preserve">Patients were recruited </w:t>
      </w:r>
      <w:r>
        <w:rPr>
          <w:rFonts w:ascii="Arial" w:hAnsi="Arial" w:cs="Arial"/>
          <w:sz w:val="20"/>
          <w:szCs w:val="20"/>
          <w:lang w:val="en-GB"/>
        </w:rPr>
        <w:t xml:space="preserve">and blood samples obtained </w:t>
      </w:r>
      <w:r w:rsidRPr="008A7BCF">
        <w:rPr>
          <w:rFonts w:ascii="Arial" w:hAnsi="Arial" w:cs="Arial"/>
          <w:sz w:val="20"/>
          <w:szCs w:val="20"/>
          <w:lang w:val="en-GB"/>
        </w:rPr>
        <w:t xml:space="preserve">prior to administration of antibiotics. </w:t>
      </w:r>
      <w:r>
        <w:rPr>
          <w:rFonts w:ascii="Arial" w:hAnsi="Arial" w:cs="Arial"/>
          <w:sz w:val="20"/>
          <w:szCs w:val="20"/>
          <w:lang w:val="en-GB"/>
        </w:rPr>
        <w:t>V</w:t>
      </w:r>
      <w:r w:rsidRPr="008A7BCF">
        <w:rPr>
          <w:rFonts w:ascii="Arial" w:hAnsi="Arial" w:cs="Arial"/>
          <w:sz w:val="20"/>
          <w:szCs w:val="20"/>
          <w:lang w:val="en-GB"/>
        </w:rPr>
        <w:t>enesection was performed and 8mls of blood drawn into a cell preparation tube with sodium heparin (CPT</w:t>
      </w:r>
      <w:r w:rsidRPr="008A7BCF">
        <w:rPr>
          <w:rFonts w:ascii="Arial" w:hAnsi="Arial" w:cs="Arial"/>
          <w:sz w:val="20"/>
          <w:szCs w:val="20"/>
          <w:vertAlign w:val="superscript"/>
          <w:lang w:val="en-GB"/>
        </w:rPr>
        <w:t>TM</w:t>
      </w:r>
      <w:r w:rsidRPr="008A7BCF">
        <w:rPr>
          <w:rFonts w:ascii="Arial" w:hAnsi="Arial" w:cs="Arial"/>
          <w:sz w:val="20"/>
          <w:szCs w:val="20"/>
          <w:lang w:val="en-GB"/>
        </w:rPr>
        <w:t>, Becton Dickinson, Wokingham, UK) vacutainer and processed within 1 hour. The CPT</w:t>
      </w:r>
      <w:r w:rsidRPr="008A7BCF">
        <w:rPr>
          <w:rFonts w:ascii="Arial" w:hAnsi="Arial" w:cs="Arial"/>
          <w:sz w:val="20"/>
          <w:szCs w:val="20"/>
          <w:vertAlign w:val="superscript"/>
          <w:lang w:val="en-GB"/>
        </w:rPr>
        <w:t>TM</w:t>
      </w:r>
      <w:r w:rsidRPr="008A7BCF">
        <w:rPr>
          <w:rFonts w:ascii="Arial" w:hAnsi="Arial" w:cs="Arial"/>
          <w:sz w:val="20"/>
          <w:szCs w:val="20"/>
          <w:lang w:val="en-GB"/>
        </w:rPr>
        <w:t xml:space="preserve"> vacutainers were centrifuged at 1500g for 15 minutes at room temperature and the peripheral blood mononuclear cell (PBMC) layer extracted, washed twice in 2mls of phosphate buffered saline (PBS) and resuspended in freezing media (foetal bovine serum (FBS, Gibco, </w:t>
      </w:r>
      <w:proofErr w:type="spellStart"/>
      <w:r w:rsidRPr="008A7BCF">
        <w:rPr>
          <w:rFonts w:ascii="Arial" w:hAnsi="Arial" w:cs="Arial"/>
          <w:sz w:val="20"/>
          <w:szCs w:val="20"/>
          <w:lang w:val="en-GB"/>
        </w:rPr>
        <w:t>Thermo</w:t>
      </w:r>
      <w:proofErr w:type="spellEnd"/>
      <w:r w:rsidRPr="008A7BCF">
        <w:rPr>
          <w:rFonts w:ascii="Arial" w:hAnsi="Arial" w:cs="Arial"/>
          <w:sz w:val="20"/>
          <w:szCs w:val="20"/>
          <w:lang w:val="en-GB"/>
        </w:rPr>
        <w:t xml:space="preserve"> Fisher Scientific, Horsham, UK) supplemented with 10% dimethyl sulfoxide (Merck Life Sciences, Gillingham, Dorset)) and frozen to -80</w:t>
      </w:r>
      <w:r w:rsidRPr="008A7BCF">
        <w:rPr>
          <w:rFonts w:ascii="Arial" w:hAnsi="Arial" w:cs="Arial"/>
          <w:sz w:val="20"/>
          <w:szCs w:val="20"/>
          <w:vertAlign w:val="superscript"/>
          <w:lang w:val="en-GB"/>
        </w:rPr>
        <w:t>o</w:t>
      </w:r>
      <w:r w:rsidRPr="008A7BCF">
        <w:rPr>
          <w:rFonts w:ascii="Arial" w:hAnsi="Arial" w:cs="Arial"/>
          <w:sz w:val="20"/>
          <w:szCs w:val="20"/>
          <w:lang w:val="en-GB"/>
        </w:rPr>
        <w:t xml:space="preserve">C using an isopropyl alcohol system (Mr </w:t>
      </w:r>
      <w:proofErr w:type="spellStart"/>
      <w:r w:rsidRPr="008A7BCF">
        <w:rPr>
          <w:rFonts w:ascii="Arial" w:hAnsi="Arial" w:cs="Arial"/>
          <w:sz w:val="20"/>
          <w:szCs w:val="20"/>
          <w:lang w:val="en-GB"/>
        </w:rPr>
        <w:t>Frosty</w:t>
      </w:r>
      <w:r w:rsidRPr="008A7BCF">
        <w:rPr>
          <w:rFonts w:ascii="Arial" w:hAnsi="Arial" w:cs="Arial"/>
          <w:sz w:val="20"/>
          <w:szCs w:val="20"/>
          <w:vertAlign w:val="superscript"/>
          <w:lang w:val="en-GB"/>
        </w:rPr>
        <w:t>TM</w:t>
      </w:r>
      <w:proofErr w:type="spellEnd"/>
      <w:r w:rsidRPr="008A7BCF">
        <w:rPr>
          <w:rFonts w:ascii="Arial" w:hAnsi="Arial" w:cs="Arial"/>
          <w:sz w:val="20"/>
          <w:szCs w:val="20"/>
          <w:lang w:val="en-GB"/>
        </w:rPr>
        <w:t xml:space="preserve">, </w:t>
      </w:r>
      <w:proofErr w:type="spellStart"/>
      <w:r w:rsidRPr="008A7BCF">
        <w:rPr>
          <w:rFonts w:ascii="Arial" w:hAnsi="Arial" w:cs="Arial"/>
          <w:sz w:val="20"/>
          <w:szCs w:val="20"/>
          <w:lang w:val="en-GB"/>
        </w:rPr>
        <w:t>Thermo</w:t>
      </w:r>
      <w:proofErr w:type="spellEnd"/>
      <w:r w:rsidRPr="008A7BCF">
        <w:rPr>
          <w:rFonts w:ascii="Arial" w:hAnsi="Arial" w:cs="Arial"/>
          <w:sz w:val="20"/>
          <w:szCs w:val="20"/>
          <w:lang w:val="en-GB"/>
        </w:rPr>
        <w:t xml:space="preserve"> Fisher Scientific). Samples were transferred to liquid nitrogen within 48 hours for long</w:t>
      </w:r>
      <w:r>
        <w:rPr>
          <w:rFonts w:ascii="Arial" w:hAnsi="Arial" w:cs="Arial"/>
          <w:sz w:val="20"/>
          <w:szCs w:val="20"/>
          <w:lang w:val="en-GB"/>
        </w:rPr>
        <w:t>-</w:t>
      </w:r>
      <w:r w:rsidRPr="008A7BCF">
        <w:rPr>
          <w:rFonts w:ascii="Arial" w:hAnsi="Arial" w:cs="Arial"/>
          <w:sz w:val="20"/>
          <w:szCs w:val="20"/>
          <w:lang w:val="en-GB"/>
        </w:rPr>
        <w:t>term storage.</w:t>
      </w:r>
    </w:p>
    <w:p w14:paraId="6C97B787" w14:textId="77777777" w:rsidR="001C5C08" w:rsidRPr="008A7BCF" w:rsidRDefault="001C5C08" w:rsidP="001C5C08">
      <w:pPr>
        <w:rPr>
          <w:rFonts w:ascii="Arial" w:hAnsi="Arial" w:cs="Arial"/>
          <w:sz w:val="20"/>
          <w:szCs w:val="20"/>
          <w:lang w:val="en-GB"/>
        </w:rPr>
      </w:pPr>
      <w:r w:rsidRPr="008A7BCF">
        <w:rPr>
          <w:rFonts w:ascii="Arial" w:hAnsi="Arial" w:cs="Arial"/>
          <w:sz w:val="20"/>
          <w:szCs w:val="20"/>
          <w:lang w:val="en-GB"/>
        </w:rPr>
        <w:lastRenderedPageBreak/>
        <w:t>PBMCs were defrosted in batches by resuspension in cell</w:t>
      </w:r>
      <w:r>
        <w:rPr>
          <w:rFonts w:ascii="Arial" w:hAnsi="Arial" w:cs="Arial"/>
          <w:sz w:val="20"/>
          <w:szCs w:val="20"/>
          <w:lang w:val="en-GB"/>
        </w:rPr>
        <w:t xml:space="preserve"> culture</w:t>
      </w:r>
      <w:r w:rsidRPr="008A7BCF">
        <w:rPr>
          <w:rFonts w:ascii="Arial" w:hAnsi="Arial" w:cs="Arial"/>
          <w:sz w:val="20"/>
          <w:szCs w:val="20"/>
          <w:lang w:val="en-GB"/>
        </w:rPr>
        <w:t xml:space="preserve"> media (RPMI </w:t>
      </w:r>
      <w:proofErr w:type="spellStart"/>
      <w:r w:rsidRPr="008A7BCF">
        <w:rPr>
          <w:rFonts w:ascii="Arial" w:hAnsi="Arial" w:cs="Arial"/>
          <w:sz w:val="20"/>
          <w:szCs w:val="20"/>
          <w:lang w:val="en-GB"/>
        </w:rPr>
        <w:t>Glutamax</w:t>
      </w:r>
      <w:proofErr w:type="spellEnd"/>
      <w:r w:rsidRPr="008A7BCF">
        <w:rPr>
          <w:rFonts w:ascii="Arial" w:hAnsi="Arial" w:cs="Arial"/>
          <w:sz w:val="20"/>
          <w:szCs w:val="20"/>
          <w:lang w:val="en-GB"/>
        </w:rPr>
        <w:t xml:space="preserve">, Gibco) with 10% FBS (Gibco), washed once in media, counted (Countess 3 Automated cell counter, </w:t>
      </w:r>
      <w:proofErr w:type="spellStart"/>
      <w:r w:rsidRPr="008A7BCF">
        <w:rPr>
          <w:rFonts w:ascii="Arial" w:hAnsi="Arial" w:cs="Arial"/>
          <w:sz w:val="20"/>
          <w:szCs w:val="20"/>
          <w:lang w:val="en-GB"/>
        </w:rPr>
        <w:t>Thermo</w:t>
      </w:r>
      <w:proofErr w:type="spellEnd"/>
      <w:r w:rsidRPr="008A7BCF">
        <w:rPr>
          <w:rFonts w:ascii="Arial" w:hAnsi="Arial" w:cs="Arial"/>
          <w:sz w:val="20"/>
          <w:szCs w:val="20"/>
          <w:lang w:val="en-GB"/>
        </w:rPr>
        <w:t xml:space="preserve"> Fisher Scientific), and diluted to a concentration of 1x10</w:t>
      </w:r>
      <w:r w:rsidRPr="008A7BCF">
        <w:rPr>
          <w:rFonts w:ascii="Arial" w:hAnsi="Arial" w:cs="Arial"/>
          <w:sz w:val="20"/>
          <w:szCs w:val="20"/>
          <w:vertAlign w:val="superscript"/>
          <w:lang w:val="en-GB"/>
        </w:rPr>
        <w:t>6</w:t>
      </w:r>
      <w:r>
        <w:rPr>
          <w:rFonts w:ascii="Arial" w:hAnsi="Arial" w:cs="Arial"/>
          <w:sz w:val="20"/>
          <w:szCs w:val="20"/>
          <w:lang w:val="en-GB"/>
        </w:rPr>
        <w:t xml:space="preserve"> cells</w:t>
      </w:r>
      <w:r w:rsidRPr="008A7BCF">
        <w:rPr>
          <w:rFonts w:ascii="Arial" w:hAnsi="Arial" w:cs="Arial"/>
          <w:sz w:val="20"/>
          <w:szCs w:val="20"/>
          <w:lang w:val="en-GB"/>
        </w:rPr>
        <w:t>/ml.</w:t>
      </w:r>
    </w:p>
    <w:p w14:paraId="13689581" w14:textId="77777777" w:rsidR="001C5C08" w:rsidRPr="008A7BCF" w:rsidRDefault="001C5C08" w:rsidP="001C5C08">
      <w:pPr>
        <w:pStyle w:val="Heading2"/>
      </w:pPr>
      <w:r w:rsidRPr="008A7BCF">
        <w:rPr>
          <w:i/>
          <w:iCs/>
        </w:rPr>
        <w:t>In vitro</w:t>
      </w:r>
      <w:r w:rsidRPr="008A7BCF">
        <w:t xml:space="preserve"> stimulation</w:t>
      </w:r>
      <w:bookmarkEnd w:id="0"/>
      <w:r w:rsidRPr="008A7BCF">
        <w:t> </w:t>
      </w:r>
    </w:p>
    <w:p w14:paraId="2E3C393A" w14:textId="758D2B8B" w:rsidR="001C5C08" w:rsidRPr="008A7BCF" w:rsidRDefault="001C5C08" w:rsidP="001C5C08">
      <w:pPr>
        <w:rPr>
          <w:rFonts w:ascii="Arial" w:hAnsi="Arial" w:cs="Arial"/>
          <w:sz w:val="20"/>
          <w:szCs w:val="20"/>
          <w:lang w:val="en-GB"/>
        </w:rPr>
      </w:pPr>
      <w:r w:rsidRPr="008A7BCF">
        <w:rPr>
          <w:rFonts w:ascii="Arial" w:hAnsi="Arial" w:cs="Arial"/>
          <w:sz w:val="20"/>
          <w:szCs w:val="20"/>
          <w:lang w:val="en-GB"/>
        </w:rPr>
        <w:t>PBMCs were plated into 96-well plates and incubated at 37</w:t>
      </w:r>
      <w:r w:rsidRPr="008A7BCF">
        <w:rPr>
          <w:rFonts w:ascii="Arial" w:hAnsi="Arial" w:cs="Arial"/>
          <w:sz w:val="20"/>
          <w:szCs w:val="20"/>
          <w:vertAlign w:val="superscript"/>
          <w:lang w:val="en-GB"/>
        </w:rPr>
        <w:t>o</w:t>
      </w:r>
      <w:r w:rsidRPr="008A7BCF">
        <w:rPr>
          <w:rFonts w:ascii="Arial" w:hAnsi="Arial" w:cs="Arial"/>
          <w:sz w:val="20"/>
          <w:szCs w:val="20"/>
          <w:lang w:val="en-GB"/>
        </w:rPr>
        <w:t>C, 5% CO</w:t>
      </w:r>
      <w:r w:rsidRPr="008A7BCF">
        <w:rPr>
          <w:rFonts w:ascii="Arial" w:hAnsi="Arial" w:cs="Arial"/>
          <w:sz w:val="20"/>
          <w:szCs w:val="20"/>
          <w:vertAlign w:val="subscript"/>
          <w:lang w:val="en-GB"/>
        </w:rPr>
        <w:t>2</w:t>
      </w:r>
      <w:r w:rsidRPr="008A7BCF">
        <w:rPr>
          <w:rFonts w:ascii="Arial" w:hAnsi="Arial" w:cs="Arial"/>
          <w:sz w:val="20"/>
          <w:szCs w:val="20"/>
          <w:lang w:val="en-GB"/>
        </w:rPr>
        <w:t xml:space="preserve"> with or without beta-lactam antibiotics for 24 hours to assess monocyte response, or 72 hours to assess lymphocyte response.</w:t>
      </w:r>
      <w:r>
        <w:rPr>
          <w:rFonts w:ascii="Arial" w:hAnsi="Arial" w:cs="Arial"/>
          <w:sz w:val="20"/>
          <w:szCs w:val="20"/>
          <w:lang w:val="en-GB"/>
        </w:rPr>
        <w:t xml:space="preserve"> </w:t>
      </w:r>
      <w:r w:rsidRPr="008A7BCF">
        <w:rPr>
          <w:rFonts w:ascii="Arial" w:hAnsi="Arial" w:cs="Arial"/>
          <w:sz w:val="20"/>
          <w:szCs w:val="20"/>
          <w:lang w:val="en-GB"/>
        </w:rPr>
        <w:t>Amoxicillin (Wockhardt, Wrexham, UK), cefuroxime (Flynn Pharma, Stevenage, UK), meropenem (Milpharm, Ruislip, UK), and piperacillin</w:t>
      </w:r>
      <w:r>
        <w:rPr>
          <w:rFonts w:ascii="Arial" w:hAnsi="Arial" w:cs="Arial"/>
          <w:sz w:val="20"/>
          <w:szCs w:val="20"/>
          <w:lang w:val="en-GB"/>
        </w:rPr>
        <w:t>- Tazobactam</w:t>
      </w:r>
      <w:r w:rsidRPr="008A7BCF">
        <w:rPr>
          <w:rFonts w:ascii="Arial" w:hAnsi="Arial" w:cs="Arial"/>
          <w:sz w:val="20"/>
          <w:szCs w:val="20"/>
          <w:lang w:val="en-GB"/>
        </w:rPr>
        <w:t xml:space="preserve"> (Fresenius Kabi, Runcorn UK) were first resuspended in distilled water as per manufacturer’s instructions before being diluted to working stock concentration in PBS for addition to relevant wells. Final concentrations of 5 and 25 µg/ml for amoxicillin and cefuroxime, 20 and 60 µg/ml for meropenem, and 50 and 250 µg/ml for piperacillin were chosen to represent clinically relevant lower and higher mean serum concentrations respectively based on data from pharmacokinetic data obtained in critically ill patients.</w:t>
      </w:r>
      <w:r w:rsidRPr="008A7BCF">
        <w:rPr>
          <w:rFonts w:ascii="Arial" w:hAnsi="Arial" w:cs="Arial"/>
          <w:sz w:val="20"/>
          <w:szCs w:val="20"/>
          <w:lang w:val="en-GB"/>
        </w:rPr>
        <w:fldChar w:fldCharType="begin">
          <w:fldData xml:space="preserve">PEVuZE5vdGU+PENpdGU+PEF1dGhvcj5Mb25zZGFsZTwvQXV0aG9yPjxZZWFyPjIwMjA8L1llYXI+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</w:fldData>
        </w:fldChar>
      </w:r>
      <w:r w:rsidR="00AC3E4C">
        <w:rPr>
          <w:rFonts w:ascii="Arial" w:hAnsi="Arial" w:cs="Arial"/>
          <w:sz w:val="20"/>
          <w:szCs w:val="20"/>
          <w:lang w:val="en-GB"/>
        </w:rPr>
        <w:instrText xml:space="preserve"> ADDIN EN.CITE </w:instrText>
      </w:r>
      <w:r w:rsidR="00AC3E4C">
        <w:rPr>
          <w:rFonts w:ascii="Arial" w:hAnsi="Arial" w:cs="Arial"/>
          <w:sz w:val="20"/>
          <w:szCs w:val="20"/>
          <w:lang w:val="en-GB"/>
        </w:rPr>
        <w:fldChar w:fldCharType="begin">
          <w:fldData xml:space="preserve">PEVuZE5vdGU+PENpdGU+PEF1dGhvcj5Mb25zZGFsZTwvQXV0aG9yPjxZZWFyPjIwMjA8L1llYXI+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</w:fldData>
        </w:fldChar>
      </w:r>
      <w:r w:rsidR="00AC3E4C">
        <w:rPr>
          <w:rFonts w:ascii="Arial" w:hAnsi="Arial" w:cs="Arial"/>
          <w:sz w:val="20"/>
          <w:szCs w:val="20"/>
          <w:lang w:val="en-GB"/>
        </w:rPr>
        <w:instrText xml:space="preserve"> ADDIN EN.CITE.DATA </w:instrText>
      </w:r>
      <w:r w:rsidR="00AC3E4C">
        <w:rPr>
          <w:rFonts w:ascii="Arial" w:hAnsi="Arial" w:cs="Arial"/>
          <w:sz w:val="20"/>
          <w:szCs w:val="20"/>
          <w:lang w:val="en-GB"/>
        </w:rPr>
      </w:r>
      <w:r w:rsidR="00AC3E4C">
        <w:rPr>
          <w:rFonts w:ascii="Arial" w:hAnsi="Arial" w:cs="Arial"/>
          <w:sz w:val="20"/>
          <w:szCs w:val="20"/>
          <w:lang w:val="en-GB"/>
        </w:rPr>
        <w:fldChar w:fldCharType="end"/>
      </w:r>
      <w:r w:rsidRPr="008A7BCF">
        <w:rPr>
          <w:rFonts w:ascii="Arial" w:hAnsi="Arial" w:cs="Arial"/>
          <w:sz w:val="20"/>
          <w:szCs w:val="20"/>
          <w:lang w:val="en-GB"/>
        </w:rPr>
      </w:r>
      <w:r w:rsidRPr="008A7BCF">
        <w:rPr>
          <w:rFonts w:ascii="Arial" w:hAnsi="Arial" w:cs="Arial"/>
          <w:sz w:val="20"/>
          <w:szCs w:val="20"/>
          <w:lang w:val="en-GB"/>
        </w:rPr>
        <w:fldChar w:fldCharType="separate"/>
      </w:r>
      <w:r w:rsidR="00AC3E4C">
        <w:rPr>
          <w:rFonts w:ascii="Arial" w:hAnsi="Arial" w:cs="Arial"/>
          <w:noProof/>
          <w:sz w:val="20"/>
          <w:szCs w:val="20"/>
          <w:lang w:val="en-GB"/>
        </w:rPr>
        <w:t>(8)</w:t>
      </w:r>
      <w:r w:rsidRPr="008A7BCF">
        <w:rPr>
          <w:rFonts w:ascii="Arial" w:hAnsi="Arial" w:cs="Arial"/>
          <w:sz w:val="20"/>
          <w:szCs w:val="20"/>
          <w:lang w:val="en-GB"/>
        </w:rPr>
        <w:fldChar w:fldCharType="end"/>
      </w:r>
      <w:r w:rsidRPr="00713327">
        <w:rPr>
          <w:rFonts w:ascii="Arial" w:hAnsi="Arial" w:cs="Arial"/>
          <w:sz w:val="20"/>
          <w:szCs w:val="20"/>
          <w:lang w:val="en-GB"/>
        </w:rPr>
        <w:t xml:space="preserve"> </w:t>
      </w:r>
      <w:r>
        <w:rPr>
          <w:rFonts w:ascii="Arial" w:hAnsi="Arial" w:cs="Arial"/>
          <w:sz w:val="20"/>
          <w:szCs w:val="20"/>
          <w:lang w:val="en-GB"/>
        </w:rPr>
        <w:t>Culture medium with relevant antibiotic concentrations were replaced every 24 hours to account for spontaneous degradation of antibiotics.</w:t>
      </w:r>
    </w:p>
    <w:p w14:paraId="576C24DC" w14:textId="5BCC90C9" w:rsidR="001C5C08" w:rsidRPr="008A7BCF" w:rsidRDefault="001C5C08" w:rsidP="001C5C08">
      <w:pPr>
        <w:rPr>
          <w:rFonts w:ascii="Arial" w:hAnsi="Arial" w:cs="Arial"/>
          <w:sz w:val="20"/>
          <w:szCs w:val="20"/>
          <w:lang w:val="en-GB"/>
        </w:rPr>
      </w:pPr>
      <w:r w:rsidRPr="008A7BCF">
        <w:rPr>
          <w:rFonts w:ascii="Arial" w:hAnsi="Arial" w:cs="Arial"/>
          <w:sz w:val="20"/>
          <w:szCs w:val="20"/>
          <w:lang w:val="en-GB"/>
        </w:rPr>
        <w:t xml:space="preserve">To assess the effect of antibiotics on stimulated cells, LPS (Sigma-Aldrich, Gillingham, UK) at a concentration of 100ng/ml was used to assess monocyte </w:t>
      </w:r>
      <w:r>
        <w:rPr>
          <w:rFonts w:ascii="Arial" w:hAnsi="Arial" w:cs="Arial"/>
          <w:sz w:val="20"/>
          <w:szCs w:val="20"/>
          <w:lang w:val="en-GB"/>
        </w:rPr>
        <w:t>immunophenotype</w:t>
      </w:r>
      <w:r w:rsidRPr="008A7BCF">
        <w:rPr>
          <w:rFonts w:ascii="Arial" w:hAnsi="Arial" w:cs="Arial"/>
          <w:sz w:val="20"/>
          <w:szCs w:val="20"/>
          <w:lang w:val="en-GB"/>
        </w:rPr>
        <w:t xml:space="preserve">, and </w:t>
      </w:r>
      <w:r>
        <w:rPr>
          <w:rFonts w:ascii="Arial" w:hAnsi="Arial" w:cs="Arial"/>
          <w:sz w:val="20"/>
          <w:szCs w:val="20"/>
          <w:lang w:val="en-GB"/>
        </w:rPr>
        <w:t>anti-</w:t>
      </w:r>
      <w:r w:rsidRPr="008A7BCF">
        <w:rPr>
          <w:rFonts w:ascii="Arial" w:hAnsi="Arial" w:cs="Arial"/>
          <w:sz w:val="20"/>
          <w:szCs w:val="20"/>
          <w:lang w:val="en-GB"/>
        </w:rPr>
        <w:t>CD3</w:t>
      </w:r>
      <w:r>
        <w:rPr>
          <w:rFonts w:ascii="Arial" w:hAnsi="Arial" w:cs="Arial"/>
          <w:sz w:val="20"/>
          <w:szCs w:val="20"/>
          <w:lang w:val="en-GB"/>
        </w:rPr>
        <w:t>/</w:t>
      </w:r>
      <w:r w:rsidRPr="008A7BCF">
        <w:rPr>
          <w:rFonts w:ascii="Arial" w:hAnsi="Arial" w:cs="Arial"/>
          <w:sz w:val="20"/>
          <w:szCs w:val="20"/>
          <w:lang w:val="en-GB"/>
        </w:rPr>
        <w:t>CD28 beads (</w:t>
      </w:r>
      <w:proofErr w:type="spellStart"/>
      <w:r w:rsidRPr="008A7BCF">
        <w:rPr>
          <w:rFonts w:ascii="Arial" w:hAnsi="Arial" w:cs="Arial"/>
          <w:sz w:val="20"/>
          <w:szCs w:val="20"/>
          <w:lang w:val="en-GB"/>
        </w:rPr>
        <w:t>Miltenyi</w:t>
      </w:r>
      <w:proofErr w:type="spellEnd"/>
      <w:r w:rsidRPr="008A7BCF">
        <w:rPr>
          <w:rFonts w:ascii="Arial" w:hAnsi="Arial" w:cs="Arial"/>
          <w:sz w:val="20"/>
          <w:szCs w:val="20"/>
          <w:lang w:val="en-GB"/>
        </w:rPr>
        <w:t xml:space="preserve"> Biotec, Woking, UK) at a concentration of 4:1 (beads: PBMCs) was used to assess lymphocyte </w:t>
      </w:r>
      <w:r>
        <w:rPr>
          <w:rFonts w:ascii="Arial" w:hAnsi="Arial" w:cs="Arial"/>
          <w:sz w:val="20"/>
          <w:szCs w:val="20"/>
          <w:lang w:val="en-GB"/>
        </w:rPr>
        <w:t>immunophenotype</w:t>
      </w:r>
      <w:r w:rsidRPr="008A7BCF">
        <w:rPr>
          <w:rFonts w:ascii="Arial" w:hAnsi="Arial" w:cs="Arial"/>
          <w:sz w:val="20"/>
          <w:szCs w:val="20"/>
          <w:lang w:val="en-GB"/>
        </w:rPr>
        <w:t>. Doses were based on previous experiments.</w:t>
      </w:r>
      <w:r>
        <w:rPr>
          <w:rFonts w:ascii="Arial" w:hAnsi="Arial" w:cs="Arial"/>
          <w:sz w:val="20"/>
          <w:szCs w:val="20"/>
          <w:lang w:val="en-GB"/>
        </w:rPr>
        <w:fldChar w:fldCharType="begin">
          <w:fldData xml:space="preserve">PEVuZE5vdGU+PENpdGU+PEF1dGhvcj5QYWtldGNpPC9BdXRob3I+PFllYXI+MjAyNTwvWWVhcj48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</w:fldData>
        </w:fldChar>
      </w:r>
      <w:r w:rsidR="00AC3E4C">
        <w:rPr>
          <w:rFonts w:ascii="Arial" w:hAnsi="Arial" w:cs="Arial"/>
          <w:sz w:val="20"/>
          <w:szCs w:val="20"/>
          <w:lang w:val="en-GB"/>
        </w:rPr>
        <w:instrText xml:space="preserve"> ADDIN EN.CITE </w:instrText>
      </w:r>
      <w:r w:rsidR="00AC3E4C">
        <w:rPr>
          <w:rFonts w:ascii="Arial" w:hAnsi="Arial" w:cs="Arial"/>
          <w:sz w:val="20"/>
          <w:szCs w:val="20"/>
          <w:lang w:val="en-GB"/>
        </w:rPr>
        <w:fldChar w:fldCharType="begin">
          <w:fldData xml:space="preserve">PEVuZE5vdGU+PENpdGU+PEF1dGhvcj5QYWtldGNpPC9BdXRob3I+PFllYXI+MjAyNTwvWWVhcj48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</w:fldData>
        </w:fldChar>
      </w:r>
      <w:r w:rsidR="00AC3E4C">
        <w:rPr>
          <w:rFonts w:ascii="Arial" w:hAnsi="Arial" w:cs="Arial"/>
          <w:sz w:val="20"/>
          <w:szCs w:val="20"/>
          <w:lang w:val="en-GB"/>
        </w:rPr>
        <w:instrText xml:space="preserve"> ADDIN EN.CITE.DATA </w:instrText>
      </w:r>
      <w:r w:rsidR="00AC3E4C">
        <w:rPr>
          <w:rFonts w:ascii="Arial" w:hAnsi="Arial" w:cs="Arial"/>
          <w:sz w:val="20"/>
          <w:szCs w:val="20"/>
          <w:lang w:val="en-GB"/>
        </w:rPr>
      </w:r>
      <w:r w:rsidR="00AC3E4C">
        <w:rPr>
          <w:rFonts w:ascii="Arial" w:hAnsi="Arial" w:cs="Arial"/>
          <w:sz w:val="20"/>
          <w:szCs w:val="20"/>
          <w:lang w:val="en-GB"/>
        </w:rPr>
        <w:fldChar w:fldCharType="end"/>
      </w:r>
      <w:r>
        <w:rPr>
          <w:rFonts w:ascii="Arial" w:hAnsi="Arial" w:cs="Arial"/>
          <w:sz w:val="20"/>
          <w:szCs w:val="20"/>
          <w:lang w:val="en-GB"/>
        </w:rPr>
      </w:r>
      <w:r>
        <w:rPr>
          <w:rFonts w:ascii="Arial" w:hAnsi="Arial" w:cs="Arial"/>
          <w:sz w:val="20"/>
          <w:szCs w:val="20"/>
          <w:lang w:val="en-GB"/>
        </w:rPr>
        <w:fldChar w:fldCharType="separate"/>
      </w:r>
      <w:r w:rsidR="00AC3E4C">
        <w:rPr>
          <w:rFonts w:ascii="Arial" w:hAnsi="Arial" w:cs="Arial"/>
          <w:noProof/>
          <w:sz w:val="20"/>
          <w:szCs w:val="20"/>
          <w:lang w:val="en-GB"/>
        </w:rPr>
        <w:t>(6)</w:t>
      </w:r>
      <w:r>
        <w:rPr>
          <w:rFonts w:ascii="Arial" w:hAnsi="Arial" w:cs="Arial"/>
          <w:sz w:val="20"/>
          <w:szCs w:val="20"/>
          <w:lang w:val="en-GB"/>
        </w:rPr>
        <w:fldChar w:fldCharType="end"/>
      </w:r>
      <w:r w:rsidRPr="008A7BCF">
        <w:rPr>
          <w:rFonts w:ascii="Arial" w:hAnsi="Arial" w:cs="Arial"/>
          <w:sz w:val="20"/>
          <w:szCs w:val="20"/>
          <w:lang w:val="en-GB"/>
        </w:rPr>
        <w:t xml:space="preserve"> Following stimulation, 96-well plates were centrifuged at 400g for 5 minutes at room temperature the supernatant removed and stored </w:t>
      </w:r>
      <w:r>
        <w:rPr>
          <w:rFonts w:ascii="Arial" w:hAnsi="Arial" w:cs="Arial"/>
          <w:sz w:val="20"/>
          <w:szCs w:val="20"/>
          <w:lang w:val="en-GB"/>
        </w:rPr>
        <w:t>at -80</w:t>
      </w:r>
      <w:r w:rsidRPr="009F61E7">
        <w:rPr>
          <w:rFonts w:ascii="Arial" w:hAnsi="Arial" w:cs="Arial"/>
          <w:sz w:val="20"/>
          <w:szCs w:val="20"/>
          <w:vertAlign w:val="superscript"/>
          <w:lang w:val="en-GB"/>
        </w:rPr>
        <w:t>o</w:t>
      </w:r>
      <w:r>
        <w:rPr>
          <w:rFonts w:ascii="Arial" w:hAnsi="Arial" w:cs="Arial"/>
          <w:sz w:val="20"/>
          <w:szCs w:val="20"/>
          <w:lang w:val="en-GB"/>
        </w:rPr>
        <w:t>C</w:t>
      </w:r>
      <w:r w:rsidRPr="008A7BCF">
        <w:rPr>
          <w:rFonts w:ascii="Arial" w:hAnsi="Arial" w:cs="Arial"/>
          <w:sz w:val="20"/>
          <w:szCs w:val="20"/>
          <w:lang w:val="en-GB"/>
        </w:rPr>
        <w:t xml:space="preserve"> for subsequent cytokine measurement</w:t>
      </w:r>
      <w:r>
        <w:rPr>
          <w:rFonts w:ascii="Arial" w:hAnsi="Arial" w:cs="Arial"/>
          <w:sz w:val="20"/>
          <w:szCs w:val="20"/>
          <w:lang w:val="en-GB"/>
        </w:rPr>
        <w:t xml:space="preserve"> using ELISA</w:t>
      </w:r>
      <w:r w:rsidRPr="008A7BCF">
        <w:rPr>
          <w:rFonts w:ascii="Arial" w:hAnsi="Arial" w:cs="Arial"/>
          <w:sz w:val="20"/>
          <w:szCs w:val="20"/>
          <w:lang w:val="en-GB"/>
        </w:rPr>
        <w:t>.</w:t>
      </w:r>
    </w:p>
    <w:p w14:paraId="6ACEEE00" w14:textId="77777777" w:rsidR="001C5C08" w:rsidRPr="008A7BCF" w:rsidRDefault="001C5C08" w:rsidP="001C5C08">
      <w:pPr>
        <w:pStyle w:val="Heading2"/>
      </w:pPr>
      <w:r w:rsidRPr="008A7BCF">
        <w:t xml:space="preserve">Flow cytometry </w:t>
      </w:r>
    </w:p>
    <w:p w14:paraId="1F8D6D4A" w14:textId="77777777" w:rsidR="001C5C08" w:rsidRPr="008A7BCF" w:rsidRDefault="001C5C08" w:rsidP="001C5C08">
      <w:pPr>
        <w:rPr>
          <w:rFonts w:ascii="Arial" w:hAnsi="Arial" w:cs="Arial"/>
          <w:sz w:val="20"/>
          <w:szCs w:val="20"/>
          <w:lang w:val="en-GB"/>
        </w:rPr>
      </w:pPr>
      <w:r w:rsidRPr="008A7BCF">
        <w:rPr>
          <w:rFonts w:ascii="Arial" w:hAnsi="Arial" w:cs="Arial"/>
          <w:sz w:val="20"/>
          <w:szCs w:val="20"/>
          <w:lang w:val="en-GB"/>
        </w:rPr>
        <w:t>To assess effect of antibiotics on markers associated with monocyte function, PBMCs were resuspended in cell staining buffer (</w:t>
      </w:r>
      <w:proofErr w:type="spellStart"/>
      <w:r w:rsidRPr="008A7BCF">
        <w:rPr>
          <w:rFonts w:ascii="Arial" w:hAnsi="Arial" w:cs="Arial"/>
          <w:sz w:val="20"/>
          <w:szCs w:val="20"/>
          <w:lang w:val="en-GB"/>
        </w:rPr>
        <w:t>BioLegend</w:t>
      </w:r>
      <w:proofErr w:type="spellEnd"/>
      <w:r w:rsidRPr="008A7BCF">
        <w:rPr>
          <w:rFonts w:ascii="Arial" w:hAnsi="Arial" w:cs="Arial"/>
          <w:sz w:val="20"/>
          <w:szCs w:val="20"/>
          <w:lang w:val="en-GB"/>
        </w:rPr>
        <w:t>, London, UK) and incubated with fluorochrome-labelled antibodies to the following markers (CD11b, CD14, CD16 (Fc</w:t>
      </w:r>
      <w:r w:rsidRPr="008A7BCF">
        <w:rPr>
          <w:rFonts w:ascii="Arial" w:hAnsi="Arial" w:cs="Arial"/>
          <w:sz w:val="20"/>
          <w:szCs w:val="20"/>
          <w:lang w:val="en-GB"/>
        </w:rPr>
        <w:sym w:font="Symbol" w:char="F067"/>
      </w:r>
      <w:r w:rsidRPr="008A7BCF">
        <w:rPr>
          <w:rFonts w:ascii="Arial" w:hAnsi="Arial" w:cs="Arial"/>
          <w:sz w:val="20"/>
          <w:szCs w:val="20"/>
          <w:lang w:val="en-GB"/>
        </w:rPr>
        <w:t>R3), CD64 (Fc</w:t>
      </w:r>
      <w:r w:rsidRPr="008A7BCF">
        <w:rPr>
          <w:rFonts w:ascii="Arial" w:hAnsi="Arial" w:cs="Arial"/>
          <w:sz w:val="20"/>
          <w:szCs w:val="20"/>
          <w:lang w:val="en-GB"/>
        </w:rPr>
        <w:sym w:font="Symbol" w:char="F067"/>
      </w:r>
      <w:r w:rsidRPr="008A7BCF">
        <w:rPr>
          <w:rFonts w:ascii="Arial" w:hAnsi="Arial" w:cs="Arial"/>
          <w:sz w:val="20"/>
          <w:szCs w:val="20"/>
          <w:lang w:val="en-GB"/>
        </w:rPr>
        <w:t>R1), CD74 (CLIP), CD80, CD86, CD274 (PD-L1), CD284 (TLR4), and HLA-DM/DP/DR) and viability stain (Live/Dead)</w:t>
      </w:r>
      <w:r>
        <w:rPr>
          <w:rFonts w:ascii="Arial" w:hAnsi="Arial" w:cs="Arial"/>
          <w:sz w:val="20"/>
          <w:szCs w:val="20"/>
          <w:lang w:val="en-GB"/>
        </w:rPr>
        <w:t>.</w:t>
      </w:r>
      <w:r w:rsidRPr="008A7BCF">
        <w:rPr>
          <w:rFonts w:ascii="Arial" w:hAnsi="Arial" w:cs="Arial"/>
          <w:sz w:val="20"/>
          <w:szCs w:val="20"/>
          <w:lang w:val="en-GB"/>
        </w:rPr>
        <w:t xml:space="preserve"> </w:t>
      </w:r>
      <w:r>
        <w:rPr>
          <w:rFonts w:ascii="Arial" w:hAnsi="Arial" w:cs="Arial"/>
          <w:sz w:val="20"/>
          <w:szCs w:val="20"/>
          <w:lang w:val="en-GB"/>
        </w:rPr>
        <w:t>Following</w:t>
      </w:r>
      <w:r w:rsidRPr="008A7BCF">
        <w:rPr>
          <w:rFonts w:ascii="Arial" w:hAnsi="Arial" w:cs="Arial"/>
          <w:sz w:val="20"/>
          <w:szCs w:val="20"/>
          <w:lang w:val="en-GB"/>
        </w:rPr>
        <w:t xml:space="preserve"> use of the Tru-nuclear fixation/permeabilization kit (</w:t>
      </w:r>
      <w:proofErr w:type="spellStart"/>
      <w:r w:rsidRPr="008A7BCF">
        <w:rPr>
          <w:rFonts w:ascii="Arial" w:hAnsi="Arial" w:cs="Arial"/>
          <w:sz w:val="20"/>
          <w:szCs w:val="20"/>
          <w:lang w:val="en-GB"/>
        </w:rPr>
        <w:t>BioLegend</w:t>
      </w:r>
      <w:proofErr w:type="spellEnd"/>
      <w:r w:rsidRPr="008A7BCF">
        <w:rPr>
          <w:rFonts w:ascii="Arial" w:hAnsi="Arial" w:cs="Arial"/>
          <w:sz w:val="20"/>
          <w:szCs w:val="20"/>
          <w:lang w:val="en-GB"/>
        </w:rPr>
        <w:t>) as per manufacturer recommendations, fluorochrome-labelled antibodies to the following intracellular cytokines (IL-1</w:t>
      </w:r>
      <w:r w:rsidRPr="008A7BCF">
        <w:rPr>
          <w:rFonts w:ascii="Arial" w:hAnsi="Arial" w:cs="Arial"/>
          <w:sz w:val="20"/>
          <w:szCs w:val="20"/>
          <w:lang w:val="en-GB"/>
        </w:rPr>
        <w:sym w:font="Symbol" w:char="F062"/>
      </w:r>
      <w:r w:rsidRPr="008A7BCF">
        <w:rPr>
          <w:rFonts w:ascii="Arial" w:hAnsi="Arial" w:cs="Arial"/>
          <w:sz w:val="20"/>
          <w:szCs w:val="20"/>
          <w:lang w:val="en-GB"/>
        </w:rPr>
        <w:t>, IL-10, IFN-</w:t>
      </w:r>
      <w:r w:rsidRPr="008A7BCF">
        <w:rPr>
          <w:rFonts w:ascii="Arial" w:hAnsi="Arial" w:cs="Arial"/>
          <w:sz w:val="20"/>
          <w:szCs w:val="20"/>
          <w:lang w:val="en-GB"/>
        </w:rPr>
        <w:sym w:font="Symbol" w:char="F067"/>
      </w:r>
      <w:r w:rsidRPr="008A7BCF">
        <w:rPr>
          <w:rFonts w:ascii="Arial" w:hAnsi="Arial" w:cs="Arial"/>
          <w:sz w:val="20"/>
          <w:szCs w:val="20"/>
          <w:lang w:val="en-GB"/>
        </w:rPr>
        <w:t>, and TNF-</w:t>
      </w:r>
      <w:r w:rsidRPr="008A7BCF">
        <w:rPr>
          <w:rFonts w:ascii="Arial" w:hAnsi="Arial" w:cs="Arial"/>
          <w:sz w:val="20"/>
          <w:szCs w:val="20"/>
          <w:lang w:val="en-GB"/>
        </w:rPr>
        <w:sym w:font="Symbol" w:char="F061"/>
      </w:r>
      <w:r w:rsidRPr="008A7BCF">
        <w:rPr>
          <w:rFonts w:ascii="Arial" w:hAnsi="Arial" w:cs="Arial"/>
          <w:sz w:val="20"/>
          <w:szCs w:val="20"/>
          <w:lang w:val="en-GB"/>
        </w:rPr>
        <w:t>), proteins (NLRP3 and NOX-2), and transcription factors (NF-</w:t>
      </w:r>
      <w:r w:rsidRPr="008A7BCF">
        <w:rPr>
          <w:rFonts w:ascii="Arial" w:hAnsi="Arial" w:cs="Arial"/>
          <w:sz w:val="20"/>
          <w:szCs w:val="20"/>
          <w:lang w:val="en-GB"/>
        </w:rPr>
        <w:sym w:font="Symbol" w:char="F06B"/>
      </w:r>
      <w:r w:rsidRPr="008A7BCF">
        <w:rPr>
          <w:rFonts w:ascii="Arial" w:hAnsi="Arial" w:cs="Arial"/>
          <w:sz w:val="20"/>
          <w:szCs w:val="20"/>
          <w:lang w:val="en-GB"/>
        </w:rPr>
        <w:t xml:space="preserve">B, </w:t>
      </w:r>
      <w:r>
        <w:rPr>
          <w:rFonts w:ascii="Arial" w:hAnsi="Arial" w:cs="Arial"/>
          <w:sz w:val="20"/>
          <w:szCs w:val="20"/>
          <w:lang w:val="en-GB"/>
        </w:rPr>
        <w:t xml:space="preserve">and </w:t>
      </w:r>
      <w:r w:rsidRPr="008A7BCF">
        <w:rPr>
          <w:rFonts w:ascii="Arial" w:hAnsi="Arial" w:cs="Arial"/>
          <w:sz w:val="20"/>
          <w:szCs w:val="20"/>
          <w:lang w:val="en-GB"/>
        </w:rPr>
        <w:t>CIITA)</w:t>
      </w:r>
      <w:r>
        <w:rPr>
          <w:rFonts w:ascii="Arial" w:hAnsi="Arial" w:cs="Arial"/>
          <w:sz w:val="20"/>
          <w:szCs w:val="20"/>
          <w:lang w:val="en-GB"/>
        </w:rPr>
        <w:t xml:space="preserve"> were added</w:t>
      </w:r>
      <w:r w:rsidRPr="008A7BCF">
        <w:rPr>
          <w:rFonts w:ascii="Arial" w:hAnsi="Arial" w:cs="Arial"/>
          <w:sz w:val="20"/>
          <w:szCs w:val="20"/>
          <w:lang w:val="en-GB"/>
        </w:rPr>
        <w:t>. Details of products and concentrations used are listed in</w:t>
      </w:r>
      <w:r w:rsidRPr="008A7BCF">
        <w:rPr>
          <w:rFonts w:ascii="Arial" w:hAnsi="Arial" w:cs="Arial"/>
          <w:b/>
          <w:bCs/>
          <w:sz w:val="20"/>
          <w:szCs w:val="20"/>
          <w:lang w:val="en-GB"/>
        </w:rPr>
        <w:t xml:space="preserve"> </w:t>
      </w:r>
      <w:r w:rsidRPr="008A7BCF">
        <w:rPr>
          <w:rFonts w:ascii="Arial" w:hAnsi="Arial" w:cs="Arial"/>
          <w:b/>
          <w:bCs/>
          <w:sz w:val="20"/>
          <w:szCs w:val="20"/>
          <w:lang w:val="en-GB"/>
        </w:rPr>
        <w:fldChar w:fldCharType="begin"/>
      </w:r>
      <w:r w:rsidRPr="008A7BCF">
        <w:rPr>
          <w:rFonts w:ascii="Arial" w:hAnsi="Arial" w:cs="Arial"/>
          <w:b/>
          <w:bCs/>
          <w:sz w:val="20"/>
          <w:szCs w:val="20"/>
          <w:lang w:val="en-GB"/>
        </w:rPr>
        <w:instrText xml:space="preserve"> REF _Ref205129941 \h  \* MERGEFORMAT </w:instrText>
      </w:r>
      <w:r w:rsidRPr="008A7BCF">
        <w:rPr>
          <w:rFonts w:ascii="Arial" w:hAnsi="Arial" w:cs="Arial"/>
          <w:b/>
          <w:bCs/>
          <w:sz w:val="20"/>
          <w:szCs w:val="20"/>
          <w:lang w:val="en-GB"/>
        </w:rPr>
      </w:r>
      <w:r w:rsidRPr="008A7BCF">
        <w:rPr>
          <w:rFonts w:ascii="Arial" w:hAnsi="Arial" w:cs="Arial"/>
          <w:b/>
          <w:bCs/>
          <w:sz w:val="20"/>
          <w:szCs w:val="20"/>
          <w:lang w:val="en-GB"/>
        </w:rPr>
        <w:fldChar w:fldCharType="separate"/>
      </w:r>
      <w:r w:rsidRPr="008A7BCF">
        <w:rPr>
          <w:rFonts w:ascii="Arial" w:hAnsi="Arial" w:cs="Arial"/>
          <w:b/>
          <w:bCs/>
          <w:sz w:val="20"/>
          <w:szCs w:val="20"/>
          <w:lang w:val="en-GB"/>
        </w:rPr>
        <w:t xml:space="preserve">Supplemental Table </w:t>
      </w:r>
      <w:r w:rsidRPr="008A7BCF">
        <w:rPr>
          <w:rFonts w:ascii="Arial" w:hAnsi="Arial" w:cs="Arial"/>
          <w:b/>
          <w:bCs/>
          <w:noProof/>
          <w:sz w:val="20"/>
          <w:szCs w:val="20"/>
          <w:lang w:val="en-GB"/>
        </w:rPr>
        <w:t>1</w:t>
      </w:r>
      <w:r w:rsidRPr="008A7BCF">
        <w:rPr>
          <w:rFonts w:ascii="Arial" w:hAnsi="Arial" w:cs="Arial"/>
          <w:b/>
          <w:bCs/>
          <w:sz w:val="20"/>
          <w:szCs w:val="20"/>
          <w:lang w:val="en-GB"/>
        </w:rPr>
        <w:fldChar w:fldCharType="end"/>
      </w:r>
      <w:r w:rsidRPr="008A7BCF">
        <w:rPr>
          <w:rFonts w:ascii="Arial" w:hAnsi="Arial" w:cs="Arial"/>
          <w:sz w:val="20"/>
          <w:szCs w:val="20"/>
          <w:lang w:val="en-GB"/>
        </w:rPr>
        <w:t>.</w:t>
      </w:r>
    </w:p>
    <w:p w14:paraId="0FA669F5" w14:textId="77777777" w:rsidR="001C5C08" w:rsidRPr="008A7BCF" w:rsidRDefault="001C5C08" w:rsidP="001C5C08">
      <w:pPr>
        <w:rPr>
          <w:rFonts w:ascii="Arial" w:hAnsi="Arial" w:cs="Arial"/>
          <w:sz w:val="20"/>
          <w:szCs w:val="20"/>
          <w:lang w:val="en-GB"/>
        </w:rPr>
      </w:pPr>
      <w:r w:rsidRPr="008A7BCF">
        <w:rPr>
          <w:rFonts w:ascii="Arial" w:hAnsi="Arial" w:cs="Arial"/>
          <w:sz w:val="20"/>
          <w:szCs w:val="20"/>
          <w:lang w:val="en-GB"/>
        </w:rPr>
        <w:lastRenderedPageBreak/>
        <w:t>For lymphocyte characterisation, PBMCs were resuspended in cell staining buffer (</w:t>
      </w:r>
      <w:proofErr w:type="spellStart"/>
      <w:r w:rsidRPr="008A7BCF">
        <w:rPr>
          <w:rFonts w:ascii="Arial" w:hAnsi="Arial" w:cs="Arial"/>
          <w:sz w:val="20"/>
          <w:szCs w:val="20"/>
          <w:lang w:val="en-GB"/>
        </w:rPr>
        <w:t>BioLegend</w:t>
      </w:r>
      <w:proofErr w:type="spellEnd"/>
      <w:r w:rsidRPr="008A7BCF">
        <w:rPr>
          <w:rFonts w:ascii="Arial" w:hAnsi="Arial" w:cs="Arial"/>
          <w:sz w:val="20"/>
          <w:szCs w:val="20"/>
          <w:lang w:val="en-GB"/>
        </w:rPr>
        <w:t>) with fluorochrome-labelled antibodies to the following cell surface markers (CD3, CD4, CD8, CD19, CD25 (IL-2R), CD28, CD95 (Fas), CD127 (IL-7R), CD152 (CTLA-4), CD194 (CCR4), CD196 (CCR6), CD274 (PD-L1), CD279 (PD-1), and HLA-DR) and viability stain (Live/Dead)</w:t>
      </w:r>
      <w:r>
        <w:rPr>
          <w:rFonts w:ascii="Arial" w:hAnsi="Arial" w:cs="Arial"/>
          <w:sz w:val="20"/>
          <w:szCs w:val="20"/>
          <w:lang w:val="en-GB"/>
        </w:rPr>
        <w:t>.</w:t>
      </w:r>
      <w:r w:rsidRPr="008A7BCF">
        <w:rPr>
          <w:rFonts w:ascii="Arial" w:hAnsi="Arial" w:cs="Arial"/>
          <w:sz w:val="20"/>
          <w:szCs w:val="20"/>
          <w:lang w:val="en-GB"/>
        </w:rPr>
        <w:t xml:space="preserve"> </w:t>
      </w:r>
      <w:r>
        <w:rPr>
          <w:rFonts w:ascii="Arial" w:hAnsi="Arial" w:cs="Arial"/>
          <w:sz w:val="20"/>
          <w:szCs w:val="20"/>
          <w:lang w:val="en-GB"/>
        </w:rPr>
        <w:t>A</w:t>
      </w:r>
      <w:r w:rsidRPr="008A7BCF">
        <w:rPr>
          <w:rFonts w:ascii="Arial" w:hAnsi="Arial" w:cs="Arial"/>
          <w:sz w:val="20"/>
          <w:szCs w:val="20"/>
          <w:lang w:val="en-GB"/>
        </w:rPr>
        <w:t>fter use of the Tru-nuclear fixation/permeabilization kit (</w:t>
      </w:r>
      <w:proofErr w:type="spellStart"/>
      <w:r w:rsidRPr="008A7BCF">
        <w:rPr>
          <w:rFonts w:ascii="Arial" w:hAnsi="Arial" w:cs="Arial"/>
          <w:sz w:val="20"/>
          <w:szCs w:val="20"/>
          <w:lang w:val="en-GB"/>
        </w:rPr>
        <w:t>BioLegend</w:t>
      </w:r>
      <w:proofErr w:type="spellEnd"/>
      <w:r w:rsidRPr="008A7BCF">
        <w:rPr>
          <w:rFonts w:ascii="Arial" w:hAnsi="Arial" w:cs="Arial"/>
          <w:sz w:val="20"/>
          <w:szCs w:val="20"/>
          <w:lang w:val="en-GB"/>
        </w:rPr>
        <w:t>) as per manufacturer recommendations, fluorochrome-labelled antibodies to the following intracellular cytokines (IL-2, IL-4, IL-10, IL-17A, and IFN-</w:t>
      </w:r>
      <w:r w:rsidRPr="008A7BCF">
        <w:rPr>
          <w:rFonts w:ascii="Arial" w:hAnsi="Arial" w:cs="Arial"/>
          <w:sz w:val="20"/>
          <w:szCs w:val="20"/>
          <w:lang w:val="en-GB"/>
        </w:rPr>
        <w:sym w:font="Symbol" w:char="F067"/>
      </w:r>
      <w:r w:rsidRPr="008A7BCF">
        <w:rPr>
          <w:rFonts w:ascii="Arial" w:hAnsi="Arial" w:cs="Arial"/>
          <w:sz w:val="20"/>
          <w:szCs w:val="20"/>
          <w:lang w:val="en-GB"/>
        </w:rPr>
        <w:t>), and transcription factors (NF-</w:t>
      </w:r>
      <w:r w:rsidRPr="008A7BCF">
        <w:rPr>
          <w:rFonts w:ascii="Arial" w:hAnsi="Arial" w:cs="Arial"/>
          <w:sz w:val="20"/>
          <w:szCs w:val="20"/>
          <w:lang w:val="en-GB"/>
        </w:rPr>
        <w:sym w:font="Symbol" w:char="F06B"/>
      </w:r>
      <w:r w:rsidRPr="008A7BCF">
        <w:rPr>
          <w:rFonts w:ascii="Arial" w:hAnsi="Arial" w:cs="Arial"/>
          <w:sz w:val="20"/>
          <w:szCs w:val="20"/>
          <w:lang w:val="en-GB"/>
        </w:rPr>
        <w:t>B</w:t>
      </w:r>
      <w:r>
        <w:rPr>
          <w:rFonts w:ascii="Arial" w:hAnsi="Arial" w:cs="Arial"/>
          <w:sz w:val="20"/>
          <w:szCs w:val="20"/>
          <w:lang w:val="en-GB"/>
        </w:rPr>
        <w:t>,</w:t>
      </w:r>
      <w:r w:rsidRPr="008A7BCF">
        <w:rPr>
          <w:rFonts w:ascii="Arial" w:hAnsi="Arial" w:cs="Arial"/>
          <w:sz w:val="20"/>
          <w:szCs w:val="20"/>
          <w:lang w:val="en-GB"/>
        </w:rPr>
        <w:t xml:space="preserve"> Fox-P3, STAT5, and T-bet)</w:t>
      </w:r>
      <w:r>
        <w:rPr>
          <w:rFonts w:ascii="Arial" w:hAnsi="Arial" w:cs="Arial"/>
          <w:sz w:val="20"/>
          <w:szCs w:val="20"/>
          <w:lang w:val="en-GB"/>
        </w:rPr>
        <w:t xml:space="preserve"> were added</w:t>
      </w:r>
      <w:r w:rsidRPr="008A7BCF">
        <w:rPr>
          <w:rFonts w:ascii="Arial" w:hAnsi="Arial" w:cs="Arial"/>
          <w:sz w:val="20"/>
          <w:szCs w:val="20"/>
          <w:lang w:val="en-GB"/>
        </w:rPr>
        <w:t>. Details of products and concentrations used are listed in</w:t>
      </w:r>
      <w:r w:rsidRPr="008A7BCF">
        <w:rPr>
          <w:rFonts w:ascii="Arial" w:hAnsi="Arial" w:cs="Arial"/>
          <w:b/>
          <w:bCs/>
          <w:sz w:val="20"/>
          <w:szCs w:val="20"/>
          <w:lang w:val="en-GB"/>
        </w:rPr>
        <w:t xml:space="preserve"> </w:t>
      </w:r>
      <w:r w:rsidRPr="008A7BCF">
        <w:rPr>
          <w:rFonts w:ascii="Arial" w:hAnsi="Arial" w:cs="Arial"/>
          <w:b/>
          <w:bCs/>
          <w:sz w:val="20"/>
          <w:szCs w:val="20"/>
          <w:lang w:val="en-GB"/>
        </w:rPr>
        <w:fldChar w:fldCharType="begin"/>
      </w:r>
      <w:r w:rsidRPr="008A7BCF">
        <w:rPr>
          <w:rFonts w:ascii="Arial" w:hAnsi="Arial" w:cs="Arial"/>
          <w:b/>
          <w:bCs/>
          <w:sz w:val="20"/>
          <w:szCs w:val="20"/>
          <w:lang w:val="en-GB"/>
        </w:rPr>
        <w:instrText xml:space="preserve"> REF _Ref205129960 \h  \* MERGEFORMAT </w:instrText>
      </w:r>
      <w:r w:rsidRPr="008A7BCF">
        <w:rPr>
          <w:rFonts w:ascii="Arial" w:hAnsi="Arial" w:cs="Arial"/>
          <w:b/>
          <w:bCs/>
          <w:sz w:val="20"/>
          <w:szCs w:val="20"/>
          <w:lang w:val="en-GB"/>
        </w:rPr>
      </w:r>
      <w:r w:rsidRPr="008A7BCF">
        <w:rPr>
          <w:rFonts w:ascii="Arial" w:hAnsi="Arial" w:cs="Arial"/>
          <w:b/>
          <w:bCs/>
          <w:sz w:val="20"/>
          <w:szCs w:val="20"/>
          <w:lang w:val="en-GB"/>
        </w:rPr>
        <w:fldChar w:fldCharType="separate"/>
      </w:r>
      <w:r w:rsidRPr="008A7BCF">
        <w:rPr>
          <w:rFonts w:ascii="Arial" w:hAnsi="Arial" w:cs="Arial"/>
          <w:b/>
          <w:bCs/>
          <w:sz w:val="20"/>
          <w:szCs w:val="20"/>
          <w:lang w:val="en-GB"/>
        </w:rPr>
        <w:t>Supplemental Table 2</w:t>
      </w:r>
      <w:r w:rsidRPr="008A7BCF">
        <w:rPr>
          <w:rFonts w:ascii="Arial" w:hAnsi="Arial" w:cs="Arial"/>
          <w:b/>
          <w:bCs/>
          <w:sz w:val="20"/>
          <w:szCs w:val="20"/>
          <w:lang w:val="en-GB"/>
        </w:rPr>
        <w:fldChar w:fldCharType="end"/>
      </w:r>
      <w:r w:rsidRPr="008A7BCF">
        <w:rPr>
          <w:rFonts w:ascii="Arial" w:hAnsi="Arial" w:cs="Arial"/>
          <w:sz w:val="20"/>
          <w:szCs w:val="20"/>
          <w:lang w:val="en-GB"/>
        </w:rPr>
        <w:t>.</w:t>
      </w:r>
    </w:p>
    <w:p w14:paraId="7E3B86B6" w14:textId="484321FB" w:rsidR="001C5C08" w:rsidRPr="008A7BCF" w:rsidRDefault="001C5C08" w:rsidP="001C5C08">
      <w:pPr>
        <w:rPr>
          <w:rFonts w:ascii="Arial" w:hAnsi="Arial" w:cs="Arial"/>
          <w:b/>
          <w:bCs/>
          <w:sz w:val="20"/>
          <w:szCs w:val="20"/>
          <w:lang w:val="en-GB"/>
        </w:rPr>
      </w:pPr>
      <w:r w:rsidRPr="008A7BCF">
        <w:rPr>
          <w:rFonts w:ascii="Arial" w:hAnsi="Arial" w:cs="Arial"/>
          <w:sz w:val="20"/>
          <w:szCs w:val="20"/>
          <w:lang w:val="en-GB"/>
        </w:rPr>
        <w:t>Cells were acquired on an ID7000 spectral cell analyser (Sony Biotechnology Inc, Weybridge, UK) and analysed using ID7000 software (version 1.2, Sony). Alignment check beads (Sony) were used prior to running each experiment and spectral references for each fluorochrome added using single stain labelled heat-killed cells (60</w:t>
      </w:r>
      <w:r w:rsidRPr="008A7BCF">
        <w:rPr>
          <w:rFonts w:ascii="Arial" w:hAnsi="Arial" w:cs="Arial"/>
          <w:sz w:val="20"/>
          <w:szCs w:val="20"/>
          <w:vertAlign w:val="superscript"/>
          <w:lang w:val="en-GB"/>
        </w:rPr>
        <w:t>o</w:t>
      </w:r>
      <w:r w:rsidRPr="008A7BCF">
        <w:rPr>
          <w:rFonts w:ascii="Arial" w:hAnsi="Arial" w:cs="Arial"/>
          <w:sz w:val="20"/>
          <w:szCs w:val="20"/>
          <w:lang w:val="en-GB"/>
        </w:rPr>
        <w:t>C for 10minutes, live/dead stain) or compensation beads (</w:t>
      </w:r>
      <w:proofErr w:type="spellStart"/>
      <w:r w:rsidRPr="008A7BCF">
        <w:rPr>
          <w:rFonts w:ascii="Arial" w:hAnsi="Arial" w:cs="Arial"/>
          <w:sz w:val="20"/>
          <w:szCs w:val="20"/>
          <w:lang w:val="en-GB"/>
        </w:rPr>
        <w:t>Thermo</w:t>
      </w:r>
      <w:proofErr w:type="spellEnd"/>
      <w:r w:rsidRPr="008A7BCF">
        <w:rPr>
          <w:rFonts w:ascii="Arial" w:hAnsi="Arial" w:cs="Arial"/>
          <w:sz w:val="20"/>
          <w:szCs w:val="20"/>
          <w:lang w:val="en-GB"/>
        </w:rPr>
        <w:t xml:space="preserve"> Fisher Scientific, all other markers) with appropriate negative controls. FMO (fluorescence minus one) samples were used to identify cell populations. The stopping gate was set at 10,000 events for either CD14</w:t>
      </w:r>
      <w:r w:rsidRPr="008A7BCF">
        <w:rPr>
          <w:rFonts w:ascii="Arial" w:hAnsi="Arial" w:cs="Arial"/>
          <w:sz w:val="20"/>
          <w:szCs w:val="20"/>
          <w:vertAlign w:val="superscript"/>
          <w:lang w:val="en-GB"/>
        </w:rPr>
        <w:t>++</w:t>
      </w:r>
      <w:r w:rsidRPr="008A7BCF">
        <w:rPr>
          <w:rFonts w:ascii="Arial" w:hAnsi="Arial" w:cs="Arial"/>
          <w:sz w:val="20"/>
          <w:szCs w:val="20"/>
          <w:lang w:val="en-GB"/>
        </w:rPr>
        <w:t>CD16</w:t>
      </w:r>
      <w:r w:rsidRPr="008A7BCF">
        <w:rPr>
          <w:rFonts w:ascii="Arial" w:hAnsi="Arial" w:cs="Arial"/>
          <w:sz w:val="20"/>
          <w:szCs w:val="20"/>
          <w:vertAlign w:val="superscript"/>
          <w:lang w:val="en-GB"/>
        </w:rPr>
        <w:t>-</w:t>
      </w:r>
      <w:r w:rsidRPr="008A7BCF">
        <w:rPr>
          <w:rFonts w:ascii="Arial" w:hAnsi="Arial" w:cs="Arial"/>
          <w:sz w:val="20"/>
          <w:szCs w:val="20"/>
          <w:lang w:val="en-GB"/>
        </w:rPr>
        <w:t xml:space="preserve"> monocytes or CD4</w:t>
      </w:r>
      <w:r w:rsidRPr="008A7BCF">
        <w:rPr>
          <w:rFonts w:ascii="Arial" w:hAnsi="Arial" w:cs="Arial"/>
          <w:sz w:val="20"/>
          <w:szCs w:val="20"/>
          <w:vertAlign w:val="superscript"/>
          <w:lang w:val="en-GB"/>
        </w:rPr>
        <w:t>+</w:t>
      </w:r>
      <w:r w:rsidRPr="008A7BCF">
        <w:rPr>
          <w:rFonts w:ascii="Arial" w:hAnsi="Arial" w:cs="Arial"/>
          <w:sz w:val="20"/>
          <w:szCs w:val="20"/>
          <w:lang w:val="en-GB"/>
        </w:rPr>
        <w:t xml:space="preserve"> lymphocytes as per the example gating strategy shown in</w:t>
      </w:r>
      <w:r w:rsidRPr="008A7BCF">
        <w:rPr>
          <w:rFonts w:ascii="Arial" w:hAnsi="Arial" w:cs="Arial"/>
          <w:b/>
          <w:bCs/>
          <w:sz w:val="20"/>
          <w:szCs w:val="20"/>
          <w:lang w:val="en-GB"/>
        </w:rPr>
        <w:t xml:space="preserve"> </w:t>
      </w:r>
      <w:r w:rsidR="009C788D">
        <w:rPr>
          <w:rFonts w:ascii="Arial" w:hAnsi="Arial" w:cs="Arial"/>
          <w:b/>
          <w:bCs/>
          <w:sz w:val="20"/>
          <w:szCs w:val="20"/>
          <w:lang w:val="en-GB"/>
        </w:rPr>
        <w:t xml:space="preserve">Supplemental </w:t>
      </w:r>
      <w:r w:rsidRPr="008A7BCF">
        <w:rPr>
          <w:rFonts w:ascii="Arial" w:hAnsi="Arial" w:cs="Arial"/>
          <w:b/>
          <w:bCs/>
          <w:sz w:val="20"/>
          <w:szCs w:val="20"/>
          <w:lang w:val="en-GB"/>
        </w:rPr>
        <w:t>Figures 1</w:t>
      </w:r>
      <w:r w:rsidRPr="008A7BCF">
        <w:rPr>
          <w:rFonts w:ascii="Arial" w:hAnsi="Arial" w:cs="Arial"/>
          <w:sz w:val="20"/>
          <w:szCs w:val="20"/>
          <w:lang w:val="en-GB"/>
        </w:rPr>
        <w:t xml:space="preserve"> and </w:t>
      </w:r>
      <w:r w:rsidR="009C788D">
        <w:rPr>
          <w:rFonts w:ascii="Arial" w:hAnsi="Arial" w:cs="Arial"/>
          <w:b/>
          <w:bCs/>
          <w:sz w:val="20"/>
          <w:szCs w:val="20"/>
          <w:lang w:val="en-GB"/>
        </w:rPr>
        <w:t>3</w:t>
      </w:r>
      <w:r w:rsidRPr="008A7BCF">
        <w:rPr>
          <w:rFonts w:ascii="Arial" w:hAnsi="Arial" w:cs="Arial"/>
          <w:sz w:val="20"/>
          <w:szCs w:val="20"/>
          <w:lang w:val="en-GB"/>
        </w:rPr>
        <w:t>.</w:t>
      </w:r>
    </w:p>
    <w:p w14:paraId="4CABE27C" w14:textId="77777777" w:rsidR="001C5C08" w:rsidRPr="008A7BCF" w:rsidRDefault="001C5C08" w:rsidP="001C5C08">
      <w:pPr>
        <w:pStyle w:val="Heading2"/>
      </w:pPr>
      <w:r w:rsidRPr="008A7BCF">
        <w:t>Cytokine ELISA</w:t>
      </w:r>
    </w:p>
    <w:p w14:paraId="791C9E50" w14:textId="77777777" w:rsidR="001C5C08" w:rsidRPr="008A7BCF" w:rsidRDefault="001C5C08" w:rsidP="001C5C08">
      <w:pPr>
        <w:rPr>
          <w:rFonts w:ascii="Arial" w:hAnsi="Arial" w:cs="Arial"/>
          <w:b/>
          <w:bCs/>
          <w:sz w:val="20"/>
          <w:szCs w:val="20"/>
          <w:lang w:val="en-GB"/>
        </w:rPr>
      </w:pPr>
      <w:r w:rsidRPr="008A7BCF">
        <w:rPr>
          <w:rFonts w:ascii="Arial" w:hAnsi="Arial" w:cs="Arial"/>
          <w:sz w:val="20"/>
          <w:szCs w:val="20"/>
          <w:lang w:val="en-GB"/>
        </w:rPr>
        <w:t>Supernatant IFN-</w:t>
      </w:r>
      <w:r w:rsidRPr="008A7BCF">
        <w:rPr>
          <w:rFonts w:ascii="Arial" w:hAnsi="Arial" w:cs="Arial"/>
          <w:sz w:val="20"/>
          <w:szCs w:val="20"/>
          <w:lang w:val="en-GB"/>
        </w:rPr>
        <w:sym w:font="Symbol" w:char="F067"/>
      </w:r>
      <w:r w:rsidRPr="008A7BCF">
        <w:rPr>
          <w:rFonts w:ascii="Arial" w:hAnsi="Arial" w:cs="Arial"/>
          <w:sz w:val="20"/>
          <w:szCs w:val="20"/>
          <w:lang w:val="en-GB"/>
        </w:rPr>
        <w:t>, IL-1</w:t>
      </w:r>
      <w:r w:rsidRPr="008A7BCF">
        <w:rPr>
          <w:rFonts w:ascii="Arial" w:hAnsi="Arial" w:cs="Arial"/>
          <w:sz w:val="20"/>
          <w:szCs w:val="20"/>
          <w:lang w:val="en-GB"/>
        </w:rPr>
        <w:sym w:font="Symbol" w:char="F062"/>
      </w:r>
      <w:r w:rsidRPr="008A7BCF">
        <w:rPr>
          <w:rFonts w:ascii="Arial" w:hAnsi="Arial" w:cs="Arial"/>
          <w:sz w:val="20"/>
          <w:szCs w:val="20"/>
          <w:lang w:val="en-GB"/>
        </w:rPr>
        <w:t>, IL-10, and TNF-</w:t>
      </w:r>
      <w:r w:rsidRPr="008A7BCF">
        <w:rPr>
          <w:rFonts w:ascii="Arial" w:hAnsi="Arial" w:cs="Arial"/>
          <w:sz w:val="20"/>
          <w:szCs w:val="20"/>
          <w:lang w:val="en-GB"/>
        </w:rPr>
        <w:sym w:font="Symbol" w:char="F061"/>
      </w:r>
      <w:r w:rsidRPr="008A7BCF">
        <w:rPr>
          <w:rFonts w:ascii="Arial" w:hAnsi="Arial" w:cs="Arial"/>
          <w:sz w:val="20"/>
          <w:szCs w:val="20"/>
          <w:lang w:val="en-GB"/>
        </w:rPr>
        <w:t xml:space="preserve"> were measured using </w:t>
      </w:r>
      <w:proofErr w:type="spellStart"/>
      <w:r w:rsidRPr="008A7BCF">
        <w:rPr>
          <w:rFonts w:ascii="Arial" w:hAnsi="Arial" w:cs="Arial"/>
          <w:sz w:val="20"/>
          <w:szCs w:val="20"/>
          <w:lang w:val="en-GB"/>
        </w:rPr>
        <w:t>Duoset</w:t>
      </w:r>
      <w:proofErr w:type="spellEnd"/>
      <w:r w:rsidRPr="008A7BCF">
        <w:rPr>
          <w:rFonts w:ascii="Arial" w:hAnsi="Arial" w:cs="Arial"/>
          <w:sz w:val="20"/>
          <w:szCs w:val="20"/>
          <w:lang w:val="en-GB"/>
        </w:rPr>
        <w:t xml:space="preserve"> ELISA kits (R&amp;D Systems, Abingdon, UK) as per manufacturer instructions. Samples were diluted 1:2 in reagent dilutant and optical densities acquired on a </w:t>
      </w:r>
      <w:proofErr w:type="spellStart"/>
      <w:r w:rsidRPr="008A7BCF">
        <w:rPr>
          <w:rFonts w:ascii="Arial" w:hAnsi="Arial" w:cs="Arial"/>
          <w:sz w:val="20"/>
          <w:szCs w:val="20"/>
          <w:lang w:val="en-GB"/>
        </w:rPr>
        <w:t>SPECTROstar</w:t>
      </w:r>
      <w:proofErr w:type="spellEnd"/>
      <w:r w:rsidRPr="008A7BCF">
        <w:rPr>
          <w:rFonts w:ascii="Arial" w:hAnsi="Arial" w:cs="Arial"/>
          <w:sz w:val="20"/>
          <w:szCs w:val="20"/>
          <w:lang w:val="en-GB"/>
        </w:rPr>
        <w:t xml:space="preserve"> Nano microplate reader (BMG Labtech, Aylesbury, UK).</w:t>
      </w:r>
    </w:p>
    <w:p w14:paraId="59F25926" w14:textId="77777777" w:rsidR="001C5C08" w:rsidRPr="008A7BCF" w:rsidRDefault="001C5C08" w:rsidP="001C5C08">
      <w:pPr>
        <w:pStyle w:val="Heading2"/>
      </w:pPr>
      <w:r w:rsidRPr="008A7BCF">
        <w:t>Statistics</w:t>
      </w:r>
    </w:p>
    <w:p w14:paraId="6A6BA6B0" w14:textId="3DF923A7" w:rsidR="001C5C08" w:rsidRDefault="001C5C08" w:rsidP="001C5C08">
      <w:pPr>
        <w:rPr>
          <w:rFonts w:ascii="Arial" w:hAnsi="Arial" w:cs="Arial"/>
          <w:sz w:val="20"/>
          <w:szCs w:val="20"/>
          <w:lang w:val="en-GB"/>
        </w:rPr>
      </w:pPr>
      <w:r w:rsidRPr="008A7BCF">
        <w:rPr>
          <w:rFonts w:ascii="Arial" w:hAnsi="Arial" w:cs="Arial"/>
          <w:sz w:val="20"/>
          <w:szCs w:val="20"/>
          <w:lang w:val="en-GB"/>
        </w:rPr>
        <w:t xml:space="preserve">Clinical and demographic data are presented either as median (inter-quartile range) or number (percentage). </w:t>
      </w:r>
    </w:p>
    <w:p w14:paraId="25D3BFE8" w14:textId="77777777" w:rsidR="00411D5B" w:rsidRDefault="001C5C08" w:rsidP="001C5C08">
      <w:pPr>
        <w:rPr>
          <w:rFonts w:ascii="Arial" w:hAnsi="Arial" w:cs="Arial"/>
          <w:sz w:val="20"/>
          <w:szCs w:val="20"/>
        </w:rPr>
      </w:pPr>
      <w:r w:rsidRPr="001C5C08">
        <w:rPr>
          <w:rFonts w:ascii="Arial" w:hAnsi="Arial" w:cs="Arial"/>
          <w:sz w:val="20"/>
          <w:szCs w:val="20"/>
        </w:rPr>
        <w:t xml:space="preserve">Multivariate analysis was performed and a p-value corrected for multiple comparisons (-log10) determined using a False Discovery Rate (FDR) of 5% using the two-stage step-up method of Benjamini, Krieger and </w:t>
      </w:r>
      <w:proofErr w:type="spellStart"/>
      <w:r w:rsidRPr="001C5C08">
        <w:rPr>
          <w:rFonts w:ascii="Arial" w:hAnsi="Arial" w:cs="Arial"/>
          <w:sz w:val="20"/>
          <w:szCs w:val="20"/>
        </w:rPr>
        <w:t>Yekutieli</w:t>
      </w:r>
      <w:proofErr w:type="spellEnd"/>
      <w:r w:rsidRPr="001C5C08">
        <w:rPr>
          <w:rFonts w:ascii="Arial" w:hAnsi="Arial" w:cs="Arial"/>
          <w:sz w:val="20"/>
          <w:szCs w:val="20"/>
        </w:rPr>
        <w:t>. Data are presented volcano plots</w:t>
      </w:r>
      <w:r w:rsidR="00334CDA">
        <w:rPr>
          <w:rFonts w:ascii="Arial" w:hAnsi="Arial" w:cs="Arial"/>
          <w:sz w:val="20"/>
          <w:szCs w:val="20"/>
        </w:rPr>
        <w:t xml:space="preserve"> and compare effects of antibiotics alone with unstimulated cells, effect of LPS or anti-CD3/CD28 bead stimulation with unstimulated cells, or the effect of antibiotic and LPS or anti-CD3/CD28 co-stimulated cells with LPS or anti-CD3/CD28 bead stimulation alone</w:t>
      </w:r>
      <w:r w:rsidRPr="001C5C08">
        <w:rPr>
          <w:rFonts w:ascii="Arial" w:hAnsi="Arial" w:cs="Arial"/>
          <w:sz w:val="20"/>
          <w:szCs w:val="20"/>
        </w:rPr>
        <w:t xml:space="preserve">. </w:t>
      </w:r>
    </w:p>
    <w:p w14:paraId="2F3BDB2F" w14:textId="099A14BB" w:rsidR="00411D5B" w:rsidRDefault="00411D5B" w:rsidP="001C5C08">
      <w:pPr>
        <w:rPr>
          <w:rFonts w:ascii="Arial" w:hAnsi="Arial" w:cs="Arial"/>
          <w:sz w:val="20"/>
          <w:szCs w:val="20"/>
          <w:lang w:val="en-GB"/>
        </w:rPr>
      </w:pPr>
      <w:r w:rsidRPr="008A7BCF">
        <w:rPr>
          <w:rFonts w:ascii="Arial" w:hAnsi="Arial" w:cs="Arial"/>
          <w:sz w:val="20"/>
          <w:szCs w:val="20"/>
          <w:lang w:val="en-GB"/>
        </w:rPr>
        <w:lastRenderedPageBreak/>
        <w:t xml:space="preserve">Flow cytometry data are </w:t>
      </w:r>
      <w:r>
        <w:rPr>
          <w:rFonts w:ascii="Arial" w:hAnsi="Arial" w:cs="Arial"/>
          <w:sz w:val="20"/>
          <w:szCs w:val="20"/>
          <w:lang w:val="en-GB"/>
        </w:rPr>
        <w:t xml:space="preserve">additionally </w:t>
      </w:r>
      <w:r w:rsidRPr="008A7BCF">
        <w:rPr>
          <w:rFonts w:ascii="Arial" w:hAnsi="Arial" w:cs="Arial"/>
          <w:sz w:val="20"/>
          <w:szCs w:val="20"/>
          <w:lang w:val="en-GB"/>
        </w:rPr>
        <w:t xml:space="preserve">presented as either median fluorescence intensity (MFI; arbitrary units), percentage positive cells, percentage of parent population, or ratio </w:t>
      </w:r>
      <w:r>
        <w:rPr>
          <w:rFonts w:ascii="Arial" w:hAnsi="Arial" w:cs="Arial"/>
          <w:sz w:val="20"/>
          <w:szCs w:val="20"/>
          <w:lang w:val="en-GB"/>
        </w:rPr>
        <w:t xml:space="preserve">as appropriate </w:t>
      </w:r>
      <w:r w:rsidRPr="008A7BCF">
        <w:rPr>
          <w:rFonts w:ascii="Arial" w:hAnsi="Arial" w:cs="Arial"/>
          <w:sz w:val="20"/>
          <w:szCs w:val="20"/>
          <w:lang w:val="en-GB"/>
        </w:rPr>
        <w:t>and compared using Friedmans</w:t>
      </w:r>
      <w:r w:rsidR="008B1127">
        <w:rPr>
          <w:rFonts w:ascii="Arial" w:hAnsi="Arial" w:cs="Arial"/>
          <w:sz w:val="20"/>
          <w:szCs w:val="20"/>
          <w:lang w:val="en-GB"/>
        </w:rPr>
        <w:t xml:space="preserve"> test</w:t>
      </w:r>
      <w:r w:rsidRPr="008A7BCF">
        <w:rPr>
          <w:rFonts w:ascii="Arial" w:hAnsi="Arial" w:cs="Arial"/>
          <w:sz w:val="20"/>
          <w:szCs w:val="20"/>
          <w:lang w:val="en-GB"/>
        </w:rPr>
        <w:t xml:space="preserve"> with</w:t>
      </w:r>
      <w:r>
        <w:rPr>
          <w:rFonts w:ascii="Arial" w:hAnsi="Arial" w:cs="Arial"/>
          <w:sz w:val="20"/>
          <w:szCs w:val="20"/>
          <w:lang w:val="en-GB"/>
        </w:rPr>
        <w:t xml:space="preserve"> Dunns uncorrected </w:t>
      </w:r>
      <w:r w:rsidRPr="008A7BCF">
        <w:rPr>
          <w:rFonts w:ascii="Arial" w:hAnsi="Arial" w:cs="Arial"/>
          <w:sz w:val="20"/>
          <w:szCs w:val="20"/>
          <w:lang w:val="en-GB"/>
        </w:rPr>
        <w:t>test</w:t>
      </w:r>
      <w:r>
        <w:rPr>
          <w:rFonts w:ascii="Arial" w:hAnsi="Arial" w:cs="Arial"/>
          <w:sz w:val="20"/>
          <w:szCs w:val="20"/>
          <w:lang w:val="en-GB"/>
        </w:rPr>
        <w:t xml:space="preserve"> for multiple comparisons</w:t>
      </w:r>
      <w:r w:rsidRPr="008A7BCF">
        <w:rPr>
          <w:rFonts w:ascii="Arial" w:hAnsi="Arial" w:cs="Arial"/>
          <w:sz w:val="20"/>
          <w:szCs w:val="20"/>
          <w:lang w:val="en-GB"/>
        </w:rPr>
        <w:t xml:space="preserve">. </w:t>
      </w:r>
    </w:p>
    <w:p w14:paraId="56AD2E5D" w14:textId="7585F604" w:rsidR="001C5C08" w:rsidRPr="001C5C08" w:rsidRDefault="001C5C08" w:rsidP="001C5C08">
      <w:pPr>
        <w:rPr>
          <w:rFonts w:ascii="Arial" w:hAnsi="Arial" w:cs="Arial"/>
          <w:sz w:val="20"/>
          <w:szCs w:val="20"/>
          <w:lang w:val="en-GB"/>
        </w:rPr>
      </w:pPr>
      <w:r w:rsidRPr="001C5C08">
        <w:rPr>
          <w:rFonts w:ascii="Arial" w:hAnsi="Arial" w:cs="Arial"/>
          <w:sz w:val="20"/>
          <w:szCs w:val="20"/>
        </w:rPr>
        <w:t>Statistical analyses were performed and graphs constructed using GraphPad Prism software (version 10, GraphPad, San Diego, CA).</w:t>
      </w:r>
    </w:p>
    <w:p w14:paraId="08270027" w14:textId="4FC1BE45" w:rsidR="004C6268" w:rsidRPr="008A7BCF" w:rsidRDefault="001442F5" w:rsidP="00EF5A4B">
      <w:pPr>
        <w:pStyle w:val="Heading1"/>
      </w:pPr>
      <w:r w:rsidRPr="008A7BCF">
        <w:t xml:space="preserve">Supplementary </w:t>
      </w:r>
      <w:r w:rsidR="004C6268" w:rsidRPr="008A7BCF">
        <w:t>T</w:t>
      </w:r>
      <w:r w:rsidRPr="008A7BCF">
        <w:t>ables</w:t>
      </w:r>
    </w:p>
    <w:tbl>
      <w:tblPr>
        <w:tblStyle w:val="PlainTable1"/>
        <w:tblW w:w="0" w:type="auto"/>
        <w:tblLook w:val="04A0" w:firstRow="1" w:lastRow="0" w:firstColumn="1" w:lastColumn="0" w:noHBand="0" w:noVBand="1"/>
      </w:tblPr>
      <w:tblGrid>
        <w:gridCol w:w="1476"/>
        <w:gridCol w:w="1201"/>
        <w:gridCol w:w="1052"/>
        <w:gridCol w:w="1428"/>
        <w:gridCol w:w="1174"/>
        <w:gridCol w:w="894"/>
        <w:gridCol w:w="894"/>
        <w:gridCol w:w="897"/>
      </w:tblGrid>
      <w:tr w:rsidR="00CB392B" w:rsidRPr="008A7BCF" w14:paraId="72BF7CBF" w14:textId="77777777" w:rsidTr="00F37A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5B3D8C51" w14:textId="77777777" w:rsidR="00CB392B" w:rsidRPr="008A7BCF" w:rsidRDefault="00CB392B" w:rsidP="00EF5A4B">
            <w:pPr>
              <w:pStyle w:val="TableParagraph"/>
              <w:rPr>
                <w:sz w:val="15"/>
                <w:szCs w:val="15"/>
              </w:rPr>
            </w:pPr>
            <w:r w:rsidRPr="008A7BCF">
              <w:rPr>
                <w:sz w:val="15"/>
                <w:szCs w:val="15"/>
              </w:rPr>
              <w:t>Function</w:t>
            </w:r>
          </w:p>
        </w:tc>
        <w:tc>
          <w:tcPr>
            <w:tcW w:w="1201" w:type="dxa"/>
          </w:tcPr>
          <w:p w14:paraId="633CE973" w14:textId="77777777" w:rsidR="00CB392B" w:rsidRPr="008A7BCF" w:rsidRDefault="00CB392B" w:rsidP="00EF5A4B">
            <w:pPr>
              <w:pStyle w:val="TableParagraph"/>
              <w:cnfStyle w:val="100000000000" w:firstRow="1" w:lastRow="0" w:firstColumn="0" w:lastColumn="0" w:oddVBand="0" w:evenVBand="0" w:oddHBand="0" w:evenHBand="0" w:firstRowFirstColumn="0" w:firstRowLastColumn="0" w:lastRowFirstColumn="0" w:lastRowLastColumn="0"/>
              <w:rPr>
                <w:b w:val="0"/>
                <w:sz w:val="15"/>
                <w:szCs w:val="15"/>
              </w:rPr>
            </w:pPr>
            <w:r w:rsidRPr="008A7BCF">
              <w:rPr>
                <w:sz w:val="15"/>
                <w:szCs w:val="15"/>
              </w:rPr>
              <w:t>Marker type</w:t>
            </w:r>
          </w:p>
        </w:tc>
        <w:tc>
          <w:tcPr>
            <w:tcW w:w="1052" w:type="dxa"/>
          </w:tcPr>
          <w:p w14:paraId="32D4BB71" w14:textId="77777777" w:rsidR="00CB392B" w:rsidRPr="008A7BCF" w:rsidRDefault="00CB392B" w:rsidP="00EF5A4B">
            <w:pPr>
              <w:pStyle w:val="TableParagraph"/>
              <w:cnfStyle w:val="100000000000" w:firstRow="1" w:lastRow="0" w:firstColumn="0" w:lastColumn="0" w:oddVBand="0" w:evenVBand="0" w:oddHBand="0" w:evenHBand="0" w:firstRowFirstColumn="0" w:firstRowLastColumn="0" w:lastRowFirstColumn="0" w:lastRowLastColumn="0"/>
              <w:rPr>
                <w:b w:val="0"/>
                <w:sz w:val="15"/>
                <w:szCs w:val="15"/>
              </w:rPr>
            </w:pPr>
            <w:r w:rsidRPr="008A7BCF">
              <w:rPr>
                <w:sz w:val="15"/>
                <w:szCs w:val="15"/>
              </w:rPr>
              <w:t>Cell Marker</w:t>
            </w:r>
          </w:p>
        </w:tc>
        <w:tc>
          <w:tcPr>
            <w:tcW w:w="1428" w:type="dxa"/>
          </w:tcPr>
          <w:p w14:paraId="2627AFA6" w14:textId="77777777" w:rsidR="00CB392B" w:rsidRPr="008A7BCF" w:rsidRDefault="00CB392B" w:rsidP="00EF5A4B">
            <w:pPr>
              <w:pStyle w:val="TableParagraph"/>
              <w:cnfStyle w:val="100000000000" w:firstRow="1" w:lastRow="0" w:firstColumn="0" w:lastColumn="0" w:oddVBand="0" w:evenVBand="0" w:oddHBand="0" w:evenHBand="0" w:firstRowFirstColumn="0" w:firstRowLastColumn="0" w:lastRowFirstColumn="0" w:lastRowLastColumn="0"/>
              <w:rPr>
                <w:b w:val="0"/>
                <w:sz w:val="15"/>
                <w:szCs w:val="15"/>
              </w:rPr>
            </w:pPr>
            <w:r w:rsidRPr="008A7BCF">
              <w:rPr>
                <w:sz w:val="15"/>
                <w:szCs w:val="15"/>
              </w:rPr>
              <w:t>Fluorochrome</w:t>
            </w:r>
          </w:p>
        </w:tc>
        <w:tc>
          <w:tcPr>
            <w:tcW w:w="1174" w:type="dxa"/>
          </w:tcPr>
          <w:p w14:paraId="5B8A45B9" w14:textId="77777777" w:rsidR="00CB392B" w:rsidRPr="008A7BCF" w:rsidRDefault="00CB392B" w:rsidP="00EF5A4B">
            <w:pPr>
              <w:pStyle w:val="TableParagraph"/>
              <w:cnfStyle w:val="100000000000" w:firstRow="1" w:lastRow="0" w:firstColumn="0" w:lastColumn="0" w:oddVBand="0" w:evenVBand="0" w:oddHBand="0" w:evenHBand="0" w:firstRowFirstColumn="0" w:firstRowLastColumn="0" w:lastRowFirstColumn="0" w:lastRowLastColumn="0"/>
              <w:rPr>
                <w:b w:val="0"/>
                <w:sz w:val="15"/>
                <w:szCs w:val="15"/>
              </w:rPr>
            </w:pPr>
            <w:r w:rsidRPr="008A7BCF">
              <w:rPr>
                <w:sz w:val="15"/>
                <w:szCs w:val="15"/>
              </w:rPr>
              <w:t>Cat no</w:t>
            </w:r>
          </w:p>
        </w:tc>
        <w:tc>
          <w:tcPr>
            <w:tcW w:w="894" w:type="dxa"/>
            <w:vAlign w:val="center"/>
          </w:tcPr>
          <w:p w14:paraId="323DDEEE" w14:textId="27495DFA" w:rsidR="00CB392B" w:rsidRPr="008A7BCF" w:rsidRDefault="00CB392B" w:rsidP="00EF5A4B">
            <w:pPr>
              <w:pStyle w:val="TableParagraph"/>
              <w:cnfStyle w:val="100000000000" w:firstRow="1" w:lastRow="0" w:firstColumn="0" w:lastColumn="0" w:oddVBand="0" w:evenVBand="0" w:oddHBand="0" w:evenHBand="0" w:firstRowFirstColumn="0" w:firstRowLastColumn="0" w:lastRowFirstColumn="0" w:lastRowLastColumn="0"/>
              <w:rPr>
                <w:sz w:val="15"/>
                <w:szCs w:val="15"/>
              </w:rPr>
            </w:pPr>
            <w:r w:rsidRPr="008A7BCF">
              <w:rPr>
                <w:sz w:val="15"/>
                <w:szCs w:val="15"/>
              </w:rPr>
              <w:t>Species </w:t>
            </w:r>
          </w:p>
        </w:tc>
        <w:tc>
          <w:tcPr>
            <w:tcW w:w="894" w:type="dxa"/>
            <w:vAlign w:val="center"/>
          </w:tcPr>
          <w:p w14:paraId="7966D18A" w14:textId="0750A038" w:rsidR="00CB392B" w:rsidRPr="008A7BCF" w:rsidRDefault="00CB392B" w:rsidP="00EF5A4B">
            <w:pPr>
              <w:pStyle w:val="TableParagraph"/>
              <w:cnfStyle w:val="100000000000" w:firstRow="1" w:lastRow="0" w:firstColumn="0" w:lastColumn="0" w:oddVBand="0" w:evenVBand="0" w:oddHBand="0" w:evenHBand="0" w:firstRowFirstColumn="0" w:firstRowLastColumn="0" w:lastRowFirstColumn="0" w:lastRowLastColumn="0"/>
              <w:rPr>
                <w:sz w:val="15"/>
                <w:szCs w:val="15"/>
              </w:rPr>
            </w:pPr>
            <w:r w:rsidRPr="008A7BCF">
              <w:rPr>
                <w:sz w:val="15"/>
                <w:szCs w:val="15"/>
              </w:rPr>
              <w:t>Isotope </w:t>
            </w:r>
          </w:p>
        </w:tc>
        <w:tc>
          <w:tcPr>
            <w:tcW w:w="897" w:type="dxa"/>
          </w:tcPr>
          <w:p w14:paraId="62A1C2EA" w14:textId="56F7BEFD" w:rsidR="00CB392B" w:rsidRPr="008A7BCF" w:rsidRDefault="00CB392B" w:rsidP="00EF5A4B">
            <w:pPr>
              <w:pStyle w:val="TableParagraph"/>
              <w:cnfStyle w:val="100000000000" w:firstRow="1" w:lastRow="0" w:firstColumn="0" w:lastColumn="0" w:oddVBand="0" w:evenVBand="0" w:oddHBand="0" w:evenHBand="0" w:firstRowFirstColumn="0" w:firstRowLastColumn="0" w:lastRowFirstColumn="0" w:lastRowLastColumn="0"/>
              <w:rPr>
                <w:b w:val="0"/>
                <w:sz w:val="15"/>
                <w:szCs w:val="15"/>
              </w:rPr>
            </w:pPr>
            <w:r w:rsidRPr="008A7BCF">
              <w:rPr>
                <w:sz w:val="15"/>
                <w:szCs w:val="15"/>
              </w:rPr>
              <w:t>Dilution</w:t>
            </w:r>
          </w:p>
        </w:tc>
      </w:tr>
      <w:tr w:rsidR="00887A53" w:rsidRPr="008A7BCF" w14:paraId="1515D23D"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restart"/>
            <w:vAlign w:val="center"/>
          </w:tcPr>
          <w:p w14:paraId="01A98C65" w14:textId="39A333B0" w:rsidR="00887A53" w:rsidRPr="008A7BCF" w:rsidRDefault="00887A53" w:rsidP="00EF5A4B">
            <w:pPr>
              <w:pStyle w:val="TableParagraph"/>
              <w:rPr>
                <w:b w:val="0"/>
                <w:bCs w:val="0"/>
                <w:sz w:val="15"/>
                <w:szCs w:val="15"/>
              </w:rPr>
            </w:pPr>
            <w:r w:rsidRPr="008A7BCF">
              <w:rPr>
                <w:sz w:val="15"/>
                <w:szCs w:val="15"/>
              </w:rPr>
              <w:t>Gating</w:t>
            </w:r>
          </w:p>
        </w:tc>
        <w:tc>
          <w:tcPr>
            <w:tcW w:w="1201" w:type="dxa"/>
            <w:vAlign w:val="center"/>
          </w:tcPr>
          <w:p w14:paraId="607BBB75" w14:textId="77777777"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05D35D43" w14:textId="77777777"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CD11b</w:t>
            </w:r>
          </w:p>
        </w:tc>
        <w:tc>
          <w:tcPr>
            <w:tcW w:w="1428" w:type="dxa"/>
            <w:vAlign w:val="center"/>
          </w:tcPr>
          <w:p w14:paraId="18AD858B" w14:textId="77777777"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SBUV445</w:t>
            </w:r>
          </w:p>
        </w:tc>
        <w:tc>
          <w:tcPr>
            <w:tcW w:w="1174" w:type="dxa"/>
            <w:vAlign w:val="center"/>
          </w:tcPr>
          <w:p w14:paraId="53E8F3CC" w14:textId="37D57902"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BR MCA711</w:t>
            </w:r>
          </w:p>
        </w:tc>
        <w:tc>
          <w:tcPr>
            <w:tcW w:w="894" w:type="dxa"/>
            <w:vAlign w:val="center"/>
          </w:tcPr>
          <w:p w14:paraId="6F344FE0" w14:textId="5215B320"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1D56B968" w14:textId="21782299"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IgG2b</w:t>
            </w:r>
          </w:p>
        </w:tc>
        <w:tc>
          <w:tcPr>
            <w:tcW w:w="897" w:type="dxa"/>
            <w:vAlign w:val="center"/>
          </w:tcPr>
          <w:p w14:paraId="2ADDABD5" w14:textId="78818EF8"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1:250</w:t>
            </w:r>
          </w:p>
        </w:tc>
      </w:tr>
      <w:tr w:rsidR="00887A53" w:rsidRPr="008A7BCF" w14:paraId="6B22C690"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012F290F" w14:textId="2EE70E40" w:rsidR="00887A53" w:rsidRPr="008A7BCF" w:rsidRDefault="00887A53" w:rsidP="00EF5A4B">
            <w:pPr>
              <w:pStyle w:val="TableParagraph"/>
              <w:rPr>
                <w:sz w:val="15"/>
                <w:szCs w:val="15"/>
              </w:rPr>
            </w:pPr>
          </w:p>
        </w:tc>
        <w:tc>
          <w:tcPr>
            <w:tcW w:w="1201" w:type="dxa"/>
            <w:vAlign w:val="center"/>
          </w:tcPr>
          <w:p w14:paraId="0946CF16" w14:textId="77777777"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7C834007" w14:textId="77777777"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CD14</w:t>
            </w:r>
          </w:p>
        </w:tc>
        <w:tc>
          <w:tcPr>
            <w:tcW w:w="1428" w:type="dxa"/>
            <w:vAlign w:val="center"/>
          </w:tcPr>
          <w:p w14:paraId="523C4B5C" w14:textId="77777777"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SBB580</w:t>
            </w:r>
          </w:p>
        </w:tc>
        <w:tc>
          <w:tcPr>
            <w:tcW w:w="1174" w:type="dxa"/>
            <w:vAlign w:val="center"/>
          </w:tcPr>
          <w:p w14:paraId="6E23DF90" w14:textId="6B21E7E4"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BR MCA1568</w:t>
            </w:r>
          </w:p>
        </w:tc>
        <w:tc>
          <w:tcPr>
            <w:tcW w:w="894" w:type="dxa"/>
            <w:vAlign w:val="center"/>
          </w:tcPr>
          <w:p w14:paraId="44BF0A84" w14:textId="46DE9FBB"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3E52767A" w14:textId="568A2518"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IgG2a</w:t>
            </w:r>
          </w:p>
        </w:tc>
        <w:tc>
          <w:tcPr>
            <w:tcW w:w="897" w:type="dxa"/>
            <w:vAlign w:val="center"/>
          </w:tcPr>
          <w:p w14:paraId="71447AAA" w14:textId="23138142"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1:250</w:t>
            </w:r>
          </w:p>
        </w:tc>
      </w:tr>
      <w:tr w:rsidR="00887A53" w:rsidRPr="008A7BCF" w14:paraId="68CE332E"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3028776D" w14:textId="5F30084A" w:rsidR="00887A53" w:rsidRPr="008A7BCF" w:rsidRDefault="00887A53" w:rsidP="00EF5A4B">
            <w:pPr>
              <w:pStyle w:val="TableParagraph"/>
              <w:rPr>
                <w:sz w:val="15"/>
                <w:szCs w:val="15"/>
              </w:rPr>
            </w:pPr>
          </w:p>
        </w:tc>
        <w:tc>
          <w:tcPr>
            <w:tcW w:w="1201" w:type="dxa"/>
            <w:vAlign w:val="center"/>
          </w:tcPr>
          <w:p w14:paraId="1B7A66D8" w14:textId="77777777"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41C82291" w14:textId="41F73536"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CD16 (Fc</w:t>
            </w:r>
            <w:r w:rsidRPr="008A7BCF">
              <w:rPr>
                <w:sz w:val="15"/>
                <w:szCs w:val="15"/>
              </w:rPr>
              <w:sym w:font="Symbol" w:char="F067"/>
            </w:r>
            <w:r w:rsidRPr="008A7BCF">
              <w:rPr>
                <w:sz w:val="15"/>
                <w:szCs w:val="15"/>
              </w:rPr>
              <w:t>R3)</w:t>
            </w:r>
          </w:p>
        </w:tc>
        <w:tc>
          <w:tcPr>
            <w:tcW w:w="1428" w:type="dxa"/>
            <w:vAlign w:val="center"/>
          </w:tcPr>
          <w:p w14:paraId="35E2F40F" w14:textId="77777777"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SB702</w:t>
            </w:r>
          </w:p>
        </w:tc>
        <w:tc>
          <w:tcPr>
            <w:tcW w:w="1174" w:type="dxa"/>
            <w:vAlign w:val="center"/>
          </w:tcPr>
          <w:p w14:paraId="5EB9C60E" w14:textId="6C9BD640"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TF 67-0168-42</w:t>
            </w:r>
          </w:p>
        </w:tc>
        <w:tc>
          <w:tcPr>
            <w:tcW w:w="894" w:type="dxa"/>
            <w:vAlign w:val="center"/>
          </w:tcPr>
          <w:p w14:paraId="45DCD07B" w14:textId="32B0F1CE"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6C84CAFF" w14:textId="60A30740"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IgG1</w:t>
            </w:r>
          </w:p>
        </w:tc>
        <w:tc>
          <w:tcPr>
            <w:tcW w:w="897" w:type="dxa"/>
            <w:vAlign w:val="center"/>
          </w:tcPr>
          <w:p w14:paraId="17EFE26D" w14:textId="7C97F451" w:rsidR="00887A53" w:rsidRPr="008A7BCF" w:rsidRDefault="00887A53"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1:250</w:t>
            </w:r>
          </w:p>
        </w:tc>
      </w:tr>
      <w:tr w:rsidR="00887A53" w:rsidRPr="008A7BCF" w14:paraId="1FE8DF87"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498E65C5" w14:textId="1AD63258" w:rsidR="00887A53" w:rsidRPr="008A7BCF" w:rsidRDefault="00887A53" w:rsidP="00EF5A4B">
            <w:pPr>
              <w:pStyle w:val="TableParagraph"/>
              <w:rPr>
                <w:sz w:val="15"/>
                <w:szCs w:val="15"/>
              </w:rPr>
            </w:pPr>
          </w:p>
        </w:tc>
        <w:tc>
          <w:tcPr>
            <w:tcW w:w="1201" w:type="dxa"/>
            <w:vAlign w:val="center"/>
          </w:tcPr>
          <w:p w14:paraId="76E30C48" w14:textId="77777777"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7F5B1E90" w14:textId="77777777"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HLA-DR</w:t>
            </w:r>
          </w:p>
        </w:tc>
        <w:tc>
          <w:tcPr>
            <w:tcW w:w="1428" w:type="dxa"/>
            <w:vAlign w:val="center"/>
          </w:tcPr>
          <w:p w14:paraId="65B0769E" w14:textId="77777777"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BUV805</w:t>
            </w:r>
          </w:p>
        </w:tc>
        <w:tc>
          <w:tcPr>
            <w:tcW w:w="1174" w:type="dxa"/>
            <w:vAlign w:val="center"/>
          </w:tcPr>
          <w:p w14:paraId="3DC3726D" w14:textId="787DA736"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BD 748338</w:t>
            </w:r>
          </w:p>
        </w:tc>
        <w:tc>
          <w:tcPr>
            <w:tcW w:w="894" w:type="dxa"/>
            <w:vAlign w:val="center"/>
          </w:tcPr>
          <w:p w14:paraId="2BD80A70" w14:textId="7D90C036"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09F6C471" w14:textId="666E324E"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IgG2a</w:t>
            </w:r>
          </w:p>
        </w:tc>
        <w:tc>
          <w:tcPr>
            <w:tcW w:w="897" w:type="dxa"/>
            <w:vAlign w:val="center"/>
          </w:tcPr>
          <w:p w14:paraId="0E099013" w14:textId="3D6C9757" w:rsidR="00887A53" w:rsidRPr="008A7BCF" w:rsidRDefault="00887A53"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1:250</w:t>
            </w:r>
          </w:p>
        </w:tc>
      </w:tr>
      <w:tr w:rsidR="009E32C2" w:rsidRPr="008A7BCF" w14:paraId="4111176D"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Align w:val="center"/>
          </w:tcPr>
          <w:p w14:paraId="4BBC3F16" w14:textId="6B178142" w:rsidR="009E32C2" w:rsidRPr="008A7BCF" w:rsidRDefault="009E32C2" w:rsidP="00EF5A4B">
            <w:pPr>
              <w:pStyle w:val="TableParagraph"/>
              <w:rPr>
                <w:sz w:val="15"/>
                <w:szCs w:val="15"/>
              </w:rPr>
            </w:pPr>
            <w:r w:rsidRPr="008A7BCF">
              <w:rPr>
                <w:sz w:val="15"/>
                <w:szCs w:val="15"/>
              </w:rPr>
              <w:t>Chemokine receptor</w:t>
            </w:r>
          </w:p>
        </w:tc>
        <w:tc>
          <w:tcPr>
            <w:tcW w:w="1201" w:type="dxa"/>
            <w:vAlign w:val="center"/>
          </w:tcPr>
          <w:p w14:paraId="0FCD1DBD" w14:textId="6628114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4AFAA0F8" w14:textId="2A2BB965"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CD192 (CCR2)</w:t>
            </w:r>
          </w:p>
        </w:tc>
        <w:tc>
          <w:tcPr>
            <w:tcW w:w="1428" w:type="dxa"/>
            <w:vAlign w:val="center"/>
          </w:tcPr>
          <w:p w14:paraId="0BFE249C" w14:textId="6A74210B"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BUV395</w:t>
            </w:r>
          </w:p>
        </w:tc>
        <w:tc>
          <w:tcPr>
            <w:tcW w:w="1174" w:type="dxa"/>
            <w:vAlign w:val="center"/>
          </w:tcPr>
          <w:p w14:paraId="2FCF3855" w14:textId="04249C89"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BD 747854</w:t>
            </w:r>
          </w:p>
        </w:tc>
        <w:tc>
          <w:tcPr>
            <w:tcW w:w="894" w:type="dxa"/>
            <w:vAlign w:val="center"/>
          </w:tcPr>
          <w:p w14:paraId="3BB0EF8B" w14:textId="0B95D8B6"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0DE27919" w14:textId="0EA786A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IgG2a</w:t>
            </w:r>
          </w:p>
        </w:tc>
        <w:tc>
          <w:tcPr>
            <w:tcW w:w="897" w:type="dxa"/>
            <w:vAlign w:val="center"/>
          </w:tcPr>
          <w:p w14:paraId="444C6024" w14:textId="4BE5618D"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1:250</w:t>
            </w:r>
          </w:p>
        </w:tc>
      </w:tr>
      <w:tr w:rsidR="009E32C2" w:rsidRPr="008A7BCF" w14:paraId="5E1E8F22"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restart"/>
            <w:vAlign w:val="center"/>
          </w:tcPr>
          <w:p w14:paraId="43D4017B" w14:textId="77777777" w:rsidR="009E32C2" w:rsidRPr="008A7BCF" w:rsidRDefault="009E32C2" w:rsidP="00EF5A4B">
            <w:pPr>
              <w:pStyle w:val="TableParagraph"/>
              <w:rPr>
                <w:sz w:val="15"/>
                <w:szCs w:val="15"/>
              </w:rPr>
            </w:pPr>
            <w:r w:rsidRPr="008A7BCF">
              <w:rPr>
                <w:sz w:val="15"/>
                <w:szCs w:val="15"/>
              </w:rPr>
              <w:t>Phagocytosis</w:t>
            </w:r>
          </w:p>
        </w:tc>
        <w:tc>
          <w:tcPr>
            <w:tcW w:w="1201" w:type="dxa"/>
            <w:vAlign w:val="center"/>
          </w:tcPr>
          <w:p w14:paraId="37499171"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1C5D7A03" w14:textId="322AEDA2"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CD64 (Fc</w:t>
            </w:r>
            <w:r w:rsidRPr="008A7BCF">
              <w:rPr>
                <w:sz w:val="15"/>
                <w:szCs w:val="15"/>
              </w:rPr>
              <w:sym w:font="Symbol" w:char="F067"/>
            </w:r>
            <w:r w:rsidRPr="008A7BCF">
              <w:rPr>
                <w:sz w:val="15"/>
                <w:szCs w:val="15"/>
              </w:rPr>
              <w:t>R1)</w:t>
            </w:r>
          </w:p>
        </w:tc>
        <w:tc>
          <w:tcPr>
            <w:tcW w:w="1428" w:type="dxa"/>
            <w:vAlign w:val="center"/>
          </w:tcPr>
          <w:p w14:paraId="491E9663"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BUV737</w:t>
            </w:r>
          </w:p>
        </w:tc>
        <w:tc>
          <w:tcPr>
            <w:tcW w:w="1174" w:type="dxa"/>
            <w:vAlign w:val="center"/>
          </w:tcPr>
          <w:p w14:paraId="357C30E0" w14:textId="3D01BFEC"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BD 612776</w:t>
            </w:r>
          </w:p>
        </w:tc>
        <w:tc>
          <w:tcPr>
            <w:tcW w:w="894" w:type="dxa"/>
            <w:vAlign w:val="center"/>
          </w:tcPr>
          <w:p w14:paraId="39C26572" w14:textId="71964A85"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1A3955A3" w14:textId="5B0F523A"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IgG1</w:t>
            </w:r>
          </w:p>
        </w:tc>
        <w:tc>
          <w:tcPr>
            <w:tcW w:w="897" w:type="dxa"/>
            <w:vAlign w:val="center"/>
          </w:tcPr>
          <w:p w14:paraId="786BE434" w14:textId="5ADAE2BD"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1:250</w:t>
            </w:r>
          </w:p>
        </w:tc>
      </w:tr>
      <w:tr w:rsidR="009E32C2" w:rsidRPr="008A7BCF" w14:paraId="750D45CC"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63526755" w14:textId="77777777" w:rsidR="009E32C2" w:rsidRPr="008A7BCF" w:rsidRDefault="009E32C2" w:rsidP="00EF5A4B">
            <w:pPr>
              <w:pStyle w:val="TableParagraph"/>
              <w:rPr>
                <w:sz w:val="15"/>
                <w:szCs w:val="15"/>
              </w:rPr>
            </w:pPr>
          </w:p>
        </w:tc>
        <w:tc>
          <w:tcPr>
            <w:tcW w:w="1201" w:type="dxa"/>
            <w:vAlign w:val="center"/>
          </w:tcPr>
          <w:p w14:paraId="6B531E0A" w14:textId="7EEBC25C"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Intracellular protein</w:t>
            </w:r>
          </w:p>
        </w:tc>
        <w:tc>
          <w:tcPr>
            <w:tcW w:w="1052" w:type="dxa"/>
            <w:vAlign w:val="center"/>
          </w:tcPr>
          <w:p w14:paraId="6EB450A1" w14:textId="67C8C3C8"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NOX-2</w:t>
            </w:r>
          </w:p>
        </w:tc>
        <w:tc>
          <w:tcPr>
            <w:tcW w:w="1428" w:type="dxa"/>
            <w:vAlign w:val="center"/>
          </w:tcPr>
          <w:p w14:paraId="16861904" w14:textId="1C0BAEAB"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PE-Cy7</w:t>
            </w:r>
          </w:p>
        </w:tc>
        <w:tc>
          <w:tcPr>
            <w:tcW w:w="1174" w:type="dxa"/>
            <w:vAlign w:val="center"/>
          </w:tcPr>
          <w:p w14:paraId="317A70EA" w14:textId="073895E4"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BT NBP1-41012</w:t>
            </w:r>
          </w:p>
        </w:tc>
        <w:tc>
          <w:tcPr>
            <w:tcW w:w="894" w:type="dxa"/>
            <w:vAlign w:val="center"/>
          </w:tcPr>
          <w:p w14:paraId="414A9F45" w14:textId="20DAEF0C"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66CCE0DF" w14:textId="0A116113"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IgG1</w:t>
            </w:r>
          </w:p>
        </w:tc>
        <w:tc>
          <w:tcPr>
            <w:tcW w:w="897" w:type="dxa"/>
            <w:vAlign w:val="center"/>
          </w:tcPr>
          <w:p w14:paraId="5CDBBDCD" w14:textId="57C5D4D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1:100</w:t>
            </w:r>
          </w:p>
        </w:tc>
      </w:tr>
      <w:tr w:rsidR="009E32C2" w:rsidRPr="008A7BCF" w14:paraId="6BAD21EE"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restart"/>
            <w:vAlign w:val="center"/>
          </w:tcPr>
          <w:p w14:paraId="5565E916" w14:textId="77777777" w:rsidR="009E32C2" w:rsidRPr="008A7BCF" w:rsidRDefault="009E32C2" w:rsidP="00EF5A4B">
            <w:pPr>
              <w:pStyle w:val="TableParagraph"/>
              <w:rPr>
                <w:sz w:val="15"/>
                <w:szCs w:val="15"/>
              </w:rPr>
            </w:pPr>
            <w:r w:rsidRPr="008A7BCF">
              <w:rPr>
                <w:sz w:val="15"/>
                <w:szCs w:val="15"/>
              </w:rPr>
              <w:t>Antigen presentation</w:t>
            </w:r>
          </w:p>
        </w:tc>
        <w:tc>
          <w:tcPr>
            <w:tcW w:w="1201" w:type="dxa"/>
            <w:vAlign w:val="center"/>
          </w:tcPr>
          <w:p w14:paraId="41ABD3BF"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77E72FA8" w14:textId="2A47A25B"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CD74 (CLIP)</w:t>
            </w:r>
          </w:p>
        </w:tc>
        <w:tc>
          <w:tcPr>
            <w:tcW w:w="1428" w:type="dxa"/>
            <w:vAlign w:val="center"/>
          </w:tcPr>
          <w:p w14:paraId="7B1C4819"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BV650</w:t>
            </w:r>
          </w:p>
        </w:tc>
        <w:tc>
          <w:tcPr>
            <w:tcW w:w="1174" w:type="dxa"/>
            <w:vAlign w:val="center"/>
          </w:tcPr>
          <w:p w14:paraId="0706E1E5" w14:textId="03B9712E"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BD 743734</w:t>
            </w:r>
          </w:p>
        </w:tc>
        <w:tc>
          <w:tcPr>
            <w:tcW w:w="894" w:type="dxa"/>
            <w:vAlign w:val="center"/>
          </w:tcPr>
          <w:p w14:paraId="1CBD10A7" w14:textId="41979964"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52E8F549" w14:textId="0374B705"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IgG1</w:t>
            </w:r>
          </w:p>
        </w:tc>
        <w:tc>
          <w:tcPr>
            <w:tcW w:w="897" w:type="dxa"/>
            <w:vAlign w:val="center"/>
          </w:tcPr>
          <w:p w14:paraId="2E14B694" w14:textId="2497140D"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1:250</w:t>
            </w:r>
          </w:p>
        </w:tc>
      </w:tr>
      <w:tr w:rsidR="009E32C2" w:rsidRPr="008A7BCF" w14:paraId="2F46192A"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6BFBA351" w14:textId="4EEE5E5B" w:rsidR="009E32C2" w:rsidRPr="008A7BCF" w:rsidRDefault="009E32C2" w:rsidP="00EF5A4B">
            <w:pPr>
              <w:pStyle w:val="TableParagraph"/>
              <w:rPr>
                <w:sz w:val="15"/>
                <w:szCs w:val="15"/>
              </w:rPr>
            </w:pPr>
          </w:p>
        </w:tc>
        <w:tc>
          <w:tcPr>
            <w:tcW w:w="1201" w:type="dxa"/>
            <w:vAlign w:val="center"/>
          </w:tcPr>
          <w:p w14:paraId="2FB53E02"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571895A3"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CD80</w:t>
            </w:r>
          </w:p>
        </w:tc>
        <w:tc>
          <w:tcPr>
            <w:tcW w:w="1428" w:type="dxa"/>
            <w:vAlign w:val="center"/>
          </w:tcPr>
          <w:p w14:paraId="65316FEB"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BV480</w:t>
            </w:r>
          </w:p>
        </w:tc>
        <w:tc>
          <w:tcPr>
            <w:tcW w:w="1174" w:type="dxa"/>
            <w:vAlign w:val="center"/>
          </w:tcPr>
          <w:p w14:paraId="349F852E" w14:textId="64B4138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BD 751735</w:t>
            </w:r>
          </w:p>
        </w:tc>
        <w:tc>
          <w:tcPr>
            <w:tcW w:w="894" w:type="dxa"/>
            <w:vAlign w:val="center"/>
          </w:tcPr>
          <w:p w14:paraId="2AAF508F" w14:textId="6D3DB1CA"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5F5E4DBC" w14:textId="7E12A8EC"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IgG1</w:t>
            </w:r>
          </w:p>
        </w:tc>
        <w:tc>
          <w:tcPr>
            <w:tcW w:w="897" w:type="dxa"/>
            <w:vAlign w:val="center"/>
          </w:tcPr>
          <w:p w14:paraId="66C50462" w14:textId="4E16E50F"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1:250</w:t>
            </w:r>
          </w:p>
        </w:tc>
      </w:tr>
      <w:tr w:rsidR="009E32C2" w:rsidRPr="008A7BCF" w14:paraId="220BC43A"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2F4039E0" w14:textId="3FD7A554" w:rsidR="009E32C2" w:rsidRPr="008A7BCF" w:rsidRDefault="009E32C2" w:rsidP="00EF5A4B">
            <w:pPr>
              <w:pStyle w:val="TableParagraph"/>
              <w:rPr>
                <w:sz w:val="15"/>
                <w:szCs w:val="15"/>
              </w:rPr>
            </w:pPr>
          </w:p>
        </w:tc>
        <w:tc>
          <w:tcPr>
            <w:tcW w:w="1201" w:type="dxa"/>
            <w:vAlign w:val="center"/>
          </w:tcPr>
          <w:p w14:paraId="4DF90324"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64FA61D4"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CD86</w:t>
            </w:r>
          </w:p>
        </w:tc>
        <w:tc>
          <w:tcPr>
            <w:tcW w:w="1428" w:type="dxa"/>
            <w:vAlign w:val="center"/>
          </w:tcPr>
          <w:p w14:paraId="7487F57A"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BUV496</w:t>
            </w:r>
          </w:p>
        </w:tc>
        <w:tc>
          <w:tcPr>
            <w:tcW w:w="1174" w:type="dxa"/>
            <w:vAlign w:val="center"/>
          </w:tcPr>
          <w:p w14:paraId="1EE14601" w14:textId="076103F9"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BD 749895</w:t>
            </w:r>
          </w:p>
        </w:tc>
        <w:tc>
          <w:tcPr>
            <w:tcW w:w="894" w:type="dxa"/>
            <w:vAlign w:val="center"/>
          </w:tcPr>
          <w:p w14:paraId="2AF09F52" w14:textId="1A0409BF"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039289F3" w14:textId="14F8F74A"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IgG1</w:t>
            </w:r>
          </w:p>
        </w:tc>
        <w:tc>
          <w:tcPr>
            <w:tcW w:w="897" w:type="dxa"/>
            <w:vAlign w:val="center"/>
          </w:tcPr>
          <w:p w14:paraId="4347516E" w14:textId="3FD9049B"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1:250</w:t>
            </w:r>
          </w:p>
        </w:tc>
      </w:tr>
      <w:tr w:rsidR="009E32C2" w:rsidRPr="008A7BCF" w14:paraId="723218A9"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2635B9AF" w14:textId="7EC0A71B" w:rsidR="009E32C2" w:rsidRPr="008A7BCF" w:rsidRDefault="009E32C2" w:rsidP="00EF5A4B">
            <w:pPr>
              <w:pStyle w:val="TableParagraph"/>
              <w:rPr>
                <w:sz w:val="15"/>
                <w:szCs w:val="15"/>
              </w:rPr>
            </w:pPr>
          </w:p>
        </w:tc>
        <w:tc>
          <w:tcPr>
            <w:tcW w:w="1201" w:type="dxa"/>
            <w:vAlign w:val="center"/>
          </w:tcPr>
          <w:p w14:paraId="7621396D" w14:textId="39B06812"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73A4F60B" w14:textId="3F955C9F"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HLA-DM</w:t>
            </w:r>
          </w:p>
        </w:tc>
        <w:tc>
          <w:tcPr>
            <w:tcW w:w="1428" w:type="dxa"/>
            <w:vAlign w:val="center"/>
          </w:tcPr>
          <w:p w14:paraId="1A7FF01F" w14:textId="600F10AF"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APC</w:t>
            </w:r>
          </w:p>
        </w:tc>
        <w:tc>
          <w:tcPr>
            <w:tcW w:w="1174" w:type="dxa"/>
            <w:vAlign w:val="center"/>
          </w:tcPr>
          <w:p w14:paraId="392B8CEF" w14:textId="3CFFEA02"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MB 130-124-252</w:t>
            </w:r>
          </w:p>
        </w:tc>
        <w:tc>
          <w:tcPr>
            <w:tcW w:w="894" w:type="dxa"/>
            <w:vAlign w:val="center"/>
          </w:tcPr>
          <w:p w14:paraId="56CA8517" w14:textId="40C11FCD"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Human</w:t>
            </w:r>
          </w:p>
        </w:tc>
        <w:tc>
          <w:tcPr>
            <w:tcW w:w="894" w:type="dxa"/>
            <w:vAlign w:val="center"/>
          </w:tcPr>
          <w:p w14:paraId="32609C26" w14:textId="4BEDC37A"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IgG1</w:t>
            </w:r>
          </w:p>
        </w:tc>
        <w:tc>
          <w:tcPr>
            <w:tcW w:w="897" w:type="dxa"/>
            <w:vAlign w:val="center"/>
          </w:tcPr>
          <w:p w14:paraId="3F531AA6" w14:textId="7B710E83"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1:250</w:t>
            </w:r>
          </w:p>
        </w:tc>
      </w:tr>
      <w:tr w:rsidR="009E32C2" w:rsidRPr="008A7BCF" w14:paraId="23235F36"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5A14BCB7" w14:textId="7A1E7D7A" w:rsidR="009E32C2" w:rsidRPr="008A7BCF" w:rsidRDefault="009E32C2" w:rsidP="00EF5A4B">
            <w:pPr>
              <w:pStyle w:val="TableParagraph"/>
              <w:rPr>
                <w:sz w:val="15"/>
                <w:szCs w:val="15"/>
              </w:rPr>
            </w:pPr>
          </w:p>
        </w:tc>
        <w:tc>
          <w:tcPr>
            <w:tcW w:w="1201" w:type="dxa"/>
            <w:vAlign w:val="center"/>
          </w:tcPr>
          <w:p w14:paraId="68989431" w14:textId="207655FB"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407A023A" w14:textId="76CD4B0F"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HLA-DP</w:t>
            </w:r>
          </w:p>
        </w:tc>
        <w:tc>
          <w:tcPr>
            <w:tcW w:w="1428" w:type="dxa"/>
            <w:vAlign w:val="center"/>
          </w:tcPr>
          <w:p w14:paraId="23B45086" w14:textId="3CC5663A"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RB780</w:t>
            </w:r>
          </w:p>
        </w:tc>
        <w:tc>
          <w:tcPr>
            <w:tcW w:w="1174" w:type="dxa"/>
            <w:vAlign w:val="center"/>
          </w:tcPr>
          <w:p w14:paraId="5781FC45" w14:textId="7BEF8892"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BD 755757</w:t>
            </w:r>
          </w:p>
        </w:tc>
        <w:tc>
          <w:tcPr>
            <w:tcW w:w="894" w:type="dxa"/>
            <w:vAlign w:val="center"/>
          </w:tcPr>
          <w:p w14:paraId="30B7C9DF" w14:textId="2F575083"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15C82B95" w14:textId="43B874A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IgG1</w:t>
            </w:r>
          </w:p>
        </w:tc>
        <w:tc>
          <w:tcPr>
            <w:tcW w:w="897" w:type="dxa"/>
            <w:vAlign w:val="center"/>
          </w:tcPr>
          <w:p w14:paraId="3B3CB61E" w14:textId="165FF3F3"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1:250</w:t>
            </w:r>
          </w:p>
        </w:tc>
      </w:tr>
      <w:tr w:rsidR="009E32C2" w:rsidRPr="008A7BCF" w14:paraId="3A34677E"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27C9F27D" w14:textId="77777777" w:rsidR="009E32C2" w:rsidRPr="008A7BCF" w:rsidRDefault="009E32C2" w:rsidP="00EF5A4B">
            <w:pPr>
              <w:pStyle w:val="TableParagraph"/>
              <w:rPr>
                <w:sz w:val="15"/>
                <w:szCs w:val="15"/>
              </w:rPr>
            </w:pPr>
          </w:p>
        </w:tc>
        <w:tc>
          <w:tcPr>
            <w:tcW w:w="1201" w:type="dxa"/>
            <w:vAlign w:val="center"/>
          </w:tcPr>
          <w:p w14:paraId="09686614" w14:textId="4FEBB16A"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Transcription factor</w:t>
            </w:r>
          </w:p>
        </w:tc>
        <w:tc>
          <w:tcPr>
            <w:tcW w:w="1052" w:type="dxa"/>
            <w:vAlign w:val="center"/>
          </w:tcPr>
          <w:p w14:paraId="0520B761" w14:textId="6BA8D949"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CIITA</w:t>
            </w:r>
          </w:p>
        </w:tc>
        <w:tc>
          <w:tcPr>
            <w:tcW w:w="1428" w:type="dxa"/>
            <w:vAlign w:val="center"/>
          </w:tcPr>
          <w:p w14:paraId="5327BADC" w14:textId="47A4BC6E"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DY680</w:t>
            </w:r>
          </w:p>
        </w:tc>
        <w:tc>
          <w:tcPr>
            <w:tcW w:w="1174" w:type="dxa"/>
            <w:vAlign w:val="center"/>
          </w:tcPr>
          <w:p w14:paraId="363873B9" w14:textId="15DDABFE"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BT NBP2-59072FR</w:t>
            </w:r>
          </w:p>
        </w:tc>
        <w:tc>
          <w:tcPr>
            <w:tcW w:w="894" w:type="dxa"/>
            <w:vAlign w:val="center"/>
          </w:tcPr>
          <w:p w14:paraId="2EBC45F7" w14:textId="741BF58E"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Rabbit</w:t>
            </w:r>
          </w:p>
        </w:tc>
        <w:tc>
          <w:tcPr>
            <w:tcW w:w="894" w:type="dxa"/>
            <w:vAlign w:val="center"/>
          </w:tcPr>
          <w:p w14:paraId="07D4F2B2" w14:textId="6FA830F5"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w:t>
            </w:r>
          </w:p>
        </w:tc>
        <w:tc>
          <w:tcPr>
            <w:tcW w:w="897" w:type="dxa"/>
            <w:vAlign w:val="center"/>
          </w:tcPr>
          <w:p w14:paraId="0F6F419A" w14:textId="226B2842"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1:100</w:t>
            </w:r>
          </w:p>
        </w:tc>
      </w:tr>
      <w:tr w:rsidR="009E32C2" w:rsidRPr="008A7BCF" w14:paraId="14F5B095" w14:textId="77777777" w:rsidTr="00F37AD8">
        <w:tc>
          <w:tcPr>
            <w:cnfStyle w:val="001000000000" w:firstRow="0" w:lastRow="0" w:firstColumn="1" w:lastColumn="0" w:oddVBand="0" w:evenVBand="0" w:oddHBand="0" w:evenHBand="0" w:firstRowFirstColumn="0" w:firstRowLastColumn="0" w:lastRowFirstColumn="0" w:lastRowLastColumn="0"/>
            <w:tcW w:w="1476" w:type="dxa"/>
            <w:vAlign w:val="center"/>
          </w:tcPr>
          <w:p w14:paraId="1EF74D83" w14:textId="77777777" w:rsidR="009E32C2" w:rsidRPr="008A7BCF" w:rsidRDefault="009E32C2" w:rsidP="00EF5A4B">
            <w:pPr>
              <w:pStyle w:val="TableParagraph"/>
              <w:rPr>
                <w:sz w:val="15"/>
                <w:szCs w:val="15"/>
              </w:rPr>
            </w:pPr>
            <w:r w:rsidRPr="008A7BCF">
              <w:rPr>
                <w:sz w:val="15"/>
                <w:szCs w:val="15"/>
              </w:rPr>
              <w:t>T-cell suppression</w:t>
            </w:r>
          </w:p>
        </w:tc>
        <w:tc>
          <w:tcPr>
            <w:tcW w:w="1201" w:type="dxa"/>
            <w:vAlign w:val="center"/>
          </w:tcPr>
          <w:p w14:paraId="106557CF"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1AE6630A" w14:textId="2B18A8F4"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CD274 (PD-L1)</w:t>
            </w:r>
          </w:p>
        </w:tc>
        <w:tc>
          <w:tcPr>
            <w:tcW w:w="1428" w:type="dxa"/>
            <w:vAlign w:val="center"/>
          </w:tcPr>
          <w:p w14:paraId="13722B03"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RB545</w:t>
            </w:r>
          </w:p>
        </w:tc>
        <w:tc>
          <w:tcPr>
            <w:tcW w:w="1174" w:type="dxa"/>
            <w:vAlign w:val="center"/>
          </w:tcPr>
          <w:p w14:paraId="1DE8C44B" w14:textId="599822D8"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BD 756359</w:t>
            </w:r>
          </w:p>
        </w:tc>
        <w:tc>
          <w:tcPr>
            <w:tcW w:w="894" w:type="dxa"/>
            <w:vAlign w:val="center"/>
          </w:tcPr>
          <w:p w14:paraId="6E71D97F" w14:textId="7C5F5332"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4690F094" w14:textId="49DBF2B5"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IgG1</w:t>
            </w:r>
          </w:p>
        </w:tc>
        <w:tc>
          <w:tcPr>
            <w:tcW w:w="897" w:type="dxa"/>
            <w:vAlign w:val="center"/>
          </w:tcPr>
          <w:p w14:paraId="05BF3F8D" w14:textId="30E11936"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1:250</w:t>
            </w:r>
          </w:p>
        </w:tc>
      </w:tr>
      <w:tr w:rsidR="009E32C2" w:rsidRPr="008A7BCF" w14:paraId="0F775066"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Align w:val="center"/>
          </w:tcPr>
          <w:p w14:paraId="30840BFD" w14:textId="77777777" w:rsidR="009E32C2" w:rsidRPr="008A7BCF" w:rsidRDefault="009E32C2" w:rsidP="00EF5A4B">
            <w:pPr>
              <w:pStyle w:val="TableParagraph"/>
              <w:rPr>
                <w:sz w:val="15"/>
                <w:szCs w:val="15"/>
              </w:rPr>
            </w:pPr>
            <w:r w:rsidRPr="008A7BCF">
              <w:rPr>
                <w:sz w:val="15"/>
                <w:szCs w:val="15"/>
              </w:rPr>
              <w:t>Toll-like receptor</w:t>
            </w:r>
          </w:p>
        </w:tc>
        <w:tc>
          <w:tcPr>
            <w:tcW w:w="1201" w:type="dxa"/>
            <w:vAlign w:val="center"/>
          </w:tcPr>
          <w:p w14:paraId="54CCA3CE"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Cell surface</w:t>
            </w:r>
          </w:p>
        </w:tc>
        <w:tc>
          <w:tcPr>
            <w:tcW w:w="1052" w:type="dxa"/>
            <w:vAlign w:val="center"/>
          </w:tcPr>
          <w:p w14:paraId="49B4E6D5" w14:textId="57349F2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CD284 (TLR4)</w:t>
            </w:r>
          </w:p>
        </w:tc>
        <w:tc>
          <w:tcPr>
            <w:tcW w:w="1428" w:type="dxa"/>
            <w:vAlign w:val="center"/>
          </w:tcPr>
          <w:p w14:paraId="3C0860C8"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SB600</w:t>
            </w:r>
          </w:p>
        </w:tc>
        <w:tc>
          <w:tcPr>
            <w:tcW w:w="1174" w:type="dxa"/>
            <w:vAlign w:val="center"/>
          </w:tcPr>
          <w:p w14:paraId="2875A59C" w14:textId="2A7AE629"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TF 63-9917-42</w:t>
            </w:r>
          </w:p>
        </w:tc>
        <w:tc>
          <w:tcPr>
            <w:tcW w:w="894" w:type="dxa"/>
            <w:vAlign w:val="center"/>
          </w:tcPr>
          <w:p w14:paraId="61D8AC1C" w14:textId="3DFBBBCF"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217137AA" w14:textId="55E54B9A"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IgG2a</w:t>
            </w:r>
          </w:p>
        </w:tc>
        <w:tc>
          <w:tcPr>
            <w:tcW w:w="897" w:type="dxa"/>
            <w:vAlign w:val="center"/>
          </w:tcPr>
          <w:p w14:paraId="445F1A0D" w14:textId="416A2DF0"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1:250</w:t>
            </w:r>
          </w:p>
        </w:tc>
      </w:tr>
      <w:tr w:rsidR="009E32C2" w:rsidRPr="008A7BCF" w14:paraId="7F00F2B2" w14:textId="77777777" w:rsidTr="00F37AD8">
        <w:tc>
          <w:tcPr>
            <w:cnfStyle w:val="001000000000" w:firstRow="0" w:lastRow="0" w:firstColumn="1" w:lastColumn="0" w:oddVBand="0" w:evenVBand="0" w:oddHBand="0" w:evenHBand="0" w:firstRowFirstColumn="0" w:firstRowLastColumn="0" w:lastRowFirstColumn="0" w:lastRowLastColumn="0"/>
            <w:tcW w:w="1476" w:type="dxa"/>
            <w:vAlign w:val="center"/>
          </w:tcPr>
          <w:p w14:paraId="44E0EBAB" w14:textId="77777777" w:rsidR="009E32C2" w:rsidRPr="008A7BCF" w:rsidRDefault="009E32C2" w:rsidP="00EF5A4B">
            <w:pPr>
              <w:pStyle w:val="TableParagraph"/>
              <w:rPr>
                <w:sz w:val="15"/>
                <w:szCs w:val="15"/>
              </w:rPr>
            </w:pPr>
            <w:r w:rsidRPr="008A7BCF">
              <w:rPr>
                <w:sz w:val="15"/>
                <w:szCs w:val="15"/>
              </w:rPr>
              <w:t>Viability</w:t>
            </w:r>
          </w:p>
        </w:tc>
        <w:tc>
          <w:tcPr>
            <w:tcW w:w="1201" w:type="dxa"/>
            <w:vAlign w:val="center"/>
          </w:tcPr>
          <w:p w14:paraId="03BDDF68"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Viability</w:t>
            </w:r>
          </w:p>
        </w:tc>
        <w:tc>
          <w:tcPr>
            <w:tcW w:w="1052" w:type="dxa"/>
            <w:vAlign w:val="center"/>
          </w:tcPr>
          <w:p w14:paraId="26305BEB"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Live/Dead</w:t>
            </w:r>
          </w:p>
        </w:tc>
        <w:tc>
          <w:tcPr>
            <w:tcW w:w="1428" w:type="dxa"/>
            <w:vAlign w:val="center"/>
          </w:tcPr>
          <w:p w14:paraId="2843169F"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Zombie NIR</w:t>
            </w:r>
          </w:p>
        </w:tc>
        <w:tc>
          <w:tcPr>
            <w:tcW w:w="1174" w:type="dxa"/>
            <w:vAlign w:val="center"/>
          </w:tcPr>
          <w:p w14:paraId="30C799D8" w14:textId="2EC3018A"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BL 423106</w:t>
            </w:r>
          </w:p>
        </w:tc>
        <w:tc>
          <w:tcPr>
            <w:tcW w:w="894" w:type="dxa"/>
            <w:vAlign w:val="center"/>
          </w:tcPr>
          <w:p w14:paraId="5439096E" w14:textId="0A1EEA72"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w:t>
            </w:r>
          </w:p>
        </w:tc>
        <w:tc>
          <w:tcPr>
            <w:tcW w:w="894" w:type="dxa"/>
            <w:vAlign w:val="center"/>
          </w:tcPr>
          <w:p w14:paraId="39267A08" w14:textId="5F14CCB0"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w:t>
            </w:r>
          </w:p>
        </w:tc>
        <w:tc>
          <w:tcPr>
            <w:tcW w:w="897" w:type="dxa"/>
            <w:vAlign w:val="center"/>
          </w:tcPr>
          <w:p w14:paraId="7465C344" w14:textId="03D5B8FD"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1:1000</w:t>
            </w:r>
          </w:p>
        </w:tc>
      </w:tr>
      <w:tr w:rsidR="009E32C2" w:rsidRPr="008A7BCF" w14:paraId="0088852F"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restart"/>
            <w:vAlign w:val="center"/>
          </w:tcPr>
          <w:p w14:paraId="626BA58D" w14:textId="77777777" w:rsidR="009E32C2" w:rsidRPr="008A7BCF" w:rsidRDefault="009E32C2" w:rsidP="00EF5A4B">
            <w:pPr>
              <w:pStyle w:val="TableParagraph"/>
              <w:rPr>
                <w:sz w:val="15"/>
                <w:szCs w:val="15"/>
              </w:rPr>
            </w:pPr>
            <w:r w:rsidRPr="008A7BCF">
              <w:rPr>
                <w:sz w:val="15"/>
                <w:szCs w:val="15"/>
              </w:rPr>
              <w:t>Cytokine</w:t>
            </w:r>
          </w:p>
        </w:tc>
        <w:tc>
          <w:tcPr>
            <w:tcW w:w="1201" w:type="dxa"/>
            <w:vAlign w:val="center"/>
          </w:tcPr>
          <w:p w14:paraId="56BAFB0C"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Intracellular cytokine</w:t>
            </w:r>
          </w:p>
        </w:tc>
        <w:tc>
          <w:tcPr>
            <w:tcW w:w="1052" w:type="dxa"/>
            <w:vAlign w:val="center"/>
          </w:tcPr>
          <w:p w14:paraId="5E3DD99E" w14:textId="2AEB497F"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IL-1</w:t>
            </w:r>
            <w:r w:rsidRPr="008A7BCF">
              <w:rPr>
                <w:sz w:val="15"/>
                <w:szCs w:val="15"/>
              </w:rPr>
              <w:sym w:font="Symbol" w:char="F062"/>
            </w:r>
          </w:p>
        </w:tc>
        <w:tc>
          <w:tcPr>
            <w:tcW w:w="1428" w:type="dxa"/>
            <w:vAlign w:val="center"/>
          </w:tcPr>
          <w:p w14:paraId="05D26F93"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AF750</w:t>
            </w:r>
          </w:p>
        </w:tc>
        <w:tc>
          <w:tcPr>
            <w:tcW w:w="1174" w:type="dxa"/>
            <w:vAlign w:val="center"/>
          </w:tcPr>
          <w:p w14:paraId="750F0077" w14:textId="73ADCE51"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BT FAB10349S</w:t>
            </w:r>
          </w:p>
        </w:tc>
        <w:tc>
          <w:tcPr>
            <w:tcW w:w="894" w:type="dxa"/>
            <w:vAlign w:val="center"/>
          </w:tcPr>
          <w:p w14:paraId="428B1FE5" w14:textId="13E739B0"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Human</w:t>
            </w:r>
          </w:p>
        </w:tc>
        <w:tc>
          <w:tcPr>
            <w:tcW w:w="894" w:type="dxa"/>
            <w:vAlign w:val="center"/>
          </w:tcPr>
          <w:p w14:paraId="529B73D3" w14:textId="117E2995"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IgG1</w:t>
            </w:r>
          </w:p>
        </w:tc>
        <w:tc>
          <w:tcPr>
            <w:tcW w:w="897" w:type="dxa"/>
            <w:vAlign w:val="center"/>
          </w:tcPr>
          <w:p w14:paraId="5B91B98F" w14:textId="1424609F"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1:100</w:t>
            </w:r>
          </w:p>
        </w:tc>
      </w:tr>
      <w:tr w:rsidR="009E32C2" w:rsidRPr="008A7BCF" w14:paraId="514B6267"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106A1493" w14:textId="26777EC1" w:rsidR="009E32C2" w:rsidRPr="008A7BCF" w:rsidRDefault="009E32C2" w:rsidP="00EF5A4B">
            <w:pPr>
              <w:pStyle w:val="TableParagraph"/>
              <w:rPr>
                <w:sz w:val="15"/>
                <w:szCs w:val="15"/>
              </w:rPr>
            </w:pPr>
          </w:p>
        </w:tc>
        <w:tc>
          <w:tcPr>
            <w:tcW w:w="1201" w:type="dxa"/>
            <w:vAlign w:val="center"/>
          </w:tcPr>
          <w:p w14:paraId="50A3FD3B"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Intracellular cytokine</w:t>
            </w:r>
          </w:p>
        </w:tc>
        <w:tc>
          <w:tcPr>
            <w:tcW w:w="1052" w:type="dxa"/>
            <w:vAlign w:val="center"/>
          </w:tcPr>
          <w:p w14:paraId="3E369DC2"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IL-10</w:t>
            </w:r>
          </w:p>
        </w:tc>
        <w:tc>
          <w:tcPr>
            <w:tcW w:w="1428" w:type="dxa"/>
            <w:vAlign w:val="center"/>
          </w:tcPr>
          <w:p w14:paraId="504EEB0D"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BB700</w:t>
            </w:r>
          </w:p>
        </w:tc>
        <w:tc>
          <w:tcPr>
            <w:tcW w:w="1174" w:type="dxa"/>
            <w:vAlign w:val="center"/>
          </w:tcPr>
          <w:p w14:paraId="7E9C27D0" w14:textId="59C0B8D4"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BD 566567</w:t>
            </w:r>
          </w:p>
        </w:tc>
        <w:tc>
          <w:tcPr>
            <w:tcW w:w="894" w:type="dxa"/>
            <w:vAlign w:val="center"/>
          </w:tcPr>
          <w:p w14:paraId="124953BA" w14:textId="3238205E"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Rat</w:t>
            </w:r>
          </w:p>
        </w:tc>
        <w:tc>
          <w:tcPr>
            <w:tcW w:w="894" w:type="dxa"/>
            <w:vAlign w:val="center"/>
          </w:tcPr>
          <w:p w14:paraId="02C92267" w14:textId="2C69451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IgG2a</w:t>
            </w:r>
          </w:p>
        </w:tc>
        <w:tc>
          <w:tcPr>
            <w:tcW w:w="897" w:type="dxa"/>
            <w:vAlign w:val="center"/>
          </w:tcPr>
          <w:p w14:paraId="47B04B73" w14:textId="30B74B1B"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1:100</w:t>
            </w:r>
          </w:p>
        </w:tc>
      </w:tr>
      <w:tr w:rsidR="009E32C2" w:rsidRPr="008A7BCF" w14:paraId="547F2A38"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540AEB46" w14:textId="60FB5EFA" w:rsidR="009E32C2" w:rsidRPr="008A7BCF" w:rsidRDefault="009E32C2" w:rsidP="00EF5A4B">
            <w:pPr>
              <w:pStyle w:val="TableParagraph"/>
              <w:rPr>
                <w:sz w:val="15"/>
                <w:szCs w:val="15"/>
              </w:rPr>
            </w:pPr>
          </w:p>
        </w:tc>
        <w:tc>
          <w:tcPr>
            <w:tcW w:w="1201" w:type="dxa"/>
            <w:vAlign w:val="center"/>
          </w:tcPr>
          <w:p w14:paraId="41F0BED0"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Intracellular cytokine</w:t>
            </w:r>
          </w:p>
        </w:tc>
        <w:tc>
          <w:tcPr>
            <w:tcW w:w="1052" w:type="dxa"/>
            <w:vAlign w:val="center"/>
          </w:tcPr>
          <w:p w14:paraId="4BD4F7FF" w14:textId="29D520F4"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IFN-</w:t>
            </w:r>
            <w:r w:rsidRPr="008A7BCF">
              <w:rPr>
                <w:sz w:val="15"/>
                <w:szCs w:val="15"/>
              </w:rPr>
              <w:sym w:font="Symbol" w:char="F067"/>
            </w:r>
          </w:p>
        </w:tc>
        <w:tc>
          <w:tcPr>
            <w:tcW w:w="1428" w:type="dxa"/>
            <w:vAlign w:val="center"/>
          </w:tcPr>
          <w:p w14:paraId="443AC196"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BV750</w:t>
            </w:r>
          </w:p>
        </w:tc>
        <w:tc>
          <w:tcPr>
            <w:tcW w:w="1174" w:type="dxa"/>
            <w:vAlign w:val="center"/>
          </w:tcPr>
          <w:p w14:paraId="1D216A11" w14:textId="6149CE3C"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BD 566357</w:t>
            </w:r>
          </w:p>
        </w:tc>
        <w:tc>
          <w:tcPr>
            <w:tcW w:w="894" w:type="dxa"/>
            <w:vAlign w:val="center"/>
          </w:tcPr>
          <w:p w14:paraId="6B2C1C5F" w14:textId="181C0F7E"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2F6A787E" w14:textId="3FBEAA65"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IgG1</w:t>
            </w:r>
          </w:p>
        </w:tc>
        <w:tc>
          <w:tcPr>
            <w:tcW w:w="897" w:type="dxa"/>
            <w:vAlign w:val="center"/>
          </w:tcPr>
          <w:p w14:paraId="25EEC819" w14:textId="793989DA"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1:100</w:t>
            </w:r>
          </w:p>
        </w:tc>
      </w:tr>
      <w:tr w:rsidR="009E32C2" w:rsidRPr="008A7BCF" w14:paraId="77DBA910" w14:textId="77777777" w:rsidTr="00F37AD8">
        <w:tc>
          <w:tcPr>
            <w:cnfStyle w:val="001000000000" w:firstRow="0" w:lastRow="0" w:firstColumn="1" w:lastColumn="0" w:oddVBand="0" w:evenVBand="0" w:oddHBand="0" w:evenHBand="0" w:firstRowFirstColumn="0" w:firstRowLastColumn="0" w:lastRowFirstColumn="0" w:lastRowLastColumn="0"/>
            <w:tcW w:w="1476" w:type="dxa"/>
            <w:vMerge/>
            <w:vAlign w:val="center"/>
          </w:tcPr>
          <w:p w14:paraId="2D837698" w14:textId="0184DC12" w:rsidR="009E32C2" w:rsidRPr="008A7BCF" w:rsidRDefault="009E32C2" w:rsidP="00EF5A4B">
            <w:pPr>
              <w:pStyle w:val="TableParagraph"/>
              <w:rPr>
                <w:sz w:val="15"/>
                <w:szCs w:val="15"/>
              </w:rPr>
            </w:pPr>
          </w:p>
        </w:tc>
        <w:tc>
          <w:tcPr>
            <w:tcW w:w="1201" w:type="dxa"/>
            <w:vAlign w:val="center"/>
          </w:tcPr>
          <w:p w14:paraId="27696D4D"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Intracellular cytokine</w:t>
            </w:r>
          </w:p>
        </w:tc>
        <w:tc>
          <w:tcPr>
            <w:tcW w:w="1052" w:type="dxa"/>
            <w:vAlign w:val="center"/>
          </w:tcPr>
          <w:p w14:paraId="1292F2C6" w14:textId="5E9D5234"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TNF-</w:t>
            </w:r>
            <w:r w:rsidRPr="008A7BCF">
              <w:rPr>
                <w:sz w:val="15"/>
                <w:szCs w:val="15"/>
              </w:rPr>
              <w:sym w:font="Symbol" w:char="F061"/>
            </w:r>
          </w:p>
        </w:tc>
        <w:tc>
          <w:tcPr>
            <w:tcW w:w="1428" w:type="dxa"/>
            <w:vAlign w:val="center"/>
          </w:tcPr>
          <w:p w14:paraId="2A785A91"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BV785</w:t>
            </w:r>
          </w:p>
        </w:tc>
        <w:tc>
          <w:tcPr>
            <w:tcW w:w="1174" w:type="dxa"/>
            <w:vAlign w:val="center"/>
          </w:tcPr>
          <w:p w14:paraId="66372ED6" w14:textId="7FF89E93"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BL 502948</w:t>
            </w:r>
          </w:p>
        </w:tc>
        <w:tc>
          <w:tcPr>
            <w:tcW w:w="894" w:type="dxa"/>
            <w:vAlign w:val="center"/>
          </w:tcPr>
          <w:p w14:paraId="174EDCBC" w14:textId="49EB09E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Mouse</w:t>
            </w:r>
          </w:p>
        </w:tc>
        <w:tc>
          <w:tcPr>
            <w:tcW w:w="894" w:type="dxa"/>
            <w:vAlign w:val="center"/>
          </w:tcPr>
          <w:p w14:paraId="08A33F74" w14:textId="7BFF2DAC"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IgG1</w:t>
            </w:r>
          </w:p>
        </w:tc>
        <w:tc>
          <w:tcPr>
            <w:tcW w:w="897" w:type="dxa"/>
            <w:vAlign w:val="center"/>
          </w:tcPr>
          <w:p w14:paraId="6E0CB07D" w14:textId="229D53C4"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1:100</w:t>
            </w:r>
          </w:p>
        </w:tc>
      </w:tr>
      <w:tr w:rsidR="009E32C2" w:rsidRPr="008A7BCF" w14:paraId="2EA2B874" w14:textId="77777777" w:rsidTr="00F3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vAlign w:val="center"/>
          </w:tcPr>
          <w:p w14:paraId="7BE0BB0E" w14:textId="77777777" w:rsidR="009E32C2" w:rsidRPr="008A7BCF" w:rsidRDefault="009E32C2" w:rsidP="00EF5A4B">
            <w:pPr>
              <w:pStyle w:val="TableParagraph"/>
              <w:rPr>
                <w:sz w:val="15"/>
                <w:szCs w:val="15"/>
              </w:rPr>
            </w:pPr>
            <w:r w:rsidRPr="008A7BCF">
              <w:rPr>
                <w:sz w:val="15"/>
                <w:szCs w:val="15"/>
              </w:rPr>
              <w:t>Activation</w:t>
            </w:r>
          </w:p>
        </w:tc>
        <w:tc>
          <w:tcPr>
            <w:tcW w:w="1201" w:type="dxa"/>
            <w:vAlign w:val="center"/>
          </w:tcPr>
          <w:p w14:paraId="77750596"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Intracellular protein</w:t>
            </w:r>
          </w:p>
        </w:tc>
        <w:tc>
          <w:tcPr>
            <w:tcW w:w="1052" w:type="dxa"/>
            <w:vAlign w:val="center"/>
          </w:tcPr>
          <w:p w14:paraId="5F645549" w14:textId="23489CFB"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NF-</w:t>
            </w:r>
            <w:r w:rsidRPr="008A7BCF">
              <w:rPr>
                <w:sz w:val="15"/>
                <w:szCs w:val="15"/>
              </w:rPr>
              <w:sym w:font="Symbol" w:char="F06B"/>
            </w:r>
            <w:r w:rsidRPr="008A7BCF">
              <w:rPr>
                <w:sz w:val="15"/>
                <w:szCs w:val="15"/>
              </w:rPr>
              <w:t>b p65</w:t>
            </w:r>
          </w:p>
        </w:tc>
        <w:tc>
          <w:tcPr>
            <w:tcW w:w="1428" w:type="dxa"/>
            <w:vAlign w:val="center"/>
          </w:tcPr>
          <w:p w14:paraId="2728ACDC" w14:textId="77777777"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PE-CF594</w:t>
            </w:r>
          </w:p>
        </w:tc>
        <w:tc>
          <w:tcPr>
            <w:tcW w:w="1174" w:type="dxa"/>
            <w:vAlign w:val="center"/>
          </w:tcPr>
          <w:p w14:paraId="5E7C3781" w14:textId="624DA081"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BD 565447</w:t>
            </w:r>
          </w:p>
        </w:tc>
        <w:tc>
          <w:tcPr>
            <w:tcW w:w="894" w:type="dxa"/>
            <w:vAlign w:val="center"/>
          </w:tcPr>
          <w:p w14:paraId="763654D2" w14:textId="27FCE563"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Mouse</w:t>
            </w:r>
          </w:p>
        </w:tc>
        <w:tc>
          <w:tcPr>
            <w:tcW w:w="894" w:type="dxa"/>
            <w:vAlign w:val="center"/>
          </w:tcPr>
          <w:p w14:paraId="4DDD7689" w14:textId="2654725B"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IgG2b</w:t>
            </w:r>
          </w:p>
        </w:tc>
        <w:tc>
          <w:tcPr>
            <w:tcW w:w="897" w:type="dxa"/>
            <w:vAlign w:val="center"/>
          </w:tcPr>
          <w:p w14:paraId="5E6A49EC" w14:textId="406716AB" w:rsidR="009E32C2" w:rsidRPr="008A7BCF" w:rsidRDefault="009E32C2" w:rsidP="00EF5A4B">
            <w:pPr>
              <w:pStyle w:val="TableParagraph"/>
              <w:cnfStyle w:val="000000100000" w:firstRow="0" w:lastRow="0" w:firstColumn="0" w:lastColumn="0" w:oddVBand="0" w:evenVBand="0" w:oddHBand="1" w:evenHBand="0" w:firstRowFirstColumn="0" w:firstRowLastColumn="0" w:lastRowFirstColumn="0" w:lastRowLastColumn="0"/>
              <w:rPr>
                <w:sz w:val="15"/>
                <w:szCs w:val="15"/>
              </w:rPr>
            </w:pPr>
            <w:r w:rsidRPr="008A7BCF">
              <w:rPr>
                <w:sz w:val="15"/>
                <w:szCs w:val="15"/>
              </w:rPr>
              <w:t>1:100</w:t>
            </w:r>
          </w:p>
        </w:tc>
      </w:tr>
      <w:tr w:rsidR="009E32C2" w:rsidRPr="008A7BCF" w14:paraId="0B2F95CA" w14:textId="77777777" w:rsidTr="00F37AD8">
        <w:tc>
          <w:tcPr>
            <w:cnfStyle w:val="001000000000" w:firstRow="0" w:lastRow="0" w:firstColumn="1" w:lastColumn="0" w:oddVBand="0" w:evenVBand="0" w:oddHBand="0" w:evenHBand="0" w:firstRowFirstColumn="0" w:firstRowLastColumn="0" w:lastRowFirstColumn="0" w:lastRowLastColumn="0"/>
            <w:tcW w:w="1476" w:type="dxa"/>
            <w:vAlign w:val="center"/>
          </w:tcPr>
          <w:p w14:paraId="338B0C30" w14:textId="77777777" w:rsidR="009E32C2" w:rsidRPr="008A7BCF" w:rsidRDefault="009E32C2" w:rsidP="00EF5A4B">
            <w:pPr>
              <w:pStyle w:val="TableParagraph"/>
              <w:rPr>
                <w:sz w:val="15"/>
                <w:szCs w:val="15"/>
              </w:rPr>
            </w:pPr>
            <w:r w:rsidRPr="008A7BCF">
              <w:rPr>
                <w:sz w:val="15"/>
                <w:szCs w:val="15"/>
              </w:rPr>
              <w:t>Inflammasome</w:t>
            </w:r>
          </w:p>
        </w:tc>
        <w:tc>
          <w:tcPr>
            <w:tcW w:w="1201" w:type="dxa"/>
            <w:vAlign w:val="center"/>
          </w:tcPr>
          <w:p w14:paraId="785F634D"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Intracellular protein</w:t>
            </w:r>
          </w:p>
        </w:tc>
        <w:tc>
          <w:tcPr>
            <w:tcW w:w="1052" w:type="dxa"/>
            <w:vAlign w:val="center"/>
          </w:tcPr>
          <w:p w14:paraId="7E718751"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NLRP3</w:t>
            </w:r>
          </w:p>
        </w:tc>
        <w:tc>
          <w:tcPr>
            <w:tcW w:w="1428" w:type="dxa"/>
            <w:vAlign w:val="center"/>
          </w:tcPr>
          <w:p w14:paraId="6461227D" w14:textId="7777777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AF405</w:t>
            </w:r>
          </w:p>
        </w:tc>
        <w:tc>
          <w:tcPr>
            <w:tcW w:w="1174" w:type="dxa"/>
            <w:vAlign w:val="center"/>
          </w:tcPr>
          <w:p w14:paraId="7D74FD2F" w14:textId="64DD1907"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BT IC7578V</w:t>
            </w:r>
          </w:p>
        </w:tc>
        <w:tc>
          <w:tcPr>
            <w:tcW w:w="894" w:type="dxa"/>
            <w:vAlign w:val="center"/>
          </w:tcPr>
          <w:p w14:paraId="2A845963" w14:textId="6444E74D"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Rat</w:t>
            </w:r>
          </w:p>
        </w:tc>
        <w:tc>
          <w:tcPr>
            <w:tcW w:w="894" w:type="dxa"/>
            <w:vAlign w:val="center"/>
          </w:tcPr>
          <w:p w14:paraId="19987F1A" w14:textId="1EAFE1D8"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IgG2a</w:t>
            </w:r>
          </w:p>
        </w:tc>
        <w:tc>
          <w:tcPr>
            <w:tcW w:w="897" w:type="dxa"/>
            <w:vAlign w:val="center"/>
          </w:tcPr>
          <w:p w14:paraId="0C21E3DF" w14:textId="44194C7F" w:rsidR="009E32C2" w:rsidRPr="008A7BCF" w:rsidRDefault="009E32C2" w:rsidP="00EF5A4B">
            <w:pPr>
              <w:pStyle w:val="TableParagraph"/>
              <w:cnfStyle w:val="000000000000" w:firstRow="0" w:lastRow="0" w:firstColumn="0" w:lastColumn="0" w:oddVBand="0" w:evenVBand="0" w:oddHBand="0" w:evenHBand="0" w:firstRowFirstColumn="0" w:firstRowLastColumn="0" w:lastRowFirstColumn="0" w:lastRowLastColumn="0"/>
              <w:rPr>
                <w:sz w:val="15"/>
                <w:szCs w:val="15"/>
              </w:rPr>
            </w:pPr>
            <w:r w:rsidRPr="008A7BCF">
              <w:rPr>
                <w:sz w:val="15"/>
                <w:szCs w:val="15"/>
              </w:rPr>
              <w:t>1:100</w:t>
            </w:r>
          </w:p>
        </w:tc>
      </w:tr>
    </w:tbl>
    <w:p w14:paraId="5B3BD70C" w14:textId="77777777" w:rsidR="004C6268" w:rsidRPr="001C5C08" w:rsidRDefault="004C6268" w:rsidP="00BB5A05">
      <w:pPr>
        <w:pStyle w:val="Heading3"/>
        <w:rPr>
          <w:sz w:val="20"/>
          <w:szCs w:val="20"/>
        </w:rPr>
      </w:pPr>
      <w:bookmarkStart w:id="1" w:name="_Ref205129941"/>
      <w:r w:rsidRPr="001C5C08">
        <w:rPr>
          <w:sz w:val="20"/>
          <w:szCs w:val="20"/>
        </w:rPr>
        <w:t xml:space="preserve">Supplemental Table </w:t>
      </w:r>
      <w:r w:rsidRPr="001C5C08">
        <w:rPr>
          <w:sz w:val="20"/>
          <w:szCs w:val="20"/>
        </w:rPr>
        <w:fldChar w:fldCharType="begin"/>
      </w:r>
      <w:r w:rsidRPr="001C5C08">
        <w:rPr>
          <w:sz w:val="20"/>
          <w:szCs w:val="20"/>
        </w:rPr>
        <w:instrText xml:space="preserve"> SEQ Supplemental_Table \* ARABIC </w:instrText>
      </w:r>
      <w:r w:rsidRPr="001C5C08">
        <w:rPr>
          <w:sz w:val="20"/>
          <w:szCs w:val="20"/>
        </w:rPr>
        <w:fldChar w:fldCharType="separate"/>
      </w:r>
      <w:r w:rsidRPr="001C5C08">
        <w:rPr>
          <w:noProof/>
          <w:sz w:val="20"/>
          <w:szCs w:val="20"/>
        </w:rPr>
        <w:t>1</w:t>
      </w:r>
      <w:r w:rsidRPr="001C5C08">
        <w:rPr>
          <w:noProof/>
          <w:sz w:val="20"/>
          <w:szCs w:val="20"/>
        </w:rPr>
        <w:fldChar w:fldCharType="end"/>
      </w:r>
      <w:bookmarkEnd w:id="1"/>
      <w:r w:rsidRPr="001C5C08">
        <w:rPr>
          <w:sz w:val="20"/>
          <w:szCs w:val="20"/>
        </w:rPr>
        <w:t>: Flow cytometry fluorochromes used for monocyte analysis.</w:t>
      </w:r>
    </w:p>
    <w:p w14:paraId="574BB6B3" w14:textId="11FA5F25" w:rsidR="00CB392B" w:rsidRPr="001C5C08" w:rsidRDefault="00CB392B" w:rsidP="00EF5A4B">
      <w:pPr>
        <w:pStyle w:val="NoSpacing"/>
        <w:rPr>
          <w:sz w:val="20"/>
          <w:szCs w:val="20"/>
          <w:lang w:eastAsia="en-GB"/>
        </w:rPr>
      </w:pPr>
      <w:r w:rsidRPr="001C5C08">
        <w:rPr>
          <w:sz w:val="20"/>
          <w:szCs w:val="20"/>
          <w:lang w:eastAsia="en-GB"/>
        </w:rPr>
        <w:t xml:space="preserve">Abbreviations: APC: Allophycocyanin, AF: Alexa Fluor, BD: Beckton Dickinson, BL: </w:t>
      </w:r>
      <w:proofErr w:type="spellStart"/>
      <w:r w:rsidRPr="001C5C08">
        <w:rPr>
          <w:sz w:val="20"/>
          <w:szCs w:val="20"/>
          <w:lang w:eastAsia="en-GB"/>
        </w:rPr>
        <w:t>Biolegend</w:t>
      </w:r>
      <w:proofErr w:type="spellEnd"/>
      <w:r w:rsidRPr="001C5C08">
        <w:rPr>
          <w:sz w:val="20"/>
          <w:szCs w:val="20"/>
          <w:lang w:eastAsia="en-GB"/>
        </w:rPr>
        <w:t xml:space="preserve">, BR: </w:t>
      </w:r>
      <w:proofErr w:type="spellStart"/>
      <w:r w:rsidRPr="001C5C08">
        <w:rPr>
          <w:sz w:val="20"/>
          <w:szCs w:val="20"/>
          <w:lang w:eastAsia="en-GB"/>
        </w:rPr>
        <w:t>Bio</w:t>
      </w:r>
      <w:r w:rsidR="00C33E07" w:rsidRPr="001C5C08">
        <w:rPr>
          <w:sz w:val="20"/>
          <w:szCs w:val="20"/>
          <w:lang w:eastAsia="en-GB"/>
        </w:rPr>
        <w:t>R</w:t>
      </w:r>
      <w:r w:rsidRPr="001C5C08">
        <w:rPr>
          <w:sz w:val="20"/>
          <w:szCs w:val="20"/>
          <w:lang w:eastAsia="en-GB"/>
        </w:rPr>
        <w:t>ad</w:t>
      </w:r>
      <w:proofErr w:type="spellEnd"/>
      <w:r w:rsidRPr="001C5C08">
        <w:rPr>
          <w:sz w:val="20"/>
          <w:szCs w:val="20"/>
          <w:lang w:eastAsia="en-GB"/>
        </w:rPr>
        <w:t xml:space="preserve">, BT: </w:t>
      </w:r>
      <w:proofErr w:type="spellStart"/>
      <w:r w:rsidRPr="001C5C08">
        <w:rPr>
          <w:sz w:val="20"/>
          <w:szCs w:val="20"/>
          <w:lang w:eastAsia="en-GB"/>
        </w:rPr>
        <w:t>Bio</w:t>
      </w:r>
      <w:r w:rsidR="00C33E07" w:rsidRPr="001C5C08">
        <w:rPr>
          <w:sz w:val="20"/>
          <w:szCs w:val="20"/>
          <w:lang w:eastAsia="en-GB"/>
        </w:rPr>
        <w:t>T</w:t>
      </w:r>
      <w:r w:rsidRPr="001C5C08">
        <w:rPr>
          <w:sz w:val="20"/>
          <w:szCs w:val="20"/>
          <w:lang w:eastAsia="en-GB"/>
        </w:rPr>
        <w:t>echne</w:t>
      </w:r>
      <w:proofErr w:type="spellEnd"/>
      <w:r w:rsidRPr="001C5C08">
        <w:rPr>
          <w:sz w:val="20"/>
          <w:szCs w:val="20"/>
          <w:lang w:eastAsia="en-GB"/>
        </w:rPr>
        <w:t>, BUV: Brilliant ultraviolet, BV: Brilliant violet, CCR:</w:t>
      </w:r>
      <w:r w:rsidRPr="001C5C08">
        <w:rPr>
          <w:sz w:val="20"/>
          <w:szCs w:val="20"/>
        </w:rPr>
        <w:t xml:space="preserve"> C-C motif chemokine receptor,</w:t>
      </w:r>
      <w:r w:rsidRPr="001C5C08">
        <w:rPr>
          <w:sz w:val="20"/>
          <w:szCs w:val="20"/>
          <w:lang w:eastAsia="en-GB"/>
        </w:rPr>
        <w:t xml:space="preserve"> CD: cluster of differentiation, CF: Cyanine-based fluorescent dye, </w:t>
      </w:r>
      <w:r w:rsidR="00C33E07" w:rsidRPr="001C5C08">
        <w:rPr>
          <w:sz w:val="20"/>
          <w:szCs w:val="20"/>
          <w:lang w:eastAsia="en-GB"/>
        </w:rPr>
        <w:t xml:space="preserve">CLIP: Class II-associated invariant chain peptide, </w:t>
      </w:r>
      <w:r w:rsidR="00C33E07" w:rsidRPr="001C5C08">
        <w:rPr>
          <w:sz w:val="20"/>
          <w:szCs w:val="20"/>
        </w:rPr>
        <w:t xml:space="preserve">CIITA: Class II major histocompatibility complex </w:t>
      </w:r>
      <w:proofErr w:type="spellStart"/>
      <w:r w:rsidR="00C33E07" w:rsidRPr="001C5C08">
        <w:rPr>
          <w:sz w:val="20"/>
          <w:szCs w:val="20"/>
        </w:rPr>
        <w:t>transactivator</w:t>
      </w:r>
      <w:proofErr w:type="spellEnd"/>
      <w:r w:rsidR="00C33E07" w:rsidRPr="001C5C08">
        <w:rPr>
          <w:sz w:val="20"/>
          <w:szCs w:val="20"/>
        </w:rPr>
        <w:t xml:space="preserve">, </w:t>
      </w:r>
      <w:r w:rsidRPr="001C5C08">
        <w:rPr>
          <w:sz w:val="20"/>
          <w:szCs w:val="20"/>
          <w:lang w:eastAsia="en-GB"/>
        </w:rPr>
        <w:t xml:space="preserve">Cy: Cyanine, </w:t>
      </w:r>
      <w:r w:rsidR="009E32C2" w:rsidRPr="001C5C08">
        <w:rPr>
          <w:sz w:val="20"/>
          <w:szCs w:val="20"/>
          <w:lang w:eastAsia="en-GB"/>
        </w:rPr>
        <w:t xml:space="preserve">DY: </w:t>
      </w:r>
      <w:proofErr w:type="spellStart"/>
      <w:r w:rsidR="009E32C2" w:rsidRPr="001C5C08">
        <w:rPr>
          <w:sz w:val="20"/>
          <w:szCs w:val="20"/>
          <w:lang w:eastAsia="en-GB"/>
        </w:rPr>
        <w:t>DyLight</w:t>
      </w:r>
      <w:proofErr w:type="spellEnd"/>
      <w:r w:rsidR="009E32C2" w:rsidRPr="001C5C08">
        <w:rPr>
          <w:sz w:val="20"/>
          <w:szCs w:val="20"/>
          <w:lang w:eastAsia="en-GB"/>
        </w:rPr>
        <w:t xml:space="preserve">, </w:t>
      </w:r>
      <w:r w:rsidR="00C33E07" w:rsidRPr="001C5C08">
        <w:rPr>
          <w:sz w:val="20"/>
          <w:szCs w:val="20"/>
        </w:rPr>
        <w:t>Fc</w:t>
      </w:r>
      <w:r w:rsidR="00C33E07" w:rsidRPr="001C5C08">
        <w:rPr>
          <w:sz w:val="20"/>
          <w:szCs w:val="20"/>
        </w:rPr>
        <w:sym w:font="Symbol" w:char="F067"/>
      </w:r>
      <w:r w:rsidR="00C33E07" w:rsidRPr="001C5C08">
        <w:rPr>
          <w:sz w:val="20"/>
          <w:szCs w:val="20"/>
        </w:rPr>
        <w:t>R: Fragment receptor gamma receptor,</w:t>
      </w:r>
      <w:r w:rsidR="00C33E07" w:rsidRPr="001C5C08">
        <w:rPr>
          <w:sz w:val="20"/>
          <w:szCs w:val="20"/>
          <w:lang w:eastAsia="en-GB"/>
        </w:rPr>
        <w:t xml:space="preserve"> HLA: Human leukocyte antigen, </w:t>
      </w:r>
      <w:r w:rsidRPr="001C5C08">
        <w:rPr>
          <w:sz w:val="20"/>
          <w:szCs w:val="20"/>
          <w:lang w:eastAsia="en-GB"/>
        </w:rPr>
        <w:t xml:space="preserve">IFN: Interferon, IL: Interleukin, L/D: Live/Dead, MB: </w:t>
      </w:r>
      <w:proofErr w:type="spellStart"/>
      <w:r w:rsidRPr="001C5C08">
        <w:rPr>
          <w:sz w:val="20"/>
          <w:szCs w:val="20"/>
          <w:lang w:eastAsia="en-GB"/>
        </w:rPr>
        <w:t>Miltenyi</w:t>
      </w:r>
      <w:proofErr w:type="spellEnd"/>
      <w:r w:rsidRPr="001C5C08">
        <w:rPr>
          <w:sz w:val="20"/>
          <w:szCs w:val="20"/>
          <w:lang w:eastAsia="en-GB"/>
        </w:rPr>
        <w:t xml:space="preserve"> Biotec, NF-</w:t>
      </w:r>
      <w:proofErr w:type="spellStart"/>
      <w:r w:rsidRPr="001C5C08">
        <w:rPr>
          <w:sz w:val="20"/>
          <w:szCs w:val="20"/>
          <w:lang w:eastAsia="en-GB"/>
        </w:rPr>
        <w:t>κB</w:t>
      </w:r>
      <w:proofErr w:type="spellEnd"/>
      <w:r w:rsidRPr="001C5C08">
        <w:rPr>
          <w:sz w:val="20"/>
          <w:szCs w:val="20"/>
          <w:lang w:eastAsia="en-GB"/>
        </w:rPr>
        <w:t xml:space="preserve">: Nuclear Factor Kappa B, NIR: Near-infrared, </w:t>
      </w:r>
      <w:r w:rsidR="009E32C2" w:rsidRPr="001C5C08">
        <w:rPr>
          <w:sz w:val="20"/>
          <w:szCs w:val="20"/>
        </w:rPr>
        <w:t xml:space="preserve">NLRP3: NLR family pyrin domain containing 3; NOX-2: NADPH oxidase 2; </w:t>
      </w:r>
      <w:r w:rsidRPr="001C5C08">
        <w:rPr>
          <w:sz w:val="20"/>
          <w:szCs w:val="20"/>
          <w:lang w:eastAsia="en-GB"/>
        </w:rPr>
        <w:t xml:space="preserve">PD-L1: Programmed death-ligand 1, PE: Phycoerythrin, RB: </w:t>
      </w:r>
      <w:proofErr w:type="spellStart"/>
      <w:r w:rsidRPr="001C5C08">
        <w:rPr>
          <w:sz w:val="20"/>
          <w:szCs w:val="20"/>
          <w:lang w:eastAsia="en-GB"/>
        </w:rPr>
        <w:t>RealBlue</w:t>
      </w:r>
      <w:proofErr w:type="spellEnd"/>
      <w:r w:rsidRPr="001C5C08">
        <w:rPr>
          <w:sz w:val="20"/>
          <w:szCs w:val="20"/>
          <w:lang w:eastAsia="en-GB"/>
        </w:rPr>
        <w:t xml:space="preserve">, SBV: </w:t>
      </w:r>
      <w:proofErr w:type="spellStart"/>
      <w:r w:rsidRPr="001C5C08">
        <w:rPr>
          <w:sz w:val="20"/>
          <w:szCs w:val="20"/>
          <w:lang w:eastAsia="en-GB"/>
        </w:rPr>
        <w:t>StarBright</w:t>
      </w:r>
      <w:proofErr w:type="spellEnd"/>
      <w:r w:rsidRPr="001C5C08">
        <w:rPr>
          <w:sz w:val="20"/>
          <w:szCs w:val="20"/>
          <w:lang w:eastAsia="en-GB"/>
        </w:rPr>
        <w:t xml:space="preserve"> violet, SBUV: </w:t>
      </w:r>
      <w:proofErr w:type="spellStart"/>
      <w:r w:rsidRPr="001C5C08">
        <w:rPr>
          <w:sz w:val="20"/>
          <w:szCs w:val="20"/>
          <w:lang w:eastAsia="en-GB"/>
        </w:rPr>
        <w:t>StarBright</w:t>
      </w:r>
      <w:proofErr w:type="spellEnd"/>
      <w:r w:rsidRPr="001C5C08">
        <w:rPr>
          <w:sz w:val="20"/>
          <w:szCs w:val="20"/>
          <w:lang w:eastAsia="en-GB"/>
        </w:rPr>
        <w:t xml:space="preserve"> ultraviolet, TF: </w:t>
      </w:r>
      <w:proofErr w:type="spellStart"/>
      <w:r w:rsidRPr="001C5C08">
        <w:rPr>
          <w:sz w:val="20"/>
          <w:szCs w:val="20"/>
          <w:lang w:eastAsia="en-GB"/>
        </w:rPr>
        <w:t>Thermo</w:t>
      </w:r>
      <w:proofErr w:type="spellEnd"/>
      <w:r w:rsidRPr="001C5C08">
        <w:rPr>
          <w:sz w:val="20"/>
          <w:szCs w:val="20"/>
          <w:lang w:eastAsia="en-GB"/>
        </w:rPr>
        <w:t xml:space="preserve"> Fisher, </w:t>
      </w:r>
      <w:r w:rsidR="009E32C2" w:rsidRPr="001C5C08">
        <w:rPr>
          <w:sz w:val="20"/>
          <w:szCs w:val="20"/>
          <w:lang w:eastAsia="en-GB"/>
        </w:rPr>
        <w:t xml:space="preserve">TLR: Toll-like receptor, </w:t>
      </w:r>
      <w:r w:rsidRPr="001C5C08">
        <w:rPr>
          <w:sz w:val="20"/>
          <w:szCs w:val="20"/>
          <w:lang w:eastAsia="en-GB"/>
        </w:rPr>
        <w:t>UV: Ultraviolet.</w:t>
      </w:r>
    </w:p>
    <w:p w14:paraId="11E08A1B" w14:textId="2B7ED37E" w:rsidR="004C6268" w:rsidRPr="008A7BCF" w:rsidRDefault="00CB392B" w:rsidP="00EF5A4B">
      <w:pPr>
        <w:pStyle w:val="NoSpacing"/>
      </w:pPr>
      <w:r w:rsidRPr="008A7BCF">
        <w:br w:type="page"/>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91"/>
        <w:gridCol w:w="1264"/>
        <w:gridCol w:w="1136"/>
        <w:gridCol w:w="1572"/>
        <w:gridCol w:w="1006"/>
        <w:gridCol w:w="859"/>
        <w:gridCol w:w="859"/>
        <w:gridCol w:w="923"/>
      </w:tblGrid>
      <w:tr w:rsidR="001442F5" w:rsidRPr="00E45FAF" w14:paraId="46871471" w14:textId="77777777" w:rsidTr="001442F5">
        <w:trPr>
          <w:trHeight w:val="45"/>
        </w:trPr>
        <w:tc>
          <w:tcPr>
            <w:tcW w:w="1391" w:type="dxa"/>
            <w:tcBorders>
              <w:top w:val="single" w:sz="6" w:space="0" w:color="BFBFBF"/>
              <w:left w:val="single" w:sz="6" w:space="0" w:color="BFBFBF"/>
              <w:bottom w:val="single" w:sz="6" w:space="0" w:color="BFBFBF"/>
              <w:right w:val="single" w:sz="6" w:space="0" w:color="BFBFBF"/>
            </w:tcBorders>
            <w:vAlign w:val="center"/>
            <w:hideMark/>
          </w:tcPr>
          <w:p w14:paraId="063D15D8" w14:textId="77777777" w:rsidR="001442F5" w:rsidRPr="00E45FAF" w:rsidRDefault="001442F5" w:rsidP="00EF5A4B">
            <w:pPr>
              <w:pStyle w:val="TableParagraph"/>
              <w:rPr>
                <w:b/>
                <w:bCs/>
                <w:sz w:val="15"/>
                <w:szCs w:val="15"/>
              </w:rPr>
            </w:pPr>
            <w:r w:rsidRPr="00E45FAF">
              <w:rPr>
                <w:b/>
                <w:bCs/>
                <w:sz w:val="15"/>
                <w:szCs w:val="15"/>
              </w:rPr>
              <w:lastRenderedPageBreak/>
              <w:t>Function </w:t>
            </w:r>
          </w:p>
        </w:tc>
        <w:tc>
          <w:tcPr>
            <w:tcW w:w="1264" w:type="dxa"/>
            <w:tcBorders>
              <w:top w:val="single" w:sz="6" w:space="0" w:color="BFBFBF"/>
              <w:left w:val="single" w:sz="6" w:space="0" w:color="BFBFBF"/>
              <w:bottom w:val="single" w:sz="6" w:space="0" w:color="BFBFBF"/>
              <w:right w:val="single" w:sz="6" w:space="0" w:color="BFBFBF"/>
            </w:tcBorders>
            <w:vAlign w:val="center"/>
            <w:hideMark/>
          </w:tcPr>
          <w:p w14:paraId="707BAFF2" w14:textId="77777777" w:rsidR="001442F5" w:rsidRPr="00E45FAF" w:rsidRDefault="001442F5" w:rsidP="00EF5A4B">
            <w:pPr>
              <w:pStyle w:val="TableParagraph"/>
              <w:rPr>
                <w:b/>
                <w:bCs/>
                <w:sz w:val="15"/>
                <w:szCs w:val="15"/>
              </w:rPr>
            </w:pPr>
            <w:r w:rsidRPr="00E45FAF">
              <w:rPr>
                <w:b/>
                <w:bCs/>
                <w:sz w:val="15"/>
                <w:szCs w:val="15"/>
              </w:rPr>
              <w:t>Marker type </w:t>
            </w:r>
          </w:p>
        </w:tc>
        <w:tc>
          <w:tcPr>
            <w:tcW w:w="1136" w:type="dxa"/>
            <w:tcBorders>
              <w:top w:val="single" w:sz="6" w:space="0" w:color="BFBFBF"/>
              <w:left w:val="single" w:sz="6" w:space="0" w:color="BFBFBF"/>
              <w:bottom w:val="single" w:sz="6" w:space="0" w:color="BFBFBF"/>
              <w:right w:val="single" w:sz="6" w:space="0" w:color="BFBFBF"/>
            </w:tcBorders>
            <w:vAlign w:val="center"/>
            <w:hideMark/>
          </w:tcPr>
          <w:p w14:paraId="5419C4C2" w14:textId="77777777" w:rsidR="001442F5" w:rsidRPr="00E45FAF" w:rsidRDefault="001442F5" w:rsidP="00EF5A4B">
            <w:pPr>
              <w:pStyle w:val="TableParagraph"/>
              <w:rPr>
                <w:b/>
                <w:bCs/>
                <w:sz w:val="15"/>
                <w:szCs w:val="15"/>
              </w:rPr>
            </w:pPr>
            <w:r w:rsidRPr="00E45FAF">
              <w:rPr>
                <w:b/>
                <w:bCs/>
                <w:sz w:val="15"/>
                <w:szCs w:val="15"/>
              </w:rPr>
              <w:t>Cell Marker </w:t>
            </w:r>
          </w:p>
        </w:tc>
        <w:tc>
          <w:tcPr>
            <w:tcW w:w="1572" w:type="dxa"/>
            <w:tcBorders>
              <w:top w:val="single" w:sz="6" w:space="0" w:color="BFBFBF"/>
              <w:left w:val="single" w:sz="6" w:space="0" w:color="BFBFBF"/>
              <w:bottom w:val="single" w:sz="6" w:space="0" w:color="BFBFBF"/>
              <w:right w:val="single" w:sz="6" w:space="0" w:color="BFBFBF"/>
            </w:tcBorders>
            <w:vAlign w:val="center"/>
            <w:hideMark/>
          </w:tcPr>
          <w:p w14:paraId="7B9E2B67" w14:textId="77777777" w:rsidR="001442F5" w:rsidRPr="00E45FAF" w:rsidRDefault="001442F5" w:rsidP="00EF5A4B">
            <w:pPr>
              <w:pStyle w:val="TableParagraph"/>
              <w:rPr>
                <w:b/>
                <w:bCs/>
                <w:sz w:val="15"/>
                <w:szCs w:val="15"/>
              </w:rPr>
            </w:pPr>
            <w:r w:rsidRPr="00E45FAF">
              <w:rPr>
                <w:b/>
                <w:bCs/>
                <w:sz w:val="15"/>
                <w:szCs w:val="15"/>
              </w:rPr>
              <w:t>Fluorochrome </w:t>
            </w:r>
          </w:p>
        </w:tc>
        <w:tc>
          <w:tcPr>
            <w:tcW w:w="1006" w:type="dxa"/>
            <w:tcBorders>
              <w:top w:val="single" w:sz="6" w:space="0" w:color="BFBFBF"/>
              <w:left w:val="single" w:sz="6" w:space="0" w:color="BFBFBF"/>
              <w:bottom w:val="single" w:sz="6" w:space="0" w:color="BFBFBF"/>
              <w:right w:val="single" w:sz="6" w:space="0" w:color="BFBFBF"/>
            </w:tcBorders>
            <w:vAlign w:val="center"/>
            <w:hideMark/>
          </w:tcPr>
          <w:p w14:paraId="7DF401F4" w14:textId="77777777" w:rsidR="001442F5" w:rsidRPr="00E45FAF" w:rsidRDefault="001442F5" w:rsidP="00EF5A4B">
            <w:pPr>
              <w:pStyle w:val="TableParagraph"/>
              <w:rPr>
                <w:b/>
                <w:bCs/>
                <w:sz w:val="15"/>
                <w:szCs w:val="15"/>
              </w:rPr>
            </w:pPr>
            <w:r w:rsidRPr="00E45FAF">
              <w:rPr>
                <w:b/>
                <w:bCs/>
                <w:sz w:val="15"/>
                <w:szCs w:val="15"/>
              </w:rPr>
              <w:t>Cat no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14FBF171" w14:textId="77777777" w:rsidR="001442F5" w:rsidRPr="00E45FAF" w:rsidRDefault="001442F5" w:rsidP="00EF5A4B">
            <w:pPr>
              <w:pStyle w:val="TableParagraph"/>
              <w:rPr>
                <w:b/>
                <w:bCs/>
                <w:sz w:val="15"/>
                <w:szCs w:val="15"/>
              </w:rPr>
            </w:pPr>
            <w:r w:rsidRPr="00E45FAF">
              <w:rPr>
                <w:b/>
                <w:bCs/>
                <w:sz w:val="15"/>
                <w:szCs w:val="15"/>
              </w:rPr>
              <w:t>Species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206A4303" w14:textId="77777777" w:rsidR="001442F5" w:rsidRPr="00E45FAF" w:rsidRDefault="001442F5" w:rsidP="00EF5A4B">
            <w:pPr>
              <w:pStyle w:val="TableParagraph"/>
              <w:rPr>
                <w:b/>
                <w:bCs/>
                <w:sz w:val="15"/>
                <w:szCs w:val="15"/>
              </w:rPr>
            </w:pPr>
            <w:r w:rsidRPr="00E45FAF">
              <w:rPr>
                <w:b/>
                <w:bCs/>
                <w:sz w:val="15"/>
                <w:szCs w:val="15"/>
              </w:rPr>
              <w:t>Isotope </w:t>
            </w:r>
          </w:p>
        </w:tc>
        <w:tc>
          <w:tcPr>
            <w:tcW w:w="923" w:type="dxa"/>
            <w:tcBorders>
              <w:top w:val="single" w:sz="6" w:space="0" w:color="BFBFBF"/>
              <w:left w:val="single" w:sz="6" w:space="0" w:color="BFBFBF"/>
              <w:bottom w:val="single" w:sz="6" w:space="0" w:color="BFBFBF"/>
              <w:right w:val="single" w:sz="6" w:space="0" w:color="BFBFBF"/>
            </w:tcBorders>
            <w:vAlign w:val="center"/>
            <w:hideMark/>
          </w:tcPr>
          <w:p w14:paraId="27997E18" w14:textId="77777777" w:rsidR="001442F5" w:rsidRPr="00E45FAF" w:rsidRDefault="001442F5" w:rsidP="00EF5A4B">
            <w:pPr>
              <w:pStyle w:val="TableParagraph"/>
              <w:rPr>
                <w:b/>
                <w:bCs/>
                <w:sz w:val="15"/>
                <w:szCs w:val="15"/>
              </w:rPr>
            </w:pPr>
            <w:r w:rsidRPr="00E45FAF">
              <w:rPr>
                <w:b/>
                <w:bCs/>
                <w:sz w:val="15"/>
                <w:szCs w:val="15"/>
              </w:rPr>
              <w:t>Dilution </w:t>
            </w:r>
          </w:p>
        </w:tc>
      </w:tr>
      <w:tr w:rsidR="001442F5" w:rsidRPr="00E45FAF" w14:paraId="39DAF488" w14:textId="77777777" w:rsidTr="001442F5">
        <w:trPr>
          <w:trHeight w:val="45"/>
        </w:trPr>
        <w:tc>
          <w:tcPr>
            <w:tcW w:w="1391" w:type="dxa"/>
            <w:vMerge w:val="restart"/>
            <w:tcBorders>
              <w:top w:val="single" w:sz="6" w:space="0" w:color="BFBFBF"/>
              <w:left w:val="single" w:sz="6" w:space="0" w:color="BFBFBF"/>
              <w:right w:val="single" w:sz="6" w:space="0" w:color="BFBFBF"/>
            </w:tcBorders>
            <w:vAlign w:val="center"/>
            <w:hideMark/>
          </w:tcPr>
          <w:p w14:paraId="232C96FE" w14:textId="77777777" w:rsidR="001442F5" w:rsidRPr="00E45FAF" w:rsidRDefault="001442F5" w:rsidP="00EF5A4B">
            <w:pPr>
              <w:pStyle w:val="TableParagraph"/>
              <w:rPr>
                <w:b/>
                <w:bCs/>
                <w:sz w:val="15"/>
                <w:szCs w:val="15"/>
              </w:rPr>
            </w:pPr>
            <w:r w:rsidRPr="00E45FAF">
              <w:rPr>
                <w:b/>
                <w:bCs/>
                <w:sz w:val="15"/>
                <w:szCs w:val="15"/>
              </w:rPr>
              <w:t>Cell identification &amp; activation</w:t>
            </w:r>
          </w:p>
        </w:tc>
        <w:tc>
          <w:tcPr>
            <w:tcW w:w="1264" w:type="dxa"/>
            <w:tcBorders>
              <w:top w:val="single" w:sz="6" w:space="0" w:color="BFBFBF"/>
              <w:left w:val="single" w:sz="6" w:space="0" w:color="BFBFBF"/>
              <w:bottom w:val="single" w:sz="6" w:space="0" w:color="BFBFBF"/>
              <w:right w:val="single" w:sz="6" w:space="0" w:color="BFBFBF"/>
            </w:tcBorders>
            <w:vAlign w:val="center"/>
            <w:hideMark/>
          </w:tcPr>
          <w:p w14:paraId="00A94367"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vAlign w:val="center"/>
            <w:hideMark/>
          </w:tcPr>
          <w:p w14:paraId="788B7193" w14:textId="77777777" w:rsidR="001442F5" w:rsidRPr="00E45FAF" w:rsidRDefault="001442F5" w:rsidP="00EF5A4B">
            <w:pPr>
              <w:pStyle w:val="TableParagraph"/>
              <w:rPr>
                <w:sz w:val="15"/>
                <w:szCs w:val="15"/>
              </w:rPr>
            </w:pPr>
            <w:r w:rsidRPr="00E45FAF">
              <w:rPr>
                <w:sz w:val="15"/>
                <w:szCs w:val="15"/>
              </w:rPr>
              <w:t>CD3 </w:t>
            </w:r>
          </w:p>
        </w:tc>
        <w:tc>
          <w:tcPr>
            <w:tcW w:w="1572" w:type="dxa"/>
            <w:tcBorders>
              <w:top w:val="single" w:sz="6" w:space="0" w:color="BFBFBF"/>
              <w:left w:val="single" w:sz="6" w:space="0" w:color="BFBFBF"/>
              <w:bottom w:val="single" w:sz="6" w:space="0" w:color="BFBFBF"/>
              <w:right w:val="single" w:sz="6" w:space="0" w:color="BFBFBF"/>
            </w:tcBorders>
            <w:vAlign w:val="center"/>
            <w:hideMark/>
          </w:tcPr>
          <w:p w14:paraId="18910639" w14:textId="77777777" w:rsidR="001442F5" w:rsidRPr="00E45FAF" w:rsidRDefault="001442F5" w:rsidP="00EF5A4B">
            <w:pPr>
              <w:pStyle w:val="TableParagraph"/>
              <w:rPr>
                <w:sz w:val="15"/>
                <w:szCs w:val="15"/>
              </w:rPr>
            </w:pPr>
            <w:r w:rsidRPr="00E45FAF">
              <w:rPr>
                <w:sz w:val="15"/>
                <w:szCs w:val="15"/>
              </w:rPr>
              <w:t>SBUV445 </w:t>
            </w:r>
          </w:p>
        </w:tc>
        <w:tc>
          <w:tcPr>
            <w:tcW w:w="1006" w:type="dxa"/>
            <w:tcBorders>
              <w:top w:val="single" w:sz="6" w:space="0" w:color="BFBFBF"/>
              <w:left w:val="single" w:sz="6" w:space="0" w:color="BFBFBF"/>
              <w:bottom w:val="single" w:sz="6" w:space="0" w:color="BFBFBF"/>
              <w:right w:val="single" w:sz="6" w:space="0" w:color="BFBFBF"/>
            </w:tcBorders>
            <w:vAlign w:val="center"/>
            <w:hideMark/>
          </w:tcPr>
          <w:p w14:paraId="0EA8746E" w14:textId="77777777" w:rsidR="001442F5" w:rsidRPr="00E45FAF" w:rsidRDefault="001442F5" w:rsidP="00EF5A4B">
            <w:pPr>
              <w:pStyle w:val="TableParagraph"/>
              <w:rPr>
                <w:sz w:val="15"/>
                <w:szCs w:val="15"/>
              </w:rPr>
            </w:pPr>
            <w:r w:rsidRPr="00E45FAF">
              <w:rPr>
                <w:sz w:val="15"/>
                <w:szCs w:val="15"/>
              </w:rPr>
              <w:t>BR MCA463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6F874A85"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3442B0C0" w14:textId="77777777" w:rsidR="001442F5" w:rsidRPr="00E45FAF" w:rsidRDefault="001442F5" w:rsidP="00EF5A4B">
            <w:pPr>
              <w:pStyle w:val="TableParagraph"/>
              <w:rPr>
                <w:sz w:val="15"/>
                <w:szCs w:val="15"/>
              </w:rPr>
            </w:pPr>
            <w:r w:rsidRPr="00E45FAF">
              <w:rPr>
                <w:sz w:val="15"/>
                <w:szCs w:val="15"/>
              </w:rPr>
              <w:t>IgG1 </w:t>
            </w:r>
          </w:p>
        </w:tc>
        <w:tc>
          <w:tcPr>
            <w:tcW w:w="923" w:type="dxa"/>
            <w:tcBorders>
              <w:top w:val="single" w:sz="6" w:space="0" w:color="BFBFBF"/>
              <w:left w:val="single" w:sz="6" w:space="0" w:color="BFBFBF"/>
              <w:bottom w:val="single" w:sz="6" w:space="0" w:color="BFBFBF"/>
              <w:right w:val="single" w:sz="6" w:space="0" w:color="BFBFBF"/>
            </w:tcBorders>
            <w:vAlign w:val="center"/>
            <w:hideMark/>
          </w:tcPr>
          <w:p w14:paraId="7D8386E5"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4F23B31C" w14:textId="77777777" w:rsidTr="001442F5">
        <w:trPr>
          <w:trHeight w:val="45"/>
        </w:trPr>
        <w:tc>
          <w:tcPr>
            <w:tcW w:w="1391" w:type="dxa"/>
            <w:vMerge/>
            <w:tcBorders>
              <w:left w:val="single" w:sz="6" w:space="0" w:color="BFBFBF"/>
              <w:right w:val="single" w:sz="6" w:space="0" w:color="BFBFBF"/>
            </w:tcBorders>
            <w:shd w:val="clear" w:color="auto" w:fill="F2F2F2"/>
            <w:vAlign w:val="center"/>
            <w:hideMark/>
          </w:tcPr>
          <w:p w14:paraId="1FE3CA45" w14:textId="77777777" w:rsidR="001442F5" w:rsidRPr="00E45FAF"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00D369C6"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498D86F4" w14:textId="77777777" w:rsidR="001442F5" w:rsidRPr="00E45FAF" w:rsidRDefault="001442F5" w:rsidP="00EF5A4B">
            <w:pPr>
              <w:pStyle w:val="TableParagraph"/>
              <w:rPr>
                <w:sz w:val="15"/>
                <w:szCs w:val="15"/>
              </w:rPr>
            </w:pPr>
            <w:r w:rsidRPr="00E45FAF">
              <w:rPr>
                <w:sz w:val="15"/>
                <w:szCs w:val="15"/>
              </w:rPr>
              <w:t>CD4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557F170E" w14:textId="77777777" w:rsidR="001442F5" w:rsidRPr="00E45FAF" w:rsidRDefault="001442F5" w:rsidP="00EF5A4B">
            <w:pPr>
              <w:pStyle w:val="TableParagraph"/>
              <w:rPr>
                <w:sz w:val="15"/>
                <w:szCs w:val="15"/>
              </w:rPr>
            </w:pPr>
            <w:r w:rsidRPr="00E45FAF">
              <w:rPr>
                <w:sz w:val="15"/>
                <w:szCs w:val="15"/>
              </w:rPr>
              <w:t>BUV805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07A46648" w14:textId="77777777" w:rsidR="001442F5" w:rsidRPr="00E45FAF" w:rsidRDefault="001442F5" w:rsidP="00EF5A4B">
            <w:pPr>
              <w:pStyle w:val="TableParagraph"/>
              <w:rPr>
                <w:sz w:val="15"/>
                <w:szCs w:val="15"/>
              </w:rPr>
            </w:pPr>
            <w:r w:rsidRPr="00E45FAF">
              <w:rPr>
                <w:sz w:val="15"/>
                <w:szCs w:val="15"/>
              </w:rPr>
              <w:t>TF 368-0047-42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48F484BD"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6795236B"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5F7CBB20"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762B2939" w14:textId="77777777" w:rsidTr="001442F5">
        <w:trPr>
          <w:trHeight w:val="45"/>
        </w:trPr>
        <w:tc>
          <w:tcPr>
            <w:tcW w:w="1391" w:type="dxa"/>
            <w:vMerge/>
            <w:tcBorders>
              <w:left w:val="single" w:sz="6" w:space="0" w:color="BFBFBF"/>
              <w:right w:val="single" w:sz="6" w:space="0" w:color="BFBFBF"/>
            </w:tcBorders>
            <w:vAlign w:val="center"/>
            <w:hideMark/>
          </w:tcPr>
          <w:p w14:paraId="279B1603" w14:textId="77777777" w:rsidR="001442F5" w:rsidRPr="00E45FAF"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hideMark/>
          </w:tcPr>
          <w:p w14:paraId="03A82698"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vAlign w:val="center"/>
            <w:hideMark/>
          </w:tcPr>
          <w:p w14:paraId="64DD3CDB" w14:textId="77777777" w:rsidR="001442F5" w:rsidRPr="00E45FAF" w:rsidRDefault="001442F5" w:rsidP="00EF5A4B">
            <w:pPr>
              <w:pStyle w:val="TableParagraph"/>
              <w:rPr>
                <w:sz w:val="15"/>
                <w:szCs w:val="15"/>
              </w:rPr>
            </w:pPr>
            <w:r w:rsidRPr="00E45FAF">
              <w:rPr>
                <w:sz w:val="15"/>
                <w:szCs w:val="15"/>
              </w:rPr>
              <w:t>CD8 </w:t>
            </w:r>
          </w:p>
        </w:tc>
        <w:tc>
          <w:tcPr>
            <w:tcW w:w="1572" w:type="dxa"/>
            <w:tcBorders>
              <w:top w:val="single" w:sz="6" w:space="0" w:color="BFBFBF"/>
              <w:left w:val="single" w:sz="6" w:space="0" w:color="BFBFBF"/>
              <w:bottom w:val="single" w:sz="6" w:space="0" w:color="BFBFBF"/>
              <w:right w:val="single" w:sz="6" w:space="0" w:color="BFBFBF"/>
            </w:tcBorders>
            <w:vAlign w:val="center"/>
            <w:hideMark/>
          </w:tcPr>
          <w:p w14:paraId="16747AC6" w14:textId="77777777" w:rsidR="001442F5" w:rsidRPr="00E45FAF" w:rsidRDefault="001442F5" w:rsidP="00EF5A4B">
            <w:pPr>
              <w:pStyle w:val="TableParagraph"/>
              <w:rPr>
                <w:sz w:val="15"/>
                <w:szCs w:val="15"/>
              </w:rPr>
            </w:pPr>
            <w:r w:rsidRPr="00E45FAF">
              <w:rPr>
                <w:sz w:val="15"/>
                <w:szCs w:val="15"/>
              </w:rPr>
              <w:t>APC-Fire 750 </w:t>
            </w:r>
          </w:p>
        </w:tc>
        <w:tc>
          <w:tcPr>
            <w:tcW w:w="1006" w:type="dxa"/>
            <w:tcBorders>
              <w:top w:val="single" w:sz="6" w:space="0" w:color="BFBFBF"/>
              <w:left w:val="single" w:sz="6" w:space="0" w:color="BFBFBF"/>
              <w:bottom w:val="single" w:sz="6" w:space="0" w:color="BFBFBF"/>
              <w:right w:val="single" w:sz="6" w:space="0" w:color="BFBFBF"/>
            </w:tcBorders>
            <w:vAlign w:val="center"/>
            <w:hideMark/>
          </w:tcPr>
          <w:p w14:paraId="0D96AFE9" w14:textId="77777777" w:rsidR="001442F5" w:rsidRPr="00E45FAF" w:rsidRDefault="001442F5" w:rsidP="00EF5A4B">
            <w:pPr>
              <w:pStyle w:val="TableParagraph"/>
              <w:rPr>
                <w:sz w:val="15"/>
                <w:szCs w:val="15"/>
              </w:rPr>
            </w:pPr>
            <w:r w:rsidRPr="00E45FAF">
              <w:rPr>
                <w:sz w:val="15"/>
                <w:szCs w:val="15"/>
              </w:rPr>
              <w:t>BL 301066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68E7370A"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093759B8"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hideMark/>
          </w:tcPr>
          <w:p w14:paraId="2B79AE94"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6FA4F8C9" w14:textId="77777777" w:rsidTr="001442F5">
        <w:trPr>
          <w:trHeight w:val="45"/>
        </w:trPr>
        <w:tc>
          <w:tcPr>
            <w:tcW w:w="1391" w:type="dxa"/>
            <w:vMerge/>
            <w:tcBorders>
              <w:left w:val="single" w:sz="6" w:space="0" w:color="BFBFBF"/>
              <w:bottom w:val="single" w:sz="6" w:space="0" w:color="BFBFBF"/>
              <w:right w:val="single" w:sz="6" w:space="0" w:color="BFBFBF"/>
            </w:tcBorders>
            <w:shd w:val="clear" w:color="auto" w:fill="F2F2F2"/>
            <w:vAlign w:val="center"/>
            <w:hideMark/>
          </w:tcPr>
          <w:p w14:paraId="70D95828" w14:textId="77777777" w:rsidR="001442F5" w:rsidRPr="00E45FAF"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5D17D876"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76D8104A" w14:textId="77777777" w:rsidR="001442F5" w:rsidRPr="00E45FAF" w:rsidRDefault="001442F5" w:rsidP="00EF5A4B">
            <w:pPr>
              <w:pStyle w:val="TableParagraph"/>
              <w:rPr>
                <w:sz w:val="15"/>
                <w:szCs w:val="15"/>
              </w:rPr>
            </w:pPr>
            <w:r w:rsidRPr="00E45FAF">
              <w:rPr>
                <w:sz w:val="15"/>
                <w:szCs w:val="15"/>
              </w:rPr>
              <w:t>CD19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59F5D686" w14:textId="77777777" w:rsidR="001442F5" w:rsidRPr="00E45FAF" w:rsidRDefault="001442F5" w:rsidP="00EF5A4B">
            <w:pPr>
              <w:pStyle w:val="TableParagraph"/>
              <w:rPr>
                <w:sz w:val="15"/>
                <w:szCs w:val="15"/>
              </w:rPr>
            </w:pPr>
            <w:r w:rsidRPr="00E45FAF">
              <w:rPr>
                <w:sz w:val="15"/>
                <w:szCs w:val="15"/>
              </w:rPr>
              <w:t>BUV395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4733C565" w14:textId="77777777" w:rsidR="001442F5" w:rsidRPr="00E45FAF" w:rsidRDefault="001442F5" w:rsidP="00EF5A4B">
            <w:pPr>
              <w:pStyle w:val="TableParagraph"/>
              <w:rPr>
                <w:sz w:val="15"/>
                <w:szCs w:val="15"/>
              </w:rPr>
            </w:pPr>
            <w:r w:rsidRPr="00E45FAF">
              <w:rPr>
                <w:sz w:val="15"/>
                <w:szCs w:val="15"/>
              </w:rPr>
              <w:t>TF 363-0198-42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2828910E"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37518600"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4D8E8584"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2699A9AE" w14:textId="77777777" w:rsidTr="001442F5">
        <w:trPr>
          <w:trHeight w:val="45"/>
        </w:trPr>
        <w:tc>
          <w:tcPr>
            <w:tcW w:w="1391" w:type="dxa"/>
            <w:vMerge w:val="restart"/>
            <w:tcBorders>
              <w:left w:val="single" w:sz="6" w:space="0" w:color="BFBFBF"/>
              <w:right w:val="single" w:sz="6" w:space="0" w:color="BFBFBF"/>
            </w:tcBorders>
            <w:shd w:val="clear" w:color="auto" w:fill="F2F2F2"/>
            <w:vAlign w:val="center"/>
          </w:tcPr>
          <w:p w14:paraId="26E91D13" w14:textId="77777777" w:rsidR="001442F5" w:rsidRPr="00E45FAF" w:rsidRDefault="001442F5" w:rsidP="00EF5A4B">
            <w:pPr>
              <w:pStyle w:val="TableParagraph"/>
              <w:rPr>
                <w:b/>
                <w:bCs/>
                <w:sz w:val="15"/>
                <w:szCs w:val="15"/>
              </w:rPr>
            </w:pPr>
            <w:r w:rsidRPr="00E45FAF">
              <w:rPr>
                <w:b/>
                <w:bCs/>
                <w:sz w:val="15"/>
                <w:szCs w:val="15"/>
              </w:rPr>
              <w:t>Proliferation </w:t>
            </w: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80D24AA" w14:textId="0844524F" w:rsidR="001442F5" w:rsidRPr="00E45FAF" w:rsidRDefault="001442F5" w:rsidP="00EF5A4B">
            <w:pPr>
              <w:pStyle w:val="TableParagraph"/>
              <w:rPr>
                <w:sz w:val="15"/>
                <w:szCs w:val="15"/>
              </w:rPr>
            </w:pPr>
            <w:r w:rsidRPr="00E45FAF">
              <w:rPr>
                <w:sz w:val="15"/>
                <w:szCs w:val="15"/>
              </w:rPr>
              <w:t>Proliferation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B446188" w14:textId="40166901" w:rsidR="001442F5" w:rsidRPr="00E45FAF" w:rsidRDefault="001442F5" w:rsidP="00EF5A4B">
            <w:pPr>
              <w:pStyle w:val="TableParagraph"/>
              <w:rPr>
                <w:sz w:val="15"/>
                <w:szCs w:val="15"/>
              </w:rPr>
            </w:pPr>
            <w:proofErr w:type="spellStart"/>
            <w:r w:rsidRPr="00E45FAF">
              <w:rPr>
                <w:sz w:val="15"/>
                <w:szCs w:val="15"/>
              </w:rPr>
              <w:t>CellTrace</w:t>
            </w:r>
            <w:proofErr w:type="spellEnd"/>
            <w:r w:rsidRPr="00E45FAF">
              <w:rPr>
                <w:sz w:val="15"/>
                <w:szCs w:val="15"/>
              </w:rPr>
              <w:t>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95E54BA" w14:textId="77777777" w:rsidR="001442F5" w:rsidRPr="00E45FAF" w:rsidRDefault="001442F5" w:rsidP="00EF5A4B">
            <w:pPr>
              <w:pStyle w:val="TableParagraph"/>
              <w:rPr>
                <w:sz w:val="15"/>
                <w:szCs w:val="15"/>
              </w:rPr>
            </w:pPr>
            <w:proofErr w:type="spellStart"/>
            <w:r w:rsidRPr="00E45FAF">
              <w:rPr>
                <w:sz w:val="15"/>
                <w:szCs w:val="15"/>
              </w:rPr>
              <w:t>FarRed</w:t>
            </w:r>
            <w:proofErr w:type="spellEnd"/>
            <w:r w:rsidRPr="00E45FAF">
              <w:rPr>
                <w:sz w:val="15"/>
                <w:szCs w:val="15"/>
              </w:rPr>
              <w:t>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2E557DD" w14:textId="77777777" w:rsidR="001442F5" w:rsidRPr="00E45FAF" w:rsidRDefault="001442F5" w:rsidP="00EF5A4B">
            <w:pPr>
              <w:pStyle w:val="TableParagraph"/>
              <w:rPr>
                <w:sz w:val="15"/>
                <w:szCs w:val="15"/>
              </w:rPr>
            </w:pPr>
            <w:r w:rsidRPr="00E45FAF">
              <w:rPr>
                <w:sz w:val="15"/>
                <w:szCs w:val="15"/>
              </w:rPr>
              <w:t>TF C34564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368692B" w14:textId="77777777" w:rsidR="001442F5" w:rsidRPr="00E45FAF" w:rsidRDefault="001442F5" w:rsidP="00EF5A4B">
            <w:pPr>
              <w:pStyle w:val="TableParagraph"/>
              <w:rPr>
                <w:sz w:val="15"/>
                <w:szCs w:val="15"/>
              </w:rPr>
            </w:pPr>
            <w:r w:rsidRPr="00E45FAF">
              <w:rPr>
                <w:sz w:val="15"/>
                <w:szCs w:val="15"/>
              </w:rPr>
              <w:t>-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7974CB8" w14:textId="77777777" w:rsidR="001442F5" w:rsidRPr="00E45FAF" w:rsidRDefault="001442F5" w:rsidP="00EF5A4B">
            <w:pPr>
              <w:pStyle w:val="TableParagraph"/>
              <w:rPr>
                <w:sz w:val="15"/>
                <w:szCs w:val="15"/>
              </w:rPr>
            </w:pPr>
            <w:r w:rsidRPr="00E45FAF">
              <w:rPr>
                <w:sz w:val="15"/>
                <w:szCs w:val="15"/>
              </w:rPr>
              <w:t>- </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62670E3A" w14:textId="77777777" w:rsidR="001442F5" w:rsidRPr="00E45FAF" w:rsidRDefault="001442F5" w:rsidP="00EF5A4B">
            <w:pPr>
              <w:pStyle w:val="TableParagraph"/>
              <w:rPr>
                <w:sz w:val="15"/>
                <w:szCs w:val="15"/>
              </w:rPr>
            </w:pPr>
            <w:r w:rsidRPr="00E45FAF">
              <w:rPr>
                <w:sz w:val="15"/>
                <w:szCs w:val="15"/>
              </w:rPr>
              <w:t>1:1000 </w:t>
            </w:r>
          </w:p>
        </w:tc>
      </w:tr>
      <w:tr w:rsidR="001442F5" w:rsidRPr="00E45FAF" w14:paraId="120D3261" w14:textId="77777777" w:rsidTr="001442F5">
        <w:trPr>
          <w:trHeight w:val="45"/>
        </w:trPr>
        <w:tc>
          <w:tcPr>
            <w:tcW w:w="1391" w:type="dxa"/>
            <w:vMerge/>
            <w:tcBorders>
              <w:left w:val="single" w:sz="6" w:space="0" w:color="BFBFBF"/>
              <w:bottom w:val="single" w:sz="6" w:space="0" w:color="BFBFBF"/>
              <w:right w:val="single" w:sz="6" w:space="0" w:color="BFBFBF"/>
            </w:tcBorders>
            <w:shd w:val="clear" w:color="auto" w:fill="F2F2F2"/>
            <w:vAlign w:val="center"/>
          </w:tcPr>
          <w:p w14:paraId="700F2D2F" w14:textId="77777777" w:rsidR="001442F5" w:rsidRPr="00E45FAF"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1454E07"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2ACF1007" w14:textId="75A4AC0A" w:rsidR="001442F5" w:rsidRPr="00E45FAF" w:rsidRDefault="00334CDA" w:rsidP="00EF5A4B">
            <w:pPr>
              <w:pStyle w:val="TableParagraph"/>
              <w:rPr>
                <w:sz w:val="15"/>
                <w:szCs w:val="15"/>
              </w:rPr>
            </w:pPr>
            <w:r>
              <w:rPr>
                <w:sz w:val="15"/>
                <w:szCs w:val="15"/>
              </w:rPr>
              <w:t>IL-7R (</w:t>
            </w:r>
            <w:r w:rsidR="001442F5" w:rsidRPr="00E45FAF">
              <w:rPr>
                <w:sz w:val="15"/>
                <w:szCs w:val="15"/>
              </w:rPr>
              <w:t>CD127</w:t>
            </w:r>
            <w:r>
              <w:rPr>
                <w:sz w:val="15"/>
                <w:szCs w:val="15"/>
              </w:rPr>
              <w:t>)</w:t>
            </w:r>
            <w:r w:rsidR="001442F5" w:rsidRPr="00E45FAF">
              <w:rPr>
                <w:sz w:val="15"/>
                <w:szCs w:val="15"/>
              </w:rPr>
              <w:t>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64A699D5" w14:textId="77777777" w:rsidR="001442F5" w:rsidRPr="00E45FAF" w:rsidRDefault="001442F5" w:rsidP="00EF5A4B">
            <w:pPr>
              <w:pStyle w:val="TableParagraph"/>
              <w:rPr>
                <w:sz w:val="15"/>
                <w:szCs w:val="15"/>
              </w:rPr>
            </w:pPr>
            <w:proofErr w:type="spellStart"/>
            <w:r w:rsidRPr="00E45FAF">
              <w:rPr>
                <w:sz w:val="15"/>
                <w:szCs w:val="15"/>
              </w:rPr>
              <w:t>PerCP-eFluor</w:t>
            </w:r>
            <w:proofErr w:type="spellEnd"/>
            <w:r w:rsidRPr="00E45FAF">
              <w:rPr>
                <w:sz w:val="15"/>
                <w:szCs w:val="15"/>
              </w:rPr>
              <w:t xml:space="preserve"> 710 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6668708B" w14:textId="77777777" w:rsidR="001442F5" w:rsidRPr="00E45FAF" w:rsidRDefault="001442F5" w:rsidP="00EF5A4B">
            <w:pPr>
              <w:pStyle w:val="TableParagraph"/>
              <w:rPr>
                <w:sz w:val="15"/>
                <w:szCs w:val="15"/>
              </w:rPr>
            </w:pPr>
            <w:r w:rsidRPr="00E45FAF">
              <w:rPr>
                <w:sz w:val="15"/>
                <w:szCs w:val="15"/>
              </w:rPr>
              <w:t>TF 46-1278-42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FB2817A"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E1DFE43"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2FB01B1F"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49ED5F78" w14:textId="77777777" w:rsidTr="001442F5">
        <w:trPr>
          <w:trHeight w:val="45"/>
        </w:trPr>
        <w:tc>
          <w:tcPr>
            <w:tcW w:w="1391" w:type="dxa"/>
            <w:vMerge w:val="restart"/>
            <w:tcBorders>
              <w:top w:val="single" w:sz="6" w:space="0" w:color="BFBFBF"/>
              <w:left w:val="single" w:sz="6" w:space="0" w:color="BFBFBF"/>
              <w:right w:val="single" w:sz="6" w:space="0" w:color="BFBFBF"/>
            </w:tcBorders>
            <w:vAlign w:val="center"/>
            <w:hideMark/>
          </w:tcPr>
          <w:p w14:paraId="1F527CF8" w14:textId="77777777" w:rsidR="001442F5" w:rsidRPr="00E45FAF" w:rsidRDefault="001442F5" w:rsidP="00EF5A4B">
            <w:pPr>
              <w:pStyle w:val="TableParagraph"/>
              <w:rPr>
                <w:b/>
                <w:bCs/>
                <w:sz w:val="15"/>
                <w:szCs w:val="15"/>
              </w:rPr>
            </w:pPr>
            <w:r w:rsidRPr="00E45FAF">
              <w:rPr>
                <w:b/>
                <w:bCs/>
                <w:sz w:val="15"/>
                <w:szCs w:val="15"/>
              </w:rPr>
              <w:t>Differentiation </w:t>
            </w:r>
          </w:p>
        </w:tc>
        <w:tc>
          <w:tcPr>
            <w:tcW w:w="1264" w:type="dxa"/>
            <w:tcBorders>
              <w:top w:val="single" w:sz="6" w:space="0" w:color="BFBFBF"/>
              <w:left w:val="single" w:sz="6" w:space="0" w:color="BFBFBF"/>
              <w:bottom w:val="single" w:sz="6" w:space="0" w:color="BFBFBF"/>
              <w:right w:val="single" w:sz="6" w:space="0" w:color="BFBFBF"/>
            </w:tcBorders>
            <w:vAlign w:val="center"/>
            <w:hideMark/>
          </w:tcPr>
          <w:p w14:paraId="3A9105BE"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vAlign w:val="center"/>
            <w:hideMark/>
          </w:tcPr>
          <w:p w14:paraId="68962715" w14:textId="77777777" w:rsidR="001442F5" w:rsidRPr="00E45FAF" w:rsidRDefault="001442F5" w:rsidP="00EF5A4B">
            <w:pPr>
              <w:pStyle w:val="TableParagraph"/>
              <w:rPr>
                <w:sz w:val="15"/>
                <w:szCs w:val="15"/>
              </w:rPr>
            </w:pPr>
            <w:r w:rsidRPr="00E45FAF">
              <w:rPr>
                <w:sz w:val="15"/>
                <w:szCs w:val="15"/>
              </w:rPr>
              <w:t>IL-2R (CD25) </w:t>
            </w:r>
          </w:p>
        </w:tc>
        <w:tc>
          <w:tcPr>
            <w:tcW w:w="1572" w:type="dxa"/>
            <w:tcBorders>
              <w:top w:val="single" w:sz="6" w:space="0" w:color="BFBFBF"/>
              <w:left w:val="single" w:sz="6" w:space="0" w:color="BFBFBF"/>
              <w:bottom w:val="single" w:sz="6" w:space="0" w:color="BFBFBF"/>
              <w:right w:val="single" w:sz="6" w:space="0" w:color="BFBFBF"/>
            </w:tcBorders>
            <w:vAlign w:val="center"/>
            <w:hideMark/>
          </w:tcPr>
          <w:p w14:paraId="63664165" w14:textId="77777777" w:rsidR="001442F5" w:rsidRPr="00E45FAF" w:rsidRDefault="001442F5" w:rsidP="00EF5A4B">
            <w:pPr>
              <w:pStyle w:val="TableParagraph"/>
              <w:rPr>
                <w:sz w:val="15"/>
                <w:szCs w:val="15"/>
              </w:rPr>
            </w:pPr>
            <w:r w:rsidRPr="00E45FAF">
              <w:rPr>
                <w:sz w:val="15"/>
                <w:szCs w:val="15"/>
              </w:rPr>
              <w:t>SBV570 </w:t>
            </w:r>
          </w:p>
        </w:tc>
        <w:tc>
          <w:tcPr>
            <w:tcW w:w="1006" w:type="dxa"/>
            <w:tcBorders>
              <w:top w:val="single" w:sz="6" w:space="0" w:color="BFBFBF"/>
              <w:left w:val="single" w:sz="6" w:space="0" w:color="BFBFBF"/>
              <w:bottom w:val="single" w:sz="6" w:space="0" w:color="BFBFBF"/>
              <w:right w:val="single" w:sz="6" w:space="0" w:color="BFBFBF"/>
            </w:tcBorders>
            <w:vAlign w:val="center"/>
            <w:hideMark/>
          </w:tcPr>
          <w:p w14:paraId="64E7A7B1" w14:textId="77777777" w:rsidR="001442F5" w:rsidRPr="00E45FAF" w:rsidRDefault="001442F5" w:rsidP="00EF5A4B">
            <w:pPr>
              <w:pStyle w:val="TableParagraph"/>
              <w:rPr>
                <w:sz w:val="15"/>
                <w:szCs w:val="15"/>
              </w:rPr>
            </w:pPr>
            <w:r w:rsidRPr="00E45FAF">
              <w:rPr>
                <w:sz w:val="15"/>
                <w:szCs w:val="15"/>
              </w:rPr>
              <w:t>BR MCA2127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26190FA3"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2A79ADFE" w14:textId="77777777" w:rsidR="001442F5" w:rsidRPr="00E45FAF" w:rsidRDefault="001442F5" w:rsidP="00EF5A4B">
            <w:pPr>
              <w:pStyle w:val="TableParagraph"/>
              <w:rPr>
                <w:sz w:val="15"/>
                <w:szCs w:val="15"/>
              </w:rPr>
            </w:pPr>
            <w:r w:rsidRPr="00E45FAF">
              <w:rPr>
                <w:sz w:val="15"/>
                <w:szCs w:val="15"/>
              </w:rPr>
              <w:t>IgG1 </w:t>
            </w:r>
          </w:p>
        </w:tc>
        <w:tc>
          <w:tcPr>
            <w:tcW w:w="923" w:type="dxa"/>
            <w:tcBorders>
              <w:top w:val="single" w:sz="6" w:space="0" w:color="BFBFBF"/>
              <w:left w:val="single" w:sz="6" w:space="0" w:color="BFBFBF"/>
              <w:bottom w:val="single" w:sz="6" w:space="0" w:color="BFBFBF"/>
              <w:right w:val="single" w:sz="6" w:space="0" w:color="BFBFBF"/>
            </w:tcBorders>
            <w:vAlign w:val="center"/>
            <w:hideMark/>
          </w:tcPr>
          <w:p w14:paraId="1914B195"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77315112" w14:textId="77777777" w:rsidTr="001442F5">
        <w:trPr>
          <w:trHeight w:val="45"/>
        </w:trPr>
        <w:tc>
          <w:tcPr>
            <w:tcW w:w="1391" w:type="dxa"/>
            <w:vMerge/>
            <w:tcBorders>
              <w:left w:val="single" w:sz="6" w:space="0" w:color="BFBFBF"/>
              <w:right w:val="single" w:sz="6" w:space="0" w:color="BFBFBF"/>
            </w:tcBorders>
            <w:vAlign w:val="center"/>
          </w:tcPr>
          <w:p w14:paraId="32745D3B"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352963B8"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vAlign w:val="center"/>
          </w:tcPr>
          <w:p w14:paraId="0FE36808" w14:textId="77777777" w:rsidR="001442F5" w:rsidRPr="00E45FAF" w:rsidRDefault="001442F5" w:rsidP="00EF5A4B">
            <w:pPr>
              <w:pStyle w:val="TableParagraph"/>
              <w:rPr>
                <w:sz w:val="15"/>
                <w:szCs w:val="15"/>
              </w:rPr>
            </w:pPr>
            <w:r w:rsidRPr="00E45FAF">
              <w:rPr>
                <w:sz w:val="15"/>
                <w:szCs w:val="15"/>
              </w:rPr>
              <w:t>CCR4 (CD194)</w:t>
            </w:r>
          </w:p>
        </w:tc>
        <w:tc>
          <w:tcPr>
            <w:tcW w:w="1572" w:type="dxa"/>
            <w:tcBorders>
              <w:top w:val="single" w:sz="6" w:space="0" w:color="BFBFBF"/>
              <w:left w:val="single" w:sz="6" w:space="0" w:color="BFBFBF"/>
              <w:bottom w:val="single" w:sz="6" w:space="0" w:color="BFBFBF"/>
              <w:right w:val="single" w:sz="6" w:space="0" w:color="BFBFBF"/>
            </w:tcBorders>
            <w:vAlign w:val="center"/>
          </w:tcPr>
          <w:p w14:paraId="221ABABF" w14:textId="77777777" w:rsidR="001442F5" w:rsidRPr="00E45FAF" w:rsidRDefault="001442F5" w:rsidP="00EF5A4B">
            <w:pPr>
              <w:pStyle w:val="TableParagraph"/>
              <w:rPr>
                <w:sz w:val="15"/>
                <w:szCs w:val="15"/>
              </w:rPr>
            </w:pPr>
            <w:r w:rsidRPr="00E45FAF">
              <w:rPr>
                <w:sz w:val="15"/>
                <w:szCs w:val="15"/>
              </w:rPr>
              <w:t>BUV563 </w:t>
            </w:r>
          </w:p>
        </w:tc>
        <w:tc>
          <w:tcPr>
            <w:tcW w:w="1006" w:type="dxa"/>
            <w:tcBorders>
              <w:top w:val="single" w:sz="6" w:space="0" w:color="BFBFBF"/>
              <w:left w:val="single" w:sz="6" w:space="0" w:color="BFBFBF"/>
              <w:bottom w:val="single" w:sz="6" w:space="0" w:color="BFBFBF"/>
              <w:right w:val="single" w:sz="6" w:space="0" w:color="BFBFBF"/>
            </w:tcBorders>
            <w:vAlign w:val="center"/>
          </w:tcPr>
          <w:p w14:paraId="767B01EE" w14:textId="77777777" w:rsidR="001442F5" w:rsidRPr="00E45FAF" w:rsidRDefault="001442F5" w:rsidP="00EF5A4B">
            <w:pPr>
              <w:pStyle w:val="TableParagraph"/>
              <w:rPr>
                <w:sz w:val="15"/>
                <w:szCs w:val="15"/>
              </w:rPr>
            </w:pPr>
            <w:r w:rsidRPr="00E45FAF">
              <w:rPr>
                <w:sz w:val="15"/>
                <w:szCs w:val="15"/>
              </w:rPr>
              <w:t>BD 752566 </w:t>
            </w:r>
          </w:p>
        </w:tc>
        <w:tc>
          <w:tcPr>
            <w:tcW w:w="859" w:type="dxa"/>
            <w:tcBorders>
              <w:top w:val="single" w:sz="6" w:space="0" w:color="BFBFBF"/>
              <w:left w:val="single" w:sz="6" w:space="0" w:color="BFBFBF"/>
              <w:bottom w:val="single" w:sz="6" w:space="0" w:color="BFBFBF"/>
              <w:right w:val="single" w:sz="6" w:space="0" w:color="BFBFBF"/>
            </w:tcBorders>
            <w:vAlign w:val="center"/>
          </w:tcPr>
          <w:p w14:paraId="680611C7"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tcPr>
          <w:p w14:paraId="4BE4E51F"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tcPr>
          <w:p w14:paraId="2736AA55"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36386E07" w14:textId="77777777" w:rsidTr="001442F5">
        <w:trPr>
          <w:trHeight w:val="45"/>
        </w:trPr>
        <w:tc>
          <w:tcPr>
            <w:tcW w:w="1391" w:type="dxa"/>
            <w:vMerge/>
            <w:tcBorders>
              <w:left w:val="single" w:sz="6" w:space="0" w:color="BFBFBF"/>
              <w:right w:val="single" w:sz="6" w:space="0" w:color="BFBFBF"/>
            </w:tcBorders>
            <w:vAlign w:val="center"/>
          </w:tcPr>
          <w:p w14:paraId="3A0029B5"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334CDC7F"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vAlign w:val="center"/>
          </w:tcPr>
          <w:p w14:paraId="26B3C283" w14:textId="77777777" w:rsidR="001442F5" w:rsidRPr="00E45FAF" w:rsidRDefault="001442F5" w:rsidP="00EF5A4B">
            <w:pPr>
              <w:pStyle w:val="TableParagraph"/>
              <w:rPr>
                <w:sz w:val="15"/>
                <w:szCs w:val="15"/>
              </w:rPr>
            </w:pPr>
            <w:r w:rsidRPr="00E45FAF">
              <w:rPr>
                <w:sz w:val="15"/>
                <w:szCs w:val="15"/>
              </w:rPr>
              <w:t>CCR6 (CD196)</w:t>
            </w:r>
          </w:p>
        </w:tc>
        <w:tc>
          <w:tcPr>
            <w:tcW w:w="1572" w:type="dxa"/>
            <w:tcBorders>
              <w:top w:val="single" w:sz="6" w:space="0" w:color="BFBFBF"/>
              <w:left w:val="single" w:sz="6" w:space="0" w:color="BFBFBF"/>
              <w:bottom w:val="single" w:sz="6" w:space="0" w:color="BFBFBF"/>
              <w:right w:val="single" w:sz="6" w:space="0" w:color="BFBFBF"/>
            </w:tcBorders>
            <w:vAlign w:val="center"/>
          </w:tcPr>
          <w:p w14:paraId="5939F547" w14:textId="77777777" w:rsidR="001442F5" w:rsidRPr="00E45FAF" w:rsidRDefault="001442F5" w:rsidP="00EF5A4B">
            <w:pPr>
              <w:pStyle w:val="TableParagraph"/>
              <w:rPr>
                <w:sz w:val="15"/>
                <w:szCs w:val="15"/>
              </w:rPr>
            </w:pPr>
            <w:r w:rsidRPr="00E45FAF">
              <w:rPr>
                <w:sz w:val="15"/>
                <w:szCs w:val="15"/>
              </w:rPr>
              <w:t>BV786 </w:t>
            </w:r>
          </w:p>
        </w:tc>
        <w:tc>
          <w:tcPr>
            <w:tcW w:w="1006" w:type="dxa"/>
            <w:tcBorders>
              <w:top w:val="single" w:sz="6" w:space="0" w:color="BFBFBF"/>
              <w:left w:val="single" w:sz="6" w:space="0" w:color="BFBFBF"/>
              <w:bottom w:val="single" w:sz="6" w:space="0" w:color="BFBFBF"/>
              <w:right w:val="single" w:sz="6" w:space="0" w:color="BFBFBF"/>
            </w:tcBorders>
            <w:vAlign w:val="center"/>
          </w:tcPr>
          <w:p w14:paraId="1F838EE5" w14:textId="77777777" w:rsidR="001442F5" w:rsidRPr="00E45FAF" w:rsidRDefault="001442F5" w:rsidP="00EF5A4B">
            <w:pPr>
              <w:pStyle w:val="TableParagraph"/>
              <w:rPr>
                <w:sz w:val="15"/>
                <w:szCs w:val="15"/>
              </w:rPr>
            </w:pPr>
            <w:r w:rsidRPr="00E45FAF">
              <w:rPr>
                <w:sz w:val="15"/>
                <w:szCs w:val="15"/>
              </w:rPr>
              <w:t>BD 563704 </w:t>
            </w:r>
          </w:p>
        </w:tc>
        <w:tc>
          <w:tcPr>
            <w:tcW w:w="859" w:type="dxa"/>
            <w:tcBorders>
              <w:top w:val="single" w:sz="6" w:space="0" w:color="BFBFBF"/>
              <w:left w:val="single" w:sz="6" w:space="0" w:color="BFBFBF"/>
              <w:bottom w:val="single" w:sz="6" w:space="0" w:color="BFBFBF"/>
              <w:right w:val="single" w:sz="6" w:space="0" w:color="BFBFBF"/>
            </w:tcBorders>
            <w:vAlign w:val="center"/>
          </w:tcPr>
          <w:p w14:paraId="150DA276"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tcPr>
          <w:p w14:paraId="471E5658"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tcPr>
          <w:p w14:paraId="71E340C3"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0A5EDD5E" w14:textId="77777777" w:rsidTr="001442F5">
        <w:trPr>
          <w:trHeight w:val="45"/>
        </w:trPr>
        <w:tc>
          <w:tcPr>
            <w:tcW w:w="1391" w:type="dxa"/>
            <w:vMerge/>
            <w:tcBorders>
              <w:left w:val="single" w:sz="6" w:space="0" w:color="BFBFBF"/>
              <w:right w:val="single" w:sz="6" w:space="0" w:color="BFBFBF"/>
            </w:tcBorders>
            <w:vAlign w:val="center"/>
          </w:tcPr>
          <w:p w14:paraId="2DE1DFAE"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4D4EE795" w14:textId="77777777" w:rsidR="001442F5" w:rsidRPr="00E45FAF" w:rsidRDefault="001442F5" w:rsidP="00EF5A4B">
            <w:pPr>
              <w:pStyle w:val="TableParagraph"/>
              <w:rPr>
                <w:sz w:val="15"/>
                <w:szCs w:val="15"/>
              </w:rPr>
            </w:pPr>
            <w:r w:rsidRPr="00E45FAF">
              <w:rPr>
                <w:sz w:val="15"/>
                <w:szCs w:val="15"/>
              </w:rPr>
              <w:t>Intracellular cytokine </w:t>
            </w:r>
          </w:p>
        </w:tc>
        <w:tc>
          <w:tcPr>
            <w:tcW w:w="1136" w:type="dxa"/>
            <w:tcBorders>
              <w:top w:val="single" w:sz="6" w:space="0" w:color="BFBFBF"/>
              <w:left w:val="single" w:sz="6" w:space="0" w:color="BFBFBF"/>
              <w:bottom w:val="single" w:sz="6" w:space="0" w:color="BFBFBF"/>
              <w:right w:val="single" w:sz="6" w:space="0" w:color="BFBFBF"/>
            </w:tcBorders>
            <w:vAlign w:val="center"/>
          </w:tcPr>
          <w:p w14:paraId="67172302" w14:textId="77777777" w:rsidR="001442F5" w:rsidRPr="00E45FAF" w:rsidRDefault="001442F5" w:rsidP="00EF5A4B">
            <w:pPr>
              <w:pStyle w:val="TableParagraph"/>
              <w:rPr>
                <w:sz w:val="15"/>
                <w:szCs w:val="15"/>
              </w:rPr>
            </w:pPr>
            <w:r w:rsidRPr="00E45FAF">
              <w:rPr>
                <w:sz w:val="15"/>
                <w:szCs w:val="15"/>
              </w:rPr>
              <w:t>IL-2 </w:t>
            </w:r>
          </w:p>
        </w:tc>
        <w:tc>
          <w:tcPr>
            <w:tcW w:w="1572" w:type="dxa"/>
            <w:tcBorders>
              <w:top w:val="single" w:sz="6" w:space="0" w:color="BFBFBF"/>
              <w:left w:val="single" w:sz="6" w:space="0" w:color="BFBFBF"/>
              <w:bottom w:val="single" w:sz="6" w:space="0" w:color="BFBFBF"/>
              <w:right w:val="single" w:sz="6" w:space="0" w:color="BFBFBF"/>
            </w:tcBorders>
            <w:vAlign w:val="center"/>
          </w:tcPr>
          <w:p w14:paraId="7DA6E26F" w14:textId="77777777" w:rsidR="001442F5" w:rsidRPr="00E45FAF" w:rsidRDefault="001442F5" w:rsidP="00EF5A4B">
            <w:pPr>
              <w:pStyle w:val="TableParagraph"/>
              <w:rPr>
                <w:sz w:val="15"/>
                <w:szCs w:val="15"/>
              </w:rPr>
            </w:pPr>
            <w:r w:rsidRPr="00E45FAF">
              <w:rPr>
                <w:sz w:val="15"/>
                <w:szCs w:val="15"/>
              </w:rPr>
              <w:t>BV650 </w:t>
            </w:r>
          </w:p>
        </w:tc>
        <w:tc>
          <w:tcPr>
            <w:tcW w:w="1006" w:type="dxa"/>
            <w:tcBorders>
              <w:top w:val="single" w:sz="6" w:space="0" w:color="BFBFBF"/>
              <w:left w:val="single" w:sz="6" w:space="0" w:color="BFBFBF"/>
              <w:bottom w:val="single" w:sz="6" w:space="0" w:color="BFBFBF"/>
              <w:right w:val="single" w:sz="6" w:space="0" w:color="BFBFBF"/>
            </w:tcBorders>
            <w:vAlign w:val="center"/>
          </w:tcPr>
          <w:p w14:paraId="0649ACF2" w14:textId="77777777" w:rsidR="001442F5" w:rsidRPr="00E45FAF" w:rsidRDefault="001442F5" w:rsidP="00EF5A4B">
            <w:pPr>
              <w:pStyle w:val="TableParagraph"/>
              <w:rPr>
                <w:sz w:val="15"/>
                <w:szCs w:val="15"/>
              </w:rPr>
            </w:pPr>
            <w:r w:rsidRPr="00E45FAF">
              <w:rPr>
                <w:sz w:val="15"/>
                <w:szCs w:val="15"/>
              </w:rPr>
              <w:t>BL 500334 </w:t>
            </w:r>
          </w:p>
        </w:tc>
        <w:tc>
          <w:tcPr>
            <w:tcW w:w="859" w:type="dxa"/>
            <w:tcBorders>
              <w:top w:val="single" w:sz="6" w:space="0" w:color="BFBFBF"/>
              <w:left w:val="single" w:sz="6" w:space="0" w:color="BFBFBF"/>
              <w:bottom w:val="single" w:sz="6" w:space="0" w:color="BFBFBF"/>
              <w:right w:val="single" w:sz="6" w:space="0" w:color="BFBFBF"/>
            </w:tcBorders>
            <w:vAlign w:val="center"/>
          </w:tcPr>
          <w:p w14:paraId="537C73B0" w14:textId="77777777" w:rsidR="001442F5" w:rsidRPr="00E45FAF" w:rsidRDefault="001442F5" w:rsidP="00EF5A4B">
            <w:pPr>
              <w:pStyle w:val="TableParagraph"/>
              <w:rPr>
                <w:sz w:val="15"/>
                <w:szCs w:val="15"/>
              </w:rPr>
            </w:pPr>
            <w:r w:rsidRPr="00E45FAF">
              <w:rPr>
                <w:sz w:val="15"/>
                <w:szCs w:val="15"/>
              </w:rPr>
              <w:t>Rat </w:t>
            </w:r>
          </w:p>
        </w:tc>
        <w:tc>
          <w:tcPr>
            <w:tcW w:w="859" w:type="dxa"/>
            <w:tcBorders>
              <w:top w:val="single" w:sz="6" w:space="0" w:color="BFBFBF"/>
              <w:left w:val="single" w:sz="6" w:space="0" w:color="BFBFBF"/>
              <w:bottom w:val="single" w:sz="6" w:space="0" w:color="BFBFBF"/>
              <w:right w:val="single" w:sz="6" w:space="0" w:color="BFBFBF"/>
            </w:tcBorders>
            <w:vAlign w:val="center"/>
          </w:tcPr>
          <w:p w14:paraId="686F147B" w14:textId="77777777" w:rsidR="001442F5" w:rsidRPr="00E45FAF" w:rsidRDefault="001442F5" w:rsidP="00EF5A4B">
            <w:pPr>
              <w:pStyle w:val="TableParagraph"/>
              <w:rPr>
                <w:sz w:val="15"/>
                <w:szCs w:val="15"/>
              </w:rPr>
            </w:pPr>
            <w:r w:rsidRPr="00E45FAF">
              <w:rPr>
                <w:sz w:val="15"/>
                <w:szCs w:val="15"/>
              </w:rPr>
              <w:t>IgG2a, k</w:t>
            </w:r>
          </w:p>
        </w:tc>
        <w:tc>
          <w:tcPr>
            <w:tcW w:w="923" w:type="dxa"/>
            <w:tcBorders>
              <w:top w:val="single" w:sz="6" w:space="0" w:color="BFBFBF"/>
              <w:left w:val="single" w:sz="6" w:space="0" w:color="BFBFBF"/>
              <w:bottom w:val="single" w:sz="6" w:space="0" w:color="BFBFBF"/>
              <w:right w:val="single" w:sz="6" w:space="0" w:color="BFBFBF"/>
            </w:tcBorders>
            <w:vAlign w:val="center"/>
          </w:tcPr>
          <w:p w14:paraId="0871A1F5" w14:textId="77777777" w:rsidR="001442F5" w:rsidRPr="00E45FAF" w:rsidRDefault="001442F5" w:rsidP="00EF5A4B">
            <w:pPr>
              <w:pStyle w:val="TableParagraph"/>
              <w:rPr>
                <w:sz w:val="15"/>
                <w:szCs w:val="15"/>
              </w:rPr>
            </w:pPr>
            <w:r w:rsidRPr="00E45FAF">
              <w:rPr>
                <w:sz w:val="15"/>
                <w:szCs w:val="15"/>
              </w:rPr>
              <w:t>1:100 </w:t>
            </w:r>
          </w:p>
        </w:tc>
      </w:tr>
      <w:tr w:rsidR="001442F5" w:rsidRPr="00E45FAF" w14:paraId="4488988F" w14:textId="77777777" w:rsidTr="001442F5">
        <w:trPr>
          <w:trHeight w:val="45"/>
        </w:trPr>
        <w:tc>
          <w:tcPr>
            <w:tcW w:w="1391" w:type="dxa"/>
            <w:vMerge/>
            <w:tcBorders>
              <w:left w:val="single" w:sz="6" w:space="0" w:color="BFBFBF"/>
              <w:right w:val="single" w:sz="6" w:space="0" w:color="BFBFBF"/>
            </w:tcBorders>
            <w:vAlign w:val="center"/>
          </w:tcPr>
          <w:p w14:paraId="745F1CD0"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7FE14434" w14:textId="77777777" w:rsidR="001442F5" w:rsidRPr="00E45FAF" w:rsidRDefault="001442F5" w:rsidP="00EF5A4B">
            <w:pPr>
              <w:pStyle w:val="TableParagraph"/>
              <w:rPr>
                <w:sz w:val="15"/>
                <w:szCs w:val="15"/>
              </w:rPr>
            </w:pPr>
            <w:r w:rsidRPr="00E45FAF">
              <w:rPr>
                <w:sz w:val="15"/>
                <w:szCs w:val="15"/>
              </w:rPr>
              <w:t>Intracellular cytokine </w:t>
            </w:r>
          </w:p>
        </w:tc>
        <w:tc>
          <w:tcPr>
            <w:tcW w:w="1136" w:type="dxa"/>
            <w:tcBorders>
              <w:top w:val="single" w:sz="6" w:space="0" w:color="BFBFBF"/>
              <w:left w:val="single" w:sz="6" w:space="0" w:color="BFBFBF"/>
              <w:bottom w:val="single" w:sz="6" w:space="0" w:color="BFBFBF"/>
              <w:right w:val="single" w:sz="6" w:space="0" w:color="BFBFBF"/>
            </w:tcBorders>
            <w:vAlign w:val="center"/>
          </w:tcPr>
          <w:p w14:paraId="00028DC8" w14:textId="77777777" w:rsidR="001442F5" w:rsidRPr="00E45FAF" w:rsidRDefault="001442F5" w:rsidP="00EF5A4B">
            <w:pPr>
              <w:pStyle w:val="TableParagraph"/>
              <w:rPr>
                <w:sz w:val="15"/>
                <w:szCs w:val="15"/>
              </w:rPr>
            </w:pPr>
            <w:r w:rsidRPr="00E45FAF">
              <w:rPr>
                <w:sz w:val="15"/>
                <w:szCs w:val="15"/>
              </w:rPr>
              <w:t>IL-4 </w:t>
            </w:r>
          </w:p>
        </w:tc>
        <w:tc>
          <w:tcPr>
            <w:tcW w:w="1572" w:type="dxa"/>
            <w:tcBorders>
              <w:top w:val="single" w:sz="6" w:space="0" w:color="BFBFBF"/>
              <w:left w:val="single" w:sz="6" w:space="0" w:color="BFBFBF"/>
              <w:bottom w:val="single" w:sz="6" w:space="0" w:color="BFBFBF"/>
              <w:right w:val="single" w:sz="6" w:space="0" w:color="BFBFBF"/>
            </w:tcBorders>
            <w:vAlign w:val="center"/>
          </w:tcPr>
          <w:p w14:paraId="7D05F41D" w14:textId="77777777" w:rsidR="001442F5" w:rsidRPr="00E45FAF" w:rsidRDefault="001442F5" w:rsidP="00EF5A4B">
            <w:pPr>
              <w:pStyle w:val="TableParagraph"/>
              <w:rPr>
                <w:sz w:val="15"/>
                <w:szCs w:val="15"/>
              </w:rPr>
            </w:pPr>
            <w:r w:rsidRPr="00E45FAF">
              <w:rPr>
                <w:sz w:val="15"/>
                <w:szCs w:val="15"/>
              </w:rPr>
              <w:t>PE-Cy7 </w:t>
            </w:r>
          </w:p>
        </w:tc>
        <w:tc>
          <w:tcPr>
            <w:tcW w:w="1006" w:type="dxa"/>
            <w:tcBorders>
              <w:top w:val="single" w:sz="6" w:space="0" w:color="BFBFBF"/>
              <w:left w:val="single" w:sz="6" w:space="0" w:color="BFBFBF"/>
              <w:bottom w:val="single" w:sz="6" w:space="0" w:color="BFBFBF"/>
              <w:right w:val="single" w:sz="6" w:space="0" w:color="BFBFBF"/>
            </w:tcBorders>
            <w:vAlign w:val="center"/>
          </w:tcPr>
          <w:p w14:paraId="68730128" w14:textId="77777777" w:rsidR="001442F5" w:rsidRPr="00E45FAF" w:rsidRDefault="001442F5" w:rsidP="00EF5A4B">
            <w:pPr>
              <w:pStyle w:val="TableParagraph"/>
              <w:rPr>
                <w:sz w:val="15"/>
                <w:szCs w:val="15"/>
              </w:rPr>
            </w:pPr>
            <w:r w:rsidRPr="00E45FAF">
              <w:rPr>
                <w:sz w:val="15"/>
                <w:szCs w:val="15"/>
              </w:rPr>
              <w:t>BD 560672 </w:t>
            </w:r>
          </w:p>
        </w:tc>
        <w:tc>
          <w:tcPr>
            <w:tcW w:w="859" w:type="dxa"/>
            <w:tcBorders>
              <w:top w:val="single" w:sz="6" w:space="0" w:color="BFBFBF"/>
              <w:left w:val="single" w:sz="6" w:space="0" w:color="BFBFBF"/>
              <w:bottom w:val="single" w:sz="6" w:space="0" w:color="BFBFBF"/>
              <w:right w:val="single" w:sz="6" w:space="0" w:color="BFBFBF"/>
            </w:tcBorders>
            <w:vAlign w:val="center"/>
          </w:tcPr>
          <w:p w14:paraId="1F0056A4"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tcPr>
          <w:p w14:paraId="6B0895C3"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tcPr>
          <w:p w14:paraId="43663EEB" w14:textId="77777777" w:rsidR="001442F5" w:rsidRPr="00E45FAF" w:rsidRDefault="001442F5" w:rsidP="00EF5A4B">
            <w:pPr>
              <w:pStyle w:val="TableParagraph"/>
              <w:rPr>
                <w:sz w:val="15"/>
                <w:szCs w:val="15"/>
              </w:rPr>
            </w:pPr>
            <w:r w:rsidRPr="00E45FAF">
              <w:rPr>
                <w:sz w:val="15"/>
                <w:szCs w:val="15"/>
              </w:rPr>
              <w:t>1:100 </w:t>
            </w:r>
          </w:p>
        </w:tc>
      </w:tr>
      <w:tr w:rsidR="001442F5" w:rsidRPr="00E45FAF" w14:paraId="31DE9A9A" w14:textId="77777777" w:rsidTr="001442F5">
        <w:trPr>
          <w:trHeight w:val="45"/>
        </w:trPr>
        <w:tc>
          <w:tcPr>
            <w:tcW w:w="1391" w:type="dxa"/>
            <w:vMerge/>
            <w:tcBorders>
              <w:left w:val="single" w:sz="6" w:space="0" w:color="BFBFBF"/>
              <w:right w:val="single" w:sz="6" w:space="0" w:color="BFBFBF"/>
            </w:tcBorders>
            <w:vAlign w:val="center"/>
          </w:tcPr>
          <w:p w14:paraId="475181F6"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1CF3964F" w14:textId="77777777" w:rsidR="001442F5" w:rsidRPr="00E45FAF" w:rsidRDefault="001442F5" w:rsidP="00EF5A4B">
            <w:pPr>
              <w:pStyle w:val="TableParagraph"/>
              <w:rPr>
                <w:sz w:val="15"/>
                <w:szCs w:val="15"/>
              </w:rPr>
            </w:pPr>
            <w:r w:rsidRPr="00E45FAF">
              <w:rPr>
                <w:sz w:val="15"/>
                <w:szCs w:val="15"/>
              </w:rPr>
              <w:t>Intracellular cytokine </w:t>
            </w:r>
          </w:p>
        </w:tc>
        <w:tc>
          <w:tcPr>
            <w:tcW w:w="1136" w:type="dxa"/>
            <w:tcBorders>
              <w:top w:val="single" w:sz="6" w:space="0" w:color="BFBFBF"/>
              <w:left w:val="single" w:sz="6" w:space="0" w:color="BFBFBF"/>
              <w:bottom w:val="single" w:sz="6" w:space="0" w:color="BFBFBF"/>
              <w:right w:val="single" w:sz="6" w:space="0" w:color="BFBFBF"/>
            </w:tcBorders>
            <w:vAlign w:val="center"/>
          </w:tcPr>
          <w:p w14:paraId="47DA034E" w14:textId="77777777" w:rsidR="001442F5" w:rsidRPr="00E45FAF" w:rsidRDefault="001442F5" w:rsidP="00EF5A4B">
            <w:pPr>
              <w:pStyle w:val="TableParagraph"/>
              <w:rPr>
                <w:sz w:val="15"/>
                <w:szCs w:val="15"/>
              </w:rPr>
            </w:pPr>
            <w:r w:rsidRPr="00E45FAF">
              <w:rPr>
                <w:sz w:val="15"/>
                <w:szCs w:val="15"/>
              </w:rPr>
              <w:t>IL-17A </w:t>
            </w:r>
          </w:p>
        </w:tc>
        <w:tc>
          <w:tcPr>
            <w:tcW w:w="1572" w:type="dxa"/>
            <w:tcBorders>
              <w:top w:val="single" w:sz="6" w:space="0" w:color="BFBFBF"/>
              <w:left w:val="single" w:sz="6" w:space="0" w:color="BFBFBF"/>
              <w:bottom w:val="single" w:sz="6" w:space="0" w:color="BFBFBF"/>
              <w:right w:val="single" w:sz="6" w:space="0" w:color="BFBFBF"/>
            </w:tcBorders>
            <w:vAlign w:val="center"/>
          </w:tcPr>
          <w:p w14:paraId="11BDA06E" w14:textId="77777777" w:rsidR="001442F5" w:rsidRPr="00E45FAF" w:rsidRDefault="001442F5" w:rsidP="00EF5A4B">
            <w:pPr>
              <w:pStyle w:val="TableParagraph"/>
              <w:rPr>
                <w:sz w:val="15"/>
                <w:szCs w:val="15"/>
              </w:rPr>
            </w:pPr>
            <w:r w:rsidRPr="00E45FAF">
              <w:rPr>
                <w:sz w:val="15"/>
                <w:szCs w:val="15"/>
              </w:rPr>
              <w:t>APC-R700 </w:t>
            </w:r>
          </w:p>
        </w:tc>
        <w:tc>
          <w:tcPr>
            <w:tcW w:w="1006" w:type="dxa"/>
            <w:tcBorders>
              <w:top w:val="single" w:sz="6" w:space="0" w:color="BFBFBF"/>
              <w:left w:val="single" w:sz="6" w:space="0" w:color="BFBFBF"/>
              <w:bottom w:val="single" w:sz="6" w:space="0" w:color="BFBFBF"/>
              <w:right w:val="single" w:sz="6" w:space="0" w:color="BFBFBF"/>
            </w:tcBorders>
            <w:vAlign w:val="center"/>
          </w:tcPr>
          <w:p w14:paraId="32C04E50" w14:textId="77777777" w:rsidR="001442F5" w:rsidRPr="00E45FAF" w:rsidRDefault="001442F5" w:rsidP="00EF5A4B">
            <w:pPr>
              <w:pStyle w:val="TableParagraph"/>
              <w:rPr>
                <w:sz w:val="15"/>
                <w:szCs w:val="15"/>
              </w:rPr>
            </w:pPr>
            <w:r w:rsidRPr="00E45FAF">
              <w:rPr>
                <w:sz w:val="15"/>
                <w:szCs w:val="15"/>
              </w:rPr>
              <w:t>BD 565163 </w:t>
            </w:r>
          </w:p>
        </w:tc>
        <w:tc>
          <w:tcPr>
            <w:tcW w:w="859" w:type="dxa"/>
            <w:tcBorders>
              <w:top w:val="single" w:sz="6" w:space="0" w:color="BFBFBF"/>
              <w:left w:val="single" w:sz="6" w:space="0" w:color="BFBFBF"/>
              <w:bottom w:val="single" w:sz="6" w:space="0" w:color="BFBFBF"/>
              <w:right w:val="single" w:sz="6" w:space="0" w:color="BFBFBF"/>
            </w:tcBorders>
            <w:vAlign w:val="center"/>
          </w:tcPr>
          <w:p w14:paraId="16892F4D"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tcPr>
          <w:p w14:paraId="27E86774"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tcPr>
          <w:p w14:paraId="19D595C0" w14:textId="77777777" w:rsidR="001442F5" w:rsidRPr="00E45FAF" w:rsidRDefault="001442F5" w:rsidP="00EF5A4B">
            <w:pPr>
              <w:pStyle w:val="TableParagraph"/>
              <w:rPr>
                <w:sz w:val="15"/>
                <w:szCs w:val="15"/>
              </w:rPr>
            </w:pPr>
            <w:r w:rsidRPr="00E45FAF">
              <w:rPr>
                <w:sz w:val="15"/>
                <w:szCs w:val="15"/>
              </w:rPr>
              <w:t>1:100 </w:t>
            </w:r>
          </w:p>
        </w:tc>
      </w:tr>
      <w:tr w:rsidR="001442F5" w:rsidRPr="00E45FAF" w14:paraId="7937E527" w14:textId="77777777" w:rsidTr="001442F5">
        <w:trPr>
          <w:trHeight w:val="45"/>
        </w:trPr>
        <w:tc>
          <w:tcPr>
            <w:tcW w:w="1391" w:type="dxa"/>
            <w:vMerge/>
            <w:tcBorders>
              <w:left w:val="single" w:sz="6" w:space="0" w:color="BFBFBF"/>
              <w:right w:val="single" w:sz="6" w:space="0" w:color="BFBFBF"/>
            </w:tcBorders>
            <w:vAlign w:val="center"/>
          </w:tcPr>
          <w:p w14:paraId="43DDD418"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301E87DE" w14:textId="77777777" w:rsidR="001442F5" w:rsidRPr="00E45FAF" w:rsidRDefault="001442F5" w:rsidP="00EF5A4B">
            <w:pPr>
              <w:pStyle w:val="TableParagraph"/>
              <w:rPr>
                <w:sz w:val="15"/>
                <w:szCs w:val="15"/>
              </w:rPr>
            </w:pPr>
            <w:r w:rsidRPr="00E45FAF">
              <w:rPr>
                <w:sz w:val="15"/>
                <w:szCs w:val="15"/>
              </w:rPr>
              <w:t>Intracellular protein </w:t>
            </w:r>
          </w:p>
        </w:tc>
        <w:tc>
          <w:tcPr>
            <w:tcW w:w="1136" w:type="dxa"/>
            <w:tcBorders>
              <w:top w:val="single" w:sz="6" w:space="0" w:color="BFBFBF"/>
              <w:left w:val="single" w:sz="6" w:space="0" w:color="BFBFBF"/>
              <w:bottom w:val="single" w:sz="6" w:space="0" w:color="BFBFBF"/>
              <w:right w:val="single" w:sz="6" w:space="0" w:color="BFBFBF"/>
            </w:tcBorders>
            <w:vAlign w:val="center"/>
          </w:tcPr>
          <w:p w14:paraId="1E4F1FC0" w14:textId="77777777" w:rsidR="001442F5" w:rsidRPr="00E45FAF" w:rsidRDefault="001442F5" w:rsidP="00EF5A4B">
            <w:pPr>
              <w:pStyle w:val="TableParagraph"/>
              <w:rPr>
                <w:sz w:val="15"/>
                <w:szCs w:val="15"/>
              </w:rPr>
            </w:pPr>
            <w:r w:rsidRPr="00E45FAF">
              <w:rPr>
                <w:sz w:val="15"/>
                <w:szCs w:val="15"/>
              </w:rPr>
              <w:t>STAT5 </w:t>
            </w:r>
          </w:p>
        </w:tc>
        <w:tc>
          <w:tcPr>
            <w:tcW w:w="1572" w:type="dxa"/>
            <w:tcBorders>
              <w:top w:val="single" w:sz="6" w:space="0" w:color="BFBFBF"/>
              <w:left w:val="single" w:sz="6" w:space="0" w:color="BFBFBF"/>
              <w:bottom w:val="single" w:sz="6" w:space="0" w:color="BFBFBF"/>
              <w:right w:val="single" w:sz="6" w:space="0" w:color="BFBFBF"/>
            </w:tcBorders>
            <w:vAlign w:val="center"/>
          </w:tcPr>
          <w:p w14:paraId="5C81C2E5" w14:textId="77777777" w:rsidR="001442F5" w:rsidRPr="00E45FAF" w:rsidRDefault="001442F5" w:rsidP="00EF5A4B">
            <w:pPr>
              <w:pStyle w:val="TableParagraph"/>
              <w:rPr>
                <w:sz w:val="15"/>
                <w:szCs w:val="15"/>
              </w:rPr>
            </w:pPr>
            <w:r w:rsidRPr="00E45FAF">
              <w:rPr>
                <w:sz w:val="15"/>
                <w:szCs w:val="15"/>
              </w:rPr>
              <w:t>RB780 </w:t>
            </w:r>
          </w:p>
        </w:tc>
        <w:tc>
          <w:tcPr>
            <w:tcW w:w="1006" w:type="dxa"/>
            <w:tcBorders>
              <w:top w:val="single" w:sz="6" w:space="0" w:color="BFBFBF"/>
              <w:left w:val="single" w:sz="6" w:space="0" w:color="BFBFBF"/>
              <w:bottom w:val="single" w:sz="6" w:space="0" w:color="BFBFBF"/>
              <w:right w:val="single" w:sz="6" w:space="0" w:color="BFBFBF"/>
            </w:tcBorders>
            <w:vAlign w:val="center"/>
          </w:tcPr>
          <w:p w14:paraId="791EA33B" w14:textId="77777777" w:rsidR="001442F5" w:rsidRPr="00E45FAF" w:rsidRDefault="001442F5" w:rsidP="00EF5A4B">
            <w:pPr>
              <w:pStyle w:val="TableParagraph"/>
              <w:rPr>
                <w:sz w:val="15"/>
                <w:szCs w:val="15"/>
              </w:rPr>
            </w:pPr>
            <w:r w:rsidRPr="00E45FAF">
              <w:rPr>
                <w:sz w:val="15"/>
                <w:szCs w:val="15"/>
              </w:rPr>
              <w:t>BD 568759 </w:t>
            </w:r>
          </w:p>
        </w:tc>
        <w:tc>
          <w:tcPr>
            <w:tcW w:w="859" w:type="dxa"/>
            <w:tcBorders>
              <w:top w:val="single" w:sz="6" w:space="0" w:color="BFBFBF"/>
              <w:left w:val="single" w:sz="6" w:space="0" w:color="BFBFBF"/>
              <w:bottom w:val="single" w:sz="6" w:space="0" w:color="BFBFBF"/>
              <w:right w:val="single" w:sz="6" w:space="0" w:color="BFBFBF"/>
            </w:tcBorders>
            <w:vAlign w:val="center"/>
          </w:tcPr>
          <w:p w14:paraId="2768F8AF"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tcPr>
          <w:p w14:paraId="01191AEF"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tcPr>
          <w:p w14:paraId="3B2AEFA2" w14:textId="77777777" w:rsidR="001442F5" w:rsidRPr="00E45FAF" w:rsidRDefault="001442F5" w:rsidP="00EF5A4B">
            <w:pPr>
              <w:pStyle w:val="TableParagraph"/>
              <w:rPr>
                <w:sz w:val="15"/>
                <w:szCs w:val="15"/>
              </w:rPr>
            </w:pPr>
            <w:r w:rsidRPr="00E45FAF">
              <w:rPr>
                <w:sz w:val="15"/>
                <w:szCs w:val="15"/>
              </w:rPr>
              <w:t>1:100 </w:t>
            </w:r>
          </w:p>
        </w:tc>
      </w:tr>
      <w:tr w:rsidR="001442F5" w:rsidRPr="00E45FAF" w14:paraId="66953A04" w14:textId="77777777" w:rsidTr="001442F5">
        <w:trPr>
          <w:trHeight w:val="45"/>
        </w:trPr>
        <w:tc>
          <w:tcPr>
            <w:tcW w:w="1391" w:type="dxa"/>
            <w:vMerge/>
            <w:tcBorders>
              <w:left w:val="single" w:sz="6" w:space="0" w:color="BFBFBF"/>
              <w:right w:val="single" w:sz="6" w:space="0" w:color="BFBFBF"/>
            </w:tcBorders>
            <w:vAlign w:val="center"/>
          </w:tcPr>
          <w:p w14:paraId="705F0386"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08171D5A" w14:textId="77777777" w:rsidR="001442F5" w:rsidRPr="00E45FAF" w:rsidRDefault="001442F5" w:rsidP="00EF5A4B">
            <w:pPr>
              <w:pStyle w:val="TableParagraph"/>
              <w:rPr>
                <w:sz w:val="15"/>
                <w:szCs w:val="15"/>
              </w:rPr>
            </w:pPr>
            <w:r w:rsidRPr="00E45FAF">
              <w:rPr>
                <w:sz w:val="15"/>
                <w:szCs w:val="15"/>
              </w:rPr>
              <w:t>Transcription factor </w:t>
            </w:r>
          </w:p>
        </w:tc>
        <w:tc>
          <w:tcPr>
            <w:tcW w:w="1136" w:type="dxa"/>
            <w:tcBorders>
              <w:top w:val="single" w:sz="6" w:space="0" w:color="BFBFBF"/>
              <w:left w:val="single" w:sz="6" w:space="0" w:color="BFBFBF"/>
              <w:bottom w:val="single" w:sz="6" w:space="0" w:color="BFBFBF"/>
              <w:right w:val="single" w:sz="6" w:space="0" w:color="BFBFBF"/>
            </w:tcBorders>
            <w:vAlign w:val="center"/>
          </w:tcPr>
          <w:p w14:paraId="79CDA7EF" w14:textId="77777777" w:rsidR="001442F5" w:rsidRPr="00E45FAF" w:rsidRDefault="001442F5" w:rsidP="00EF5A4B">
            <w:pPr>
              <w:pStyle w:val="TableParagraph"/>
              <w:rPr>
                <w:sz w:val="15"/>
                <w:szCs w:val="15"/>
              </w:rPr>
            </w:pPr>
            <w:r w:rsidRPr="00E45FAF">
              <w:rPr>
                <w:sz w:val="15"/>
                <w:szCs w:val="15"/>
              </w:rPr>
              <w:t>Fox-p3 </w:t>
            </w:r>
          </w:p>
        </w:tc>
        <w:tc>
          <w:tcPr>
            <w:tcW w:w="1572" w:type="dxa"/>
            <w:tcBorders>
              <w:top w:val="single" w:sz="6" w:space="0" w:color="BFBFBF"/>
              <w:left w:val="single" w:sz="6" w:space="0" w:color="BFBFBF"/>
              <w:bottom w:val="single" w:sz="6" w:space="0" w:color="BFBFBF"/>
              <w:right w:val="single" w:sz="6" w:space="0" w:color="BFBFBF"/>
            </w:tcBorders>
            <w:vAlign w:val="center"/>
          </w:tcPr>
          <w:p w14:paraId="61B07C66" w14:textId="77777777" w:rsidR="001442F5" w:rsidRPr="00E45FAF" w:rsidRDefault="001442F5" w:rsidP="00EF5A4B">
            <w:pPr>
              <w:pStyle w:val="TableParagraph"/>
              <w:rPr>
                <w:sz w:val="15"/>
                <w:szCs w:val="15"/>
              </w:rPr>
            </w:pPr>
            <w:r w:rsidRPr="00E45FAF">
              <w:rPr>
                <w:sz w:val="15"/>
                <w:szCs w:val="15"/>
              </w:rPr>
              <w:t>PE-Cy5 </w:t>
            </w:r>
          </w:p>
        </w:tc>
        <w:tc>
          <w:tcPr>
            <w:tcW w:w="1006" w:type="dxa"/>
            <w:tcBorders>
              <w:top w:val="single" w:sz="6" w:space="0" w:color="BFBFBF"/>
              <w:left w:val="single" w:sz="6" w:space="0" w:color="BFBFBF"/>
              <w:bottom w:val="single" w:sz="6" w:space="0" w:color="BFBFBF"/>
              <w:right w:val="single" w:sz="6" w:space="0" w:color="BFBFBF"/>
            </w:tcBorders>
            <w:vAlign w:val="center"/>
          </w:tcPr>
          <w:p w14:paraId="4AA14991" w14:textId="77777777" w:rsidR="001442F5" w:rsidRPr="00E45FAF" w:rsidRDefault="001442F5" w:rsidP="00EF5A4B">
            <w:pPr>
              <w:pStyle w:val="TableParagraph"/>
              <w:rPr>
                <w:sz w:val="15"/>
                <w:szCs w:val="15"/>
              </w:rPr>
            </w:pPr>
            <w:r w:rsidRPr="00E45FAF">
              <w:rPr>
                <w:sz w:val="15"/>
                <w:szCs w:val="15"/>
              </w:rPr>
              <w:t>TF 15-4776-42 </w:t>
            </w:r>
          </w:p>
        </w:tc>
        <w:tc>
          <w:tcPr>
            <w:tcW w:w="859" w:type="dxa"/>
            <w:tcBorders>
              <w:top w:val="single" w:sz="6" w:space="0" w:color="BFBFBF"/>
              <w:left w:val="single" w:sz="6" w:space="0" w:color="BFBFBF"/>
              <w:bottom w:val="single" w:sz="6" w:space="0" w:color="BFBFBF"/>
              <w:right w:val="single" w:sz="6" w:space="0" w:color="BFBFBF"/>
            </w:tcBorders>
            <w:vAlign w:val="center"/>
          </w:tcPr>
          <w:p w14:paraId="28902AD3" w14:textId="77777777" w:rsidR="001442F5" w:rsidRPr="00E45FAF" w:rsidRDefault="001442F5" w:rsidP="00EF5A4B">
            <w:pPr>
              <w:pStyle w:val="TableParagraph"/>
              <w:rPr>
                <w:sz w:val="15"/>
                <w:szCs w:val="15"/>
              </w:rPr>
            </w:pPr>
            <w:r w:rsidRPr="00E45FAF">
              <w:rPr>
                <w:sz w:val="15"/>
                <w:szCs w:val="15"/>
              </w:rPr>
              <w:t>Rat </w:t>
            </w:r>
          </w:p>
        </w:tc>
        <w:tc>
          <w:tcPr>
            <w:tcW w:w="859" w:type="dxa"/>
            <w:tcBorders>
              <w:top w:val="single" w:sz="6" w:space="0" w:color="BFBFBF"/>
              <w:left w:val="single" w:sz="6" w:space="0" w:color="BFBFBF"/>
              <w:bottom w:val="single" w:sz="6" w:space="0" w:color="BFBFBF"/>
              <w:right w:val="single" w:sz="6" w:space="0" w:color="BFBFBF"/>
            </w:tcBorders>
            <w:vAlign w:val="center"/>
          </w:tcPr>
          <w:p w14:paraId="3DC7B0C0" w14:textId="77777777" w:rsidR="001442F5" w:rsidRPr="00E45FAF" w:rsidRDefault="001442F5" w:rsidP="00EF5A4B">
            <w:pPr>
              <w:pStyle w:val="TableParagraph"/>
              <w:rPr>
                <w:sz w:val="15"/>
                <w:szCs w:val="15"/>
              </w:rPr>
            </w:pPr>
            <w:r w:rsidRPr="00E45FAF">
              <w:rPr>
                <w:sz w:val="15"/>
                <w:szCs w:val="15"/>
              </w:rPr>
              <w:t>IgG2a, k</w:t>
            </w:r>
          </w:p>
        </w:tc>
        <w:tc>
          <w:tcPr>
            <w:tcW w:w="923" w:type="dxa"/>
            <w:tcBorders>
              <w:top w:val="single" w:sz="6" w:space="0" w:color="BFBFBF"/>
              <w:left w:val="single" w:sz="6" w:space="0" w:color="BFBFBF"/>
              <w:bottom w:val="single" w:sz="6" w:space="0" w:color="BFBFBF"/>
              <w:right w:val="single" w:sz="6" w:space="0" w:color="BFBFBF"/>
            </w:tcBorders>
            <w:vAlign w:val="center"/>
          </w:tcPr>
          <w:p w14:paraId="30D49642" w14:textId="77777777" w:rsidR="001442F5" w:rsidRPr="00E45FAF" w:rsidRDefault="001442F5" w:rsidP="00EF5A4B">
            <w:pPr>
              <w:pStyle w:val="TableParagraph"/>
              <w:rPr>
                <w:sz w:val="15"/>
                <w:szCs w:val="15"/>
              </w:rPr>
            </w:pPr>
            <w:r w:rsidRPr="00E45FAF">
              <w:rPr>
                <w:sz w:val="15"/>
                <w:szCs w:val="15"/>
              </w:rPr>
              <w:t>1:100 </w:t>
            </w:r>
          </w:p>
        </w:tc>
      </w:tr>
      <w:tr w:rsidR="001442F5" w:rsidRPr="00E45FAF" w14:paraId="7BA07650" w14:textId="77777777" w:rsidTr="001442F5">
        <w:trPr>
          <w:trHeight w:val="45"/>
        </w:trPr>
        <w:tc>
          <w:tcPr>
            <w:tcW w:w="1391" w:type="dxa"/>
            <w:vMerge/>
            <w:tcBorders>
              <w:left w:val="single" w:sz="6" w:space="0" w:color="BFBFBF"/>
              <w:bottom w:val="single" w:sz="6" w:space="0" w:color="BFBFBF"/>
              <w:right w:val="single" w:sz="6" w:space="0" w:color="BFBFBF"/>
            </w:tcBorders>
            <w:vAlign w:val="center"/>
          </w:tcPr>
          <w:p w14:paraId="05DF95B5" w14:textId="77777777" w:rsidR="001442F5" w:rsidRPr="00E45FAF" w:rsidDel="00B2735E"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6D7EE398" w14:textId="77777777" w:rsidR="001442F5" w:rsidRPr="00E45FAF" w:rsidRDefault="001442F5" w:rsidP="00EF5A4B">
            <w:pPr>
              <w:pStyle w:val="TableParagraph"/>
              <w:rPr>
                <w:sz w:val="15"/>
                <w:szCs w:val="15"/>
              </w:rPr>
            </w:pPr>
            <w:r w:rsidRPr="00E45FAF">
              <w:rPr>
                <w:sz w:val="15"/>
                <w:szCs w:val="15"/>
              </w:rPr>
              <w:t>Transcription factor </w:t>
            </w:r>
          </w:p>
        </w:tc>
        <w:tc>
          <w:tcPr>
            <w:tcW w:w="1136" w:type="dxa"/>
            <w:tcBorders>
              <w:top w:val="single" w:sz="6" w:space="0" w:color="BFBFBF"/>
              <w:left w:val="single" w:sz="6" w:space="0" w:color="BFBFBF"/>
              <w:bottom w:val="single" w:sz="6" w:space="0" w:color="BFBFBF"/>
              <w:right w:val="single" w:sz="6" w:space="0" w:color="BFBFBF"/>
            </w:tcBorders>
            <w:vAlign w:val="center"/>
          </w:tcPr>
          <w:p w14:paraId="37EE29D1" w14:textId="77777777" w:rsidR="001442F5" w:rsidRPr="00E45FAF" w:rsidRDefault="001442F5" w:rsidP="00EF5A4B">
            <w:pPr>
              <w:pStyle w:val="TableParagraph"/>
              <w:rPr>
                <w:sz w:val="15"/>
                <w:szCs w:val="15"/>
              </w:rPr>
            </w:pPr>
            <w:r w:rsidRPr="00E45FAF">
              <w:rPr>
                <w:sz w:val="15"/>
                <w:szCs w:val="15"/>
              </w:rPr>
              <w:t>T-bet </w:t>
            </w:r>
          </w:p>
        </w:tc>
        <w:tc>
          <w:tcPr>
            <w:tcW w:w="1572" w:type="dxa"/>
            <w:tcBorders>
              <w:top w:val="single" w:sz="6" w:space="0" w:color="BFBFBF"/>
              <w:left w:val="single" w:sz="6" w:space="0" w:color="BFBFBF"/>
              <w:bottom w:val="single" w:sz="6" w:space="0" w:color="BFBFBF"/>
              <w:right w:val="single" w:sz="6" w:space="0" w:color="BFBFBF"/>
            </w:tcBorders>
            <w:vAlign w:val="center"/>
          </w:tcPr>
          <w:p w14:paraId="46C70A79" w14:textId="77777777" w:rsidR="001442F5" w:rsidRPr="00E45FAF" w:rsidRDefault="001442F5" w:rsidP="00EF5A4B">
            <w:pPr>
              <w:pStyle w:val="TableParagraph"/>
              <w:rPr>
                <w:sz w:val="15"/>
                <w:szCs w:val="15"/>
              </w:rPr>
            </w:pPr>
            <w:r w:rsidRPr="00E45FAF">
              <w:rPr>
                <w:sz w:val="15"/>
                <w:szCs w:val="15"/>
              </w:rPr>
              <w:t>BV605 </w:t>
            </w:r>
          </w:p>
        </w:tc>
        <w:tc>
          <w:tcPr>
            <w:tcW w:w="1006" w:type="dxa"/>
            <w:tcBorders>
              <w:top w:val="single" w:sz="6" w:space="0" w:color="BFBFBF"/>
              <w:left w:val="single" w:sz="6" w:space="0" w:color="BFBFBF"/>
              <w:bottom w:val="single" w:sz="6" w:space="0" w:color="BFBFBF"/>
              <w:right w:val="single" w:sz="6" w:space="0" w:color="BFBFBF"/>
            </w:tcBorders>
            <w:vAlign w:val="center"/>
          </w:tcPr>
          <w:p w14:paraId="5CE98BBD" w14:textId="77777777" w:rsidR="001442F5" w:rsidRPr="00E45FAF" w:rsidRDefault="001442F5" w:rsidP="00EF5A4B">
            <w:pPr>
              <w:pStyle w:val="TableParagraph"/>
              <w:rPr>
                <w:sz w:val="15"/>
                <w:szCs w:val="15"/>
              </w:rPr>
            </w:pPr>
            <w:r w:rsidRPr="00E45FAF">
              <w:rPr>
                <w:sz w:val="15"/>
                <w:szCs w:val="15"/>
              </w:rPr>
              <w:t>BL 644817 </w:t>
            </w:r>
          </w:p>
        </w:tc>
        <w:tc>
          <w:tcPr>
            <w:tcW w:w="859" w:type="dxa"/>
            <w:tcBorders>
              <w:top w:val="single" w:sz="6" w:space="0" w:color="BFBFBF"/>
              <w:left w:val="single" w:sz="6" w:space="0" w:color="BFBFBF"/>
              <w:bottom w:val="single" w:sz="6" w:space="0" w:color="BFBFBF"/>
              <w:right w:val="single" w:sz="6" w:space="0" w:color="BFBFBF"/>
            </w:tcBorders>
            <w:vAlign w:val="center"/>
          </w:tcPr>
          <w:p w14:paraId="06A2ABF4"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tcPr>
          <w:p w14:paraId="29AB5E66"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tcPr>
          <w:p w14:paraId="2E512FB8" w14:textId="77777777" w:rsidR="001442F5" w:rsidRPr="00E45FAF" w:rsidRDefault="001442F5" w:rsidP="00EF5A4B">
            <w:pPr>
              <w:pStyle w:val="TableParagraph"/>
              <w:rPr>
                <w:sz w:val="15"/>
                <w:szCs w:val="15"/>
              </w:rPr>
            </w:pPr>
            <w:r w:rsidRPr="00E45FAF">
              <w:rPr>
                <w:sz w:val="15"/>
                <w:szCs w:val="15"/>
              </w:rPr>
              <w:t>1:100 </w:t>
            </w:r>
          </w:p>
        </w:tc>
      </w:tr>
      <w:tr w:rsidR="001442F5" w:rsidRPr="00E45FAF" w14:paraId="5D6F41FD" w14:textId="77777777" w:rsidTr="001442F5">
        <w:trPr>
          <w:trHeight w:val="45"/>
        </w:trPr>
        <w:tc>
          <w:tcPr>
            <w:tcW w:w="1391" w:type="dxa"/>
            <w:vMerge w:val="restart"/>
            <w:tcBorders>
              <w:top w:val="single" w:sz="6" w:space="0" w:color="BFBFBF"/>
              <w:left w:val="single" w:sz="6" w:space="0" w:color="BFBFBF"/>
              <w:right w:val="single" w:sz="6" w:space="0" w:color="BFBFBF"/>
            </w:tcBorders>
            <w:shd w:val="clear" w:color="auto" w:fill="F2F2F2"/>
            <w:vAlign w:val="center"/>
            <w:hideMark/>
          </w:tcPr>
          <w:p w14:paraId="55E7DE69" w14:textId="77777777" w:rsidR="001442F5" w:rsidRPr="00E45FAF" w:rsidRDefault="001442F5" w:rsidP="00EF5A4B">
            <w:pPr>
              <w:pStyle w:val="TableParagraph"/>
              <w:rPr>
                <w:b/>
                <w:bCs/>
                <w:sz w:val="15"/>
                <w:szCs w:val="15"/>
              </w:rPr>
            </w:pPr>
            <w:r w:rsidRPr="00E45FAF">
              <w:rPr>
                <w:b/>
                <w:bCs/>
                <w:sz w:val="15"/>
                <w:szCs w:val="15"/>
              </w:rPr>
              <w:t>Activation </w:t>
            </w: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3B4C4C05"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790D288A" w14:textId="77777777" w:rsidR="001442F5" w:rsidRPr="00E45FAF" w:rsidRDefault="001442F5" w:rsidP="00EF5A4B">
            <w:pPr>
              <w:pStyle w:val="TableParagraph"/>
              <w:rPr>
                <w:sz w:val="15"/>
                <w:szCs w:val="15"/>
              </w:rPr>
            </w:pPr>
            <w:r w:rsidRPr="00E45FAF">
              <w:rPr>
                <w:sz w:val="15"/>
                <w:szCs w:val="15"/>
              </w:rPr>
              <w:t>CD28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08D93657" w14:textId="77777777" w:rsidR="001442F5" w:rsidRPr="00E45FAF" w:rsidRDefault="001442F5" w:rsidP="00EF5A4B">
            <w:pPr>
              <w:pStyle w:val="TableParagraph"/>
              <w:rPr>
                <w:sz w:val="15"/>
                <w:szCs w:val="15"/>
              </w:rPr>
            </w:pPr>
            <w:r w:rsidRPr="00E45FAF">
              <w:rPr>
                <w:sz w:val="15"/>
                <w:szCs w:val="15"/>
              </w:rPr>
              <w:t>BUV496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100652FE" w14:textId="77777777" w:rsidR="001442F5" w:rsidRPr="00E45FAF" w:rsidRDefault="001442F5" w:rsidP="00EF5A4B">
            <w:pPr>
              <w:pStyle w:val="TableParagraph"/>
              <w:rPr>
                <w:sz w:val="15"/>
                <w:szCs w:val="15"/>
              </w:rPr>
            </w:pPr>
            <w:r w:rsidRPr="00E45FAF">
              <w:rPr>
                <w:sz w:val="15"/>
                <w:szCs w:val="15"/>
              </w:rPr>
              <w:t>BD 741168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5DAA9444"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7406E52B"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hideMark/>
          </w:tcPr>
          <w:p w14:paraId="4792951D"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64E9BC41" w14:textId="77777777" w:rsidTr="001442F5">
        <w:trPr>
          <w:trHeight w:val="45"/>
        </w:trPr>
        <w:tc>
          <w:tcPr>
            <w:tcW w:w="1391" w:type="dxa"/>
            <w:vMerge/>
            <w:tcBorders>
              <w:left w:val="single" w:sz="6" w:space="0" w:color="BFBFBF"/>
              <w:right w:val="single" w:sz="6" w:space="0" w:color="BFBFBF"/>
            </w:tcBorders>
            <w:shd w:val="clear" w:color="auto" w:fill="F2F2F2"/>
            <w:vAlign w:val="center"/>
          </w:tcPr>
          <w:p w14:paraId="1043798E" w14:textId="77777777" w:rsidR="001442F5" w:rsidRPr="00E45FAF"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79AEC9E"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D742D6F" w14:textId="77777777" w:rsidR="001442F5" w:rsidRPr="00E45FAF" w:rsidRDefault="001442F5" w:rsidP="00EF5A4B">
            <w:pPr>
              <w:pStyle w:val="TableParagraph"/>
              <w:rPr>
                <w:sz w:val="15"/>
                <w:szCs w:val="15"/>
              </w:rPr>
            </w:pPr>
            <w:r w:rsidRPr="00E45FAF">
              <w:rPr>
                <w:sz w:val="15"/>
                <w:szCs w:val="15"/>
              </w:rPr>
              <w:t>HLA-DR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CFFD277" w14:textId="77777777" w:rsidR="001442F5" w:rsidRPr="00E45FAF" w:rsidRDefault="001442F5" w:rsidP="00EF5A4B">
            <w:pPr>
              <w:pStyle w:val="TableParagraph"/>
              <w:rPr>
                <w:sz w:val="15"/>
                <w:szCs w:val="15"/>
              </w:rPr>
            </w:pPr>
            <w:r w:rsidRPr="00E45FAF">
              <w:rPr>
                <w:sz w:val="15"/>
                <w:szCs w:val="15"/>
              </w:rPr>
              <w:t>BV711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D3A0297" w14:textId="77777777" w:rsidR="001442F5" w:rsidRPr="00E45FAF" w:rsidRDefault="001442F5" w:rsidP="00EF5A4B">
            <w:pPr>
              <w:pStyle w:val="TableParagraph"/>
              <w:rPr>
                <w:sz w:val="15"/>
                <w:szCs w:val="15"/>
              </w:rPr>
            </w:pPr>
            <w:r w:rsidRPr="00E45FAF">
              <w:rPr>
                <w:sz w:val="15"/>
                <w:szCs w:val="15"/>
              </w:rPr>
              <w:t>BD 563696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58208CA"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6897EE1E" w14:textId="77777777" w:rsidR="001442F5" w:rsidRPr="00E45FAF" w:rsidRDefault="001442F5" w:rsidP="00EF5A4B">
            <w:pPr>
              <w:pStyle w:val="TableParagraph"/>
              <w:rPr>
                <w:sz w:val="15"/>
                <w:szCs w:val="15"/>
              </w:rPr>
            </w:pPr>
            <w:r w:rsidRPr="00E45FAF">
              <w:rPr>
                <w:sz w:val="15"/>
                <w:szCs w:val="15"/>
              </w:rPr>
              <w:t>IgG2a,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2796F2B4"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287C0F0B" w14:textId="77777777" w:rsidTr="001442F5">
        <w:trPr>
          <w:trHeight w:val="45"/>
        </w:trPr>
        <w:tc>
          <w:tcPr>
            <w:tcW w:w="1391" w:type="dxa"/>
            <w:vMerge/>
            <w:tcBorders>
              <w:left w:val="single" w:sz="6" w:space="0" w:color="BFBFBF"/>
              <w:bottom w:val="single" w:sz="6" w:space="0" w:color="BFBFBF"/>
              <w:right w:val="single" w:sz="6" w:space="0" w:color="BFBFBF"/>
            </w:tcBorders>
            <w:shd w:val="clear" w:color="auto" w:fill="F2F2F2"/>
            <w:vAlign w:val="center"/>
          </w:tcPr>
          <w:p w14:paraId="75E7F3C9" w14:textId="77777777" w:rsidR="001442F5" w:rsidRPr="00E45FAF"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E804E9E" w14:textId="77777777" w:rsidR="001442F5" w:rsidRPr="00E45FAF" w:rsidRDefault="001442F5" w:rsidP="00EF5A4B">
            <w:pPr>
              <w:pStyle w:val="TableParagraph"/>
              <w:rPr>
                <w:sz w:val="15"/>
                <w:szCs w:val="15"/>
              </w:rPr>
            </w:pPr>
            <w:r w:rsidRPr="00E45FAF">
              <w:rPr>
                <w:sz w:val="15"/>
                <w:szCs w:val="15"/>
              </w:rPr>
              <w:t>Intracellular protein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B54F31D" w14:textId="77777777" w:rsidR="001442F5" w:rsidRPr="00E45FAF" w:rsidRDefault="001442F5" w:rsidP="00EF5A4B">
            <w:pPr>
              <w:pStyle w:val="TableParagraph"/>
              <w:rPr>
                <w:sz w:val="15"/>
                <w:szCs w:val="15"/>
              </w:rPr>
            </w:pPr>
            <w:r w:rsidRPr="00E45FAF">
              <w:rPr>
                <w:sz w:val="15"/>
                <w:szCs w:val="15"/>
              </w:rPr>
              <w:t>NF-</w:t>
            </w:r>
            <w:proofErr w:type="spellStart"/>
            <w:r w:rsidRPr="00E45FAF">
              <w:rPr>
                <w:sz w:val="15"/>
                <w:szCs w:val="15"/>
              </w:rPr>
              <w:t>κB</w:t>
            </w:r>
            <w:proofErr w:type="spellEnd"/>
            <w:r w:rsidRPr="00E45FAF">
              <w:rPr>
                <w:sz w:val="15"/>
                <w:szCs w:val="15"/>
              </w:rPr>
              <w:t>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4FF9913" w14:textId="77777777" w:rsidR="001442F5" w:rsidRPr="00E45FAF" w:rsidRDefault="001442F5" w:rsidP="00EF5A4B">
            <w:pPr>
              <w:pStyle w:val="TableParagraph"/>
              <w:rPr>
                <w:sz w:val="15"/>
                <w:szCs w:val="15"/>
              </w:rPr>
            </w:pPr>
            <w:r w:rsidRPr="00E45FAF">
              <w:rPr>
                <w:sz w:val="15"/>
                <w:szCs w:val="15"/>
              </w:rPr>
              <w:t>PE-CF594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CA012FE" w14:textId="77777777" w:rsidR="001442F5" w:rsidRPr="00E45FAF" w:rsidRDefault="001442F5" w:rsidP="00EF5A4B">
            <w:pPr>
              <w:pStyle w:val="TableParagraph"/>
              <w:rPr>
                <w:sz w:val="15"/>
                <w:szCs w:val="15"/>
              </w:rPr>
            </w:pPr>
            <w:r w:rsidRPr="00E45FAF">
              <w:rPr>
                <w:sz w:val="15"/>
                <w:szCs w:val="15"/>
              </w:rPr>
              <w:t>BD 565447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40570BF"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FC2F406" w14:textId="77777777" w:rsidR="001442F5" w:rsidRPr="00E45FAF" w:rsidRDefault="001442F5" w:rsidP="00EF5A4B">
            <w:pPr>
              <w:pStyle w:val="TableParagraph"/>
              <w:rPr>
                <w:sz w:val="15"/>
                <w:szCs w:val="15"/>
              </w:rPr>
            </w:pPr>
            <w:r w:rsidRPr="00E45FAF">
              <w:rPr>
                <w:sz w:val="15"/>
                <w:szCs w:val="15"/>
              </w:rPr>
              <w:t>IgG2b,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5188390" w14:textId="77777777" w:rsidR="001442F5" w:rsidRPr="00E45FAF" w:rsidRDefault="001442F5" w:rsidP="00EF5A4B">
            <w:pPr>
              <w:pStyle w:val="TableParagraph"/>
              <w:rPr>
                <w:sz w:val="15"/>
                <w:szCs w:val="15"/>
              </w:rPr>
            </w:pPr>
            <w:r w:rsidRPr="00E45FAF">
              <w:rPr>
                <w:sz w:val="15"/>
                <w:szCs w:val="15"/>
              </w:rPr>
              <w:t>1:100 </w:t>
            </w:r>
          </w:p>
        </w:tc>
      </w:tr>
      <w:tr w:rsidR="001442F5" w:rsidRPr="00E45FAF" w14:paraId="57FE6F8C" w14:textId="77777777" w:rsidTr="001442F5">
        <w:trPr>
          <w:trHeight w:val="45"/>
        </w:trPr>
        <w:tc>
          <w:tcPr>
            <w:tcW w:w="1391" w:type="dxa"/>
            <w:vMerge w:val="restart"/>
            <w:tcBorders>
              <w:top w:val="single" w:sz="6" w:space="0" w:color="BFBFBF"/>
              <w:left w:val="single" w:sz="6" w:space="0" w:color="BFBFBF"/>
              <w:right w:val="single" w:sz="6" w:space="0" w:color="BFBFBF"/>
            </w:tcBorders>
            <w:shd w:val="clear" w:color="auto" w:fill="F2F2F2"/>
            <w:vAlign w:val="center"/>
          </w:tcPr>
          <w:p w14:paraId="3A59E9C5" w14:textId="77777777" w:rsidR="001442F5" w:rsidRPr="00E45FAF" w:rsidRDefault="001442F5" w:rsidP="00EF5A4B">
            <w:pPr>
              <w:pStyle w:val="TableParagraph"/>
              <w:rPr>
                <w:b/>
                <w:bCs/>
                <w:sz w:val="15"/>
                <w:szCs w:val="15"/>
              </w:rPr>
            </w:pPr>
            <w:r w:rsidRPr="00E45FAF">
              <w:rPr>
                <w:b/>
                <w:bCs/>
                <w:sz w:val="15"/>
                <w:szCs w:val="15"/>
              </w:rPr>
              <w:t>Suppression</w:t>
            </w: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2669FD10"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B1E2820" w14:textId="77777777" w:rsidR="001442F5" w:rsidRPr="00E45FAF" w:rsidRDefault="001442F5" w:rsidP="00EF5A4B">
            <w:pPr>
              <w:pStyle w:val="TableParagraph"/>
              <w:rPr>
                <w:sz w:val="15"/>
                <w:szCs w:val="15"/>
              </w:rPr>
            </w:pPr>
            <w:r w:rsidRPr="00E45FAF">
              <w:rPr>
                <w:sz w:val="15"/>
                <w:szCs w:val="15"/>
              </w:rPr>
              <w:t>CTLA-4 (CD152)</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EF6413E" w14:textId="77777777" w:rsidR="001442F5" w:rsidRPr="00E45FAF" w:rsidRDefault="001442F5" w:rsidP="00EF5A4B">
            <w:pPr>
              <w:pStyle w:val="TableParagraph"/>
              <w:rPr>
                <w:sz w:val="15"/>
                <w:szCs w:val="15"/>
              </w:rPr>
            </w:pPr>
            <w:r w:rsidRPr="00E45FAF">
              <w:rPr>
                <w:sz w:val="15"/>
                <w:szCs w:val="15"/>
              </w:rPr>
              <w:t>AF532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2831DDC3" w14:textId="77777777" w:rsidR="001442F5" w:rsidRPr="00E45FAF" w:rsidRDefault="001442F5" w:rsidP="00EF5A4B">
            <w:pPr>
              <w:pStyle w:val="TableParagraph"/>
              <w:rPr>
                <w:sz w:val="15"/>
                <w:szCs w:val="15"/>
              </w:rPr>
            </w:pPr>
            <w:r w:rsidRPr="00E45FAF">
              <w:rPr>
                <w:sz w:val="15"/>
                <w:szCs w:val="15"/>
              </w:rPr>
              <w:t>BT NBP2-50286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C154D72"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848CC74"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BD86744" w14:textId="77777777" w:rsidR="001442F5" w:rsidRPr="00E45FAF" w:rsidRDefault="001442F5" w:rsidP="00EF5A4B">
            <w:pPr>
              <w:pStyle w:val="TableParagraph"/>
              <w:rPr>
                <w:sz w:val="15"/>
                <w:szCs w:val="15"/>
              </w:rPr>
            </w:pPr>
            <w:r w:rsidRPr="00E45FAF">
              <w:rPr>
                <w:sz w:val="15"/>
                <w:szCs w:val="15"/>
              </w:rPr>
              <w:t>1:250 </w:t>
            </w:r>
          </w:p>
        </w:tc>
      </w:tr>
      <w:tr w:rsidR="001442F5" w:rsidRPr="00E45FAF" w14:paraId="2EB15B84" w14:textId="77777777" w:rsidTr="001442F5">
        <w:trPr>
          <w:trHeight w:val="45"/>
        </w:trPr>
        <w:tc>
          <w:tcPr>
            <w:tcW w:w="1391" w:type="dxa"/>
            <w:vMerge/>
            <w:tcBorders>
              <w:left w:val="single" w:sz="6" w:space="0" w:color="BFBFBF"/>
              <w:bottom w:val="single" w:sz="6" w:space="0" w:color="BFBFBF"/>
              <w:right w:val="single" w:sz="6" w:space="0" w:color="BFBFBF"/>
            </w:tcBorders>
            <w:shd w:val="clear" w:color="auto" w:fill="F2F2F2"/>
            <w:vAlign w:val="center"/>
          </w:tcPr>
          <w:p w14:paraId="570A3183" w14:textId="77777777" w:rsidR="001442F5" w:rsidRPr="00E45FAF" w:rsidRDefault="001442F5"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3D1A5EC2" w14:textId="77777777" w:rsidR="001442F5" w:rsidRPr="00E45FAF" w:rsidRDefault="001442F5"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37B20F18" w14:textId="77777777" w:rsidR="001442F5" w:rsidRPr="00E45FAF" w:rsidRDefault="001442F5" w:rsidP="00EF5A4B">
            <w:pPr>
              <w:pStyle w:val="TableParagraph"/>
              <w:rPr>
                <w:sz w:val="15"/>
                <w:szCs w:val="15"/>
              </w:rPr>
            </w:pPr>
            <w:r w:rsidRPr="00E45FAF">
              <w:rPr>
                <w:sz w:val="15"/>
                <w:szCs w:val="15"/>
              </w:rPr>
              <w:t>PD-L1 (CD274)</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4F9E4A9" w14:textId="77777777" w:rsidR="001442F5" w:rsidRPr="00E45FAF" w:rsidRDefault="001442F5" w:rsidP="00EF5A4B">
            <w:pPr>
              <w:pStyle w:val="TableParagraph"/>
              <w:rPr>
                <w:sz w:val="15"/>
                <w:szCs w:val="15"/>
              </w:rPr>
            </w:pPr>
            <w:r w:rsidRPr="00E45FAF">
              <w:rPr>
                <w:sz w:val="15"/>
                <w:szCs w:val="15"/>
              </w:rPr>
              <w:t>FITC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1C5F22C" w14:textId="77777777" w:rsidR="001442F5" w:rsidRPr="00E45FAF" w:rsidRDefault="001442F5" w:rsidP="00EF5A4B">
            <w:pPr>
              <w:pStyle w:val="TableParagraph"/>
              <w:rPr>
                <w:sz w:val="15"/>
                <w:szCs w:val="15"/>
              </w:rPr>
            </w:pPr>
            <w:r w:rsidRPr="00E45FAF">
              <w:rPr>
                <w:sz w:val="15"/>
                <w:szCs w:val="15"/>
              </w:rPr>
              <w:t>BL 393606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61E86676" w14:textId="77777777" w:rsidR="001442F5" w:rsidRPr="00E45FAF" w:rsidRDefault="001442F5"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2BAFACF6" w14:textId="77777777" w:rsidR="001442F5" w:rsidRPr="00E45FAF" w:rsidRDefault="001442F5"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D8B2905" w14:textId="77777777" w:rsidR="001442F5" w:rsidRPr="00E45FAF" w:rsidRDefault="001442F5" w:rsidP="00EF5A4B">
            <w:pPr>
              <w:pStyle w:val="TableParagraph"/>
              <w:rPr>
                <w:sz w:val="15"/>
                <w:szCs w:val="15"/>
              </w:rPr>
            </w:pPr>
            <w:r w:rsidRPr="00E45FAF">
              <w:rPr>
                <w:sz w:val="15"/>
                <w:szCs w:val="15"/>
              </w:rPr>
              <w:t>1:250 </w:t>
            </w:r>
          </w:p>
        </w:tc>
      </w:tr>
      <w:tr w:rsidR="00887A53" w:rsidRPr="00E45FAF" w14:paraId="06D3A1F2" w14:textId="77777777" w:rsidTr="001442F5">
        <w:trPr>
          <w:trHeight w:val="45"/>
        </w:trPr>
        <w:tc>
          <w:tcPr>
            <w:tcW w:w="1391" w:type="dxa"/>
            <w:vMerge w:val="restart"/>
            <w:tcBorders>
              <w:top w:val="single" w:sz="6" w:space="0" w:color="BFBFBF"/>
              <w:left w:val="single" w:sz="6" w:space="0" w:color="BFBFBF"/>
              <w:right w:val="single" w:sz="6" w:space="0" w:color="BFBFBF"/>
            </w:tcBorders>
            <w:vAlign w:val="center"/>
            <w:hideMark/>
          </w:tcPr>
          <w:p w14:paraId="6510A15B" w14:textId="77777777" w:rsidR="00887A53" w:rsidRPr="00E45FAF" w:rsidRDefault="00887A53" w:rsidP="00EF5A4B">
            <w:pPr>
              <w:pStyle w:val="TableParagraph"/>
              <w:rPr>
                <w:b/>
                <w:bCs/>
                <w:sz w:val="15"/>
                <w:szCs w:val="15"/>
              </w:rPr>
            </w:pPr>
            <w:r w:rsidRPr="00E45FAF">
              <w:rPr>
                <w:b/>
                <w:bCs/>
                <w:sz w:val="15"/>
                <w:szCs w:val="15"/>
              </w:rPr>
              <w:t>Cell death</w:t>
            </w:r>
          </w:p>
        </w:tc>
        <w:tc>
          <w:tcPr>
            <w:tcW w:w="1264" w:type="dxa"/>
            <w:tcBorders>
              <w:top w:val="single" w:sz="6" w:space="0" w:color="BFBFBF"/>
              <w:left w:val="single" w:sz="6" w:space="0" w:color="BFBFBF"/>
              <w:bottom w:val="single" w:sz="6" w:space="0" w:color="BFBFBF"/>
              <w:right w:val="single" w:sz="6" w:space="0" w:color="BFBFBF"/>
            </w:tcBorders>
            <w:vAlign w:val="center"/>
            <w:hideMark/>
          </w:tcPr>
          <w:p w14:paraId="4A0B080F" w14:textId="77777777" w:rsidR="00887A53" w:rsidRPr="00E45FAF" w:rsidRDefault="00887A53"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vAlign w:val="center"/>
            <w:hideMark/>
          </w:tcPr>
          <w:p w14:paraId="244105C9" w14:textId="77777777" w:rsidR="00887A53" w:rsidRPr="00E45FAF" w:rsidRDefault="00887A53" w:rsidP="00EF5A4B">
            <w:pPr>
              <w:pStyle w:val="TableParagraph"/>
              <w:rPr>
                <w:sz w:val="15"/>
                <w:szCs w:val="15"/>
              </w:rPr>
            </w:pPr>
            <w:r w:rsidRPr="00E45FAF">
              <w:rPr>
                <w:sz w:val="15"/>
                <w:szCs w:val="15"/>
              </w:rPr>
              <w:t>Fas (CD95)</w:t>
            </w:r>
          </w:p>
        </w:tc>
        <w:tc>
          <w:tcPr>
            <w:tcW w:w="1572" w:type="dxa"/>
            <w:tcBorders>
              <w:top w:val="single" w:sz="6" w:space="0" w:color="BFBFBF"/>
              <w:left w:val="single" w:sz="6" w:space="0" w:color="BFBFBF"/>
              <w:bottom w:val="single" w:sz="6" w:space="0" w:color="BFBFBF"/>
              <w:right w:val="single" w:sz="6" w:space="0" w:color="BFBFBF"/>
            </w:tcBorders>
            <w:vAlign w:val="center"/>
            <w:hideMark/>
          </w:tcPr>
          <w:p w14:paraId="6D87BDCB" w14:textId="77777777" w:rsidR="00887A53" w:rsidRPr="00E45FAF" w:rsidRDefault="00887A53" w:rsidP="00EF5A4B">
            <w:pPr>
              <w:pStyle w:val="TableParagraph"/>
              <w:rPr>
                <w:sz w:val="15"/>
                <w:szCs w:val="15"/>
              </w:rPr>
            </w:pPr>
            <w:r w:rsidRPr="00E45FAF">
              <w:rPr>
                <w:sz w:val="15"/>
                <w:szCs w:val="15"/>
              </w:rPr>
              <w:t>BUV615 </w:t>
            </w:r>
          </w:p>
        </w:tc>
        <w:tc>
          <w:tcPr>
            <w:tcW w:w="1006" w:type="dxa"/>
            <w:tcBorders>
              <w:top w:val="single" w:sz="6" w:space="0" w:color="BFBFBF"/>
              <w:left w:val="single" w:sz="6" w:space="0" w:color="BFBFBF"/>
              <w:bottom w:val="single" w:sz="6" w:space="0" w:color="BFBFBF"/>
              <w:right w:val="single" w:sz="6" w:space="0" w:color="BFBFBF"/>
            </w:tcBorders>
            <w:vAlign w:val="center"/>
            <w:hideMark/>
          </w:tcPr>
          <w:p w14:paraId="0B89036B" w14:textId="77777777" w:rsidR="00887A53" w:rsidRPr="00E45FAF" w:rsidRDefault="00887A53" w:rsidP="00EF5A4B">
            <w:pPr>
              <w:pStyle w:val="TableParagraph"/>
              <w:rPr>
                <w:sz w:val="15"/>
                <w:szCs w:val="15"/>
              </w:rPr>
            </w:pPr>
            <w:r w:rsidRPr="00E45FAF">
              <w:rPr>
                <w:sz w:val="15"/>
                <w:szCs w:val="15"/>
              </w:rPr>
              <w:t>BD 752346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2254DE4A" w14:textId="77777777" w:rsidR="00887A53" w:rsidRPr="00E45FAF" w:rsidRDefault="00887A53"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vAlign w:val="center"/>
            <w:hideMark/>
          </w:tcPr>
          <w:p w14:paraId="2CE07C20" w14:textId="77777777" w:rsidR="00887A53" w:rsidRPr="00E45FAF" w:rsidRDefault="00887A53"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hideMark/>
          </w:tcPr>
          <w:p w14:paraId="3B0696CA" w14:textId="77777777" w:rsidR="00887A53" w:rsidRPr="00E45FAF" w:rsidRDefault="00887A53" w:rsidP="00EF5A4B">
            <w:pPr>
              <w:pStyle w:val="TableParagraph"/>
              <w:rPr>
                <w:sz w:val="15"/>
                <w:szCs w:val="15"/>
              </w:rPr>
            </w:pPr>
            <w:r w:rsidRPr="00E45FAF">
              <w:rPr>
                <w:sz w:val="15"/>
                <w:szCs w:val="15"/>
              </w:rPr>
              <w:t>1:250 </w:t>
            </w:r>
          </w:p>
        </w:tc>
      </w:tr>
      <w:tr w:rsidR="00887A53" w:rsidRPr="00E45FAF" w14:paraId="217C8671" w14:textId="77777777" w:rsidTr="00553F28">
        <w:trPr>
          <w:trHeight w:val="45"/>
        </w:trPr>
        <w:tc>
          <w:tcPr>
            <w:tcW w:w="1391" w:type="dxa"/>
            <w:vMerge/>
            <w:tcBorders>
              <w:left w:val="single" w:sz="6" w:space="0" w:color="BFBFBF"/>
              <w:right w:val="single" w:sz="6" w:space="0" w:color="BFBFBF"/>
            </w:tcBorders>
            <w:shd w:val="clear" w:color="auto" w:fill="F2F2F2"/>
            <w:vAlign w:val="center"/>
            <w:hideMark/>
          </w:tcPr>
          <w:p w14:paraId="7FF87D3A" w14:textId="77777777" w:rsidR="00887A53" w:rsidRPr="00E45FAF" w:rsidRDefault="00887A53"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AE922BC" w14:textId="77777777" w:rsidR="00887A53" w:rsidRPr="00E45FAF" w:rsidRDefault="00887A53" w:rsidP="00EF5A4B">
            <w:pPr>
              <w:pStyle w:val="TableParagraph"/>
              <w:rPr>
                <w:sz w:val="15"/>
                <w:szCs w:val="15"/>
              </w:rPr>
            </w:pPr>
            <w:r w:rsidRPr="00E45FAF">
              <w:rPr>
                <w:sz w:val="15"/>
                <w:szCs w:val="15"/>
              </w:rPr>
              <w:t>Cell surface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CE6927C" w14:textId="77777777" w:rsidR="00887A53" w:rsidRPr="00E45FAF" w:rsidRDefault="00887A53" w:rsidP="00EF5A4B">
            <w:pPr>
              <w:pStyle w:val="TableParagraph"/>
              <w:rPr>
                <w:sz w:val="15"/>
                <w:szCs w:val="15"/>
              </w:rPr>
            </w:pPr>
            <w:r w:rsidRPr="00E45FAF">
              <w:rPr>
                <w:sz w:val="15"/>
                <w:szCs w:val="15"/>
              </w:rPr>
              <w:t>PD-1 (CD279)</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48E998F" w14:textId="77777777" w:rsidR="00887A53" w:rsidRPr="00E45FAF" w:rsidRDefault="00887A53" w:rsidP="00EF5A4B">
            <w:pPr>
              <w:pStyle w:val="TableParagraph"/>
              <w:rPr>
                <w:sz w:val="15"/>
                <w:szCs w:val="15"/>
              </w:rPr>
            </w:pPr>
            <w:r w:rsidRPr="00E45FAF">
              <w:rPr>
                <w:sz w:val="15"/>
                <w:szCs w:val="15"/>
              </w:rPr>
              <w:t>BV480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3DA5B5C0" w14:textId="77777777" w:rsidR="00887A53" w:rsidRPr="00E45FAF" w:rsidRDefault="00887A53" w:rsidP="00EF5A4B">
            <w:pPr>
              <w:pStyle w:val="TableParagraph"/>
              <w:rPr>
                <w:sz w:val="15"/>
                <w:szCs w:val="15"/>
              </w:rPr>
            </w:pPr>
            <w:r w:rsidRPr="00E45FAF">
              <w:rPr>
                <w:sz w:val="15"/>
                <w:szCs w:val="15"/>
              </w:rPr>
              <w:t>BD 566112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93A6670" w14:textId="77777777" w:rsidR="00887A53" w:rsidRPr="00E45FAF" w:rsidRDefault="00887A53"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0788870" w14:textId="77777777" w:rsidR="00887A53" w:rsidRPr="00E45FAF" w:rsidRDefault="00887A53"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B1721E7" w14:textId="77777777" w:rsidR="00887A53" w:rsidRPr="00E45FAF" w:rsidRDefault="00887A53" w:rsidP="00EF5A4B">
            <w:pPr>
              <w:pStyle w:val="TableParagraph"/>
              <w:rPr>
                <w:sz w:val="15"/>
                <w:szCs w:val="15"/>
              </w:rPr>
            </w:pPr>
            <w:r w:rsidRPr="00E45FAF">
              <w:rPr>
                <w:sz w:val="15"/>
                <w:szCs w:val="15"/>
              </w:rPr>
              <w:t>1:250 </w:t>
            </w:r>
          </w:p>
        </w:tc>
      </w:tr>
      <w:tr w:rsidR="00887A53" w:rsidRPr="00E45FAF" w14:paraId="558D0E4A" w14:textId="77777777" w:rsidTr="001442F5">
        <w:trPr>
          <w:trHeight w:val="45"/>
        </w:trPr>
        <w:tc>
          <w:tcPr>
            <w:tcW w:w="1391" w:type="dxa"/>
            <w:vMerge/>
            <w:tcBorders>
              <w:left w:val="single" w:sz="6" w:space="0" w:color="BFBFBF"/>
              <w:bottom w:val="single" w:sz="6" w:space="0" w:color="BFBFBF"/>
              <w:right w:val="single" w:sz="6" w:space="0" w:color="BFBFBF"/>
            </w:tcBorders>
            <w:shd w:val="clear" w:color="auto" w:fill="F2F2F2"/>
            <w:vAlign w:val="center"/>
          </w:tcPr>
          <w:p w14:paraId="3397D637" w14:textId="77777777" w:rsidR="00887A53" w:rsidRPr="00E45FAF" w:rsidRDefault="00887A53" w:rsidP="00EF5A4B">
            <w:pPr>
              <w:pStyle w:val="TableParagraph"/>
              <w:rPr>
                <w:b/>
                <w:bCs/>
                <w:sz w:val="15"/>
                <w:szCs w:val="15"/>
              </w:rPr>
            </w:pP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6301D12C" w14:textId="78340089" w:rsidR="00887A53" w:rsidRPr="00E45FAF" w:rsidRDefault="00887A53" w:rsidP="00EF5A4B">
            <w:pPr>
              <w:pStyle w:val="TableParagraph"/>
              <w:rPr>
                <w:sz w:val="15"/>
                <w:szCs w:val="15"/>
              </w:rPr>
            </w:pPr>
            <w:r w:rsidRPr="00E45FAF">
              <w:rPr>
                <w:sz w:val="15"/>
                <w:szCs w:val="15"/>
              </w:rPr>
              <w:t>Viability</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7C272FA" w14:textId="51A507EA" w:rsidR="00887A53" w:rsidRPr="00E45FAF" w:rsidRDefault="00887A53" w:rsidP="00EF5A4B">
            <w:pPr>
              <w:pStyle w:val="TableParagraph"/>
              <w:rPr>
                <w:sz w:val="15"/>
                <w:szCs w:val="15"/>
              </w:rPr>
            </w:pPr>
            <w:r w:rsidRPr="00E45FAF">
              <w:rPr>
                <w:sz w:val="15"/>
                <w:szCs w:val="15"/>
              </w:rPr>
              <w:t>Live/Dead</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59C1D389" w14:textId="432D7A6B" w:rsidR="00887A53" w:rsidRPr="00E45FAF" w:rsidRDefault="00887A53" w:rsidP="00EF5A4B">
            <w:pPr>
              <w:pStyle w:val="TableParagraph"/>
              <w:rPr>
                <w:sz w:val="15"/>
                <w:szCs w:val="15"/>
              </w:rPr>
            </w:pPr>
            <w:r w:rsidRPr="00E45FAF">
              <w:rPr>
                <w:sz w:val="15"/>
                <w:szCs w:val="15"/>
              </w:rPr>
              <w:t>Zombie NIR</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BDD0C20" w14:textId="42BE2F9D" w:rsidR="00887A53" w:rsidRPr="00E45FAF" w:rsidRDefault="00887A53" w:rsidP="00EF5A4B">
            <w:pPr>
              <w:pStyle w:val="TableParagraph"/>
              <w:rPr>
                <w:sz w:val="15"/>
                <w:szCs w:val="15"/>
              </w:rPr>
            </w:pPr>
            <w:r w:rsidRPr="00E45FAF">
              <w:rPr>
                <w:sz w:val="15"/>
                <w:szCs w:val="15"/>
              </w:rPr>
              <w:t>BL 423106</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6A273443" w14:textId="15358496" w:rsidR="00887A53" w:rsidRPr="00E45FAF" w:rsidRDefault="00887A53" w:rsidP="00EF5A4B">
            <w:pPr>
              <w:pStyle w:val="TableParagraph"/>
              <w:rPr>
                <w:sz w:val="15"/>
                <w:szCs w:val="15"/>
              </w:rPr>
            </w:pPr>
            <w:r w:rsidRPr="00E45FAF">
              <w:rPr>
                <w:sz w:val="15"/>
                <w:szCs w:val="15"/>
              </w:rPr>
              <w:t>-</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D0CEC4A" w14:textId="412C2D35" w:rsidR="00887A53" w:rsidRPr="00E45FAF" w:rsidRDefault="00887A53" w:rsidP="00EF5A4B">
            <w:pPr>
              <w:pStyle w:val="TableParagraph"/>
              <w:rPr>
                <w:sz w:val="15"/>
                <w:szCs w:val="15"/>
              </w:rPr>
            </w:pPr>
            <w:r w:rsidRPr="00E45FAF">
              <w:rPr>
                <w:sz w:val="15"/>
                <w:szCs w:val="15"/>
              </w:rPr>
              <w:t>-</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73D1E00B" w14:textId="48BC70A2" w:rsidR="00887A53" w:rsidRPr="00E45FAF" w:rsidRDefault="00887A53" w:rsidP="00EF5A4B">
            <w:pPr>
              <w:pStyle w:val="TableParagraph"/>
              <w:rPr>
                <w:sz w:val="15"/>
                <w:szCs w:val="15"/>
              </w:rPr>
            </w:pPr>
            <w:r w:rsidRPr="00E45FAF">
              <w:rPr>
                <w:sz w:val="15"/>
                <w:szCs w:val="15"/>
              </w:rPr>
              <w:t>1:1000</w:t>
            </w:r>
          </w:p>
        </w:tc>
      </w:tr>
      <w:tr w:rsidR="00887A53" w:rsidRPr="00E45FAF" w14:paraId="43AD0799" w14:textId="77777777" w:rsidTr="001442F5">
        <w:trPr>
          <w:trHeight w:val="45"/>
        </w:trPr>
        <w:tc>
          <w:tcPr>
            <w:tcW w:w="1391" w:type="dxa"/>
            <w:vMerge w:val="restart"/>
            <w:tcBorders>
              <w:top w:val="single" w:sz="6" w:space="0" w:color="BFBFBF"/>
              <w:left w:val="single" w:sz="6" w:space="0" w:color="BFBFBF"/>
              <w:right w:val="single" w:sz="6" w:space="0" w:color="BFBFBF"/>
            </w:tcBorders>
            <w:shd w:val="clear" w:color="auto" w:fill="F2F2F2"/>
            <w:vAlign w:val="center"/>
            <w:hideMark/>
          </w:tcPr>
          <w:p w14:paraId="413E69A1" w14:textId="77777777" w:rsidR="00887A53" w:rsidRPr="00E45FAF" w:rsidRDefault="00887A53" w:rsidP="00EF5A4B">
            <w:pPr>
              <w:pStyle w:val="TableParagraph"/>
              <w:rPr>
                <w:b/>
                <w:bCs/>
                <w:sz w:val="15"/>
                <w:szCs w:val="15"/>
              </w:rPr>
            </w:pPr>
            <w:r w:rsidRPr="00E45FAF">
              <w:rPr>
                <w:b/>
                <w:bCs/>
                <w:sz w:val="15"/>
                <w:szCs w:val="15"/>
              </w:rPr>
              <w:t>Cytokine release</w:t>
            </w:r>
          </w:p>
        </w:tc>
        <w:tc>
          <w:tcPr>
            <w:tcW w:w="1264"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2671165" w14:textId="77777777" w:rsidR="00887A53" w:rsidRPr="00E45FAF" w:rsidRDefault="00887A53" w:rsidP="00EF5A4B">
            <w:pPr>
              <w:pStyle w:val="TableParagraph"/>
              <w:rPr>
                <w:sz w:val="15"/>
                <w:szCs w:val="15"/>
              </w:rPr>
            </w:pPr>
            <w:r w:rsidRPr="00E45FAF">
              <w:rPr>
                <w:sz w:val="15"/>
                <w:szCs w:val="15"/>
              </w:rPr>
              <w:t>Intracellular cytokine </w:t>
            </w:r>
          </w:p>
        </w:tc>
        <w:tc>
          <w:tcPr>
            <w:tcW w:w="113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713033F" w14:textId="77777777" w:rsidR="00887A53" w:rsidRPr="00E45FAF" w:rsidRDefault="00887A53" w:rsidP="00EF5A4B">
            <w:pPr>
              <w:pStyle w:val="TableParagraph"/>
              <w:rPr>
                <w:sz w:val="15"/>
                <w:szCs w:val="15"/>
              </w:rPr>
            </w:pPr>
            <w:r w:rsidRPr="00E45FAF">
              <w:rPr>
                <w:sz w:val="15"/>
                <w:szCs w:val="15"/>
              </w:rPr>
              <w:t>IFN-γ </w:t>
            </w:r>
          </w:p>
        </w:tc>
        <w:tc>
          <w:tcPr>
            <w:tcW w:w="1572"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F703A2A" w14:textId="77777777" w:rsidR="00887A53" w:rsidRPr="00E45FAF" w:rsidRDefault="00887A53" w:rsidP="00EF5A4B">
            <w:pPr>
              <w:pStyle w:val="TableParagraph"/>
              <w:rPr>
                <w:sz w:val="15"/>
                <w:szCs w:val="15"/>
              </w:rPr>
            </w:pPr>
            <w:r w:rsidRPr="00E45FAF">
              <w:rPr>
                <w:sz w:val="15"/>
                <w:szCs w:val="15"/>
              </w:rPr>
              <w:t>BV750 </w:t>
            </w:r>
          </w:p>
        </w:tc>
        <w:tc>
          <w:tcPr>
            <w:tcW w:w="1006"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1F743287" w14:textId="77777777" w:rsidR="00887A53" w:rsidRPr="00E45FAF" w:rsidRDefault="00887A53" w:rsidP="00EF5A4B">
            <w:pPr>
              <w:pStyle w:val="TableParagraph"/>
              <w:rPr>
                <w:sz w:val="15"/>
                <w:szCs w:val="15"/>
              </w:rPr>
            </w:pPr>
            <w:r w:rsidRPr="00E45FAF">
              <w:rPr>
                <w:sz w:val="15"/>
                <w:szCs w:val="15"/>
              </w:rPr>
              <w:t>BD 566357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47C333A5" w14:textId="77777777" w:rsidR="00887A53" w:rsidRPr="00E45FAF" w:rsidRDefault="00887A53" w:rsidP="00EF5A4B">
            <w:pPr>
              <w:pStyle w:val="TableParagraph"/>
              <w:rPr>
                <w:sz w:val="15"/>
                <w:szCs w:val="15"/>
              </w:rPr>
            </w:pPr>
            <w:r w:rsidRPr="00E45FAF">
              <w:rPr>
                <w:sz w:val="15"/>
                <w:szCs w:val="15"/>
              </w:rPr>
              <w:t>Mouse </w:t>
            </w:r>
          </w:p>
        </w:tc>
        <w:tc>
          <w:tcPr>
            <w:tcW w:w="859"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26A1092D" w14:textId="77777777" w:rsidR="00887A53" w:rsidRPr="00E45FAF" w:rsidRDefault="00887A53"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shd w:val="clear" w:color="auto" w:fill="F2F2F2"/>
            <w:vAlign w:val="center"/>
          </w:tcPr>
          <w:p w14:paraId="0AE9BAB9" w14:textId="77777777" w:rsidR="00887A53" w:rsidRPr="00E45FAF" w:rsidRDefault="00887A53" w:rsidP="00EF5A4B">
            <w:pPr>
              <w:pStyle w:val="TableParagraph"/>
              <w:rPr>
                <w:sz w:val="15"/>
                <w:szCs w:val="15"/>
              </w:rPr>
            </w:pPr>
            <w:r w:rsidRPr="00E45FAF">
              <w:rPr>
                <w:sz w:val="15"/>
                <w:szCs w:val="15"/>
              </w:rPr>
              <w:t>1:100 </w:t>
            </w:r>
          </w:p>
        </w:tc>
      </w:tr>
      <w:tr w:rsidR="00887A53" w:rsidRPr="00E45FAF" w14:paraId="15015371" w14:textId="77777777" w:rsidTr="001442F5">
        <w:trPr>
          <w:trHeight w:val="45"/>
        </w:trPr>
        <w:tc>
          <w:tcPr>
            <w:tcW w:w="1391" w:type="dxa"/>
            <w:vMerge/>
            <w:tcBorders>
              <w:left w:val="single" w:sz="6" w:space="0" w:color="BFBFBF"/>
              <w:bottom w:val="single" w:sz="6" w:space="0" w:color="BFBFBF"/>
              <w:right w:val="single" w:sz="6" w:space="0" w:color="BFBFBF"/>
            </w:tcBorders>
            <w:vAlign w:val="center"/>
            <w:hideMark/>
          </w:tcPr>
          <w:p w14:paraId="600961DB" w14:textId="77777777" w:rsidR="00887A53" w:rsidRPr="00E45FAF" w:rsidRDefault="00887A53" w:rsidP="00EF5A4B">
            <w:pPr>
              <w:pStyle w:val="TableParagraph"/>
              <w:rPr>
                <w:sz w:val="15"/>
                <w:szCs w:val="15"/>
              </w:rPr>
            </w:pPr>
          </w:p>
        </w:tc>
        <w:tc>
          <w:tcPr>
            <w:tcW w:w="1264" w:type="dxa"/>
            <w:tcBorders>
              <w:top w:val="single" w:sz="6" w:space="0" w:color="BFBFBF"/>
              <w:left w:val="single" w:sz="6" w:space="0" w:color="BFBFBF"/>
              <w:bottom w:val="single" w:sz="6" w:space="0" w:color="BFBFBF"/>
              <w:right w:val="single" w:sz="6" w:space="0" w:color="BFBFBF"/>
            </w:tcBorders>
            <w:vAlign w:val="center"/>
          </w:tcPr>
          <w:p w14:paraId="62FBF043" w14:textId="77777777" w:rsidR="00887A53" w:rsidRPr="00E45FAF" w:rsidRDefault="00887A53" w:rsidP="00EF5A4B">
            <w:pPr>
              <w:pStyle w:val="TableParagraph"/>
              <w:rPr>
                <w:sz w:val="15"/>
                <w:szCs w:val="15"/>
              </w:rPr>
            </w:pPr>
            <w:r w:rsidRPr="00E45FAF">
              <w:rPr>
                <w:sz w:val="15"/>
                <w:szCs w:val="15"/>
              </w:rPr>
              <w:t>Intracellular cytokine </w:t>
            </w:r>
          </w:p>
        </w:tc>
        <w:tc>
          <w:tcPr>
            <w:tcW w:w="1136" w:type="dxa"/>
            <w:tcBorders>
              <w:top w:val="single" w:sz="6" w:space="0" w:color="BFBFBF"/>
              <w:left w:val="single" w:sz="6" w:space="0" w:color="BFBFBF"/>
              <w:bottom w:val="single" w:sz="6" w:space="0" w:color="BFBFBF"/>
              <w:right w:val="single" w:sz="6" w:space="0" w:color="BFBFBF"/>
            </w:tcBorders>
            <w:vAlign w:val="center"/>
          </w:tcPr>
          <w:p w14:paraId="763D3525" w14:textId="77777777" w:rsidR="00887A53" w:rsidRPr="00E45FAF" w:rsidRDefault="00887A53" w:rsidP="00EF5A4B">
            <w:pPr>
              <w:pStyle w:val="TableParagraph"/>
              <w:rPr>
                <w:sz w:val="15"/>
                <w:szCs w:val="15"/>
              </w:rPr>
            </w:pPr>
            <w:r w:rsidRPr="00E45FAF">
              <w:rPr>
                <w:sz w:val="15"/>
                <w:szCs w:val="15"/>
              </w:rPr>
              <w:t>IL-10 </w:t>
            </w:r>
          </w:p>
        </w:tc>
        <w:tc>
          <w:tcPr>
            <w:tcW w:w="1572" w:type="dxa"/>
            <w:tcBorders>
              <w:top w:val="single" w:sz="6" w:space="0" w:color="BFBFBF"/>
              <w:left w:val="single" w:sz="6" w:space="0" w:color="BFBFBF"/>
              <w:bottom w:val="single" w:sz="6" w:space="0" w:color="BFBFBF"/>
              <w:right w:val="single" w:sz="6" w:space="0" w:color="BFBFBF"/>
            </w:tcBorders>
            <w:vAlign w:val="center"/>
          </w:tcPr>
          <w:p w14:paraId="252CC17B" w14:textId="77777777" w:rsidR="00887A53" w:rsidRPr="00E45FAF" w:rsidRDefault="00887A53" w:rsidP="00EF5A4B">
            <w:pPr>
              <w:pStyle w:val="TableParagraph"/>
              <w:rPr>
                <w:sz w:val="15"/>
                <w:szCs w:val="15"/>
              </w:rPr>
            </w:pPr>
            <w:r w:rsidRPr="00E45FAF">
              <w:rPr>
                <w:sz w:val="15"/>
                <w:szCs w:val="15"/>
              </w:rPr>
              <w:t>BUV737 </w:t>
            </w:r>
          </w:p>
        </w:tc>
        <w:tc>
          <w:tcPr>
            <w:tcW w:w="1006" w:type="dxa"/>
            <w:tcBorders>
              <w:top w:val="single" w:sz="6" w:space="0" w:color="BFBFBF"/>
              <w:left w:val="single" w:sz="6" w:space="0" w:color="BFBFBF"/>
              <w:bottom w:val="single" w:sz="6" w:space="0" w:color="BFBFBF"/>
              <w:right w:val="single" w:sz="6" w:space="0" w:color="BFBFBF"/>
            </w:tcBorders>
            <w:vAlign w:val="center"/>
          </w:tcPr>
          <w:p w14:paraId="41075B08" w14:textId="77777777" w:rsidR="00887A53" w:rsidRPr="00E45FAF" w:rsidRDefault="00887A53" w:rsidP="00EF5A4B">
            <w:pPr>
              <w:pStyle w:val="TableParagraph"/>
              <w:rPr>
                <w:sz w:val="15"/>
                <w:szCs w:val="15"/>
              </w:rPr>
            </w:pPr>
            <w:r w:rsidRPr="00E45FAF">
              <w:rPr>
                <w:sz w:val="15"/>
                <w:szCs w:val="15"/>
              </w:rPr>
              <w:t>TF 367-7108-42 </w:t>
            </w:r>
          </w:p>
        </w:tc>
        <w:tc>
          <w:tcPr>
            <w:tcW w:w="859" w:type="dxa"/>
            <w:tcBorders>
              <w:top w:val="single" w:sz="6" w:space="0" w:color="BFBFBF"/>
              <w:left w:val="single" w:sz="6" w:space="0" w:color="BFBFBF"/>
              <w:bottom w:val="single" w:sz="6" w:space="0" w:color="BFBFBF"/>
              <w:right w:val="single" w:sz="6" w:space="0" w:color="BFBFBF"/>
            </w:tcBorders>
            <w:vAlign w:val="center"/>
          </w:tcPr>
          <w:p w14:paraId="523C2975" w14:textId="77777777" w:rsidR="00887A53" w:rsidRPr="00E45FAF" w:rsidRDefault="00887A53" w:rsidP="00EF5A4B">
            <w:pPr>
              <w:pStyle w:val="TableParagraph"/>
              <w:rPr>
                <w:sz w:val="15"/>
                <w:szCs w:val="15"/>
              </w:rPr>
            </w:pPr>
            <w:r w:rsidRPr="00E45FAF">
              <w:rPr>
                <w:sz w:val="15"/>
                <w:szCs w:val="15"/>
              </w:rPr>
              <w:t>Rat </w:t>
            </w:r>
          </w:p>
        </w:tc>
        <w:tc>
          <w:tcPr>
            <w:tcW w:w="859" w:type="dxa"/>
            <w:tcBorders>
              <w:top w:val="single" w:sz="6" w:space="0" w:color="BFBFBF"/>
              <w:left w:val="single" w:sz="6" w:space="0" w:color="BFBFBF"/>
              <w:bottom w:val="single" w:sz="6" w:space="0" w:color="BFBFBF"/>
              <w:right w:val="single" w:sz="6" w:space="0" w:color="BFBFBF"/>
            </w:tcBorders>
            <w:vAlign w:val="center"/>
          </w:tcPr>
          <w:p w14:paraId="690F4864" w14:textId="77777777" w:rsidR="00887A53" w:rsidRPr="00E45FAF" w:rsidRDefault="00887A53" w:rsidP="00EF5A4B">
            <w:pPr>
              <w:pStyle w:val="TableParagraph"/>
              <w:rPr>
                <w:sz w:val="15"/>
                <w:szCs w:val="15"/>
              </w:rPr>
            </w:pPr>
            <w:r w:rsidRPr="00E45FAF">
              <w:rPr>
                <w:sz w:val="15"/>
                <w:szCs w:val="15"/>
              </w:rPr>
              <w:t>IgG1, k</w:t>
            </w:r>
          </w:p>
        </w:tc>
        <w:tc>
          <w:tcPr>
            <w:tcW w:w="923" w:type="dxa"/>
            <w:tcBorders>
              <w:top w:val="single" w:sz="6" w:space="0" w:color="BFBFBF"/>
              <w:left w:val="single" w:sz="6" w:space="0" w:color="BFBFBF"/>
              <w:bottom w:val="single" w:sz="6" w:space="0" w:color="BFBFBF"/>
              <w:right w:val="single" w:sz="6" w:space="0" w:color="BFBFBF"/>
            </w:tcBorders>
            <w:vAlign w:val="center"/>
          </w:tcPr>
          <w:p w14:paraId="0A590AD5" w14:textId="77777777" w:rsidR="00887A53" w:rsidRPr="00E45FAF" w:rsidRDefault="00887A53" w:rsidP="00EF5A4B">
            <w:pPr>
              <w:pStyle w:val="TableParagraph"/>
              <w:rPr>
                <w:sz w:val="15"/>
                <w:szCs w:val="15"/>
              </w:rPr>
            </w:pPr>
            <w:r w:rsidRPr="00E45FAF">
              <w:rPr>
                <w:sz w:val="15"/>
                <w:szCs w:val="15"/>
              </w:rPr>
              <w:t>1:100 </w:t>
            </w:r>
          </w:p>
        </w:tc>
      </w:tr>
    </w:tbl>
    <w:p w14:paraId="6EEAC328" w14:textId="0A0DB115" w:rsidR="001442F5" w:rsidRPr="001C5C08" w:rsidRDefault="001442F5" w:rsidP="00BB5A05">
      <w:pPr>
        <w:pStyle w:val="Heading3"/>
        <w:rPr>
          <w:sz w:val="20"/>
          <w:szCs w:val="20"/>
        </w:rPr>
      </w:pPr>
      <w:bookmarkStart w:id="2" w:name="_Ref205129960"/>
      <w:r w:rsidRPr="001C5C08">
        <w:rPr>
          <w:sz w:val="20"/>
          <w:szCs w:val="20"/>
        </w:rPr>
        <w:t xml:space="preserve">Supplemental Table </w:t>
      </w:r>
      <w:r w:rsidR="004C6268" w:rsidRPr="001C5C08">
        <w:rPr>
          <w:sz w:val="20"/>
          <w:szCs w:val="20"/>
        </w:rPr>
        <w:fldChar w:fldCharType="begin"/>
      </w:r>
      <w:r w:rsidR="004C6268" w:rsidRPr="001C5C08">
        <w:rPr>
          <w:sz w:val="20"/>
          <w:szCs w:val="20"/>
        </w:rPr>
        <w:instrText xml:space="preserve"> SEQ Supplemental_Table \* ARABIC </w:instrText>
      </w:r>
      <w:r w:rsidR="004C6268" w:rsidRPr="001C5C08">
        <w:rPr>
          <w:sz w:val="20"/>
          <w:szCs w:val="20"/>
        </w:rPr>
        <w:fldChar w:fldCharType="separate"/>
      </w:r>
      <w:r w:rsidR="004C6268" w:rsidRPr="001C5C08">
        <w:rPr>
          <w:sz w:val="20"/>
          <w:szCs w:val="20"/>
        </w:rPr>
        <w:t>2</w:t>
      </w:r>
      <w:r w:rsidR="004C6268" w:rsidRPr="001C5C08">
        <w:rPr>
          <w:sz w:val="20"/>
          <w:szCs w:val="20"/>
        </w:rPr>
        <w:fldChar w:fldCharType="end"/>
      </w:r>
      <w:bookmarkEnd w:id="2"/>
      <w:r w:rsidRPr="001C5C08">
        <w:rPr>
          <w:sz w:val="20"/>
          <w:szCs w:val="20"/>
        </w:rPr>
        <w:t>: Flow cytometry fluorochromes used for lymphocyte analysis.</w:t>
      </w:r>
    </w:p>
    <w:p w14:paraId="6F435C69" w14:textId="4D20CEE1" w:rsidR="001442F5" w:rsidRPr="001C5C08" w:rsidRDefault="001442F5" w:rsidP="00EF5A4B">
      <w:pPr>
        <w:pStyle w:val="NoSpacing"/>
        <w:rPr>
          <w:sz w:val="20"/>
          <w:szCs w:val="20"/>
          <w:lang w:eastAsia="en-GB"/>
        </w:rPr>
      </w:pPr>
      <w:r w:rsidRPr="001C5C08">
        <w:rPr>
          <w:sz w:val="20"/>
          <w:szCs w:val="20"/>
          <w:lang w:eastAsia="en-GB"/>
        </w:rPr>
        <w:t xml:space="preserve">Abbreviations: APC: Allophycocyanin, AF: Alexa Fluor, BD: Beckton Dickinson, BL: </w:t>
      </w:r>
      <w:proofErr w:type="spellStart"/>
      <w:r w:rsidRPr="001C5C08">
        <w:rPr>
          <w:sz w:val="20"/>
          <w:szCs w:val="20"/>
          <w:lang w:eastAsia="en-GB"/>
        </w:rPr>
        <w:t>Biolegend</w:t>
      </w:r>
      <w:proofErr w:type="spellEnd"/>
      <w:r w:rsidRPr="001C5C08">
        <w:rPr>
          <w:sz w:val="20"/>
          <w:szCs w:val="20"/>
          <w:lang w:eastAsia="en-GB"/>
        </w:rPr>
        <w:t xml:space="preserve">, BR: </w:t>
      </w:r>
      <w:proofErr w:type="spellStart"/>
      <w:r w:rsidRPr="001C5C08">
        <w:rPr>
          <w:sz w:val="20"/>
          <w:szCs w:val="20"/>
          <w:lang w:eastAsia="en-GB"/>
        </w:rPr>
        <w:t>Bio</w:t>
      </w:r>
      <w:r w:rsidR="00C33E07" w:rsidRPr="001C5C08">
        <w:rPr>
          <w:sz w:val="20"/>
          <w:szCs w:val="20"/>
          <w:lang w:eastAsia="en-GB"/>
        </w:rPr>
        <w:t>R</w:t>
      </w:r>
      <w:r w:rsidRPr="001C5C08">
        <w:rPr>
          <w:sz w:val="20"/>
          <w:szCs w:val="20"/>
          <w:lang w:eastAsia="en-GB"/>
        </w:rPr>
        <w:t>ad</w:t>
      </w:r>
      <w:proofErr w:type="spellEnd"/>
      <w:r w:rsidRPr="001C5C08">
        <w:rPr>
          <w:sz w:val="20"/>
          <w:szCs w:val="20"/>
          <w:lang w:eastAsia="en-GB"/>
        </w:rPr>
        <w:t xml:space="preserve">, BT: </w:t>
      </w:r>
      <w:proofErr w:type="spellStart"/>
      <w:r w:rsidRPr="001C5C08">
        <w:rPr>
          <w:sz w:val="20"/>
          <w:szCs w:val="20"/>
          <w:lang w:eastAsia="en-GB"/>
        </w:rPr>
        <w:t>Bio</w:t>
      </w:r>
      <w:r w:rsidR="00C33E07" w:rsidRPr="001C5C08">
        <w:rPr>
          <w:sz w:val="20"/>
          <w:szCs w:val="20"/>
          <w:lang w:eastAsia="en-GB"/>
        </w:rPr>
        <w:t>T</w:t>
      </w:r>
      <w:r w:rsidRPr="001C5C08">
        <w:rPr>
          <w:sz w:val="20"/>
          <w:szCs w:val="20"/>
          <w:lang w:eastAsia="en-GB"/>
        </w:rPr>
        <w:t>echne</w:t>
      </w:r>
      <w:proofErr w:type="spellEnd"/>
      <w:r w:rsidRPr="001C5C08">
        <w:rPr>
          <w:sz w:val="20"/>
          <w:szCs w:val="20"/>
          <w:lang w:eastAsia="en-GB"/>
        </w:rPr>
        <w:t xml:space="preserve">, BUV: Brilliant ultraviolet, BV: Brilliant violet, </w:t>
      </w:r>
      <w:r w:rsidR="00CB392B" w:rsidRPr="001C5C08">
        <w:rPr>
          <w:sz w:val="20"/>
          <w:szCs w:val="20"/>
          <w:lang w:eastAsia="en-GB"/>
        </w:rPr>
        <w:t>CCR:</w:t>
      </w:r>
      <w:r w:rsidR="00CB392B" w:rsidRPr="001C5C08">
        <w:rPr>
          <w:sz w:val="20"/>
          <w:szCs w:val="20"/>
        </w:rPr>
        <w:t xml:space="preserve"> C-C motif chemokine receptor,</w:t>
      </w:r>
      <w:r w:rsidR="00CB392B" w:rsidRPr="001C5C08">
        <w:rPr>
          <w:sz w:val="20"/>
          <w:szCs w:val="20"/>
          <w:lang w:eastAsia="en-GB"/>
        </w:rPr>
        <w:t xml:space="preserve"> </w:t>
      </w:r>
      <w:r w:rsidRPr="001C5C08">
        <w:rPr>
          <w:sz w:val="20"/>
          <w:szCs w:val="20"/>
          <w:lang w:eastAsia="en-GB"/>
        </w:rPr>
        <w:t xml:space="preserve">CD: cluster of differentiation, CF: Cyanine-based fluorescent dye, CTLA-4: Cytotoxic T-lymphocyte associated protein-4, Cy: Cyanine, FITC: Fluorescein isothiocyanate, Fox-P3: </w:t>
      </w:r>
      <w:proofErr w:type="spellStart"/>
      <w:r w:rsidRPr="001C5C08">
        <w:rPr>
          <w:sz w:val="20"/>
          <w:szCs w:val="20"/>
          <w:lang w:eastAsia="en-GB"/>
        </w:rPr>
        <w:t>Forkhead</w:t>
      </w:r>
      <w:proofErr w:type="spellEnd"/>
      <w:r w:rsidRPr="001C5C08">
        <w:rPr>
          <w:sz w:val="20"/>
          <w:szCs w:val="20"/>
          <w:lang w:eastAsia="en-GB"/>
        </w:rPr>
        <w:t xml:space="preserve"> box P3, IFN: Interferon, IL: Interleukin, L/D: Live/Dead, MB: </w:t>
      </w:r>
      <w:proofErr w:type="spellStart"/>
      <w:r w:rsidRPr="001C5C08">
        <w:rPr>
          <w:sz w:val="20"/>
          <w:szCs w:val="20"/>
          <w:lang w:eastAsia="en-GB"/>
        </w:rPr>
        <w:t>Miltenyi</w:t>
      </w:r>
      <w:proofErr w:type="spellEnd"/>
      <w:r w:rsidRPr="001C5C08">
        <w:rPr>
          <w:sz w:val="20"/>
          <w:szCs w:val="20"/>
          <w:lang w:eastAsia="en-GB"/>
        </w:rPr>
        <w:t xml:space="preserve"> Biotec, NF-</w:t>
      </w:r>
      <w:proofErr w:type="spellStart"/>
      <w:r w:rsidRPr="001C5C08">
        <w:rPr>
          <w:sz w:val="20"/>
          <w:szCs w:val="20"/>
          <w:lang w:eastAsia="en-GB"/>
        </w:rPr>
        <w:t>κB</w:t>
      </w:r>
      <w:proofErr w:type="spellEnd"/>
      <w:r w:rsidRPr="001C5C08">
        <w:rPr>
          <w:sz w:val="20"/>
          <w:szCs w:val="20"/>
          <w:lang w:eastAsia="en-GB"/>
        </w:rPr>
        <w:t xml:space="preserve">: Nuclear Factor Kappa B, NIR: Near-infrared, PD-1: Programmed death receptor 1 PD-L1: Programmed death-ligand 1, PE: Phycoerythrin, </w:t>
      </w:r>
      <w:proofErr w:type="spellStart"/>
      <w:r w:rsidRPr="001C5C08">
        <w:rPr>
          <w:sz w:val="20"/>
          <w:szCs w:val="20"/>
          <w:lang w:eastAsia="en-GB"/>
        </w:rPr>
        <w:t>PerCP</w:t>
      </w:r>
      <w:proofErr w:type="spellEnd"/>
      <w:r w:rsidRPr="001C5C08">
        <w:rPr>
          <w:sz w:val="20"/>
          <w:szCs w:val="20"/>
          <w:lang w:eastAsia="en-GB"/>
        </w:rPr>
        <w:t xml:space="preserve">: Peridinin-chlorophyll-protein, RB: </w:t>
      </w:r>
      <w:proofErr w:type="spellStart"/>
      <w:r w:rsidRPr="001C5C08">
        <w:rPr>
          <w:sz w:val="20"/>
          <w:szCs w:val="20"/>
          <w:lang w:eastAsia="en-GB"/>
        </w:rPr>
        <w:t>RealBlue</w:t>
      </w:r>
      <w:proofErr w:type="spellEnd"/>
      <w:r w:rsidRPr="001C5C08">
        <w:rPr>
          <w:sz w:val="20"/>
          <w:szCs w:val="20"/>
          <w:lang w:eastAsia="en-GB"/>
        </w:rPr>
        <w:t xml:space="preserve">, SBV: </w:t>
      </w:r>
      <w:proofErr w:type="spellStart"/>
      <w:r w:rsidRPr="001C5C08">
        <w:rPr>
          <w:sz w:val="20"/>
          <w:szCs w:val="20"/>
          <w:lang w:eastAsia="en-GB"/>
        </w:rPr>
        <w:t>StarBright</w:t>
      </w:r>
      <w:proofErr w:type="spellEnd"/>
      <w:r w:rsidRPr="001C5C08">
        <w:rPr>
          <w:sz w:val="20"/>
          <w:szCs w:val="20"/>
          <w:lang w:eastAsia="en-GB"/>
        </w:rPr>
        <w:t xml:space="preserve"> violet, SBUV: </w:t>
      </w:r>
      <w:proofErr w:type="spellStart"/>
      <w:r w:rsidRPr="001C5C08">
        <w:rPr>
          <w:sz w:val="20"/>
          <w:szCs w:val="20"/>
          <w:lang w:eastAsia="en-GB"/>
        </w:rPr>
        <w:t>StarBright</w:t>
      </w:r>
      <w:proofErr w:type="spellEnd"/>
      <w:r w:rsidRPr="001C5C08">
        <w:rPr>
          <w:sz w:val="20"/>
          <w:szCs w:val="20"/>
          <w:lang w:eastAsia="en-GB"/>
        </w:rPr>
        <w:t xml:space="preserve"> ultraviolet, STAT5: Signal transducer and activator of transcription 5, T-bet: T-box transcription factor TBX21, TF: </w:t>
      </w:r>
      <w:proofErr w:type="spellStart"/>
      <w:r w:rsidRPr="001C5C08">
        <w:rPr>
          <w:sz w:val="20"/>
          <w:szCs w:val="20"/>
          <w:lang w:eastAsia="en-GB"/>
        </w:rPr>
        <w:t>Thermo</w:t>
      </w:r>
      <w:proofErr w:type="spellEnd"/>
      <w:r w:rsidRPr="001C5C08">
        <w:rPr>
          <w:sz w:val="20"/>
          <w:szCs w:val="20"/>
          <w:lang w:eastAsia="en-GB"/>
        </w:rPr>
        <w:t xml:space="preserve"> Fisher, UV: Ultraviolet.</w:t>
      </w:r>
    </w:p>
    <w:p w14:paraId="6E82213F" w14:textId="1E7A57A7" w:rsidR="001C5C08" w:rsidRPr="001C5C08" w:rsidRDefault="001442F5" w:rsidP="001C5C08">
      <w:pPr>
        <w:rPr>
          <w:rFonts w:ascii="Arial" w:hAnsi="Arial" w:cs="Arial"/>
          <w:sz w:val="20"/>
          <w:szCs w:val="20"/>
          <w:lang w:val="en-GB" w:eastAsia="en-GB"/>
        </w:rPr>
      </w:pPr>
      <w:r w:rsidRPr="008A7BCF">
        <w:rPr>
          <w:rFonts w:ascii="Arial" w:hAnsi="Arial" w:cs="Arial"/>
          <w:sz w:val="20"/>
          <w:szCs w:val="20"/>
          <w:lang w:val="en-GB" w:eastAsia="en-GB"/>
        </w:rPr>
        <w:br w:type="page"/>
      </w:r>
    </w:p>
    <w:tbl>
      <w:tblPr>
        <w:tblStyle w:val="PlainTable1"/>
        <w:tblW w:w="0" w:type="auto"/>
        <w:tblLook w:val="04A0" w:firstRow="1" w:lastRow="0" w:firstColumn="1" w:lastColumn="0" w:noHBand="0" w:noVBand="1"/>
      </w:tblPr>
      <w:tblGrid>
        <w:gridCol w:w="222"/>
        <w:gridCol w:w="2777"/>
        <w:gridCol w:w="1638"/>
      </w:tblGrid>
      <w:tr w:rsidR="001C5C08" w:rsidRPr="008A7BCF" w14:paraId="0AFB6FE0" w14:textId="77777777" w:rsidTr="00DF3878">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11425418" w14:textId="77777777" w:rsidR="001C5C08" w:rsidRPr="008A7BCF" w:rsidRDefault="001C5C08" w:rsidP="00DF3878">
            <w:pPr>
              <w:pStyle w:val="TableParagraph"/>
            </w:pPr>
            <w:r w:rsidRPr="008A7BCF">
              <w:lastRenderedPageBreak/>
              <w:t>Parameter</w:t>
            </w:r>
          </w:p>
        </w:tc>
        <w:tc>
          <w:tcPr>
            <w:tcW w:w="0" w:type="auto"/>
          </w:tcPr>
          <w:p w14:paraId="38A0C6E7" w14:textId="77777777" w:rsidR="001C5C08" w:rsidRPr="008A7BCF" w:rsidRDefault="001C5C08" w:rsidP="00DF3878">
            <w:pPr>
              <w:pStyle w:val="TableParagraph"/>
              <w:cnfStyle w:val="100000000000" w:firstRow="1" w:lastRow="0" w:firstColumn="0" w:lastColumn="0" w:oddVBand="0" w:evenVBand="0" w:oddHBand="0" w:evenHBand="0" w:firstRowFirstColumn="0" w:firstRowLastColumn="0" w:lastRowFirstColumn="0" w:lastRowLastColumn="0"/>
            </w:pPr>
            <w:r w:rsidRPr="008A7BCF">
              <w:t>Value (n = 26)</w:t>
            </w:r>
          </w:p>
        </w:tc>
      </w:tr>
      <w:tr w:rsidR="001C5C08" w:rsidRPr="008A7BCF" w14:paraId="28BA13C4"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6AFFA3B0" w14:textId="77777777" w:rsidR="001C5C08" w:rsidRPr="008A7BCF" w:rsidRDefault="001C5C08" w:rsidP="00DF3878">
            <w:pPr>
              <w:pStyle w:val="TableParagraph"/>
            </w:pPr>
            <w:r w:rsidRPr="008A7BCF">
              <w:t>Age (years)</w:t>
            </w:r>
          </w:p>
        </w:tc>
        <w:tc>
          <w:tcPr>
            <w:tcW w:w="0" w:type="auto"/>
          </w:tcPr>
          <w:p w14:paraId="6C37836E"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64 (47 – 75)</w:t>
            </w:r>
          </w:p>
        </w:tc>
      </w:tr>
      <w:tr w:rsidR="001C5C08" w:rsidRPr="008A7BCF" w14:paraId="4D0F56EF"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gridSpan w:val="2"/>
            <w:noWrap/>
          </w:tcPr>
          <w:p w14:paraId="059502F9" w14:textId="77777777" w:rsidR="001C5C08" w:rsidRPr="008A7BCF" w:rsidRDefault="001C5C08" w:rsidP="00DF3878">
            <w:pPr>
              <w:pStyle w:val="TableParagraph"/>
            </w:pPr>
            <w:r w:rsidRPr="008A7BCF">
              <w:t>Sex (female)</w:t>
            </w:r>
          </w:p>
        </w:tc>
        <w:tc>
          <w:tcPr>
            <w:tcW w:w="0" w:type="auto"/>
          </w:tcPr>
          <w:p w14:paraId="409FC9D9"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14 (54%)</w:t>
            </w:r>
          </w:p>
        </w:tc>
      </w:tr>
      <w:tr w:rsidR="001C5C08" w:rsidRPr="008A7BCF" w14:paraId="32117982"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gridSpan w:val="3"/>
            <w:noWrap/>
          </w:tcPr>
          <w:p w14:paraId="6086E524" w14:textId="77777777" w:rsidR="001C5C08" w:rsidRPr="008A7BCF" w:rsidRDefault="001C5C08" w:rsidP="00DF3878">
            <w:pPr>
              <w:pStyle w:val="TableParagraph"/>
            </w:pPr>
            <w:r w:rsidRPr="008A7BCF">
              <w:t>Co-morbidities</w:t>
            </w:r>
          </w:p>
        </w:tc>
      </w:tr>
      <w:tr w:rsidR="001C5C08" w:rsidRPr="008A7BCF" w14:paraId="4FE3E9C9"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636F4B7D" w14:textId="77777777" w:rsidR="001C5C08" w:rsidRPr="008A7BCF" w:rsidRDefault="001C5C08" w:rsidP="00DF3878">
            <w:pPr>
              <w:pStyle w:val="TableParagraph"/>
            </w:pPr>
          </w:p>
        </w:tc>
        <w:tc>
          <w:tcPr>
            <w:tcW w:w="0" w:type="auto"/>
          </w:tcPr>
          <w:p w14:paraId="3FAFDD64"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COPD</w:t>
            </w:r>
          </w:p>
        </w:tc>
        <w:tc>
          <w:tcPr>
            <w:tcW w:w="0" w:type="auto"/>
          </w:tcPr>
          <w:p w14:paraId="58CD1D25"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4 (15%)</w:t>
            </w:r>
          </w:p>
        </w:tc>
      </w:tr>
      <w:tr w:rsidR="001C5C08" w:rsidRPr="008A7BCF" w14:paraId="2D993536"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758C9996" w14:textId="77777777" w:rsidR="001C5C08" w:rsidRPr="008A7BCF" w:rsidRDefault="001C5C08" w:rsidP="00DF3878">
            <w:pPr>
              <w:pStyle w:val="TableParagraph"/>
            </w:pPr>
          </w:p>
        </w:tc>
        <w:tc>
          <w:tcPr>
            <w:tcW w:w="0" w:type="auto"/>
          </w:tcPr>
          <w:p w14:paraId="2DECF9F7"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Diabetes</w:t>
            </w:r>
          </w:p>
        </w:tc>
        <w:tc>
          <w:tcPr>
            <w:tcW w:w="0" w:type="auto"/>
          </w:tcPr>
          <w:p w14:paraId="773E56EA"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5 (19%)</w:t>
            </w:r>
          </w:p>
        </w:tc>
      </w:tr>
      <w:tr w:rsidR="001C5C08" w:rsidRPr="008A7BCF" w14:paraId="1F18C6BF"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699B292A" w14:textId="77777777" w:rsidR="001C5C08" w:rsidRPr="008A7BCF" w:rsidRDefault="001C5C08" w:rsidP="00DF3878">
            <w:pPr>
              <w:pStyle w:val="TableParagraph"/>
            </w:pPr>
          </w:p>
        </w:tc>
        <w:tc>
          <w:tcPr>
            <w:tcW w:w="0" w:type="auto"/>
          </w:tcPr>
          <w:p w14:paraId="00871437"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Heart failure</w:t>
            </w:r>
          </w:p>
        </w:tc>
        <w:tc>
          <w:tcPr>
            <w:tcW w:w="0" w:type="auto"/>
          </w:tcPr>
          <w:p w14:paraId="591F414B"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1 (4%)</w:t>
            </w:r>
          </w:p>
        </w:tc>
      </w:tr>
      <w:tr w:rsidR="001C5C08" w:rsidRPr="008A7BCF" w14:paraId="7CC1988F"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148D4CEE" w14:textId="77777777" w:rsidR="001C5C08" w:rsidRPr="008A7BCF" w:rsidRDefault="001C5C08" w:rsidP="00DF3878">
            <w:pPr>
              <w:pStyle w:val="TableParagraph"/>
            </w:pPr>
          </w:p>
        </w:tc>
        <w:tc>
          <w:tcPr>
            <w:tcW w:w="0" w:type="auto"/>
          </w:tcPr>
          <w:p w14:paraId="0BCCFB24"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Ischemic heart disease</w:t>
            </w:r>
          </w:p>
        </w:tc>
        <w:tc>
          <w:tcPr>
            <w:tcW w:w="0" w:type="auto"/>
          </w:tcPr>
          <w:p w14:paraId="51CB3BCA"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2 (8%)</w:t>
            </w:r>
          </w:p>
        </w:tc>
      </w:tr>
      <w:tr w:rsidR="001C5C08" w:rsidRPr="008A7BCF" w14:paraId="5B49618A"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gridSpan w:val="3"/>
            <w:noWrap/>
          </w:tcPr>
          <w:p w14:paraId="2A06A089" w14:textId="77777777" w:rsidR="001C5C08" w:rsidRPr="008A7BCF" w:rsidRDefault="001C5C08" w:rsidP="00DF3878">
            <w:pPr>
              <w:pStyle w:val="TableParagraph"/>
            </w:pPr>
            <w:r w:rsidRPr="008A7BCF">
              <w:t>Source of infection</w:t>
            </w:r>
          </w:p>
        </w:tc>
      </w:tr>
      <w:tr w:rsidR="001C5C08" w:rsidRPr="008A7BCF" w14:paraId="4714D120"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292FC6B2" w14:textId="77777777" w:rsidR="001C5C08" w:rsidRPr="008A7BCF" w:rsidRDefault="001C5C08" w:rsidP="00DF3878">
            <w:pPr>
              <w:pStyle w:val="TableParagraph"/>
            </w:pPr>
          </w:p>
        </w:tc>
        <w:tc>
          <w:tcPr>
            <w:tcW w:w="0" w:type="auto"/>
          </w:tcPr>
          <w:p w14:paraId="59E135D6" w14:textId="77777777" w:rsidR="001C5C08"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Chest</w:t>
            </w:r>
          </w:p>
          <w:p w14:paraId="673D5924" w14:textId="6A6CC316" w:rsidR="00334CDA" w:rsidRDefault="00665551"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LRTI</w:t>
            </w:r>
          </w:p>
          <w:p w14:paraId="28E67328" w14:textId="0110F244" w:rsidR="00334CDA" w:rsidRPr="008A7BCF" w:rsidRDefault="00665551" w:rsidP="00665551">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IECOPD</w:t>
            </w:r>
          </w:p>
        </w:tc>
        <w:tc>
          <w:tcPr>
            <w:tcW w:w="0" w:type="auto"/>
          </w:tcPr>
          <w:p w14:paraId="43AA5603" w14:textId="77777777" w:rsidR="001C5C08"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12 (46%)</w:t>
            </w:r>
          </w:p>
          <w:p w14:paraId="3615FE82" w14:textId="34E6A449" w:rsidR="00334CDA" w:rsidRDefault="00665551"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8</w:t>
            </w:r>
          </w:p>
          <w:p w14:paraId="2BDC8CDD" w14:textId="369BAC0D" w:rsidR="00334CDA" w:rsidRPr="008A7BCF" w:rsidRDefault="00334CDA" w:rsidP="00665551">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4</w:t>
            </w:r>
          </w:p>
        </w:tc>
      </w:tr>
      <w:tr w:rsidR="001C5C08" w:rsidRPr="008A7BCF" w14:paraId="148CB611"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04A7A679" w14:textId="77777777" w:rsidR="001C5C08" w:rsidRPr="008A7BCF" w:rsidRDefault="001C5C08" w:rsidP="00DF3878">
            <w:pPr>
              <w:pStyle w:val="TableParagraph"/>
            </w:pPr>
          </w:p>
        </w:tc>
        <w:tc>
          <w:tcPr>
            <w:tcW w:w="0" w:type="auto"/>
          </w:tcPr>
          <w:p w14:paraId="6933602A" w14:textId="77777777" w:rsidR="001C5C08"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Central nervous system</w:t>
            </w:r>
          </w:p>
          <w:p w14:paraId="2EAA2E60" w14:textId="74DB705F" w:rsidR="00334CDA" w:rsidRPr="008A7BCF"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Meningoencephalitis</w:t>
            </w:r>
          </w:p>
        </w:tc>
        <w:tc>
          <w:tcPr>
            <w:tcW w:w="0" w:type="auto"/>
          </w:tcPr>
          <w:p w14:paraId="642F6979" w14:textId="77777777" w:rsidR="001C5C08"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1 (4%)</w:t>
            </w:r>
          </w:p>
          <w:p w14:paraId="51C1D81D" w14:textId="53F85C2A" w:rsidR="00334CDA" w:rsidRPr="008A7BCF"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1</w:t>
            </w:r>
          </w:p>
        </w:tc>
      </w:tr>
      <w:tr w:rsidR="001C5C08" w:rsidRPr="008A7BCF" w14:paraId="05BE2483"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7531625E" w14:textId="77777777" w:rsidR="001C5C08" w:rsidRPr="008A7BCF" w:rsidRDefault="001C5C08" w:rsidP="00DF3878">
            <w:pPr>
              <w:pStyle w:val="TableParagraph"/>
            </w:pPr>
          </w:p>
        </w:tc>
        <w:tc>
          <w:tcPr>
            <w:tcW w:w="0" w:type="auto"/>
          </w:tcPr>
          <w:p w14:paraId="5800E7E7" w14:textId="77777777" w:rsidR="001C5C08"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Ear, Nose and Throat</w:t>
            </w:r>
          </w:p>
          <w:p w14:paraId="0297B932" w14:textId="72164600" w:rsidR="00334CDA" w:rsidRPr="008A7BCF"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Tonsilitis</w:t>
            </w:r>
          </w:p>
        </w:tc>
        <w:tc>
          <w:tcPr>
            <w:tcW w:w="0" w:type="auto"/>
          </w:tcPr>
          <w:p w14:paraId="67121110" w14:textId="77777777" w:rsidR="001C5C08"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1 (4%)</w:t>
            </w:r>
          </w:p>
          <w:p w14:paraId="11A86F2F" w14:textId="050103E2" w:rsidR="00334CDA" w:rsidRPr="008A7BCF"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1</w:t>
            </w:r>
          </w:p>
        </w:tc>
      </w:tr>
      <w:tr w:rsidR="001C5C08" w:rsidRPr="008A7BCF" w14:paraId="7B29646A"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6A8B762D" w14:textId="77777777" w:rsidR="001C5C08" w:rsidRPr="008A7BCF" w:rsidRDefault="001C5C08" w:rsidP="00DF3878">
            <w:pPr>
              <w:pStyle w:val="TableParagraph"/>
            </w:pPr>
          </w:p>
        </w:tc>
        <w:tc>
          <w:tcPr>
            <w:tcW w:w="0" w:type="auto"/>
          </w:tcPr>
          <w:p w14:paraId="36880A0C" w14:textId="77777777" w:rsidR="001C5C08"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Gastrointestinal</w:t>
            </w:r>
          </w:p>
          <w:p w14:paraId="362F6564" w14:textId="77777777" w:rsidR="00334CDA"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Terminal ileitis</w:t>
            </w:r>
          </w:p>
          <w:p w14:paraId="03418C38" w14:textId="5CB18766" w:rsidR="00334CDA" w:rsidRPr="008A7BCF"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Duodenal perforation</w:t>
            </w:r>
          </w:p>
        </w:tc>
        <w:tc>
          <w:tcPr>
            <w:tcW w:w="0" w:type="auto"/>
          </w:tcPr>
          <w:p w14:paraId="7C14EBCB" w14:textId="77777777" w:rsidR="001C5C08"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2 (8%)</w:t>
            </w:r>
          </w:p>
          <w:p w14:paraId="4DBC5198" w14:textId="77777777" w:rsidR="00334CDA"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1</w:t>
            </w:r>
          </w:p>
          <w:p w14:paraId="04ACFB17" w14:textId="302F3533" w:rsidR="00334CDA" w:rsidRPr="008A7BCF"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1</w:t>
            </w:r>
          </w:p>
        </w:tc>
      </w:tr>
      <w:tr w:rsidR="001C5C08" w:rsidRPr="008A7BCF" w14:paraId="170CC69F"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7DFE3D24" w14:textId="77777777" w:rsidR="001C5C08" w:rsidRPr="008A7BCF" w:rsidRDefault="001C5C08" w:rsidP="00DF3878">
            <w:pPr>
              <w:pStyle w:val="TableParagraph"/>
            </w:pPr>
          </w:p>
        </w:tc>
        <w:tc>
          <w:tcPr>
            <w:tcW w:w="0" w:type="auto"/>
          </w:tcPr>
          <w:p w14:paraId="0D4E1AD5" w14:textId="77777777" w:rsidR="001C5C08"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Genitourinary</w:t>
            </w:r>
          </w:p>
          <w:p w14:paraId="563F67E8" w14:textId="77777777" w:rsidR="00334CDA"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UTI</w:t>
            </w:r>
          </w:p>
          <w:p w14:paraId="4F6F2216" w14:textId="21BFCD9B" w:rsidR="00334CDA"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Pyelonephritis</w:t>
            </w:r>
          </w:p>
          <w:p w14:paraId="62002910" w14:textId="77777777" w:rsidR="00334CDA"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Orchitis</w:t>
            </w:r>
          </w:p>
          <w:p w14:paraId="1D7C8EBC" w14:textId="26F9DEA4" w:rsidR="00334CDA" w:rsidRPr="008A7BCF"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Infected uterine fibroid</w:t>
            </w:r>
          </w:p>
        </w:tc>
        <w:tc>
          <w:tcPr>
            <w:tcW w:w="0" w:type="auto"/>
          </w:tcPr>
          <w:p w14:paraId="78A431DD" w14:textId="77777777" w:rsidR="001C5C08"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7 (27%)</w:t>
            </w:r>
          </w:p>
          <w:p w14:paraId="064474C8" w14:textId="4E4EE580" w:rsidR="00334CDA"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4</w:t>
            </w:r>
          </w:p>
          <w:p w14:paraId="33901D38" w14:textId="77777777" w:rsidR="00334CDA"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1</w:t>
            </w:r>
          </w:p>
          <w:p w14:paraId="66078CD2" w14:textId="77777777" w:rsidR="00334CDA"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1</w:t>
            </w:r>
          </w:p>
          <w:p w14:paraId="4E7C7120" w14:textId="1630ECDC" w:rsidR="00334CDA" w:rsidRPr="008A7BCF" w:rsidRDefault="00334CDA" w:rsidP="00334CDA">
            <w:pPr>
              <w:pStyle w:val="TableParagraph"/>
              <w:numPr>
                <w:ilvl w:val="0"/>
                <w:numId w:val="3"/>
              </w:numPr>
              <w:cnfStyle w:val="000000100000" w:firstRow="0" w:lastRow="0" w:firstColumn="0" w:lastColumn="0" w:oddVBand="0" w:evenVBand="0" w:oddHBand="1" w:evenHBand="0" w:firstRowFirstColumn="0" w:firstRowLastColumn="0" w:lastRowFirstColumn="0" w:lastRowLastColumn="0"/>
            </w:pPr>
            <w:r>
              <w:t>1</w:t>
            </w:r>
          </w:p>
        </w:tc>
      </w:tr>
      <w:tr w:rsidR="001C5C08" w:rsidRPr="008A7BCF" w14:paraId="36E2311C"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602C8E1D" w14:textId="77777777" w:rsidR="001C5C08" w:rsidRPr="008A7BCF" w:rsidRDefault="001C5C08" w:rsidP="00DF3878">
            <w:pPr>
              <w:pStyle w:val="TableParagraph"/>
            </w:pPr>
          </w:p>
        </w:tc>
        <w:tc>
          <w:tcPr>
            <w:tcW w:w="0" w:type="auto"/>
          </w:tcPr>
          <w:p w14:paraId="19919399" w14:textId="77777777" w:rsidR="001C5C08"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Soft tissue</w:t>
            </w:r>
          </w:p>
          <w:p w14:paraId="0D937D83" w14:textId="77777777" w:rsidR="00334CDA"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Cellulitis</w:t>
            </w:r>
          </w:p>
          <w:p w14:paraId="2953A727" w14:textId="77777777" w:rsidR="00334CDA"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Perianal abscess</w:t>
            </w:r>
          </w:p>
          <w:p w14:paraId="2854CBE6" w14:textId="00668C67" w:rsidR="00334CDA" w:rsidRPr="008A7BCF"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Mastitis</w:t>
            </w:r>
          </w:p>
        </w:tc>
        <w:tc>
          <w:tcPr>
            <w:tcW w:w="0" w:type="auto"/>
          </w:tcPr>
          <w:p w14:paraId="314737B5" w14:textId="77777777" w:rsidR="001C5C08"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3 (12%)</w:t>
            </w:r>
          </w:p>
          <w:p w14:paraId="5FBDA3BD" w14:textId="77777777" w:rsidR="00334CDA"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1</w:t>
            </w:r>
          </w:p>
          <w:p w14:paraId="477CE8FB" w14:textId="1099C09E" w:rsidR="00334CDA"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1</w:t>
            </w:r>
          </w:p>
          <w:p w14:paraId="581EF678" w14:textId="5C1DD947" w:rsidR="00334CDA" w:rsidRPr="008A7BCF" w:rsidRDefault="00334CDA" w:rsidP="00334CDA">
            <w:pPr>
              <w:pStyle w:val="TableParagraph"/>
              <w:numPr>
                <w:ilvl w:val="0"/>
                <w:numId w:val="3"/>
              </w:numPr>
              <w:cnfStyle w:val="000000000000" w:firstRow="0" w:lastRow="0" w:firstColumn="0" w:lastColumn="0" w:oddVBand="0" w:evenVBand="0" w:oddHBand="0" w:evenHBand="0" w:firstRowFirstColumn="0" w:firstRowLastColumn="0" w:lastRowFirstColumn="0" w:lastRowLastColumn="0"/>
            </w:pPr>
            <w:r>
              <w:t>1</w:t>
            </w:r>
          </w:p>
        </w:tc>
      </w:tr>
      <w:tr w:rsidR="001C5C08" w:rsidRPr="008A7BCF" w14:paraId="1DB20F6B"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gridSpan w:val="3"/>
            <w:noWrap/>
          </w:tcPr>
          <w:p w14:paraId="1E82DF02" w14:textId="77777777" w:rsidR="001C5C08" w:rsidRPr="008A7BCF" w:rsidRDefault="001C5C08" w:rsidP="00DF3878">
            <w:pPr>
              <w:pStyle w:val="TableParagraph"/>
            </w:pPr>
            <w:r w:rsidRPr="008A7BCF">
              <w:t>Clinical parameters</w:t>
            </w:r>
          </w:p>
        </w:tc>
      </w:tr>
      <w:tr w:rsidR="001C5C08" w:rsidRPr="008A7BCF" w14:paraId="16DBF94D"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53063E7B" w14:textId="77777777" w:rsidR="001C5C08" w:rsidRPr="008A7BCF" w:rsidRDefault="001C5C08" w:rsidP="00DF3878">
            <w:pPr>
              <w:pStyle w:val="TableParagraph"/>
            </w:pPr>
          </w:p>
        </w:tc>
        <w:tc>
          <w:tcPr>
            <w:tcW w:w="0" w:type="auto"/>
          </w:tcPr>
          <w:p w14:paraId="3197E0E2"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Temperature (</w:t>
            </w:r>
            <w:proofErr w:type="spellStart"/>
            <w:r w:rsidRPr="008A7BCF">
              <w:rPr>
                <w:vertAlign w:val="superscript"/>
              </w:rPr>
              <w:t>o</w:t>
            </w:r>
            <w:r w:rsidRPr="008A7BCF">
              <w:t>C</w:t>
            </w:r>
            <w:proofErr w:type="spellEnd"/>
            <w:r w:rsidRPr="008A7BCF">
              <w:t>)</w:t>
            </w:r>
          </w:p>
        </w:tc>
        <w:tc>
          <w:tcPr>
            <w:tcW w:w="0" w:type="auto"/>
          </w:tcPr>
          <w:p w14:paraId="2A9AFCAB"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37.7 (37.0 – 38.6)</w:t>
            </w:r>
          </w:p>
        </w:tc>
      </w:tr>
      <w:tr w:rsidR="001C5C08" w:rsidRPr="008A7BCF" w14:paraId="39ECF92D"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0FF7B5E6" w14:textId="77777777" w:rsidR="001C5C08" w:rsidRPr="008A7BCF" w:rsidRDefault="001C5C08" w:rsidP="00DF3878">
            <w:pPr>
              <w:pStyle w:val="TableParagraph"/>
            </w:pPr>
          </w:p>
        </w:tc>
        <w:tc>
          <w:tcPr>
            <w:tcW w:w="0" w:type="auto"/>
          </w:tcPr>
          <w:p w14:paraId="2D09F180"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Respiratory rate</w:t>
            </w:r>
          </w:p>
        </w:tc>
        <w:tc>
          <w:tcPr>
            <w:tcW w:w="0" w:type="auto"/>
          </w:tcPr>
          <w:p w14:paraId="71829722"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20 (18 – 26)</w:t>
            </w:r>
          </w:p>
        </w:tc>
      </w:tr>
      <w:tr w:rsidR="001C5C08" w:rsidRPr="008A7BCF" w14:paraId="413D00B5"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531FF6B5" w14:textId="77777777" w:rsidR="001C5C08" w:rsidRPr="008A7BCF" w:rsidRDefault="001C5C08" w:rsidP="00DF3878">
            <w:pPr>
              <w:pStyle w:val="TableParagraph"/>
            </w:pPr>
          </w:p>
        </w:tc>
        <w:tc>
          <w:tcPr>
            <w:tcW w:w="0" w:type="auto"/>
          </w:tcPr>
          <w:p w14:paraId="0C4862E9"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Systolic blood pressure (mmHg)</w:t>
            </w:r>
          </w:p>
        </w:tc>
        <w:tc>
          <w:tcPr>
            <w:tcW w:w="0" w:type="auto"/>
          </w:tcPr>
          <w:p w14:paraId="5007405D"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126 (109 – 139)</w:t>
            </w:r>
          </w:p>
        </w:tc>
      </w:tr>
      <w:tr w:rsidR="001C5C08" w:rsidRPr="008A7BCF" w14:paraId="61446D69"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5C51002F" w14:textId="77777777" w:rsidR="001C5C08" w:rsidRPr="008A7BCF" w:rsidRDefault="001C5C08" w:rsidP="00DF3878">
            <w:pPr>
              <w:pStyle w:val="TableParagraph"/>
            </w:pPr>
          </w:p>
        </w:tc>
        <w:tc>
          <w:tcPr>
            <w:tcW w:w="0" w:type="auto"/>
          </w:tcPr>
          <w:p w14:paraId="2A810283"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Heart rate</w:t>
            </w:r>
          </w:p>
        </w:tc>
        <w:tc>
          <w:tcPr>
            <w:tcW w:w="0" w:type="auto"/>
          </w:tcPr>
          <w:p w14:paraId="324A2399"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112 (92 – 139)</w:t>
            </w:r>
          </w:p>
        </w:tc>
      </w:tr>
      <w:tr w:rsidR="001C5C08" w:rsidRPr="008A7BCF" w14:paraId="5AFE002E"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19264444" w14:textId="77777777" w:rsidR="001C5C08" w:rsidRPr="008A7BCF" w:rsidRDefault="001C5C08" w:rsidP="00DF3878">
            <w:pPr>
              <w:pStyle w:val="TableParagraph"/>
            </w:pPr>
          </w:p>
        </w:tc>
        <w:tc>
          <w:tcPr>
            <w:tcW w:w="0" w:type="auto"/>
          </w:tcPr>
          <w:p w14:paraId="6C15A67D"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NEWS2 score</w:t>
            </w:r>
          </w:p>
        </w:tc>
        <w:tc>
          <w:tcPr>
            <w:tcW w:w="0" w:type="auto"/>
          </w:tcPr>
          <w:p w14:paraId="15A0F5AF"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4 (2 – 7)</w:t>
            </w:r>
          </w:p>
        </w:tc>
      </w:tr>
      <w:tr w:rsidR="00EB58DA" w:rsidRPr="008A7BCF" w14:paraId="5A7946DD"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752CC32D" w14:textId="77777777" w:rsidR="00EB58DA" w:rsidRPr="008A7BCF" w:rsidRDefault="00EB58DA" w:rsidP="00DF3878">
            <w:pPr>
              <w:pStyle w:val="TableParagraph"/>
            </w:pPr>
          </w:p>
        </w:tc>
        <w:tc>
          <w:tcPr>
            <w:tcW w:w="0" w:type="auto"/>
          </w:tcPr>
          <w:p w14:paraId="51489061" w14:textId="0C1761ED" w:rsidR="00EB58DA" w:rsidRPr="008A7BCF" w:rsidRDefault="00EB58DA" w:rsidP="00DF3878">
            <w:pPr>
              <w:pStyle w:val="TableParagraph"/>
              <w:cnfStyle w:val="000000100000" w:firstRow="0" w:lastRow="0" w:firstColumn="0" w:lastColumn="0" w:oddVBand="0" w:evenVBand="0" w:oddHBand="1" w:evenHBand="0" w:firstRowFirstColumn="0" w:firstRowLastColumn="0" w:lastRowFirstColumn="0" w:lastRowLastColumn="0"/>
            </w:pPr>
            <w:proofErr w:type="spellStart"/>
            <w:r>
              <w:t>qSOFA</w:t>
            </w:r>
            <w:proofErr w:type="spellEnd"/>
          </w:p>
        </w:tc>
        <w:tc>
          <w:tcPr>
            <w:tcW w:w="0" w:type="auto"/>
          </w:tcPr>
          <w:p w14:paraId="67D7BCF7" w14:textId="5A37B9F0" w:rsidR="00EB58DA" w:rsidRPr="008A7BCF" w:rsidRDefault="00EB58DA" w:rsidP="00DF3878">
            <w:pPr>
              <w:pStyle w:val="TableParagraph"/>
              <w:cnfStyle w:val="000000100000" w:firstRow="0" w:lastRow="0" w:firstColumn="0" w:lastColumn="0" w:oddVBand="0" w:evenVBand="0" w:oddHBand="1" w:evenHBand="0" w:firstRowFirstColumn="0" w:firstRowLastColumn="0" w:lastRowFirstColumn="0" w:lastRowLastColumn="0"/>
            </w:pPr>
            <w:r>
              <w:t>1 (0 – 1)</w:t>
            </w:r>
          </w:p>
        </w:tc>
      </w:tr>
      <w:tr w:rsidR="001C5C08" w:rsidRPr="008A7BCF" w14:paraId="5B37279F"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gridSpan w:val="3"/>
            <w:noWrap/>
          </w:tcPr>
          <w:p w14:paraId="5D59DB19" w14:textId="77777777" w:rsidR="001C5C08" w:rsidRPr="008A7BCF" w:rsidRDefault="001C5C08" w:rsidP="00DF3878">
            <w:pPr>
              <w:pStyle w:val="TableParagraph"/>
            </w:pPr>
            <w:r w:rsidRPr="008A7BCF">
              <w:t>Laboratory values</w:t>
            </w:r>
          </w:p>
        </w:tc>
      </w:tr>
      <w:tr w:rsidR="001C5C08" w:rsidRPr="008A7BCF" w14:paraId="426B5CC4"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6DF7DAEC" w14:textId="77777777" w:rsidR="001C5C08" w:rsidRPr="008A7BCF" w:rsidRDefault="001C5C08" w:rsidP="00DF3878">
            <w:pPr>
              <w:pStyle w:val="TableParagraph"/>
            </w:pPr>
          </w:p>
        </w:tc>
        <w:tc>
          <w:tcPr>
            <w:tcW w:w="0" w:type="auto"/>
          </w:tcPr>
          <w:p w14:paraId="5896799B"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WBC (x10</w:t>
            </w:r>
            <w:r w:rsidRPr="008A7BCF">
              <w:rPr>
                <w:vertAlign w:val="superscript"/>
              </w:rPr>
              <w:t>6</w:t>
            </w:r>
            <w:r>
              <w:t>/mL</w:t>
            </w:r>
            <w:r w:rsidRPr="008A7BCF">
              <w:t>)</w:t>
            </w:r>
          </w:p>
        </w:tc>
        <w:tc>
          <w:tcPr>
            <w:tcW w:w="0" w:type="auto"/>
          </w:tcPr>
          <w:p w14:paraId="1FC4227A"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12.5 (10.4 – 17.5)</w:t>
            </w:r>
          </w:p>
        </w:tc>
      </w:tr>
      <w:tr w:rsidR="001C5C08" w:rsidRPr="008A7BCF" w14:paraId="3168AB90"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2BD298C1" w14:textId="77777777" w:rsidR="001C5C08" w:rsidRPr="008A7BCF" w:rsidRDefault="001C5C08" w:rsidP="00DF3878">
            <w:pPr>
              <w:pStyle w:val="TableParagraph"/>
            </w:pPr>
          </w:p>
        </w:tc>
        <w:tc>
          <w:tcPr>
            <w:tcW w:w="0" w:type="auto"/>
          </w:tcPr>
          <w:p w14:paraId="493AFDE1"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Neutrophils (x10</w:t>
            </w:r>
            <w:r w:rsidRPr="008A7BCF">
              <w:rPr>
                <w:vertAlign w:val="superscript"/>
              </w:rPr>
              <w:t>6</w:t>
            </w:r>
            <w:r>
              <w:t>/mL</w:t>
            </w:r>
            <w:r w:rsidRPr="008A7BCF">
              <w:t>)</w:t>
            </w:r>
          </w:p>
        </w:tc>
        <w:tc>
          <w:tcPr>
            <w:tcW w:w="0" w:type="auto"/>
          </w:tcPr>
          <w:p w14:paraId="772A6B70"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9.6 (6.5 – 14.0)</w:t>
            </w:r>
          </w:p>
        </w:tc>
      </w:tr>
      <w:tr w:rsidR="001C5C08" w:rsidRPr="008A7BCF" w14:paraId="259B54EC"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178A812A" w14:textId="77777777" w:rsidR="001C5C08" w:rsidRPr="008A7BCF" w:rsidRDefault="001C5C08" w:rsidP="00DF3878">
            <w:pPr>
              <w:pStyle w:val="TableParagraph"/>
            </w:pPr>
          </w:p>
        </w:tc>
        <w:tc>
          <w:tcPr>
            <w:tcW w:w="0" w:type="auto"/>
          </w:tcPr>
          <w:p w14:paraId="3789F788"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Lymphocytes (x10</w:t>
            </w:r>
            <w:r w:rsidRPr="008A7BCF">
              <w:rPr>
                <w:vertAlign w:val="superscript"/>
              </w:rPr>
              <w:t>6</w:t>
            </w:r>
            <w:r>
              <w:t>/mL</w:t>
            </w:r>
            <w:r w:rsidRPr="008A7BCF">
              <w:t>)</w:t>
            </w:r>
          </w:p>
        </w:tc>
        <w:tc>
          <w:tcPr>
            <w:tcW w:w="0" w:type="auto"/>
          </w:tcPr>
          <w:p w14:paraId="42E9FCFD"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1.55 (0.82 – 1.97)</w:t>
            </w:r>
          </w:p>
        </w:tc>
      </w:tr>
      <w:tr w:rsidR="001C5C08" w:rsidRPr="008A7BCF" w14:paraId="7290B6FB"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5315A17F" w14:textId="77777777" w:rsidR="001C5C08" w:rsidRPr="008A7BCF" w:rsidRDefault="001C5C08" w:rsidP="00DF3878">
            <w:pPr>
              <w:pStyle w:val="TableParagraph"/>
            </w:pPr>
          </w:p>
        </w:tc>
        <w:tc>
          <w:tcPr>
            <w:tcW w:w="0" w:type="auto"/>
          </w:tcPr>
          <w:p w14:paraId="7FE17513"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Monocytes (x10</w:t>
            </w:r>
            <w:r w:rsidRPr="008A7BCF">
              <w:rPr>
                <w:vertAlign w:val="superscript"/>
              </w:rPr>
              <w:t>6</w:t>
            </w:r>
            <w:r>
              <w:t>/mL</w:t>
            </w:r>
            <w:r w:rsidRPr="008A7BCF">
              <w:t>)</w:t>
            </w:r>
          </w:p>
        </w:tc>
        <w:tc>
          <w:tcPr>
            <w:tcW w:w="0" w:type="auto"/>
          </w:tcPr>
          <w:p w14:paraId="07556858"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0.92 (0.67 – 1.19)</w:t>
            </w:r>
          </w:p>
        </w:tc>
      </w:tr>
      <w:tr w:rsidR="001C5C08" w:rsidRPr="008A7BCF" w14:paraId="316CB398"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34C8B22C" w14:textId="77777777" w:rsidR="001C5C08" w:rsidRPr="008A7BCF" w:rsidRDefault="001C5C08" w:rsidP="00DF3878">
            <w:pPr>
              <w:pStyle w:val="TableParagraph"/>
            </w:pPr>
          </w:p>
        </w:tc>
        <w:tc>
          <w:tcPr>
            <w:tcW w:w="0" w:type="auto"/>
          </w:tcPr>
          <w:p w14:paraId="1268068C"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CRP (mg/l)</w:t>
            </w:r>
          </w:p>
        </w:tc>
        <w:tc>
          <w:tcPr>
            <w:tcW w:w="0" w:type="auto"/>
          </w:tcPr>
          <w:p w14:paraId="3BCFE40E" w14:textId="77777777" w:rsidR="001C5C08" w:rsidRPr="008A7BCF" w:rsidRDefault="001C5C08" w:rsidP="00DF3878">
            <w:pPr>
              <w:pStyle w:val="TableParagraph"/>
              <w:cnfStyle w:val="000000100000" w:firstRow="0" w:lastRow="0" w:firstColumn="0" w:lastColumn="0" w:oddVBand="0" w:evenVBand="0" w:oddHBand="1" w:evenHBand="0" w:firstRowFirstColumn="0" w:firstRowLastColumn="0" w:lastRowFirstColumn="0" w:lastRowLastColumn="0"/>
            </w:pPr>
            <w:r w:rsidRPr="008A7BCF">
              <w:t>83 (33 – 176)</w:t>
            </w:r>
          </w:p>
        </w:tc>
      </w:tr>
      <w:tr w:rsidR="001C5C08" w:rsidRPr="008A7BCF" w14:paraId="1C3303FD"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3232A523" w14:textId="77777777" w:rsidR="001C5C08" w:rsidRPr="008A7BCF" w:rsidRDefault="001C5C08" w:rsidP="00DF3878">
            <w:pPr>
              <w:pStyle w:val="TableParagraph"/>
            </w:pPr>
          </w:p>
        </w:tc>
        <w:tc>
          <w:tcPr>
            <w:tcW w:w="0" w:type="auto"/>
          </w:tcPr>
          <w:p w14:paraId="5BF5FE2A"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Lactate (mmol/l)</w:t>
            </w:r>
          </w:p>
        </w:tc>
        <w:tc>
          <w:tcPr>
            <w:tcW w:w="0" w:type="auto"/>
          </w:tcPr>
          <w:p w14:paraId="072471EB" w14:textId="77777777" w:rsidR="001C5C08" w:rsidRPr="008A7BCF" w:rsidRDefault="001C5C08" w:rsidP="00DF3878">
            <w:pPr>
              <w:pStyle w:val="TableParagraph"/>
              <w:cnfStyle w:val="000000000000" w:firstRow="0" w:lastRow="0" w:firstColumn="0" w:lastColumn="0" w:oddVBand="0" w:evenVBand="0" w:oddHBand="0" w:evenHBand="0" w:firstRowFirstColumn="0" w:firstRowLastColumn="0" w:lastRowFirstColumn="0" w:lastRowLastColumn="0"/>
            </w:pPr>
            <w:r w:rsidRPr="008A7BCF">
              <w:t>1.0 (0.9 – 1.6)</w:t>
            </w:r>
          </w:p>
        </w:tc>
      </w:tr>
      <w:tr w:rsidR="00334CDA" w:rsidRPr="008A7BCF" w14:paraId="5098F61B" w14:textId="77777777" w:rsidTr="0082582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gridSpan w:val="3"/>
            <w:noWrap/>
          </w:tcPr>
          <w:p w14:paraId="3E940BE4" w14:textId="7D3EB5D5" w:rsidR="00334CDA" w:rsidRPr="008A7BCF" w:rsidRDefault="00334CDA" w:rsidP="00DF3878">
            <w:pPr>
              <w:pStyle w:val="TableParagraph"/>
            </w:pPr>
            <w:r>
              <w:t>Positive culture results</w:t>
            </w:r>
          </w:p>
        </w:tc>
      </w:tr>
      <w:tr w:rsidR="00334CDA" w:rsidRPr="008A7BCF" w14:paraId="53DF8628"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180ABC07" w14:textId="77777777" w:rsidR="00334CDA" w:rsidRPr="008A7BCF" w:rsidRDefault="00334CDA" w:rsidP="00DF3878">
            <w:pPr>
              <w:pStyle w:val="TableParagraph"/>
            </w:pPr>
          </w:p>
        </w:tc>
        <w:tc>
          <w:tcPr>
            <w:tcW w:w="0" w:type="auto"/>
          </w:tcPr>
          <w:p w14:paraId="6EDC2471" w14:textId="0564E205" w:rsidR="00334CDA" w:rsidRPr="008A7BCF" w:rsidRDefault="00334CDA" w:rsidP="00DF3878">
            <w:pPr>
              <w:pStyle w:val="TableParagraph"/>
              <w:cnfStyle w:val="000000000000" w:firstRow="0" w:lastRow="0" w:firstColumn="0" w:lastColumn="0" w:oddVBand="0" w:evenVBand="0" w:oddHBand="0" w:evenHBand="0" w:firstRowFirstColumn="0" w:firstRowLastColumn="0" w:lastRowFirstColumn="0" w:lastRowLastColumn="0"/>
            </w:pPr>
            <w:r>
              <w:t>Blood culture</w:t>
            </w:r>
          </w:p>
        </w:tc>
        <w:tc>
          <w:tcPr>
            <w:tcW w:w="0" w:type="auto"/>
          </w:tcPr>
          <w:p w14:paraId="0E6F0355" w14:textId="7B98C19D" w:rsidR="00334CDA" w:rsidRPr="008A7BCF" w:rsidRDefault="00334CDA" w:rsidP="00DF3878">
            <w:pPr>
              <w:pStyle w:val="TableParagraph"/>
              <w:cnfStyle w:val="000000000000" w:firstRow="0" w:lastRow="0" w:firstColumn="0" w:lastColumn="0" w:oddVBand="0" w:evenVBand="0" w:oddHBand="0" w:evenHBand="0" w:firstRowFirstColumn="0" w:firstRowLastColumn="0" w:lastRowFirstColumn="0" w:lastRowLastColumn="0"/>
            </w:pPr>
            <w:r>
              <w:t>0</w:t>
            </w:r>
          </w:p>
        </w:tc>
      </w:tr>
      <w:tr w:rsidR="00334CDA" w:rsidRPr="008A7BCF" w14:paraId="380BFBE7"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03C0217E" w14:textId="77777777" w:rsidR="00334CDA" w:rsidRPr="008A7BCF" w:rsidRDefault="00334CDA" w:rsidP="00DF3878">
            <w:pPr>
              <w:pStyle w:val="TableParagraph"/>
            </w:pPr>
          </w:p>
        </w:tc>
        <w:tc>
          <w:tcPr>
            <w:tcW w:w="0" w:type="auto"/>
          </w:tcPr>
          <w:p w14:paraId="7CD18D9A" w14:textId="69B87D38"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COVID-19/ Flu A and B</w:t>
            </w:r>
          </w:p>
        </w:tc>
        <w:tc>
          <w:tcPr>
            <w:tcW w:w="0" w:type="auto"/>
          </w:tcPr>
          <w:p w14:paraId="0E323AF2" w14:textId="3EAA0D6C"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0</w:t>
            </w:r>
          </w:p>
        </w:tc>
      </w:tr>
      <w:tr w:rsidR="00334CDA" w:rsidRPr="008A7BCF" w14:paraId="0C281102"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1175BBBB" w14:textId="77777777" w:rsidR="00334CDA" w:rsidRPr="008A7BCF" w:rsidRDefault="00334CDA" w:rsidP="00DF3878">
            <w:pPr>
              <w:pStyle w:val="TableParagraph"/>
            </w:pPr>
          </w:p>
        </w:tc>
        <w:tc>
          <w:tcPr>
            <w:tcW w:w="0" w:type="auto"/>
          </w:tcPr>
          <w:p w14:paraId="43F56B4F" w14:textId="77777777" w:rsidR="00334CDA" w:rsidRDefault="00334CDA" w:rsidP="00DF3878">
            <w:pPr>
              <w:pStyle w:val="TableParagraph"/>
              <w:cnfStyle w:val="000000000000" w:firstRow="0" w:lastRow="0" w:firstColumn="0" w:lastColumn="0" w:oddVBand="0" w:evenVBand="0" w:oddHBand="0" w:evenHBand="0" w:firstRowFirstColumn="0" w:firstRowLastColumn="0" w:lastRowFirstColumn="0" w:lastRowLastColumn="0"/>
            </w:pPr>
            <w:r>
              <w:t>Urine culture</w:t>
            </w:r>
          </w:p>
          <w:p w14:paraId="2DE058C8" w14:textId="77777777" w:rsidR="00334CDA" w:rsidRDefault="00334CDA" w:rsidP="00334CDA">
            <w:pPr>
              <w:pStyle w:val="TableParagraph"/>
              <w:numPr>
                <w:ilvl w:val="0"/>
                <w:numId w:val="2"/>
              </w:numPr>
              <w:cnfStyle w:val="000000000000" w:firstRow="0" w:lastRow="0" w:firstColumn="0" w:lastColumn="0" w:oddVBand="0" w:evenVBand="0" w:oddHBand="0" w:evenHBand="0" w:firstRowFirstColumn="0" w:firstRowLastColumn="0" w:lastRowFirstColumn="0" w:lastRowLastColumn="0"/>
            </w:pPr>
            <w:r>
              <w:t xml:space="preserve">E </w:t>
            </w:r>
            <w:r w:rsidRPr="00334CDA">
              <w:rPr>
                <w:i/>
                <w:iCs/>
              </w:rPr>
              <w:t>coli</w:t>
            </w:r>
          </w:p>
          <w:p w14:paraId="6CAFB452" w14:textId="4D6D1E81" w:rsidR="00334CDA" w:rsidRPr="008A7BCF" w:rsidRDefault="00334CDA" w:rsidP="00334CDA">
            <w:pPr>
              <w:pStyle w:val="TableParagraph"/>
              <w:numPr>
                <w:ilvl w:val="0"/>
                <w:numId w:val="2"/>
              </w:numPr>
              <w:cnfStyle w:val="000000000000" w:firstRow="0" w:lastRow="0" w:firstColumn="0" w:lastColumn="0" w:oddVBand="0" w:evenVBand="0" w:oddHBand="0" w:evenHBand="0" w:firstRowFirstColumn="0" w:firstRowLastColumn="0" w:lastRowFirstColumn="0" w:lastRowLastColumn="0"/>
            </w:pPr>
            <w:r>
              <w:t xml:space="preserve">K </w:t>
            </w:r>
            <w:r w:rsidRPr="00334CDA">
              <w:rPr>
                <w:i/>
                <w:iCs/>
              </w:rPr>
              <w:t>pneumoniae</w:t>
            </w:r>
          </w:p>
        </w:tc>
        <w:tc>
          <w:tcPr>
            <w:tcW w:w="0" w:type="auto"/>
          </w:tcPr>
          <w:p w14:paraId="4AEF1540" w14:textId="009DA4C5" w:rsidR="00334CDA" w:rsidRDefault="00334CDA" w:rsidP="00DF3878">
            <w:pPr>
              <w:pStyle w:val="TableParagraph"/>
              <w:cnfStyle w:val="000000000000" w:firstRow="0" w:lastRow="0" w:firstColumn="0" w:lastColumn="0" w:oddVBand="0" w:evenVBand="0" w:oddHBand="0" w:evenHBand="0" w:firstRowFirstColumn="0" w:firstRowLastColumn="0" w:lastRowFirstColumn="0" w:lastRowLastColumn="0"/>
            </w:pPr>
            <w:r>
              <w:t>3 (12%)</w:t>
            </w:r>
          </w:p>
          <w:p w14:paraId="67D55115" w14:textId="0B488A88" w:rsidR="00334CDA" w:rsidRDefault="00334CDA" w:rsidP="00334CDA">
            <w:pPr>
              <w:pStyle w:val="TableParagraph"/>
              <w:numPr>
                <w:ilvl w:val="0"/>
                <w:numId w:val="2"/>
              </w:numPr>
              <w:cnfStyle w:val="000000000000" w:firstRow="0" w:lastRow="0" w:firstColumn="0" w:lastColumn="0" w:oddVBand="0" w:evenVBand="0" w:oddHBand="0" w:evenHBand="0" w:firstRowFirstColumn="0" w:firstRowLastColumn="0" w:lastRowFirstColumn="0" w:lastRowLastColumn="0"/>
            </w:pPr>
            <w:r>
              <w:t>2</w:t>
            </w:r>
          </w:p>
          <w:p w14:paraId="2BA5A141" w14:textId="67BD55A3" w:rsidR="00334CDA" w:rsidRPr="008A7BCF" w:rsidRDefault="00334CDA" w:rsidP="00334CDA">
            <w:pPr>
              <w:pStyle w:val="TableParagraph"/>
              <w:numPr>
                <w:ilvl w:val="0"/>
                <w:numId w:val="2"/>
              </w:numPr>
              <w:cnfStyle w:val="000000000000" w:firstRow="0" w:lastRow="0" w:firstColumn="0" w:lastColumn="0" w:oddVBand="0" w:evenVBand="0" w:oddHBand="0" w:evenHBand="0" w:firstRowFirstColumn="0" w:firstRowLastColumn="0" w:lastRowFirstColumn="0" w:lastRowLastColumn="0"/>
            </w:pPr>
            <w:r>
              <w:t>1</w:t>
            </w:r>
          </w:p>
        </w:tc>
      </w:tr>
      <w:tr w:rsidR="00334CDA" w:rsidRPr="008A7BCF" w14:paraId="6B5C20F3"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0CE8E593" w14:textId="77777777" w:rsidR="00334CDA" w:rsidRPr="008A7BCF" w:rsidRDefault="00334CDA" w:rsidP="00DF3878">
            <w:pPr>
              <w:pStyle w:val="TableParagraph"/>
            </w:pPr>
          </w:p>
        </w:tc>
        <w:tc>
          <w:tcPr>
            <w:tcW w:w="0" w:type="auto"/>
          </w:tcPr>
          <w:p w14:paraId="7BB759A1" w14:textId="77777777"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Sputum culture</w:t>
            </w:r>
          </w:p>
          <w:p w14:paraId="5DBC0235" w14:textId="4AEF0D06" w:rsidR="00334CDA" w:rsidRDefault="00334CDA" w:rsidP="00334CDA">
            <w:pPr>
              <w:pStyle w:val="TableParagraph"/>
              <w:numPr>
                <w:ilvl w:val="0"/>
                <w:numId w:val="2"/>
              </w:numPr>
              <w:cnfStyle w:val="000000100000" w:firstRow="0" w:lastRow="0" w:firstColumn="0" w:lastColumn="0" w:oddVBand="0" w:evenVBand="0" w:oddHBand="1" w:evenHBand="0" w:firstRowFirstColumn="0" w:firstRowLastColumn="0" w:lastRowFirstColumn="0" w:lastRowLastColumn="0"/>
            </w:pPr>
            <w:r>
              <w:t xml:space="preserve">H </w:t>
            </w:r>
            <w:r w:rsidRPr="00334CDA">
              <w:rPr>
                <w:i/>
                <w:iCs/>
              </w:rPr>
              <w:t>influenzae</w:t>
            </w:r>
          </w:p>
        </w:tc>
        <w:tc>
          <w:tcPr>
            <w:tcW w:w="0" w:type="auto"/>
          </w:tcPr>
          <w:p w14:paraId="08FA83AA" w14:textId="0EFF3766"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1 (4%)</w:t>
            </w:r>
          </w:p>
          <w:p w14:paraId="10AD81E0" w14:textId="39FF3141" w:rsidR="00334CDA" w:rsidRDefault="00334CDA" w:rsidP="00334CDA">
            <w:pPr>
              <w:pStyle w:val="TableParagraph"/>
              <w:numPr>
                <w:ilvl w:val="0"/>
                <w:numId w:val="2"/>
              </w:numPr>
              <w:cnfStyle w:val="000000100000" w:firstRow="0" w:lastRow="0" w:firstColumn="0" w:lastColumn="0" w:oddVBand="0" w:evenVBand="0" w:oddHBand="1" w:evenHBand="0" w:firstRowFirstColumn="0" w:firstRowLastColumn="0" w:lastRowFirstColumn="0" w:lastRowLastColumn="0"/>
            </w:pPr>
            <w:r>
              <w:t>1</w:t>
            </w:r>
          </w:p>
        </w:tc>
      </w:tr>
      <w:tr w:rsidR="00334CDA" w:rsidRPr="008A7BCF" w14:paraId="748794D3" w14:textId="77777777" w:rsidTr="002D5BF1">
        <w:trPr>
          <w:trHeight w:val="320"/>
        </w:trPr>
        <w:tc>
          <w:tcPr>
            <w:cnfStyle w:val="001000000000" w:firstRow="0" w:lastRow="0" w:firstColumn="1" w:lastColumn="0" w:oddVBand="0" w:evenVBand="0" w:oddHBand="0" w:evenHBand="0" w:firstRowFirstColumn="0" w:firstRowLastColumn="0" w:lastRowFirstColumn="0" w:lastRowLastColumn="0"/>
            <w:tcW w:w="0" w:type="auto"/>
            <w:gridSpan w:val="3"/>
            <w:noWrap/>
          </w:tcPr>
          <w:p w14:paraId="24E15BB2" w14:textId="287BB10F" w:rsidR="00334CDA" w:rsidRDefault="00334CDA" w:rsidP="00DF3878">
            <w:pPr>
              <w:pStyle w:val="TableParagraph"/>
            </w:pPr>
            <w:r>
              <w:t>Outcomes</w:t>
            </w:r>
          </w:p>
        </w:tc>
      </w:tr>
      <w:tr w:rsidR="00334CDA" w:rsidRPr="008A7BCF" w14:paraId="5D82B537"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7E49E1B5" w14:textId="77777777" w:rsidR="00334CDA" w:rsidRPr="008A7BCF" w:rsidRDefault="00334CDA" w:rsidP="00DF3878">
            <w:pPr>
              <w:pStyle w:val="TableParagraph"/>
            </w:pPr>
          </w:p>
        </w:tc>
        <w:tc>
          <w:tcPr>
            <w:tcW w:w="0" w:type="auto"/>
          </w:tcPr>
          <w:p w14:paraId="7364E319" w14:textId="30E8C075"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Hospital admission</w:t>
            </w:r>
          </w:p>
        </w:tc>
        <w:tc>
          <w:tcPr>
            <w:tcW w:w="0" w:type="auto"/>
          </w:tcPr>
          <w:p w14:paraId="00692A26" w14:textId="05C9878E"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18 (69%)</w:t>
            </w:r>
          </w:p>
        </w:tc>
      </w:tr>
      <w:tr w:rsidR="00334CDA" w:rsidRPr="008A7BCF" w14:paraId="11BAFA4F" w14:textId="77777777" w:rsidTr="00DF3878">
        <w:trPr>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55CCDA23" w14:textId="77777777" w:rsidR="00334CDA" w:rsidRPr="008A7BCF" w:rsidRDefault="00334CDA" w:rsidP="00DF3878">
            <w:pPr>
              <w:pStyle w:val="TableParagraph"/>
            </w:pPr>
          </w:p>
        </w:tc>
        <w:tc>
          <w:tcPr>
            <w:tcW w:w="0" w:type="auto"/>
          </w:tcPr>
          <w:p w14:paraId="2ED95173" w14:textId="6C0E7EA2" w:rsidR="00334CDA" w:rsidRDefault="00334CDA" w:rsidP="00DF3878">
            <w:pPr>
              <w:pStyle w:val="TableParagraph"/>
              <w:cnfStyle w:val="000000000000" w:firstRow="0" w:lastRow="0" w:firstColumn="0" w:lastColumn="0" w:oddVBand="0" w:evenVBand="0" w:oddHBand="0" w:evenHBand="0" w:firstRowFirstColumn="0" w:firstRowLastColumn="0" w:lastRowFirstColumn="0" w:lastRowLastColumn="0"/>
            </w:pPr>
            <w:r>
              <w:t>ICU admission</w:t>
            </w:r>
          </w:p>
        </w:tc>
        <w:tc>
          <w:tcPr>
            <w:tcW w:w="0" w:type="auto"/>
          </w:tcPr>
          <w:p w14:paraId="62166F5C" w14:textId="5A63729E" w:rsidR="00334CDA" w:rsidRDefault="00334CDA" w:rsidP="00DF3878">
            <w:pPr>
              <w:pStyle w:val="TableParagraph"/>
              <w:cnfStyle w:val="000000000000" w:firstRow="0" w:lastRow="0" w:firstColumn="0" w:lastColumn="0" w:oddVBand="0" w:evenVBand="0" w:oddHBand="0" w:evenHBand="0" w:firstRowFirstColumn="0" w:firstRowLastColumn="0" w:lastRowFirstColumn="0" w:lastRowLastColumn="0"/>
            </w:pPr>
            <w:r>
              <w:t>0</w:t>
            </w:r>
          </w:p>
        </w:tc>
      </w:tr>
      <w:tr w:rsidR="00334CDA" w:rsidRPr="008A7BCF" w14:paraId="628B45A0" w14:textId="77777777" w:rsidTr="00DF3878">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tcPr>
          <w:p w14:paraId="4049A843" w14:textId="77777777" w:rsidR="00334CDA" w:rsidRPr="008A7BCF" w:rsidRDefault="00334CDA" w:rsidP="00DF3878">
            <w:pPr>
              <w:pStyle w:val="TableParagraph"/>
            </w:pPr>
          </w:p>
        </w:tc>
        <w:tc>
          <w:tcPr>
            <w:tcW w:w="0" w:type="auto"/>
          </w:tcPr>
          <w:p w14:paraId="64C8E642" w14:textId="40A6DCC3"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Mortality</w:t>
            </w:r>
          </w:p>
        </w:tc>
        <w:tc>
          <w:tcPr>
            <w:tcW w:w="0" w:type="auto"/>
          </w:tcPr>
          <w:p w14:paraId="0A365C9A" w14:textId="134A1450" w:rsidR="00334CDA" w:rsidRDefault="00334CDA" w:rsidP="00DF3878">
            <w:pPr>
              <w:pStyle w:val="TableParagraph"/>
              <w:cnfStyle w:val="000000100000" w:firstRow="0" w:lastRow="0" w:firstColumn="0" w:lastColumn="0" w:oddVBand="0" w:evenVBand="0" w:oddHBand="1" w:evenHBand="0" w:firstRowFirstColumn="0" w:firstRowLastColumn="0" w:lastRowFirstColumn="0" w:lastRowLastColumn="0"/>
            </w:pPr>
            <w:r>
              <w:t>5 (19%)</w:t>
            </w:r>
          </w:p>
        </w:tc>
      </w:tr>
    </w:tbl>
    <w:p w14:paraId="6C2CBC8D" w14:textId="4A5F48C7" w:rsidR="001C5C08" w:rsidRPr="001C5C08" w:rsidRDefault="001C5C08" w:rsidP="001C5C08">
      <w:pPr>
        <w:pStyle w:val="Caption"/>
        <w:rPr>
          <w:sz w:val="20"/>
          <w:szCs w:val="20"/>
        </w:rPr>
      </w:pPr>
      <w:bookmarkStart w:id="3" w:name="_Ref205144253"/>
      <w:r w:rsidRPr="001C5C08">
        <w:rPr>
          <w:sz w:val="20"/>
          <w:szCs w:val="20"/>
        </w:rPr>
        <w:t>S</w:t>
      </w:r>
      <w:bookmarkEnd w:id="3"/>
      <w:r w:rsidRPr="001C5C08">
        <w:rPr>
          <w:sz w:val="20"/>
          <w:szCs w:val="20"/>
        </w:rPr>
        <w:t>upplemental Table 3: Clinical data of included patients.</w:t>
      </w:r>
    </w:p>
    <w:p w14:paraId="0B4A5D8B" w14:textId="75B9F140" w:rsidR="001C5C08" w:rsidRPr="001C5C08" w:rsidRDefault="001C5C08" w:rsidP="001C5C08">
      <w:pPr>
        <w:rPr>
          <w:rFonts w:ascii="Arial" w:hAnsi="Arial" w:cs="Arial"/>
          <w:sz w:val="20"/>
          <w:szCs w:val="20"/>
        </w:rPr>
      </w:pPr>
      <w:r w:rsidRPr="001C5C08">
        <w:rPr>
          <w:rFonts w:ascii="Arial" w:hAnsi="Arial" w:cs="Arial"/>
          <w:sz w:val="20"/>
          <w:szCs w:val="20"/>
        </w:rPr>
        <w:t xml:space="preserve">Abbreviations: COPD: Chronic obstructive airway disease, CRP: C-reactive protein, </w:t>
      </w:r>
      <w:r w:rsidR="00334CDA">
        <w:rPr>
          <w:rFonts w:ascii="Arial" w:hAnsi="Arial" w:cs="Arial"/>
          <w:sz w:val="20"/>
          <w:szCs w:val="20"/>
        </w:rPr>
        <w:t xml:space="preserve">IECOPD: infective exacerbation of COPD, LRTI: Lower respiratory tract infection, </w:t>
      </w:r>
      <w:r w:rsidRPr="001C5C08">
        <w:rPr>
          <w:rFonts w:ascii="Arial" w:hAnsi="Arial" w:cs="Arial"/>
          <w:sz w:val="20"/>
          <w:szCs w:val="20"/>
        </w:rPr>
        <w:t xml:space="preserve">NEWS2: National early warning score -2, </w:t>
      </w:r>
      <w:proofErr w:type="spellStart"/>
      <w:r w:rsidR="00D7620B">
        <w:rPr>
          <w:rFonts w:ascii="Arial" w:hAnsi="Arial" w:cs="Arial"/>
          <w:sz w:val="20"/>
          <w:szCs w:val="20"/>
        </w:rPr>
        <w:t>qSOFA</w:t>
      </w:r>
      <w:proofErr w:type="spellEnd"/>
      <w:r w:rsidR="00D7620B">
        <w:rPr>
          <w:rFonts w:ascii="Arial" w:hAnsi="Arial" w:cs="Arial"/>
          <w:sz w:val="20"/>
          <w:szCs w:val="20"/>
        </w:rPr>
        <w:t xml:space="preserve">: Quick sequential organ failure assessment, </w:t>
      </w:r>
      <w:r w:rsidR="00334CDA">
        <w:rPr>
          <w:rFonts w:ascii="Arial" w:hAnsi="Arial" w:cs="Arial"/>
          <w:sz w:val="20"/>
          <w:szCs w:val="20"/>
        </w:rPr>
        <w:t xml:space="preserve">UTI: Urinary tract infection, </w:t>
      </w:r>
      <w:r w:rsidRPr="001C5C08">
        <w:rPr>
          <w:rFonts w:ascii="Arial" w:hAnsi="Arial" w:cs="Arial"/>
          <w:sz w:val="20"/>
          <w:szCs w:val="20"/>
        </w:rPr>
        <w:t>WBC: White blood cell count</w:t>
      </w:r>
    </w:p>
    <w:p w14:paraId="7115D3E5" w14:textId="77777777" w:rsidR="001C5C08" w:rsidRDefault="001C5C08">
      <w:pPr>
        <w:spacing w:after="0" w:line="240" w:lineRule="auto"/>
        <w:jc w:val="left"/>
        <w:rPr>
          <w:rFonts w:ascii="Arial" w:hAnsi="Arial" w:cs="Arial"/>
          <w:sz w:val="20"/>
          <w:szCs w:val="20"/>
        </w:rPr>
      </w:pPr>
      <w:r>
        <w:rPr>
          <w:rFonts w:ascii="Arial" w:hAnsi="Arial" w:cs="Arial"/>
          <w:sz w:val="20"/>
          <w:szCs w:val="20"/>
        </w:rPr>
        <w:br w:type="page"/>
      </w:r>
    </w:p>
    <w:p w14:paraId="775BEC5E" w14:textId="0DFD7981" w:rsidR="005B57B9" w:rsidRDefault="005B57B9" w:rsidP="00EF5A4B">
      <w:pPr>
        <w:pStyle w:val="Heading1"/>
      </w:pPr>
      <w:r w:rsidRPr="008A7BCF">
        <w:lastRenderedPageBreak/>
        <w:t>Supplementary Figures</w:t>
      </w:r>
    </w:p>
    <w:p w14:paraId="6D71E798" w14:textId="68E48727" w:rsidR="00A10293" w:rsidRPr="008A7BCF" w:rsidRDefault="00BE05DE" w:rsidP="00A10293">
      <w:pPr>
        <w:pStyle w:val="NoSpacing"/>
        <w:rPr>
          <w:lang w:eastAsia="en-GB"/>
        </w:rPr>
      </w:pPr>
      <w:r>
        <w:rPr>
          <w:noProof/>
          <w:lang w:eastAsia="en-GB"/>
          <w14:ligatures w14:val="standardContextual"/>
        </w:rPr>
        <w:drawing>
          <wp:inline distT="0" distB="0" distL="0" distR="0" wp14:anchorId="7FCDFA2C" wp14:editId="42483D17">
            <wp:extent cx="3840878" cy="4844715"/>
            <wp:effectExtent l="0" t="0" r="0" b="0"/>
            <wp:docPr id="254903014"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03014" name="Picture 2" descr="A screenshot of a compu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75766" cy="4888721"/>
                    </a:xfrm>
                    <a:prstGeom prst="rect">
                      <a:avLst/>
                    </a:prstGeom>
                  </pic:spPr>
                </pic:pic>
              </a:graphicData>
            </a:graphic>
          </wp:inline>
        </w:drawing>
      </w:r>
    </w:p>
    <w:p w14:paraId="45CEAC34" w14:textId="7261F89D" w:rsidR="00A10293" w:rsidRPr="008A7BCF" w:rsidRDefault="00A10293" w:rsidP="00A10293">
      <w:pPr>
        <w:pStyle w:val="Heading3"/>
      </w:pPr>
      <w:r w:rsidRPr="008A7BCF">
        <w:t xml:space="preserve">Supplemental Figure </w:t>
      </w:r>
      <w:r>
        <w:t>1</w:t>
      </w:r>
      <w:r w:rsidRPr="008A7BCF">
        <w:t xml:space="preserve">: Effect of antibiotics on </w:t>
      </w:r>
      <w:r w:rsidR="00534C76">
        <w:t>monocyte immunophenotype</w:t>
      </w:r>
      <w:r w:rsidRPr="008A7BCF">
        <w:t>.</w:t>
      </w:r>
    </w:p>
    <w:p w14:paraId="38980ABF" w14:textId="03992C1E" w:rsidR="00A10293" w:rsidRDefault="00C85B0B" w:rsidP="00DB0702">
      <w:pPr>
        <w:pStyle w:val="NoSpacing"/>
      </w:pPr>
      <w:r w:rsidRPr="008A7BCF">
        <w:t xml:space="preserve">PBMCs isolated from patients presenting to the Emergency Department with presumed infection (n=26) were stimulated for 24 hours with amoxicillin (blue </w:t>
      </w:r>
      <w:r>
        <w:t>dot fill</w:t>
      </w:r>
      <w:r w:rsidRPr="008A7BCF">
        <w:t>), cefuroxime (green</w:t>
      </w:r>
      <w:r>
        <w:t xml:space="preserve"> dot fill</w:t>
      </w:r>
      <w:r w:rsidRPr="008A7BCF">
        <w:t xml:space="preserve">), meropenem (purple </w:t>
      </w:r>
      <w:r>
        <w:t>dot fill</w:t>
      </w:r>
      <w:r w:rsidRPr="008A7BCF">
        <w:t xml:space="preserve">), or piperacillin (brown </w:t>
      </w:r>
      <w:r>
        <w:t>dot fill</w:t>
      </w:r>
      <w:r w:rsidRPr="008A7BCF">
        <w:t xml:space="preserve">) and </w:t>
      </w:r>
      <w:r>
        <w:t xml:space="preserve">the </w:t>
      </w:r>
      <w:r w:rsidRPr="008A7BCF">
        <w:t xml:space="preserve">effect on classical monocyte immunophenotype assessed. (a.) </w:t>
      </w:r>
      <w:r w:rsidR="00A870DC">
        <w:t xml:space="preserve">Gating strategy. (b.) </w:t>
      </w:r>
      <w:r w:rsidR="00FC0922">
        <w:t xml:space="preserve">Effect of high dose antibiotics </w:t>
      </w:r>
      <w:r w:rsidR="00334CDA">
        <w:t>compared to</w:t>
      </w:r>
      <w:r w:rsidR="00FC0922">
        <w:t xml:space="preserve"> unstimulated </w:t>
      </w:r>
      <w:r w:rsidR="00710899">
        <w:t>monocytes</w:t>
      </w:r>
      <w:r w:rsidR="00FC0922">
        <w:t xml:space="preserve">, and </w:t>
      </w:r>
      <w:r w:rsidR="00334CDA">
        <w:t xml:space="preserve">effect of co-stimulation with LPS (100ng/ml) and </w:t>
      </w:r>
      <w:r w:rsidR="00FC0922">
        <w:t>(</w:t>
      </w:r>
      <w:r w:rsidR="00A870DC">
        <w:t>c</w:t>
      </w:r>
      <w:r w:rsidR="00FC0922">
        <w:t xml:space="preserve">.) low-dose </w:t>
      </w:r>
      <w:r w:rsidR="00334CDA">
        <w:t xml:space="preserve">or </w:t>
      </w:r>
      <w:r w:rsidR="00FC0922">
        <w:t>(</w:t>
      </w:r>
      <w:r w:rsidR="00A870DC">
        <w:t>d</w:t>
      </w:r>
      <w:r w:rsidR="00FC0922">
        <w:t xml:space="preserve">.) high-dose antibiotics </w:t>
      </w:r>
      <w:r w:rsidR="00334CDA">
        <w:t>compared to</w:t>
      </w:r>
      <w:r w:rsidR="00FC0922">
        <w:t xml:space="preserve"> </w:t>
      </w:r>
      <w:r w:rsidR="00710899">
        <w:t>monocytes</w:t>
      </w:r>
      <w:r w:rsidR="00FC0922">
        <w:t xml:space="preserve"> stimulated with LPS</w:t>
      </w:r>
      <w:r w:rsidR="00334CDA">
        <w:t xml:space="preserve"> alone</w:t>
      </w:r>
      <w:r w:rsidR="00FC0922">
        <w:t xml:space="preserve">, presented as volcano plots. Data analysed using multiple </w:t>
      </w:r>
      <w:r w:rsidR="00334CDA">
        <w:t xml:space="preserve">Wilcoxon </w:t>
      </w:r>
      <w:r w:rsidR="00FC0922">
        <w:t xml:space="preserve">tests; </w:t>
      </w:r>
      <w:r w:rsidR="00DB0702">
        <w:t xml:space="preserve">dots represent individual </w:t>
      </w:r>
      <w:r w:rsidR="00FC0922">
        <w:t>markers</w:t>
      </w:r>
      <w:r w:rsidR="00DB0702">
        <w:t xml:space="preserve"> of immunophenotype with those</w:t>
      </w:r>
      <w:r w:rsidR="00FC0922">
        <w:t xml:space="preserve"> listed in the red shaded area significantly upregulated following adjustment for multiple corrections whilst those below the red shaded area (small font in </w:t>
      </w:r>
      <w:r w:rsidR="00FC0922" w:rsidRPr="00FC0922">
        <w:rPr>
          <w:i/>
          <w:iCs/>
        </w:rPr>
        <w:t>italics</w:t>
      </w:r>
      <w:r w:rsidR="00FC0922">
        <w:t>) were significantly upregulated prior to correction. Those in the blue area were significantly downregulated following adjustment and those below prior to adjustment</w:t>
      </w:r>
      <w:r w:rsidRPr="008A7BCF">
        <w:t xml:space="preserve">. </w:t>
      </w:r>
      <w:r>
        <w:t>(</w:t>
      </w:r>
      <w:r w:rsidR="00A870DC">
        <w:t>e</w:t>
      </w:r>
      <w:r>
        <w:t>.-</w:t>
      </w:r>
      <w:r w:rsidR="00A870DC">
        <w:t>f</w:t>
      </w:r>
      <w:r>
        <w:t xml:space="preserve">.) </w:t>
      </w:r>
      <w:r w:rsidR="00FC0922">
        <w:t xml:space="preserve">Representative dot plots </w:t>
      </w:r>
      <w:r w:rsidR="00DB0702">
        <w:t>of effect of high dose antibiotics on individual immunophenotyp</w:t>
      </w:r>
      <w:r w:rsidR="0087750A">
        <w:t>e</w:t>
      </w:r>
      <w:r w:rsidR="00DB0702">
        <w:t xml:space="preserve"> markers including those associated with (</w:t>
      </w:r>
      <w:r w:rsidR="00A870DC">
        <w:t>e</w:t>
      </w:r>
      <w:r w:rsidR="00DB0702">
        <w:t>.) antigen presentation (</w:t>
      </w:r>
      <w:proofErr w:type="spellStart"/>
      <w:r w:rsidR="00DB0702">
        <w:t>i</w:t>
      </w:r>
      <w:proofErr w:type="spellEnd"/>
      <w:r w:rsidR="00DB0702">
        <w:t xml:space="preserve">. HLA-DR, ii. CD80, iii. CLIP, and iv. CIITA), </w:t>
      </w:r>
      <w:r w:rsidR="00CE66AF">
        <w:t>and</w:t>
      </w:r>
      <w:r w:rsidR="00DB0702">
        <w:t xml:space="preserve"> phagocytosis (</w:t>
      </w:r>
      <w:r w:rsidR="00CE66AF">
        <w:t>v</w:t>
      </w:r>
      <w:r w:rsidR="00DB0702">
        <w:t xml:space="preserve">. CD14, </w:t>
      </w:r>
      <w:r w:rsidR="00CE66AF">
        <w:t>vi</w:t>
      </w:r>
      <w:r w:rsidR="00DB0702">
        <w:t xml:space="preserve">. Nox2), </w:t>
      </w:r>
      <w:r w:rsidR="00CE66AF">
        <w:t>(</w:t>
      </w:r>
      <w:r w:rsidR="00A870DC">
        <w:t>f</w:t>
      </w:r>
      <w:r w:rsidR="00CE66AF">
        <w:t xml:space="preserve">.) </w:t>
      </w:r>
      <w:r w:rsidR="00DB0702">
        <w:t>Chemotaxis (</w:t>
      </w:r>
      <w:proofErr w:type="spellStart"/>
      <w:r w:rsidR="00DB0702">
        <w:t>i</w:t>
      </w:r>
      <w:proofErr w:type="spellEnd"/>
      <w:r w:rsidR="00DB0702">
        <w:t>. CCR2), activation (</w:t>
      </w:r>
      <w:r w:rsidR="00CE66AF">
        <w:t xml:space="preserve">ii. </w:t>
      </w:r>
      <w:r w:rsidR="00DB0702">
        <w:t>NF-</w:t>
      </w:r>
      <w:r w:rsidR="00DB0702">
        <w:sym w:font="Symbol" w:char="F06B"/>
      </w:r>
      <w:r w:rsidR="00DB0702">
        <w:t>B)</w:t>
      </w:r>
      <w:r w:rsidR="00CE66AF">
        <w:t>, and percentage of total monocyte population for (iii.) classical, (iv.) intermediate, and (v.) non-classical monocytes</w:t>
      </w:r>
      <w:r w:rsidR="00DB0702">
        <w:t>. Dots represent individual patients, horizontal bar the median</w:t>
      </w:r>
      <w:r w:rsidR="0087750A">
        <w:t>, whisker</w:t>
      </w:r>
      <w:r w:rsidR="00DB0702">
        <w:t xml:space="preserve"> the inter-quartile range and data analysed using Friedman test with Dunns uncorrected test for multiple comparisons.</w:t>
      </w:r>
      <w:r w:rsidR="00A10293" w:rsidRPr="008A7BCF">
        <w:br w:type="page"/>
      </w:r>
    </w:p>
    <w:p w14:paraId="58339A6F" w14:textId="4005774B" w:rsidR="00334CDA" w:rsidRDefault="00E74513" w:rsidP="00DB0702">
      <w:pPr>
        <w:pStyle w:val="NoSpacing"/>
      </w:pPr>
      <w:r>
        <w:rPr>
          <w:noProof/>
          <w14:ligatures w14:val="standardContextual"/>
        </w:rPr>
        <w:lastRenderedPageBreak/>
        <w:drawing>
          <wp:inline distT="0" distB="0" distL="0" distR="0" wp14:anchorId="2CBE40EE" wp14:editId="706C51C1">
            <wp:extent cx="3589902" cy="6574971"/>
            <wp:effectExtent l="0" t="0" r="4445" b="3810"/>
            <wp:docPr id="387498183"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98183" name="Picture 1" descr="A screenshot of a graph&#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5023" cy="6602665"/>
                    </a:xfrm>
                    <a:prstGeom prst="rect">
                      <a:avLst/>
                    </a:prstGeom>
                  </pic:spPr>
                </pic:pic>
              </a:graphicData>
            </a:graphic>
          </wp:inline>
        </w:drawing>
      </w:r>
    </w:p>
    <w:p w14:paraId="44B8B1B2" w14:textId="5B283DFF" w:rsidR="00334CDA" w:rsidRPr="008A7BCF" w:rsidRDefault="00334CDA" w:rsidP="00334CDA">
      <w:pPr>
        <w:pStyle w:val="Heading3"/>
      </w:pPr>
      <w:r w:rsidRPr="008A7BCF">
        <w:t xml:space="preserve">Supplemental Figure </w:t>
      </w:r>
      <w:r>
        <w:t>2</w:t>
      </w:r>
      <w:r w:rsidRPr="008A7BCF">
        <w:t xml:space="preserve">: </w:t>
      </w:r>
      <w:r>
        <w:t>Heatmap summary of e</w:t>
      </w:r>
      <w:r w:rsidRPr="008A7BCF">
        <w:t xml:space="preserve">ffect of antibiotics on </w:t>
      </w:r>
      <w:r>
        <w:t>monocyte and lymphocyte immunophenotype</w:t>
      </w:r>
      <w:r w:rsidRPr="008A7BCF">
        <w:t>.</w:t>
      </w:r>
    </w:p>
    <w:p w14:paraId="3252E937" w14:textId="30A68B95" w:rsidR="00334CDA" w:rsidRPr="008A7BCF" w:rsidRDefault="00334CDA" w:rsidP="00334CDA">
      <w:pPr>
        <w:pStyle w:val="NoSpacing"/>
      </w:pPr>
      <w:r w:rsidRPr="008A7BCF">
        <w:t xml:space="preserve">PBMCs isolated from patients presenting to the Emergency Department with presumed infection (n=26) were </w:t>
      </w:r>
      <w:r>
        <w:t>incubated with</w:t>
      </w:r>
      <w:r w:rsidRPr="008A7BCF">
        <w:t xml:space="preserve"> amoxicillin, cefuroxime, meropenem, or piperacillin </w:t>
      </w:r>
      <w:r>
        <w:t>f</w:t>
      </w:r>
      <w:r w:rsidRPr="008A7BCF">
        <w:t xml:space="preserve">or 24 hours </w:t>
      </w:r>
      <w:r>
        <w:t>with or without LPS (a. monocytes) or for 72 hours with or without anti-CD3/CD28 beads (b. CD4</w:t>
      </w:r>
      <w:r w:rsidRPr="006C5D2B">
        <w:rPr>
          <w:vertAlign w:val="superscript"/>
        </w:rPr>
        <w:t>+</w:t>
      </w:r>
      <w:r>
        <w:t xml:space="preserve"> and c. CD8</w:t>
      </w:r>
      <w:r w:rsidRPr="006C5D2B">
        <w:rPr>
          <w:vertAlign w:val="superscript"/>
        </w:rPr>
        <w:t>+</w:t>
      </w:r>
      <w:r>
        <w:t xml:space="preserve"> lymphocytes) and the </w:t>
      </w:r>
      <w:r w:rsidRPr="008A7BCF">
        <w:t xml:space="preserve">effect on </w:t>
      </w:r>
      <w:r>
        <w:t>immunophenotype assessed. Data displayed as a heatmap summary</w:t>
      </w:r>
      <w:r w:rsidRPr="00334CDA">
        <w:t xml:space="preserve"> </w:t>
      </w:r>
      <w:r>
        <w:t>of sum of signed ranks calculated using multiple Wilcoxon tests where red signifies an increase and blue a decrease compared to relevant control: antibiotics without additional co-stimulation were compared with an unstimulated control as was LPS/ beads alone, co-stimulated antibiotics and LPS/ beads compared with LPS/ beads alone. Star symbol denotes significant changes. Different doses of each antibiotic used displayed below each graph.</w:t>
      </w:r>
      <w:r w:rsidRPr="008A7BCF">
        <w:br w:type="page"/>
      </w:r>
    </w:p>
    <w:p w14:paraId="20A94264" w14:textId="443C7A44" w:rsidR="00641201" w:rsidRPr="008A7BCF" w:rsidRDefault="00124838">
      <w:pPr>
        <w:spacing w:after="0" w:line="240" w:lineRule="auto"/>
        <w:jc w:val="left"/>
        <w:rPr>
          <w:rFonts w:ascii="Arial" w:hAnsi="Arial" w:cs="Arial"/>
        </w:rPr>
      </w:pPr>
      <w:r>
        <w:rPr>
          <w:rFonts w:ascii="Arial" w:hAnsi="Arial" w:cs="Arial"/>
          <w:noProof/>
          <w14:ligatures w14:val="standardContextual"/>
        </w:rPr>
        <w:lastRenderedPageBreak/>
        <w:drawing>
          <wp:inline distT="0" distB="0" distL="0" distR="0" wp14:anchorId="02BCB2C3" wp14:editId="01BD8A11">
            <wp:extent cx="3953885" cy="5293895"/>
            <wp:effectExtent l="0" t="0" r="0" b="0"/>
            <wp:docPr id="1760440924" name="Picture 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40924" name="Picture 3" descr="A screenshot of a computer screen&#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80389" cy="5329382"/>
                    </a:xfrm>
                    <a:prstGeom prst="rect">
                      <a:avLst/>
                    </a:prstGeom>
                  </pic:spPr>
                </pic:pic>
              </a:graphicData>
            </a:graphic>
          </wp:inline>
        </w:drawing>
      </w:r>
    </w:p>
    <w:p w14:paraId="4856AF51" w14:textId="1DF04AD6" w:rsidR="00641201" w:rsidRPr="008A7BCF" w:rsidRDefault="00641201" w:rsidP="00BB5A05">
      <w:pPr>
        <w:pStyle w:val="Heading3"/>
      </w:pPr>
      <w:r w:rsidRPr="008A7BCF">
        <w:t xml:space="preserve">Supplemental Figure </w:t>
      </w:r>
      <w:r w:rsidR="00334CDA">
        <w:t>3</w:t>
      </w:r>
      <w:r w:rsidRPr="008A7BCF">
        <w:t>: Effect of a</w:t>
      </w:r>
      <w:r w:rsidR="00C23233">
        <w:t xml:space="preserve">ntibiotics on </w:t>
      </w:r>
      <w:r w:rsidR="006F55D8">
        <w:t>CD4</w:t>
      </w:r>
      <w:r w:rsidR="006F55D8" w:rsidRPr="006F55D8">
        <w:rPr>
          <w:vertAlign w:val="superscript"/>
        </w:rPr>
        <w:t>+</w:t>
      </w:r>
      <w:r w:rsidR="006F55D8">
        <w:t xml:space="preserve"> </w:t>
      </w:r>
      <w:r w:rsidR="00534C76">
        <w:t>lymphocyte immunophenotype.</w:t>
      </w:r>
    </w:p>
    <w:p w14:paraId="32B729F8" w14:textId="0ABBB152" w:rsidR="00334CDA" w:rsidRDefault="00710899" w:rsidP="00334CDA">
      <w:pPr>
        <w:pStyle w:val="NoSpacing"/>
      </w:pPr>
      <w:r w:rsidRPr="008A7BCF">
        <w:t xml:space="preserve">PBMCs isolated from patients presenting to the Emergency Department with presumed infection (n=26) were stimulated for 24 hours with amoxicillin (blue </w:t>
      </w:r>
      <w:r>
        <w:t>dot fill</w:t>
      </w:r>
      <w:r w:rsidRPr="008A7BCF">
        <w:t>), cefuroxime (green</w:t>
      </w:r>
      <w:r>
        <w:t xml:space="preserve"> dot fill</w:t>
      </w:r>
      <w:r w:rsidRPr="008A7BCF">
        <w:t xml:space="preserve">), meropenem (purple </w:t>
      </w:r>
      <w:r>
        <w:t>dot fill</w:t>
      </w:r>
      <w:r w:rsidRPr="008A7BCF">
        <w:t xml:space="preserve">), or piperacillin (brown </w:t>
      </w:r>
      <w:r>
        <w:t>dot fill</w:t>
      </w:r>
      <w:r w:rsidRPr="008A7BCF">
        <w:t xml:space="preserve">) and </w:t>
      </w:r>
      <w:r>
        <w:t xml:space="preserve">the </w:t>
      </w:r>
      <w:r w:rsidRPr="008A7BCF">
        <w:t xml:space="preserve">effect on </w:t>
      </w:r>
      <w:r>
        <w:t>CD4</w:t>
      </w:r>
      <w:r w:rsidRPr="00710899">
        <w:rPr>
          <w:vertAlign w:val="superscript"/>
        </w:rPr>
        <w:t>+</w:t>
      </w:r>
      <w:r>
        <w:t xml:space="preserve"> lymph</w:t>
      </w:r>
      <w:r w:rsidRPr="008A7BCF">
        <w:t xml:space="preserve">ocyte immunophenotype assessed. (a.) </w:t>
      </w:r>
      <w:r w:rsidR="00A870DC">
        <w:t xml:space="preserve">Gating </w:t>
      </w:r>
      <w:proofErr w:type="spellStart"/>
      <w:r w:rsidR="00A870DC">
        <w:t>stretgy</w:t>
      </w:r>
      <w:proofErr w:type="spellEnd"/>
      <w:r w:rsidR="00A870DC">
        <w:t xml:space="preserve">. (b.) </w:t>
      </w:r>
      <w:r>
        <w:t xml:space="preserve">Effect of high dose antibiotics </w:t>
      </w:r>
      <w:r w:rsidR="00334CDA">
        <w:t>compared to</w:t>
      </w:r>
      <w:r>
        <w:t xml:space="preserve"> unstimulated CD4</w:t>
      </w:r>
      <w:r w:rsidRPr="00710899">
        <w:rPr>
          <w:vertAlign w:val="superscript"/>
        </w:rPr>
        <w:t>+</w:t>
      </w:r>
      <w:r>
        <w:t xml:space="preserve"> lymph</w:t>
      </w:r>
      <w:r w:rsidRPr="008A7BCF">
        <w:t>ocyte</w:t>
      </w:r>
      <w:r>
        <w:t xml:space="preserve">s, and </w:t>
      </w:r>
      <w:r w:rsidR="00334CDA">
        <w:t xml:space="preserve">effect of co-stimulation with anti-CD3/CD28 beads (4:1 bead: PBMCs) and </w:t>
      </w:r>
      <w:r>
        <w:t>(</w:t>
      </w:r>
      <w:r w:rsidR="00A870DC">
        <w:t>c</w:t>
      </w:r>
      <w:r>
        <w:t xml:space="preserve">.) low-dose </w:t>
      </w:r>
      <w:r w:rsidR="00334CDA">
        <w:t xml:space="preserve">or </w:t>
      </w:r>
      <w:r>
        <w:t>(</w:t>
      </w:r>
      <w:r w:rsidR="00A870DC">
        <w:t>d</w:t>
      </w:r>
      <w:r>
        <w:t>.) high-dose antibiotics on CD4</w:t>
      </w:r>
      <w:r w:rsidRPr="00710899">
        <w:rPr>
          <w:vertAlign w:val="superscript"/>
        </w:rPr>
        <w:t>+</w:t>
      </w:r>
      <w:r>
        <w:t xml:space="preserve"> lymph</w:t>
      </w:r>
      <w:r w:rsidRPr="008A7BCF">
        <w:t>ocyte</w:t>
      </w:r>
      <w:r>
        <w:t xml:space="preserve">s stimulated with anti-CD3/CD28 beads </w:t>
      </w:r>
      <w:r w:rsidR="00334CDA">
        <w:t>alone</w:t>
      </w:r>
      <w:r>
        <w:t xml:space="preserve">, presented as volcano plots. Data analysed using multiple </w:t>
      </w:r>
      <w:r w:rsidR="00334CDA">
        <w:t xml:space="preserve">Wilcoxon </w:t>
      </w:r>
      <w:r>
        <w:t xml:space="preserve">tests; dots represent individual markers of immunophenotype with those listed in the red shaded area significantly upregulated following adjustment for multiple corrections whilst those below the red shaded area (small font in </w:t>
      </w:r>
      <w:r w:rsidRPr="00FC0922">
        <w:rPr>
          <w:i/>
          <w:iCs/>
        </w:rPr>
        <w:t>italics</w:t>
      </w:r>
      <w:r>
        <w:t>) were significantly upregulated prior to correction. Those in the blue area were significantly downregulated following adjustment and those below prior to adjustment</w:t>
      </w:r>
      <w:r w:rsidRPr="008A7BCF">
        <w:t xml:space="preserve">. </w:t>
      </w:r>
      <w:r>
        <w:t>(</w:t>
      </w:r>
      <w:r w:rsidR="00A870DC">
        <w:t>e</w:t>
      </w:r>
      <w:r>
        <w:t>.-</w:t>
      </w:r>
      <w:r w:rsidR="00A870DC">
        <w:t>f</w:t>
      </w:r>
      <w:r>
        <w:t>.) Representative dot plots of effect of high dose antibiotics on individual immunophenotype markers including those associated with (</w:t>
      </w:r>
      <w:r w:rsidR="00A870DC">
        <w:t>e</w:t>
      </w:r>
      <w:r>
        <w:t>.) activation (</w:t>
      </w:r>
      <w:proofErr w:type="spellStart"/>
      <w:r>
        <w:t>i</w:t>
      </w:r>
      <w:proofErr w:type="spellEnd"/>
      <w:r>
        <w:t>. T-cell receptor/CD3), cell death (ii. PD-1, iii. viability), and proliferation (iv. IL-7R, v. %Divided cells)</w:t>
      </w:r>
      <w:r w:rsidR="00A870DC">
        <w:t>, and (f.) percentage of (</w:t>
      </w:r>
      <w:proofErr w:type="spellStart"/>
      <w:r w:rsidR="00A870DC">
        <w:t>i</w:t>
      </w:r>
      <w:proofErr w:type="spellEnd"/>
      <w:r w:rsidR="00A870DC">
        <w:t>.) T</w:t>
      </w:r>
      <w:r w:rsidR="00A870DC" w:rsidRPr="006C5D2B">
        <w:rPr>
          <w:vertAlign w:val="subscript"/>
        </w:rPr>
        <w:t>h1</w:t>
      </w:r>
      <w:r w:rsidR="00A870DC">
        <w:t>, (ii.) T</w:t>
      </w:r>
      <w:r w:rsidR="00A870DC" w:rsidRPr="006C5D2B">
        <w:rPr>
          <w:vertAlign w:val="subscript"/>
        </w:rPr>
        <w:t>h2</w:t>
      </w:r>
      <w:r w:rsidR="00A870DC">
        <w:t>, (iii.) T</w:t>
      </w:r>
      <w:r w:rsidR="00A870DC" w:rsidRPr="006C5D2B">
        <w:rPr>
          <w:vertAlign w:val="subscript"/>
        </w:rPr>
        <w:t>h17</w:t>
      </w:r>
      <w:r w:rsidR="00A870DC">
        <w:t>, and (iv.) T</w:t>
      </w:r>
      <w:r w:rsidR="00A870DC" w:rsidRPr="006C5D2B">
        <w:rPr>
          <w:vertAlign w:val="subscript"/>
        </w:rPr>
        <w:t>reg</w:t>
      </w:r>
      <w:r w:rsidR="00A870DC">
        <w:t xml:space="preserve"> populations.</w:t>
      </w:r>
      <w:r>
        <w:t xml:space="preserve"> Dots represent individual patients, horizontal bar the median, whisker the inter-quartile range and data analysed using Friedman test with Dunns uncorrected test for multiple comparisons.</w:t>
      </w:r>
      <w:r w:rsidR="00334CDA">
        <w:br w:type="page"/>
      </w:r>
    </w:p>
    <w:p w14:paraId="0CFFD806" w14:textId="7DB4ABEB" w:rsidR="00641201" w:rsidRDefault="00A870DC" w:rsidP="00534C76">
      <w:pPr>
        <w:pStyle w:val="NoSpacing"/>
      </w:pPr>
      <w:r>
        <w:rPr>
          <w:noProof/>
          <w14:ligatures w14:val="standardContextual"/>
        </w:rPr>
        <w:lastRenderedPageBreak/>
        <w:drawing>
          <wp:inline distT="0" distB="0" distL="0" distR="0" wp14:anchorId="17345D52" wp14:editId="0D39E973">
            <wp:extent cx="5731510" cy="5386705"/>
            <wp:effectExtent l="0" t="0" r="0" b="0"/>
            <wp:docPr id="260583321" name="Picture 4"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83321" name="Picture 4" descr="A screenshot of a video gam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386705"/>
                    </a:xfrm>
                    <a:prstGeom prst="rect">
                      <a:avLst/>
                    </a:prstGeom>
                  </pic:spPr>
                </pic:pic>
              </a:graphicData>
            </a:graphic>
          </wp:inline>
        </w:drawing>
      </w:r>
    </w:p>
    <w:p w14:paraId="76AA1E6F" w14:textId="3585D0C4" w:rsidR="00710899" w:rsidRPr="008A7BCF" w:rsidRDefault="00710899" w:rsidP="00710899">
      <w:pPr>
        <w:pStyle w:val="Heading3"/>
      </w:pPr>
      <w:r w:rsidRPr="008A7BCF">
        <w:t xml:space="preserve">Supplemental Figure </w:t>
      </w:r>
      <w:r w:rsidR="00334CDA">
        <w:t>4</w:t>
      </w:r>
      <w:r w:rsidRPr="008A7BCF">
        <w:t>: Effect of a</w:t>
      </w:r>
      <w:r>
        <w:t>ntibiotics on CD8</w:t>
      </w:r>
      <w:r w:rsidRPr="006F55D8">
        <w:rPr>
          <w:vertAlign w:val="superscript"/>
        </w:rPr>
        <w:t>+</w:t>
      </w:r>
      <w:r>
        <w:t xml:space="preserve"> lymphocyte immunophenotype.</w:t>
      </w:r>
    </w:p>
    <w:p w14:paraId="60B36540" w14:textId="6B564E5B" w:rsidR="006F55D8" w:rsidRDefault="00710899" w:rsidP="00710899">
      <w:pPr>
        <w:pStyle w:val="NoSpacing"/>
      </w:pPr>
      <w:r w:rsidRPr="008A7BCF">
        <w:t xml:space="preserve">PBMCs isolated from patients presenting to the Emergency Department with presumed infection (n=26) were stimulated for 24 hours with amoxicillin (blue </w:t>
      </w:r>
      <w:r>
        <w:t>dot fill</w:t>
      </w:r>
      <w:r w:rsidRPr="008A7BCF">
        <w:t>), cefuroxime (green</w:t>
      </w:r>
      <w:r>
        <w:t xml:space="preserve"> dot fill</w:t>
      </w:r>
      <w:r w:rsidRPr="008A7BCF">
        <w:t xml:space="preserve">), meropenem (purple </w:t>
      </w:r>
      <w:r>
        <w:t>dot fill</w:t>
      </w:r>
      <w:r w:rsidRPr="008A7BCF">
        <w:t xml:space="preserve">), or piperacillin (brown </w:t>
      </w:r>
      <w:r>
        <w:t>dot fill</w:t>
      </w:r>
      <w:r w:rsidRPr="008A7BCF">
        <w:t xml:space="preserve">) and </w:t>
      </w:r>
      <w:r>
        <w:t xml:space="preserve">the </w:t>
      </w:r>
      <w:r w:rsidRPr="008A7BCF">
        <w:t xml:space="preserve">effect on </w:t>
      </w:r>
      <w:r>
        <w:t>CD8</w:t>
      </w:r>
      <w:r w:rsidRPr="00710899">
        <w:rPr>
          <w:vertAlign w:val="superscript"/>
        </w:rPr>
        <w:t>+</w:t>
      </w:r>
      <w:r>
        <w:t xml:space="preserve"> lymph</w:t>
      </w:r>
      <w:r w:rsidRPr="008A7BCF">
        <w:t xml:space="preserve">ocyte immunophenotype assessed. (a.) </w:t>
      </w:r>
      <w:r>
        <w:t xml:space="preserve">Effect of high dose antibiotics </w:t>
      </w:r>
      <w:r w:rsidR="00334CDA">
        <w:t xml:space="preserve">compared to </w:t>
      </w:r>
      <w:r>
        <w:t>unstimulated CD8</w:t>
      </w:r>
      <w:r w:rsidRPr="00710899">
        <w:rPr>
          <w:vertAlign w:val="superscript"/>
        </w:rPr>
        <w:t>+</w:t>
      </w:r>
      <w:r>
        <w:t xml:space="preserve"> lymph</w:t>
      </w:r>
      <w:r w:rsidRPr="008A7BCF">
        <w:t>ocyte</w:t>
      </w:r>
      <w:r>
        <w:t xml:space="preserve">s, and </w:t>
      </w:r>
      <w:r w:rsidR="00334CDA">
        <w:t xml:space="preserve">effect of co-stimulation with anti-CD3/CD28 beads (4:1 bead: PBMCs) and </w:t>
      </w:r>
      <w:r>
        <w:t xml:space="preserve">(b.) low-dose </w:t>
      </w:r>
      <w:r w:rsidR="00334CDA">
        <w:t xml:space="preserve">or </w:t>
      </w:r>
      <w:r>
        <w:t>(c.) high-dose antibiotics on CD8</w:t>
      </w:r>
      <w:r w:rsidRPr="00710899">
        <w:rPr>
          <w:vertAlign w:val="superscript"/>
        </w:rPr>
        <w:t>+</w:t>
      </w:r>
      <w:r>
        <w:t xml:space="preserve"> lymph</w:t>
      </w:r>
      <w:r w:rsidRPr="008A7BCF">
        <w:t>ocyte</w:t>
      </w:r>
      <w:r>
        <w:t xml:space="preserve">s stimulated with anti-CD3/CD28 beads </w:t>
      </w:r>
      <w:r w:rsidR="00334CDA">
        <w:t>alone</w:t>
      </w:r>
      <w:r>
        <w:t xml:space="preserve">, presented as volcano plots. Data analysed using multiple </w:t>
      </w:r>
      <w:r w:rsidR="00334CDA">
        <w:t xml:space="preserve">Wilcoxon </w:t>
      </w:r>
      <w:r>
        <w:t xml:space="preserve">tests; dots represent individual markers of immunophenotype with those listed in the red shaded area significantly upregulated following adjustment for multiple corrections whilst those below the red shaded area (small font in </w:t>
      </w:r>
      <w:r w:rsidRPr="00FC0922">
        <w:rPr>
          <w:i/>
          <w:iCs/>
        </w:rPr>
        <w:t>italics</w:t>
      </w:r>
      <w:r>
        <w:t>) were significantly upregulated prior to correction. Those in the blue area were significantly downregulated following adjustment and those below prior to adjustment</w:t>
      </w:r>
      <w:r w:rsidRPr="008A7BCF">
        <w:t>.</w:t>
      </w:r>
      <w:r w:rsidR="00A870DC" w:rsidRPr="00A870DC">
        <w:t xml:space="preserve"> </w:t>
      </w:r>
      <w:r w:rsidR="00A870DC">
        <w:t>(d.) Representative dot plots of effect of high dose antibiotics on percentage of (</w:t>
      </w:r>
      <w:proofErr w:type="spellStart"/>
      <w:r w:rsidR="00A870DC">
        <w:t>i</w:t>
      </w:r>
      <w:proofErr w:type="spellEnd"/>
      <w:r w:rsidR="00A870DC">
        <w:t>.) T</w:t>
      </w:r>
      <w:r w:rsidR="00A870DC">
        <w:rPr>
          <w:vertAlign w:val="subscript"/>
        </w:rPr>
        <w:t>c</w:t>
      </w:r>
      <w:r w:rsidR="00A870DC" w:rsidRPr="00DF3878">
        <w:rPr>
          <w:vertAlign w:val="subscript"/>
        </w:rPr>
        <w:t>1</w:t>
      </w:r>
      <w:r w:rsidR="00A870DC">
        <w:t>, (ii.) T</w:t>
      </w:r>
      <w:r w:rsidR="00A870DC">
        <w:rPr>
          <w:vertAlign w:val="subscript"/>
        </w:rPr>
        <w:t>c</w:t>
      </w:r>
      <w:r w:rsidR="00A870DC" w:rsidRPr="00DF3878">
        <w:rPr>
          <w:vertAlign w:val="subscript"/>
        </w:rPr>
        <w:t>2</w:t>
      </w:r>
      <w:r w:rsidR="00A870DC">
        <w:t>, and (iii.) T</w:t>
      </w:r>
      <w:r w:rsidR="00A870DC">
        <w:rPr>
          <w:vertAlign w:val="subscript"/>
        </w:rPr>
        <w:t>c</w:t>
      </w:r>
      <w:r w:rsidR="00A870DC" w:rsidRPr="00DF3878">
        <w:rPr>
          <w:vertAlign w:val="subscript"/>
        </w:rPr>
        <w:t>17</w:t>
      </w:r>
      <w:r w:rsidR="00A870DC">
        <w:t xml:space="preserve"> populations. Dots represent individual patients, horizontal bar the median, whisker the inter-quartile range and data analysed using Friedman test with Dunns uncorrected test for multiple comparisons.</w:t>
      </w:r>
    </w:p>
    <w:p w14:paraId="03D276B7" w14:textId="3C210AB2" w:rsidR="006F55D8" w:rsidRDefault="006F55D8">
      <w:pPr>
        <w:spacing w:after="0" w:line="240" w:lineRule="auto"/>
        <w:jc w:val="left"/>
        <w:rPr>
          <w:rFonts w:ascii="Arial" w:hAnsi="Arial" w:cs="Arial"/>
          <w:lang w:val="en-GB"/>
        </w:rPr>
      </w:pPr>
      <w:r>
        <w:br w:type="page"/>
      </w:r>
    </w:p>
    <w:p w14:paraId="5AA41BB0" w14:textId="01CC9944" w:rsidR="006F55D8" w:rsidRDefault="00334CDA" w:rsidP="00534C76">
      <w:pPr>
        <w:pStyle w:val="NoSpacing"/>
      </w:pPr>
      <w:r>
        <w:rPr>
          <w:noProof/>
          <w14:ligatures w14:val="standardContextual"/>
        </w:rPr>
        <w:lastRenderedPageBreak/>
        <w:drawing>
          <wp:inline distT="0" distB="0" distL="0" distR="0" wp14:anchorId="21207EE0" wp14:editId="664A1FE7">
            <wp:extent cx="5731510" cy="3866515"/>
            <wp:effectExtent l="0" t="0" r="0" b="0"/>
            <wp:docPr id="633205856" name="Picture 7" descr="A group of graphs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05856" name="Picture 7" descr="A group of graphs showing different colored lin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66515"/>
                    </a:xfrm>
                    <a:prstGeom prst="rect">
                      <a:avLst/>
                    </a:prstGeom>
                  </pic:spPr>
                </pic:pic>
              </a:graphicData>
            </a:graphic>
          </wp:inline>
        </w:drawing>
      </w:r>
    </w:p>
    <w:p w14:paraId="629FC6B9" w14:textId="6908FA62" w:rsidR="00710899" w:rsidRDefault="00710899" w:rsidP="00710899">
      <w:pPr>
        <w:pStyle w:val="Heading3"/>
      </w:pPr>
      <w:r w:rsidRPr="008A7BCF">
        <w:t xml:space="preserve">Supplemental Figure </w:t>
      </w:r>
      <w:r w:rsidR="00334CDA">
        <w:t>5</w:t>
      </w:r>
      <w:r w:rsidRPr="008A7BCF">
        <w:t>: Effect of a</w:t>
      </w:r>
      <w:r>
        <w:t xml:space="preserve">ntibiotics on released </w:t>
      </w:r>
      <w:r w:rsidR="00C16C13">
        <w:t>supernatant cytokines</w:t>
      </w:r>
    </w:p>
    <w:p w14:paraId="27C367E0" w14:textId="187A6F39" w:rsidR="00C16C13" w:rsidRDefault="00C16C13" w:rsidP="00C16C13">
      <w:pPr>
        <w:pStyle w:val="NoSpacing"/>
      </w:pPr>
      <w:r w:rsidRPr="008A7BCF">
        <w:t xml:space="preserve">PBMCs isolated from patients presenting to the Emergency Department with presumed infection (n=26) were </w:t>
      </w:r>
      <w:r>
        <w:t>incubated with</w:t>
      </w:r>
      <w:r w:rsidRPr="008A7BCF">
        <w:t xml:space="preserve"> amoxicillin (blue </w:t>
      </w:r>
      <w:r>
        <w:t>dot fill</w:t>
      </w:r>
      <w:r w:rsidRPr="008A7BCF">
        <w:t>), cefuroxime (green</w:t>
      </w:r>
      <w:r>
        <w:t xml:space="preserve"> dot fill</w:t>
      </w:r>
      <w:r w:rsidRPr="008A7BCF">
        <w:t xml:space="preserve">), meropenem (purple </w:t>
      </w:r>
      <w:r>
        <w:t>dot fill</w:t>
      </w:r>
      <w:r w:rsidRPr="008A7BCF">
        <w:t xml:space="preserve">), or piperacillin (brown </w:t>
      </w:r>
      <w:r>
        <w:t>dot fill</w:t>
      </w:r>
      <w:r w:rsidRPr="008A7BCF">
        <w:t xml:space="preserve">) </w:t>
      </w:r>
      <w:r>
        <w:t>f</w:t>
      </w:r>
      <w:r w:rsidRPr="008A7BCF">
        <w:t xml:space="preserve">or 24 hours </w:t>
      </w:r>
      <w:r>
        <w:t>(a. monocytes) with or without LPS (monocytes) or for 72 hours with or without anti-CD3</w:t>
      </w:r>
      <w:r w:rsidR="00334CDA">
        <w:t>/</w:t>
      </w:r>
      <w:r>
        <w:t xml:space="preserve">CD28 beads (b. lymphocytes) and the </w:t>
      </w:r>
      <w:r w:rsidRPr="008A7BCF">
        <w:t xml:space="preserve">effect on </w:t>
      </w:r>
      <w:r>
        <w:t>released supernatant cytokine measured. Relevant monocytes cytokines included (</w:t>
      </w:r>
      <w:proofErr w:type="spellStart"/>
      <w:r>
        <w:t>a.i.</w:t>
      </w:r>
      <w:proofErr w:type="spellEnd"/>
      <w:r>
        <w:t>) IL-1</w:t>
      </w:r>
      <w:r>
        <w:sym w:font="Symbol" w:char="F062"/>
      </w:r>
      <w:r>
        <w:t>, (</w:t>
      </w:r>
      <w:proofErr w:type="spellStart"/>
      <w:r>
        <w:t>a.ii</w:t>
      </w:r>
      <w:proofErr w:type="spellEnd"/>
      <w:r>
        <w:t>.) IL-10 and (</w:t>
      </w:r>
      <w:proofErr w:type="spellStart"/>
      <w:r>
        <w:t>a.iii</w:t>
      </w:r>
      <w:proofErr w:type="spellEnd"/>
      <w:r>
        <w:t>.) TNF-</w:t>
      </w:r>
      <w:r>
        <w:sym w:font="Symbol" w:char="F061"/>
      </w:r>
      <w:r>
        <w:t>. Relevant lymph</w:t>
      </w:r>
      <w:r w:rsidRPr="008A7BCF">
        <w:t xml:space="preserve">ocyte </w:t>
      </w:r>
      <w:r>
        <w:t>cytokines included (</w:t>
      </w:r>
      <w:proofErr w:type="spellStart"/>
      <w:r>
        <w:t>b.i.</w:t>
      </w:r>
      <w:proofErr w:type="spellEnd"/>
      <w:r>
        <w:t>) IFN-</w:t>
      </w:r>
      <w:r>
        <w:sym w:font="Symbol" w:char="F067"/>
      </w:r>
      <w:r>
        <w:t xml:space="preserve"> and (</w:t>
      </w:r>
      <w:proofErr w:type="spellStart"/>
      <w:r>
        <w:t>b.ii</w:t>
      </w:r>
      <w:proofErr w:type="spellEnd"/>
      <w:r>
        <w:t>.) IL-10. Data displayed as dot plots where dots represent individual patients, horizontal bar the median, whisker the inter-quartile range and data analysed using Friedman test with Dunns uncorrected test for multiple comparisons.</w:t>
      </w:r>
    </w:p>
    <w:p w14:paraId="4BEB9517" w14:textId="1CE84342" w:rsidR="00C16C13" w:rsidRPr="00C16C13" w:rsidRDefault="00C16C13" w:rsidP="00C16C13">
      <w:pPr>
        <w:rPr>
          <w:lang w:val="en-GB"/>
        </w:rPr>
      </w:pPr>
    </w:p>
    <w:sectPr w:rsidR="00C16C13" w:rsidRPr="00C16C13">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1E159" w14:textId="77777777" w:rsidR="00B130B5" w:rsidRDefault="00B130B5" w:rsidP="00F7010D">
      <w:pPr>
        <w:spacing w:after="0" w:line="240" w:lineRule="auto"/>
      </w:pPr>
      <w:r>
        <w:separator/>
      </w:r>
    </w:p>
  </w:endnote>
  <w:endnote w:type="continuationSeparator" w:id="0">
    <w:p w14:paraId="040A0B74" w14:textId="77777777" w:rsidR="00B130B5" w:rsidRDefault="00B130B5" w:rsidP="00F70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ill Sans MT">
    <w:panose1 w:val="020B0502020104020203"/>
    <w:charset w:val="4D"/>
    <w:family w:val="swiss"/>
    <w:pitch w:val="variable"/>
    <w:sig w:usb0="00000003" w:usb1="00000000" w:usb2="00000000" w:usb3="00000000" w:csb0="0000000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4297901"/>
      <w:docPartObj>
        <w:docPartGallery w:val="Page Numbers (Bottom of Page)"/>
        <w:docPartUnique/>
      </w:docPartObj>
    </w:sdtPr>
    <w:sdtContent>
      <w:p w14:paraId="6DE887F5" w14:textId="09440E5A" w:rsidR="00AC3E4C" w:rsidRDefault="00AC3E4C" w:rsidP="006B66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B2112D" w14:textId="77777777" w:rsidR="00AC3E4C" w:rsidRDefault="00AC3E4C" w:rsidP="00AC3E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226815"/>
      <w:docPartObj>
        <w:docPartGallery w:val="Page Numbers (Bottom of Page)"/>
        <w:docPartUnique/>
      </w:docPartObj>
    </w:sdtPr>
    <w:sdtContent>
      <w:p w14:paraId="3C6247C9" w14:textId="55521B05" w:rsidR="00AC3E4C" w:rsidRDefault="00AC3E4C" w:rsidP="006B66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BBEB351" w14:textId="77777777" w:rsidR="00AC3E4C" w:rsidRDefault="00AC3E4C" w:rsidP="00AC3E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CD9D4" w14:textId="77777777" w:rsidR="00B130B5" w:rsidRDefault="00B130B5" w:rsidP="00F7010D">
      <w:pPr>
        <w:spacing w:after="0" w:line="240" w:lineRule="auto"/>
      </w:pPr>
      <w:r>
        <w:separator/>
      </w:r>
    </w:p>
  </w:footnote>
  <w:footnote w:type="continuationSeparator" w:id="0">
    <w:p w14:paraId="08EB8C60" w14:textId="77777777" w:rsidR="00B130B5" w:rsidRDefault="00B130B5" w:rsidP="00F70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E3CF7"/>
    <w:multiLevelType w:val="hybridMultilevel"/>
    <w:tmpl w:val="3CFCFA3A"/>
    <w:lvl w:ilvl="0" w:tplc="4528794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4D2CE1"/>
    <w:multiLevelType w:val="hybridMultilevel"/>
    <w:tmpl w:val="511C2036"/>
    <w:lvl w:ilvl="0" w:tplc="22E4EF6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5D1160"/>
    <w:multiLevelType w:val="hybridMultilevel"/>
    <w:tmpl w:val="A9C0D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1760127">
    <w:abstractNumId w:val="2"/>
  </w:num>
  <w:num w:numId="2" w16cid:durableId="1050766373">
    <w:abstractNumId w:val="0"/>
  </w:num>
  <w:num w:numId="3" w16cid:durableId="2104908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Gill Sans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2p5r9agpvrpbewzsap52fe0ta5xdvr0rf9&quot;&gt;Sepsis ABx Paper&lt;record-ids&gt;&lt;item&gt;1&lt;/item&gt;&lt;item&gt;4&lt;/item&gt;&lt;item&gt;8&lt;/item&gt;&lt;item&gt;11&lt;/item&gt;&lt;item&gt;12&lt;/item&gt;&lt;item&gt;14&lt;/item&gt;&lt;item&gt;20&lt;/item&gt;&lt;item&gt;41&lt;/item&gt;&lt;item&gt;46&lt;/item&gt;&lt;item&gt;47&lt;/item&gt;&lt;item&gt;51&lt;/item&gt;&lt;item&gt;57&lt;/item&gt;&lt;item&gt;58&lt;/item&gt;&lt;item&gt;60&lt;/item&gt;&lt;item&gt;68&lt;/item&gt;&lt;item&gt;69&lt;/item&gt;&lt;item&gt;72&lt;/item&gt;&lt;item&gt;73&lt;/item&gt;&lt;item&gt;74&lt;/item&gt;&lt;item&gt;76&lt;/item&gt;&lt;/record-ids&gt;&lt;/item&gt;&lt;/Libraries&gt;"/>
  </w:docVars>
  <w:rsids>
    <w:rsidRoot w:val="00655AB0"/>
    <w:rsid w:val="000053EB"/>
    <w:rsid w:val="00011598"/>
    <w:rsid w:val="000156FE"/>
    <w:rsid w:val="00016552"/>
    <w:rsid w:val="0002049F"/>
    <w:rsid w:val="00021F12"/>
    <w:rsid w:val="00023686"/>
    <w:rsid w:val="00023A05"/>
    <w:rsid w:val="0003201B"/>
    <w:rsid w:val="0003377B"/>
    <w:rsid w:val="000469DC"/>
    <w:rsid w:val="00046BFD"/>
    <w:rsid w:val="000470AF"/>
    <w:rsid w:val="000522DA"/>
    <w:rsid w:val="0005510D"/>
    <w:rsid w:val="00056AD0"/>
    <w:rsid w:val="00057432"/>
    <w:rsid w:val="00060330"/>
    <w:rsid w:val="00072273"/>
    <w:rsid w:val="00080BC8"/>
    <w:rsid w:val="00082BC8"/>
    <w:rsid w:val="000830B3"/>
    <w:rsid w:val="00084BAE"/>
    <w:rsid w:val="00086C81"/>
    <w:rsid w:val="00087F54"/>
    <w:rsid w:val="0009001F"/>
    <w:rsid w:val="0009096E"/>
    <w:rsid w:val="000931D7"/>
    <w:rsid w:val="00097233"/>
    <w:rsid w:val="000A03E2"/>
    <w:rsid w:val="000A343D"/>
    <w:rsid w:val="000A4CD4"/>
    <w:rsid w:val="000A6FD3"/>
    <w:rsid w:val="000B0ABD"/>
    <w:rsid w:val="000B6302"/>
    <w:rsid w:val="000B6EEC"/>
    <w:rsid w:val="000D0D1A"/>
    <w:rsid w:val="000D29AB"/>
    <w:rsid w:val="000D35D9"/>
    <w:rsid w:val="000D376A"/>
    <w:rsid w:val="000D4C86"/>
    <w:rsid w:val="000D676D"/>
    <w:rsid w:val="000E0B75"/>
    <w:rsid w:val="000E19E4"/>
    <w:rsid w:val="000E3A6C"/>
    <w:rsid w:val="000E4E37"/>
    <w:rsid w:val="000E6CCB"/>
    <w:rsid w:val="000E7BB2"/>
    <w:rsid w:val="000E7F5A"/>
    <w:rsid w:val="000F0BC2"/>
    <w:rsid w:val="000F3910"/>
    <w:rsid w:val="00100075"/>
    <w:rsid w:val="0010258A"/>
    <w:rsid w:val="001046FE"/>
    <w:rsid w:val="00104A1F"/>
    <w:rsid w:val="001051F3"/>
    <w:rsid w:val="00112665"/>
    <w:rsid w:val="00122E37"/>
    <w:rsid w:val="00123379"/>
    <w:rsid w:val="00123E9C"/>
    <w:rsid w:val="00124838"/>
    <w:rsid w:val="00124AC1"/>
    <w:rsid w:val="0013456A"/>
    <w:rsid w:val="00134C81"/>
    <w:rsid w:val="00137C95"/>
    <w:rsid w:val="0014010E"/>
    <w:rsid w:val="00143BCF"/>
    <w:rsid w:val="001442F5"/>
    <w:rsid w:val="0014610A"/>
    <w:rsid w:val="00152A17"/>
    <w:rsid w:val="001572C9"/>
    <w:rsid w:val="0015740F"/>
    <w:rsid w:val="001672DA"/>
    <w:rsid w:val="0017511C"/>
    <w:rsid w:val="00175EA6"/>
    <w:rsid w:val="001810C6"/>
    <w:rsid w:val="001A035E"/>
    <w:rsid w:val="001A0536"/>
    <w:rsid w:val="001A599D"/>
    <w:rsid w:val="001A5D71"/>
    <w:rsid w:val="001A7D65"/>
    <w:rsid w:val="001B0B22"/>
    <w:rsid w:val="001B3472"/>
    <w:rsid w:val="001B4005"/>
    <w:rsid w:val="001B5F2E"/>
    <w:rsid w:val="001B63B9"/>
    <w:rsid w:val="001C07BC"/>
    <w:rsid w:val="001C4BB8"/>
    <w:rsid w:val="001C5C08"/>
    <w:rsid w:val="001D269F"/>
    <w:rsid w:val="001D27BA"/>
    <w:rsid w:val="001D3FEF"/>
    <w:rsid w:val="001D4453"/>
    <w:rsid w:val="001D4FFB"/>
    <w:rsid w:val="001D71A1"/>
    <w:rsid w:val="001E0BE9"/>
    <w:rsid w:val="001E26B6"/>
    <w:rsid w:val="001E2EE3"/>
    <w:rsid w:val="001E36E8"/>
    <w:rsid w:val="001E703E"/>
    <w:rsid w:val="001E7B41"/>
    <w:rsid w:val="001F3358"/>
    <w:rsid w:val="001F3D88"/>
    <w:rsid w:val="002024C8"/>
    <w:rsid w:val="00202BE6"/>
    <w:rsid w:val="00202C7E"/>
    <w:rsid w:val="00203467"/>
    <w:rsid w:val="00206300"/>
    <w:rsid w:val="002109DD"/>
    <w:rsid w:val="00213B7B"/>
    <w:rsid w:val="00215346"/>
    <w:rsid w:val="00217722"/>
    <w:rsid w:val="002216A1"/>
    <w:rsid w:val="002236EA"/>
    <w:rsid w:val="0023017D"/>
    <w:rsid w:val="00232E96"/>
    <w:rsid w:val="00237356"/>
    <w:rsid w:val="00240F2E"/>
    <w:rsid w:val="00244B9B"/>
    <w:rsid w:val="00244D42"/>
    <w:rsid w:val="00245284"/>
    <w:rsid w:val="00245C86"/>
    <w:rsid w:val="00246D20"/>
    <w:rsid w:val="00252858"/>
    <w:rsid w:val="002540C5"/>
    <w:rsid w:val="002543E8"/>
    <w:rsid w:val="00254976"/>
    <w:rsid w:val="00255396"/>
    <w:rsid w:val="0025700E"/>
    <w:rsid w:val="0026231A"/>
    <w:rsid w:val="00271DCA"/>
    <w:rsid w:val="00273E46"/>
    <w:rsid w:val="0027431A"/>
    <w:rsid w:val="0027567A"/>
    <w:rsid w:val="00275E92"/>
    <w:rsid w:val="00283963"/>
    <w:rsid w:val="00284224"/>
    <w:rsid w:val="00285E7D"/>
    <w:rsid w:val="00291ABD"/>
    <w:rsid w:val="00291D4B"/>
    <w:rsid w:val="00297496"/>
    <w:rsid w:val="00297E27"/>
    <w:rsid w:val="002B0B41"/>
    <w:rsid w:val="002B4ABC"/>
    <w:rsid w:val="002C197C"/>
    <w:rsid w:val="002D0C66"/>
    <w:rsid w:val="002D330C"/>
    <w:rsid w:val="002D5A8F"/>
    <w:rsid w:val="002D5E1D"/>
    <w:rsid w:val="002D7082"/>
    <w:rsid w:val="002E2A0E"/>
    <w:rsid w:val="002E6F59"/>
    <w:rsid w:val="002E7F07"/>
    <w:rsid w:val="002F549D"/>
    <w:rsid w:val="00302B42"/>
    <w:rsid w:val="003032E0"/>
    <w:rsid w:val="00303A5F"/>
    <w:rsid w:val="00305752"/>
    <w:rsid w:val="00312CE2"/>
    <w:rsid w:val="00324423"/>
    <w:rsid w:val="00331C59"/>
    <w:rsid w:val="00333579"/>
    <w:rsid w:val="00333F9E"/>
    <w:rsid w:val="00334CDA"/>
    <w:rsid w:val="00336F6D"/>
    <w:rsid w:val="00346BA1"/>
    <w:rsid w:val="00351825"/>
    <w:rsid w:val="00357D20"/>
    <w:rsid w:val="00367AFC"/>
    <w:rsid w:val="00370AC1"/>
    <w:rsid w:val="003712AF"/>
    <w:rsid w:val="00374C01"/>
    <w:rsid w:val="0037694A"/>
    <w:rsid w:val="003779E4"/>
    <w:rsid w:val="00381855"/>
    <w:rsid w:val="0038270F"/>
    <w:rsid w:val="00383224"/>
    <w:rsid w:val="00385061"/>
    <w:rsid w:val="00387FC9"/>
    <w:rsid w:val="00391E21"/>
    <w:rsid w:val="00392F0B"/>
    <w:rsid w:val="00393D1A"/>
    <w:rsid w:val="003972A3"/>
    <w:rsid w:val="003A1A17"/>
    <w:rsid w:val="003A50F7"/>
    <w:rsid w:val="003A62C7"/>
    <w:rsid w:val="003A6C50"/>
    <w:rsid w:val="003B3DEE"/>
    <w:rsid w:val="003B4A17"/>
    <w:rsid w:val="003B4C30"/>
    <w:rsid w:val="003B6A81"/>
    <w:rsid w:val="003B6CAD"/>
    <w:rsid w:val="003C0BF6"/>
    <w:rsid w:val="003C1430"/>
    <w:rsid w:val="003C4386"/>
    <w:rsid w:val="003C4BFD"/>
    <w:rsid w:val="003D54CE"/>
    <w:rsid w:val="003D6394"/>
    <w:rsid w:val="003E28DA"/>
    <w:rsid w:val="003E4CE2"/>
    <w:rsid w:val="003F0874"/>
    <w:rsid w:val="003F110E"/>
    <w:rsid w:val="003F3D2F"/>
    <w:rsid w:val="003F69B3"/>
    <w:rsid w:val="00403BE4"/>
    <w:rsid w:val="00411D5B"/>
    <w:rsid w:val="00416285"/>
    <w:rsid w:val="00417071"/>
    <w:rsid w:val="00420369"/>
    <w:rsid w:val="00424641"/>
    <w:rsid w:val="004305E9"/>
    <w:rsid w:val="00430793"/>
    <w:rsid w:val="00437B0F"/>
    <w:rsid w:val="004411FE"/>
    <w:rsid w:val="00441719"/>
    <w:rsid w:val="00443F0B"/>
    <w:rsid w:val="00451E99"/>
    <w:rsid w:val="004608C9"/>
    <w:rsid w:val="00461D59"/>
    <w:rsid w:val="004628CB"/>
    <w:rsid w:val="004635C4"/>
    <w:rsid w:val="00466672"/>
    <w:rsid w:val="004720CB"/>
    <w:rsid w:val="004747EF"/>
    <w:rsid w:val="004763C8"/>
    <w:rsid w:val="004766C9"/>
    <w:rsid w:val="00476DAF"/>
    <w:rsid w:val="00483640"/>
    <w:rsid w:val="0048518F"/>
    <w:rsid w:val="004854F0"/>
    <w:rsid w:val="00486BFC"/>
    <w:rsid w:val="00490712"/>
    <w:rsid w:val="004A1E56"/>
    <w:rsid w:val="004A7113"/>
    <w:rsid w:val="004A737A"/>
    <w:rsid w:val="004B1809"/>
    <w:rsid w:val="004C077B"/>
    <w:rsid w:val="004C1F5E"/>
    <w:rsid w:val="004C6268"/>
    <w:rsid w:val="004D1588"/>
    <w:rsid w:val="004E2240"/>
    <w:rsid w:val="004E7786"/>
    <w:rsid w:val="004F1918"/>
    <w:rsid w:val="004F795B"/>
    <w:rsid w:val="00503E6A"/>
    <w:rsid w:val="00503FAB"/>
    <w:rsid w:val="00506B50"/>
    <w:rsid w:val="00515509"/>
    <w:rsid w:val="005165E0"/>
    <w:rsid w:val="00517D74"/>
    <w:rsid w:val="00524047"/>
    <w:rsid w:val="00526486"/>
    <w:rsid w:val="00531C00"/>
    <w:rsid w:val="00532D78"/>
    <w:rsid w:val="0053352D"/>
    <w:rsid w:val="00534C76"/>
    <w:rsid w:val="00534FDC"/>
    <w:rsid w:val="0053517A"/>
    <w:rsid w:val="00536229"/>
    <w:rsid w:val="0055073F"/>
    <w:rsid w:val="005534B1"/>
    <w:rsid w:val="005556DC"/>
    <w:rsid w:val="005575A2"/>
    <w:rsid w:val="00563839"/>
    <w:rsid w:val="00567CC5"/>
    <w:rsid w:val="005726FD"/>
    <w:rsid w:val="005727A3"/>
    <w:rsid w:val="00572FCF"/>
    <w:rsid w:val="00576A6A"/>
    <w:rsid w:val="005850F7"/>
    <w:rsid w:val="005877B9"/>
    <w:rsid w:val="00592C09"/>
    <w:rsid w:val="00593D11"/>
    <w:rsid w:val="005942CA"/>
    <w:rsid w:val="00596232"/>
    <w:rsid w:val="005A4AE2"/>
    <w:rsid w:val="005A5577"/>
    <w:rsid w:val="005B318F"/>
    <w:rsid w:val="005B38B0"/>
    <w:rsid w:val="005B52B7"/>
    <w:rsid w:val="005B57B9"/>
    <w:rsid w:val="005C01AF"/>
    <w:rsid w:val="005C5A85"/>
    <w:rsid w:val="005D18E8"/>
    <w:rsid w:val="005D3400"/>
    <w:rsid w:val="005D390F"/>
    <w:rsid w:val="005D3B74"/>
    <w:rsid w:val="005D62B1"/>
    <w:rsid w:val="005D7F83"/>
    <w:rsid w:val="005E3990"/>
    <w:rsid w:val="005F38C3"/>
    <w:rsid w:val="005F6601"/>
    <w:rsid w:val="005F7338"/>
    <w:rsid w:val="005F74E6"/>
    <w:rsid w:val="005F77A6"/>
    <w:rsid w:val="00600352"/>
    <w:rsid w:val="00606A29"/>
    <w:rsid w:val="006072D0"/>
    <w:rsid w:val="0060768B"/>
    <w:rsid w:val="00615EEC"/>
    <w:rsid w:val="00616887"/>
    <w:rsid w:val="00617A4A"/>
    <w:rsid w:val="00623038"/>
    <w:rsid w:val="00624BDF"/>
    <w:rsid w:val="00627E1C"/>
    <w:rsid w:val="006303E4"/>
    <w:rsid w:val="00635D76"/>
    <w:rsid w:val="00641201"/>
    <w:rsid w:val="0064534B"/>
    <w:rsid w:val="006456B1"/>
    <w:rsid w:val="006458FA"/>
    <w:rsid w:val="00645D21"/>
    <w:rsid w:val="006474E7"/>
    <w:rsid w:val="006518D3"/>
    <w:rsid w:val="00655AB0"/>
    <w:rsid w:val="00656D33"/>
    <w:rsid w:val="0066187E"/>
    <w:rsid w:val="0066296D"/>
    <w:rsid w:val="006646E0"/>
    <w:rsid w:val="00665551"/>
    <w:rsid w:val="0067182F"/>
    <w:rsid w:val="00680E44"/>
    <w:rsid w:val="00683733"/>
    <w:rsid w:val="006846A3"/>
    <w:rsid w:val="006955D6"/>
    <w:rsid w:val="006A47F5"/>
    <w:rsid w:val="006A6E5D"/>
    <w:rsid w:val="006A7C56"/>
    <w:rsid w:val="006B219B"/>
    <w:rsid w:val="006B3559"/>
    <w:rsid w:val="006B39B2"/>
    <w:rsid w:val="006B3C0E"/>
    <w:rsid w:val="006B56E7"/>
    <w:rsid w:val="006B63AD"/>
    <w:rsid w:val="006C3663"/>
    <w:rsid w:val="006C5815"/>
    <w:rsid w:val="006C5D2B"/>
    <w:rsid w:val="006C65E9"/>
    <w:rsid w:val="006C66DD"/>
    <w:rsid w:val="006D6A4C"/>
    <w:rsid w:val="006D7BB0"/>
    <w:rsid w:val="006E6103"/>
    <w:rsid w:val="006F3E6A"/>
    <w:rsid w:val="006F55D8"/>
    <w:rsid w:val="006F66F9"/>
    <w:rsid w:val="006F681A"/>
    <w:rsid w:val="006F6C7D"/>
    <w:rsid w:val="00703BAB"/>
    <w:rsid w:val="007044B0"/>
    <w:rsid w:val="007053A8"/>
    <w:rsid w:val="00710899"/>
    <w:rsid w:val="00713327"/>
    <w:rsid w:val="00717379"/>
    <w:rsid w:val="00725DEB"/>
    <w:rsid w:val="00730A7D"/>
    <w:rsid w:val="007328DC"/>
    <w:rsid w:val="00732A71"/>
    <w:rsid w:val="00732B87"/>
    <w:rsid w:val="00736639"/>
    <w:rsid w:val="00741928"/>
    <w:rsid w:val="00750CAF"/>
    <w:rsid w:val="0075206B"/>
    <w:rsid w:val="00754238"/>
    <w:rsid w:val="0075453C"/>
    <w:rsid w:val="00760787"/>
    <w:rsid w:val="00761BB0"/>
    <w:rsid w:val="007632C0"/>
    <w:rsid w:val="00765B67"/>
    <w:rsid w:val="00770A12"/>
    <w:rsid w:val="00770A2C"/>
    <w:rsid w:val="00770E6E"/>
    <w:rsid w:val="00773DB0"/>
    <w:rsid w:val="0077459B"/>
    <w:rsid w:val="0078185F"/>
    <w:rsid w:val="0078673D"/>
    <w:rsid w:val="007956BF"/>
    <w:rsid w:val="00797FAE"/>
    <w:rsid w:val="007B13C8"/>
    <w:rsid w:val="007B2D2C"/>
    <w:rsid w:val="007C22CC"/>
    <w:rsid w:val="007C4BEF"/>
    <w:rsid w:val="007C6FC6"/>
    <w:rsid w:val="007C74EF"/>
    <w:rsid w:val="007C74F0"/>
    <w:rsid w:val="007C75B0"/>
    <w:rsid w:val="007D05D9"/>
    <w:rsid w:val="007D563F"/>
    <w:rsid w:val="007D6187"/>
    <w:rsid w:val="007E2B77"/>
    <w:rsid w:val="007E4616"/>
    <w:rsid w:val="007E66F4"/>
    <w:rsid w:val="007E6900"/>
    <w:rsid w:val="007F0304"/>
    <w:rsid w:val="007F211F"/>
    <w:rsid w:val="008014D8"/>
    <w:rsid w:val="008017B9"/>
    <w:rsid w:val="00803F90"/>
    <w:rsid w:val="00804C10"/>
    <w:rsid w:val="00804F03"/>
    <w:rsid w:val="00804F62"/>
    <w:rsid w:val="00805C33"/>
    <w:rsid w:val="00806852"/>
    <w:rsid w:val="00811486"/>
    <w:rsid w:val="00815001"/>
    <w:rsid w:val="008216D2"/>
    <w:rsid w:val="00822537"/>
    <w:rsid w:val="0082747A"/>
    <w:rsid w:val="0083318A"/>
    <w:rsid w:val="00834DF4"/>
    <w:rsid w:val="00843587"/>
    <w:rsid w:val="008442B9"/>
    <w:rsid w:val="0084483E"/>
    <w:rsid w:val="00845A74"/>
    <w:rsid w:val="008474C0"/>
    <w:rsid w:val="00847DA6"/>
    <w:rsid w:val="008525BD"/>
    <w:rsid w:val="00852D5A"/>
    <w:rsid w:val="00853ECC"/>
    <w:rsid w:val="00854388"/>
    <w:rsid w:val="00856234"/>
    <w:rsid w:val="00861427"/>
    <w:rsid w:val="00864028"/>
    <w:rsid w:val="008731D4"/>
    <w:rsid w:val="00875E74"/>
    <w:rsid w:val="00876202"/>
    <w:rsid w:val="00876795"/>
    <w:rsid w:val="0087750A"/>
    <w:rsid w:val="008809AC"/>
    <w:rsid w:val="008838EE"/>
    <w:rsid w:val="00887A53"/>
    <w:rsid w:val="00887C1E"/>
    <w:rsid w:val="008907D1"/>
    <w:rsid w:val="00897298"/>
    <w:rsid w:val="00897941"/>
    <w:rsid w:val="008A11F0"/>
    <w:rsid w:val="008A124C"/>
    <w:rsid w:val="008A1704"/>
    <w:rsid w:val="008A474E"/>
    <w:rsid w:val="008A7BCF"/>
    <w:rsid w:val="008A7C0C"/>
    <w:rsid w:val="008B020C"/>
    <w:rsid w:val="008B1127"/>
    <w:rsid w:val="008B4031"/>
    <w:rsid w:val="008B49EA"/>
    <w:rsid w:val="008B4DFC"/>
    <w:rsid w:val="008B542F"/>
    <w:rsid w:val="008B5F05"/>
    <w:rsid w:val="008B5FAF"/>
    <w:rsid w:val="008C3387"/>
    <w:rsid w:val="008C54C0"/>
    <w:rsid w:val="008C7105"/>
    <w:rsid w:val="008C735C"/>
    <w:rsid w:val="008C7BB7"/>
    <w:rsid w:val="008E4BF4"/>
    <w:rsid w:val="008E5654"/>
    <w:rsid w:val="008E5BF4"/>
    <w:rsid w:val="008E747F"/>
    <w:rsid w:val="008E7FE6"/>
    <w:rsid w:val="008F5341"/>
    <w:rsid w:val="008F558B"/>
    <w:rsid w:val="008F73DE"/>
    <w:rsid w:val="00904314"/>
    <w:rsid w:val="00904DEF"/>
    <w:rsid w:val="00905EC1"/>
    <w:rsid w:val="00912D33"/>
    <w:rsid w:val="00913283"/>
    <w:rsid w:val="009147DC"/>
    <w:rsid w:val="0091507F"/>
    <w:rsid w:val="00932570"/>
    <w:rsid w:val="009327A2"/>
    <w:rsid w:val="009346E4"/>
    <w:rsid w:val="00937A0D"/>
    <w:rsid w:val="009409B5"/>
    <w:rsid w:val="009443C5"/>
    <w:rsid w:val="009456FB"/>
    <w:rsid w:val="00950D98"/>
    <w:rsid w:val="009519F3"/>
    <w:rsid w:val="0095230A"/>
    <w:rsid w:val="00952396"/>
    <w:rsid w:val="00952936"/>
    <w:rsid w:val="00954BF9"/>
    <w:rsid w:val="00954EA0"/>
    <w:rsid w:val="00956791"/>
    <w:rsid w:val="00960721"/>
    <w:rsid w:val="009617B1"/>
    <w:rsid w:val="00964CEC"/>
    <w:rsid w:val="009659E5"/>
    <w:rsid w:val="00972109"/>
    <w:rsid w:val="00972651"/>
    <w:rsid w:val="00972E84"/>
    <w:rsid w:val="00974C77"/>
    <w:rsid w:val="00977708"/>
    <w:rsid w:val="00983952"/>
    <w:rsid w:val="00984E04"/>
    <w:rsid w:val="00986CB2"/>
    <w:rsid w:val="00990BE6"/>
    <w:rsid w:val="00991DEB"/>
    <w:rsid w:val="009956F4"/>
    <w:rsid w:val="009A3925"/>
    <w:rsid w:val="009A3C45"/>
    <w:rsid w:val="009A3D9B"/>
    <w:rsid w:val="009B247D"/>
    <w:rsid w:val="009B28D1"/>
    <w:rsid w:val="009B31B6"/>
    <w:rsid w:val="009C3456"/>
    <w:rsid w:val="009C380D"/>
    <w:rsid w:val="009C4723"/>
    <w:rsid w:val="009C5964"/>
    <w:rsid w:val="009C6DB3"/>
    <w:rsid w:val="009C6E9A"/>
    <w:rsid w:val="009C788D"/>
    <w:rsid w:val="009D30C5"/>
    <w:rsid w:val="009E32C2"/>
    <w:rsid w:val="009E485C"/>
    <w:rsid w:val="009E72BB"/>
    <w:rsid w:val="009F0B59"/>
    <w:rsid w:val="009F27DE"/>
    <w:rsid w:val="009F3068"/>
    <w:rsid w:val="009F4698"/>
    <w:rsid w:val="009F57D0"/>
    <w:rsid w:val="009F61E7"/>
    <w:rsid w:val="00A03716"/>
    <w:rsid w:val="00A10293"/>
    <w:rsid w:val="00A10791"/>
    <w:rsid w:val="00A14F68"/>
    <w:rsid w:val="00A17EC4"/>
    <w:rsid w:val="00A2182F"/>
    <w:rsid w:val="00A226A5"/>
    <w:rsid w:val="00A277DC"/>
    <w:rsid w:val="00A309BB"/>
    <w:rsid w:val="00A30C45"/>
    <w:rsid w:val="00A31684"/>
    <w:rsid w:val="00A35E35"/>
    <w:rsid w:val="00A4101C"/>
    <w:rsid w:val="00A424C5"/>
    <w:rsid w:val="00A43AED"/>
    <w:rsid w:val="00A50967"/>
    <w:rsid w:val="00A51AD8"/>
    <w:rsid w:val="00A52A02"/>
    <w:rsid w:val="00A536CA"/>
    <w:rsid w:val="00A64786"/>
    <w:rsid w:val="00A70D9C"/>
    <w:rsid w:val="00A70F72"/>
    <w:rsid w:val="00A71A6B"/>
    <w:rsid w:val="00A7249C"/>
    <w:rsid w:val="00A7330D"/>
    <w:rsid w:val="00A73E48"/>
    <w:rsid w:val="00A81954"/>
    <w:rsid w:val="00A82BD1"/>
    <w:rsid w:val="00A857E7"/>
    <w:rsid w:val="00A86EE5"/>
    <w:rsid w:val="00A870DC"/>
    <w:rsid w:val="00A92C0E"/>
    <w:rsid w:val="00A93F81"/>
    <w:rsid w:val="00AA27D3"/>
    <w:rsid w:val="00AA4B2A"/>
    <w:rsid w:val="00AB2D7A"/>
    <w:rsid w:val="00AB3240"/>
    <w:rsid w:val="00AB75CF"/>
    <w:rsid w:val="00AC12D9"/>
    <w:rsid w:val="00AC3E4C"/>
    <w:rsid w:val="00AC5F35"/>
    <w:rsid w:val="00AC616B"/>
    <w:rsid w:val="00AC770B"/>
    <w:rsid w:val="00AD3DE9"/>
    <w:rsid w:val="00AD6A68"/>
    <w:rsid w:val="00AE38E3"/>
    <w:rsid w:val="00AE45AA"/>
    <w:rsid w:val="00AF1E41"/>
    <w:rsid w:val="00AF1F68"/>
    <w:rsid w:val="00AF3DAC"/>
    <w:rsid w:val="00B046C3"/>
    <w:rsid w:val="00B104FC"/>
    <w:rsid w:val="00B11D5F"/>
    <w:rsid w:val="00B1291E"/>
    <w:rsid w:val="00B130B5"/>
    <w:rsid w:val="00B135EA"/>
    <w:rsid w:val="00B13FC9"/>
    <w:rsid w:val="00B16019"/>
    <w:rsid w:val="00B22426"/>
    <w:rsid w:val="00B23667"/>
    <w:rsid w:val="00B23D9C"/>
    <w:rsid w:val="00B31542"/>
    <w:rsid w:val="00B31916"/>
    <w:rsid w:val="00B32098"/>
    <w:rsid w:val="00B320C0"/>
    <w:rsid w:val="00B335F9"/>
    <w:rsid w:val="00B34340"/>
    <w:rsid w:val="00B36189"/>
    <w:rsid w:val="00B40B12"/>
    <w:rsid w:val="00B43792"/>
    <w:rsid w:val="00B4504B"/>
    <w:rsid w:val="00B50E8B"/>
    <w:rsid w:val="00B54287"/>
    <w:rsid w:val="00B56807"/>
    <w:rsid w:val="00B61E16"/>
    <w:rsid w:val="00B6237D"/>
    <w:rsid w:val="00B63605"/>
    <w:rsid w:val="00B6380E"/>
    <w:rsid w:val="00B64BA1"/>
    <w:rsid w:val="00B66E9B"/>
    <w:rsid w:val="00B77F5C"/>
    <w:rsid w:val="00B82D66"/>
    <w:rsid w:val="00B8591E"/>
    <w:rsid w:val="00B8694A"/>
    <w:rsid w:val="00B9144F"/>
    <w:rsid w:val="00B92140"/>
    <w:rsid w:val="00B95436"/>
    <w:rsid w:val="00B95D5B"/>
    <w:rsid w:val="00B96485"/>
    <w:rsid w:val="00B97DB7"/>
    <w:rsid w:val="00BA067C"/>
    <w:rsid w:val="00BA07C8"/>
    <w:rsid w:val="00BA33F8"/>
    <w:rsid w:val="00BA5C43"/>
    <w:rsid w:val="00BA7E31"/>
    <w:rsid w:val="00BB5A05"/>
    <w:rsid w:val="00BB782F"/>
    <w:rsid w:val="00BB7FA2"/>
    <w:rsid w:val="00BC0E83"/>
    <w:rsid w:val="00BC357A"/>
    <w:rsid w:val="00BC36A6"/>
    <w:rsid w:val="00BC4A3A"/>
    <w:rsid w:val="00BC68DD"/>
    <w:rsid w:val="00BD17FE"/>
    <w:rsid w:val="00BD45A7"/>
    <w:rsid w:val="00BD6F55"/>
    <w:rsid w:val="00BE05DE"/>
    <w:rsid w:val="00BE27D6"/>
    <w:rsid w:val="00BE31C2"/>
    <w:rsid w:val="00BE6779"/>
    <w:rsid w:val="00BE6A02"/>
    <w:rsid w:val="00BE75CB"/>
    <w:rsid w:val="00BF232F"/>
    <w:rsid w:val="00BF5AB8"/>
    <w:rsid w:val="00C01AB9"/>
    <w:rsid w:val="00C035C7"/>
    <w:rsid w:val="00C044AC"/>
    <w:rsid w:val="00C047C6"/>
    <w:rsid w:val="00C10B43"/>
    <w:rsid w:val="00C139DD"/>
    <w:rsid w:val="00C1608C"/>
    <w:rsid w:val="00C16C13"/>
    <w:rsid w:val="00C2248E"/>
    <w:rsid w:val="00C23233"/>
    <w:rsid w:val="00C24199"/>
    <w:rsid w:val="00C25903"/>
    <w:rsid w:val="00C2665C"/>
    <w:rsid w:val="00C33B31"/>
    <w:rsid w:val="00C33E07"/>
    <w:rsid w:val="00C41382"/>
    <w:rsid w:val="00C4151C"/>
    <w:rsid w:val="00C45780"/>
    <w:rsid w:val="00C46292"/>
    <w:rsid w:val="00C500F1"/>
    <w:rsid w:val="00C50836"/>
    <w:rsid w:val="00C53242"/>
    <w:rsid w:val="00C540F8"/>
    <w:rsid w:val="00C54380"/>
    <w:rsid w:val="00C5526F"/>
    <w:rsid w:val="00C553B9"/>
    <w:rsid w:val="00C609A0"/>
    <w:rsid w:val="00C619E3"/>
    <w:rsid w:val="00C62A79"/>
    <w:rsid w:val="00C6416D"/>
    <w:rsid w:val="00C665BC"/>
    <w:rsid w:val="00C7756A"/>
    <w:rsid w:val="00C8079E"/>
    <w:rsid w:val="00C81ADA"/>
    <w:rsid w:val="00C829D4"/>
    <w:rsid w:val="00C82B08"/>
    <w:rsid w:val="00C833E1"/>
    <w:rsid w:val="00C85B0B"/>
    <w:rsid w:val="00C9117E"/>
    <w:rsid w:val="00C922F4"/>
    <w:rsid w:val="00C932B4"/>
    <w:rsid w:val="00CA1019"/>
    <w:rsid w:val="00CA1568"/>
    <w:rsid w:val="00CA626B"/>
    <w:rsid w:val="00CB19D8"/>
    <w:rsid w:val="00CB2DE1"/>
    <w:rsid w:val="00CB392B"/>
    <w:rsid w:val="00CB44B1"/>
    <w:rsid w:val="00CD54AC"/>
    <w:rsid w:val="00CD5665"/>
    <w:rsid w:val="00CE008A"/>
    <w:rsid w:val="00CE2BE0"/>
    <w:rsid w:val="00CE66AF"/>
    <w:rsid w:val="00CF0427"/>
    <w:rsid w:val="00CF0C5C"/>
    <w:rsid w:val="00CF193B"/>
    <w:rsid w:val="00CF1AC7"/>
    <w:rsid w:val="00CF2903"/>
    <w:rsid w:val="00CF3607"/>
    <w:rsid w:val="00CF4096"/>
    <w:rsid w:val="00CF5C1D"/>
    <w:rsid w:val="00CF69DF"/>
    <w:rsid w:val="00D016B4"/>
    <w:rsid w:val="00D02EA9"/>
    <w:rsid w:val="00D055B5"/>
    <w:rsid w:val="00D07A98"/>
    <w:rsid w:val="00D118F0"/>
    <w:rsid w:val="00D161A2"/>
    <w:rsid w:val="00D171A6"/>
    <w:rsid w:val="00D210CE"/>
    <w:rsid w:val="00D23D72"/>
    <w:rsid w:val="00D33996"/>
    <w:rsid w:val="00D342A4"/>
    <w:rsid w:val="00D42B21"/>
    <w:rsid w:val="00D42EFD"/>
    <w:rsid w:val="00D45543"/>
    <w:rsid w:val="00D5055A"/>
    <w:rsid w:val="00D518DB"/>
    <w:rsid w:val="00D51FA1"/>
    <w:rsid w:val="00D701AD"/>
    <w:rsid w:val="00D70A9D"/>
    <w:rsid w:val="00D71A8C"/>
    <w:rsid w:val="00D72EC8"/>
    <w:rsid w:val="00D7544A"/>
    <w:rsid w:val="00D7620B"/>
    <w:rsid w:val="00D7636E"/>
    <w:rsid w:val="00D76D8C"/>
    <w:rsid w:val="00D7732F"/>
    <w:rsid w:val="00D8307B"/>
    <w:rsid w:val="00D848B5"/>
    <w:rsid w:val="00D86AA7"/>
    <w:rsid w:val="00D94052"/>
    <w:rsid w:val="00D9483D"/>
    <w:rsid w:val="00D97C27"/>
    <w:rsid w:val="00D97F59"/>
    <w:rsid w:val="00DA3997"/>
    <w:rsid w:val="00DA5AAB"/>
    <w:rsid w:val="00DB053D"/>
    <w:rsid w:val="00DB0702"/>
    <w:rsid w:val="00DB147A"/>
    <w:rsid w:val="00DB22E5"/>
    <w:rsid w:val="00DB39D0"/>
    <w:rsid w:val="00DB4E5B"/>
    <w:rsid w:val="00DC15A5"/>
    <w:rsid w:val="00DC1996"/>
    <w:rsid w:val="00DC22EF"/>
    <w:rsid w:val="00DC6F04"/>
    <w:rsid w:val="00DC702E"/>
    <w:rsid w:val="00DC76E3"/>
    <w:rsid w:val="00DC7D3B"/>
    <w:rsid w:val="00DD2962"/>
    <w:rsid w:val="00DD4544"/>
    <w:rsid w:val="00DD45D3"/>
    <w:rsid w:val="00DD5ACC"/>
    <w:rsid w:val="00DE03C9"/>
    <w:rsid w:val="00DE59D5"/>
    <w:rsid w:val="00DE5A65"/>
    <w:rsid w:val="00DF0BD5"/>
    <w:rsid w:val="00DF4AF5"/>
    <w:rsid w:val="00E01B42"/>
    <w:rsid w:val="00E06945"/>
    <w:rsid w:val="00E14D1D"/>
    <w:rsid w:val="00E23644"/>
    <w:rsid w:val="00E23E54"/>
    <w:rsid w:val="00E31FD3"/>
    <w:rsid w:val="00E32E94"/>
    <w:rsid w:val="00E347A1"/>
    <w:rsid w:val="00E36F73"/>
    <w:rsid w:val="00E42B08"/>
    <w:rsid w:val="00E43536"/>
    <w:rsid w:val="00E45FAF"/>
    <w:rsid w:val="00E51466"/>
    <w:rsid w:val="00E51CA2"/>
    <w:rsid w:val="00E54D97"/>
    <w:rsid w:val="00E6055B"/>
    <w:rsid w:val="00E61516"/>
    <w:rsid w:val="00E6748A"/>
    <w:rsid w:val="00E7426A"/>
    <w:rsid w:val="00E74513"/>
    <w:rsid w:val="00E75BB9"/>
    <w:rsid w:val="00E779BD"/>
    <w:rsid w:val="00E77F67"/>
    <w:rsid w:val="00E8154F"/>
    <w:rsid w:val="00E81559"/>
    <w:rsid w:val="00E83D25"/>
    <w:rsid w:val="00E86BDA"/>
    <w:rsid w:val="00E87804"/>
    <w:rsid w:val="00E90A42"/>
    <w:rsid w:val="00E9282A"/>
    <w:rsid w:val="00E9328E"/>
    <w:rsid w:val="00E9527F"/>
    <w:rsid w:val="00E97DA5"/>
    <w:rsid w:val="00EA0739"/>
    <w:rsid w:val="00EA1441"/>
    <w:rsid w:val="00EA467D"/>
    <w:rsid w:val="00EB0866"/>
    <w:rsid w:val="00EB58DA"/>
    <w:rsid w:val="00EB645D"/>
    <w:rsid w:val="00EC05C0"/>
    <w:rsid w:val="00EC4F08"/>
    <w:rsid w:val="00EC5D37"/>
    <w:rsid w:val="00ED0E3F"/>
    <w:rsid w:val="00ED13AC"/>
    <w:rsid w:val="00ED4811"/>
    <w:rsid w:val="00ED56C1"/>
    <w:rsid w:val="00EE0BDF"/>
    <w:rsid w:val="00EE415C"/>
    <w:rsid w:val="00EF07A8"/>
    <w:rsid w:val="00EF109B"/>
    <w:rsid w:val="00EF1B4C"/>
    <w:rsid w:val="00EF1EFB"/>
    <w:rsid w:val="00EF3478"/>
    <w:rsid w:val="00EF4022"/>
    <w:rsid w:val="00EF522F"/>
    <w:rsid w:val="00EF5A4B"/>
    <w:rsid w:val="00EF71F8"/>
    <w:rsid w:val="00EF7508"/>
    <w:rsid w:val="00EF766D"/>
    <w:rsid w:val="00F117B5"/>
    <w:rsid w:val="00F16E78"/>
    <w:rsid w:val="00F21DC3"/>
    <w:rsid w:val="00F22A21"/>
    <w:rsid w:val="00F23F9D"/>
    <w:rsid w:val="00F27DD2"/>
    <w:rsid w:val="00F3004E"/>
    <w:rsid w:val="00F307F6"/>
    <w:rsid w:val="00F30E72"/>
    <w:rsid w:val="00F37AD8"/>
    <w:rsid w:val="00F43697"/>
    <w:rsid w:val="00F438C6"/>
    <w:rsid w:val="00F441A9"/>
    <w:rsid w:val="00F45D0F"/>
    <w:rsid w:val="00F45F72"/>
    <w:rsid w:val="00F512D1"/>
    <w:rsid w:val="00F52B41"/>
    <w:rsid w:val="00F531CF"/>
    <w:rsid w:val="00F60AF8"/>
    <w:rsid w:val="00F62450"/>
    <w:rsid w:val="00F624F5"/>
    <w:rsid w:val="00F64D3D"/>
    <w:rsid w:val="00F7010D"/>
    <w:rsid w:val="00F7301E"/>
    <w:rsid w:val="00F735EA"/>
    <w:rsid w:val="00F73C82"/>
    <w:rsid w:val="00F74D70"/>
    <w:rsid w:val="00F82462"/>
    <w:rsid w:val="00F82B0E"/>
    <w:rsid w:val="00F837DB"/>
    <w:rsid w:val="00F83C62"/>
    <w:rsid w:val="00F873F1"/>
    <w:rsid w:val="00F903DD"/>
    <w:rsid w:val="00F93B16"/>
    <w:rsid w:val="00F94324"/>
    <w:rsid w:val="00F94B33"/>
    <w:rsid w:val="00FA5EB0"/>
    <w:rsid w:val="00FA6307"/>
    <w:rsid w:val="00FA716C"/>
    <w:rsid w:val="00FB1309"/>
    <w:rsid w:val="00FB4BB9"/>
    <w:rsid w:val="00FC0244"/>
    <w:rsid w:val="00FC042E"/>
    <w:rsid w:val="00FC0922"/>
    <w:rsid w:val="00FC1962"/>
    <w:rsid w:val="00FC445A"/>
    <w:rsid w:val="00FC4DF0"/>
    <w:rsid w:val="00FC5343"/>
    <w:rsid w:val="00FD34D3"/>
    <w:rsid w:val="00FE26B0"/>
    <w:rsid w:val="00FE3944"/>
    <w:rsid w:val="00FF3F1B"/>
    <w:rsid w:val="00FF6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FDA0C"/>
  <w15:chartTrackingRefBased/>
  <w15:docId w15:val="{73E1B342-656A-C944-AC8E-27A0834F8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E83"/>
    <w:pPr>
      <w:spacing w:after="60" w:line="480" w:lineRule="auto"/>
      <w:jc w:val="both"/>
    </w:pPr>
    <w:rPr>
      <w:rFonts w:ascii="Gill Sans MT" w:hAnsi="Gill Sans MT"/>
      <w:kern w:val="0"/>
      <w:sz w:val="22"/>
      <w:szCs w:val="22"/>
      <w:lang w:val="en-US"/>
      <w14:ligatures w14:val="none"/>
    </w:rPr>
  </w:style>
  <w:style w:type="paragraph" w:styleId="Heading1">
    <w:name w:val="heading 1"/>
    <w:basedOn w:val="Normal"/>
    <w:next w:val="Normal"/>
    <w:link w:val="Heading1Char"/>
    <w:uiPriority w:val="9"/>
    <w:qFormat/>
    <w:rsid w:val="00EF5A4B"/>
    <w:pPr>
      <w:outlineLvl w:val="0"/>
    </w:pPr>
    <w:rPr>
      <w:rFonts w:ascii="Arial" w:hAnsi="Arial" w:cs="Arial"/>
      <w:b/>
      <w:bCs/>
      <w:sz w:val="24"/>
      <w:szCs w:val="24"/>
      <w:lang w:val="en-GB"/>
    </w:rPr>
  </w:style>
  <w:style w:type="paragraph" w:styleId="Heading2">
    <w:name w:val="heading 2"/>
    <w:basedOn w:val="Normal"/>
    <w:next w:val="Normal"/>
    <w:link w:val="Heading2Char"/>
    <w:uiPriority w:val="9"/>
    <w:unhideWhenUsed/>
    <w:qFormat/>
    <w:rsid w:val="00BB5A05"/>
    <w:pPr>
      <w:spacing w:before="120" w:after="0"/>
      <w:outlineLvl w:val="1"/>
    </w:pPr>
    <w:rPr>
      <w:rFonts w:ascii="Arial" w:hAnsi="Arial" w:cs="Arial"/>
      <w:b/>
      <w:bCs/>
      <w:sz w:val="20"/>
      <w:szCs w:val="20"/>
      <w:lang w:val="en-GB"/>
    </w:rPr>
  </w:style>
  <w:style w:type="paragraph" w:styleId="Heading3">
    <w:name w:val="heading 3"/>
    <w:basedOn w:val="Caption"/>
    <w:next w:val="Normal"/>
    <w:link w:val="Heading3Char"/>
    <w:uiPriority w:val="9"/>
    <w:unhideWhenUsed/>
    <w:qFormat/>
    <w:rsid w:val="00CB392B"/>
    <w:pPr>
      <w:spacing w:line="240" w:lineRule="auto"/>
      <w:outlineLvl w:val="2"/>
    </w:pPr>
  </w:style>
  <w:style w:type="paragraph" w:styleId="Heading4">
    <w:name w:val="heading 4"/>
    <w:basedOn w:val="Normal"/>
    <w:next w:val="Normal"/>
    <w:link w:val="Heading4Char"/>
    <w:uiPriority w:val="9"/>
    <w:semiHidden/>
    <w:unhideWhenUsed/>
    <w:qFormat/>
    <w:rsid w:val="00655A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A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A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A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A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A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A4B"/>
    <w:rPr>
      <w:rFonts w:ascii="Arial" w:hAnsi="Arial" w:cs="Arial"/>
      <w:b/>
      <w:bCs/>
      <w:kern w:val="0"/>
      <w14:ligatures w14:val="none"/>
    </w:rPr>
  </w:style>
  <w:style w:type="character" w:customStyle="1" w:styleId="Heading2Char">
    <w:name w:val="Heading 2 Char"/>
    <w:basedOn w:val="DefaultParagraphFont"/>
    <w:link w:val="Heading2"/>
    <w:uiPriority w:val="9"/>
    <w:rsid w:val="00BB5A05"/>
    <w:rPr>
      <w:rFonts w:ascii="Arial" w:hAnsi="Arial" w:cs="Arial"/>
      <w:b/>
      <w:bCs/>
      <w:kern w:val="0"/>
      <w:sz w:val="20"/>
      <w:szCs w:val="20"/>
      <w14:ligatures w14:val="none"/>
    </w:rPr>
  </w:style>
  <w:style w:type="character" w:customStyle="1" w:styleId="Heading3Char">
    <w:name w:val="Heading 3 Char"/>
    <w:basedOn w:val="DefaultParagraphFont"/>
    <w:link w:val="Heading3"/>
    <w:uiPriority w:val="9"/>
    <w:rsid w:val="00CB392B"/>
    <w:rPr>
      <w:rFonts w:ascii="Gill Sans MT" w:hAnsi="Gill Sans MT"/>
      <w:b/>
      <w:bCs/>
      <w:kern w:val="0"/>
      <w:sz w:val="22"/>
      <w:szCs w:val="22"/>
      <w:lang w:val="en-US"/>
      <w14:ligatures w14:val="none"/>
    </w:rPr>
  </w:style>
  <w:style w:type="character" w:customStyle="1" w:styleId="Heading4Char">
    <w:name w:val="Heading 4 Char"/>
    <w:basedOn w:val="DefaultParagraphFont"/>
    <w:link w:val="Heading4"/>
    <w:uiPriority w:val="9"/>
    <w:semiHidden/>
    <w:rsid w:val="00655A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A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A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AB0"/>
    <w:rPr>
      <w:rFonts w:eastAsiaTheme="majorEastAsia" w:cstheme="majorBidi"/>
      <w:color w:val="272727" w:themeColor="text1" w:themeTint="D8"/>
    </w:rPr>
  </w:style>
  <w:style w:type="paragraph" w:styleId="Title">
    <w:name w:val="Title"/>
    <w:basedOn w:val="Heading1"/>
    <w:next w:val="Normal"/>
    <w:link w:val="TitleChar"/>
    <w:uiPriority w:val="10"/>
    <w:qFormat/>
    <w:rsid w:val="00EF5A4B"/>
    <w:pPr>
      <w:jc w:val="center"/>
    </w:pPr>
    <w:rPr>
      <w:color w:val="000000" w:themeColor="text1"/>
      <w:sz w:val="36"/>
      <w:szCs w:val="36"/>
    </w:rPr>
  </w:style>
  <w:style w:type="character" w:customStyle="1" w:styleId="TitleChar">
    <w:name w:val="Title Char"/>
    <w:basedOn w:val="DefaultParagraphFont"/>
    <w:link w:val="Title"/>
    <w:uiPriority w:val="10"/>
    <w:rsid w:val="00EF5A4B"/>
    <w:rPr>
      <w:rFonts w:ascii="Arial" w:hAnsi="Arial" w:cs="Arial"/>
      <w:b/>
      <w:bCs/>
      <w:color w:val="000000" w:themeColor="text1"/>
      <w:kern w:val="0"/>
      <w:sz w:val="36"/>
      <w:szCs w:val="36"/>
      <w14:ligatures w14:val="none"/>
    </w:rPr>
  </w:style>
  <w:style w:type="paragraph" w:styleId="Subtitle">
    <w:name w:val="Subtitle"/>
    <w:basedOn w:val="Normal"/>
    <w:next w:val="Normal"/>
    <w:link w:val="SubtitleChar"/>
    <w:uiPriority w:val="11"/>
    <w:qFormat/>
    <w:rsid w:val="00655AB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A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5AB0"/>
    <w:rPr>
      <w:i/>
      <w:iCs/>
      <w:color w:val="404040" w:themeColor="text1" w:themeTint="BF"/>
    </w:rPr>
  </w:style>
  <w:style w:type="paragraph" w:styleId="ListParagraph">
    <w:name w:val="List Paragraph"/>
    <w:basedOn w:val="Normal"/>
    <w:uiPriority w:val="34"/>
    <w:qFormat/>
    <w:rsid w:val="00655AB0"/>
    <w:pPr>
      <w:ind w:left="720"/>
      <w:contextualSpacing/>
    </w:pPr>
  </w:style>
  <w:style w:type="character" w:styleId="IntenseEmphasis">
    <w:name w:val="Intense Emphasis"/>
    <w:basedOn w:val="DefaultParagraphFont"/>
    <w:uiPriority w:val="21"/>
    <w:qFormat/>
    <w:rsid w:val="00655AB0"/>
    <w:rPr>
      <w:i/>
      <w:iCs/>
      <w:color w:val="0F4761" w:themeColor="accent1" w:themeShade="BF"/>
    </w:rPr>
  </w:style>
  <w:style w:type="paragraph" w:styleId="IntenseQuote">
    <w:name w:val="Intense Quote"/>
    <w:basedOn w:val="Normal"/>
    <w:next w:val="Normal"/>
    <w:link w:val="IntenseQuoteChar"/>
    <w:uiPriority w:val="30"/>
    <w:qFormat/>
    <w:rsid w:val="00655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AB0"/>
    <w:rPr>
      <w:i/>
      <w:iCs/>
      <w:color w:val="0F4761" w:themeColor="accent1" w:themeShade="BF"/>
    </w:rPr>
  </w:style>
  <w:style w:type="character" w:styleId="IntenseReference">
    <w:name w:val="Intense Reference"/>
    <w:basedOn w:val="DefaultParagraphFont"/>
    <w:uiPriority w:val="32"/>
    <w:qFormat/>
    <w:rsid w:val="00655AB0"/>
    <w:rPr>
      <w:b/>
      <w:bCs/>
      <w:smallCaps/>
      <w:color w:val="0F4761" w:themeColor="accent1" w:themeShade="BF"/>
      <w:spacing w:val="5"/>
    </w:rPr>
  </w:style>
  <w:style w:type="character" w:styleId="Hyperlink">
    <w:name w:val="Hyperlink"/>
    <w:basedOn w:val="DefaultParagraphFont"/>
    <w:uiPriority w:val="99"/>
    <w:unhideWhenUsed/>
    <w:rsid w:val="00655AB0"/>
    <w:rPr>
      <w:color w:val="0000FF"/>
      <w:u w:val="single"/>
    </w:rPr>
  </w:style>
  <w:style w:type="character" w:styleId="Strong">
    <w:name w:val="Strong"/>
    <w:basedOn w:val="DefaultParagraphFont"/>
    <w:uiPriority w:val="22"/>
    <w:qFormat/>
    <w:rsid w:val="00655AB0"/>
    <w:rPr>
      <w:b/>
      <w:bCs/>
    </w:rPr>
  </w:style>
  <w:style w:type="paragraph" w:customStyle="1" w:styleId="EndNoteBibliographyTitle">
    <w:name w:val="EndNote Bibliography Title"/>
    <w:basedOn w:val="Normal"/>
    <w:link w:val="EndNoteBibliographyTitleChar"/>
    <w:rsid w:val="009346E4"/>
    <w:pPr>
      <w:spacing w:after="0"/>
      <w:jc w:val="center"/>
    </w:pPr>
  </w:style>
  <w:style w:type="character" w:customStyle="1" w:styleId="EndNoteBibliographyTitleChar">
    <w:name w:val="EndNote Bibliography Title Char"/>
    <w:basedOn w:val="DefaultParagraphFont"/>
    <w:link w:val="EndNoteBibliographyTitle"/>
    <w:rsid w:val="009346E4"/>
    <w:rPr>
      <w:rFonts w:ascii="Gill Sans MT" w:hAnsi="Gill Sans MT"/>
      <w:kern w:val="0"/>
      <w:sz w:val="22"/>
      <w:szCs w:val="22"/>
      <w:lang w:val="en-US"/>
      <w14:ligatures w14:val="none"/>
    </w:rPr>
  </w:style>
  <w:style w:type="paragraph" w:customStyle="1" w:styleId="EndNoteBibliography">
    <w:name w:val="EndNote Bibliography"/>
    <w:basedOn w:val="Normal"/>
    <w:link w:val="EndNoteBibliographyChar"/>
    <w:rsid w:val="009346E4"/>
    <w:pPr>
      <w:spacing w:line="240" w:lineRule="auto"/>
    </w:pPr>
  </w:style>
  <w:style w:type="character" w:customStyle="1" w:styleId="EndNoteBibliographyChar">
    <w:name w:val="EndNote Bibliography Char"/>
    <w:basedOn w:val="DefaultParagraphFont"/>
    <w:link w:val="EndNoteBibliography"/>
    <w:rsid w:val="009346E4"/>
    <w:rPr>
      <w:rFonts w:ascii="Gill Sans MT" w:hAnsi="Gill Sans MT"/>
      <w:kern w:val="0"/>
      <w:sz w:val="22"/>
      <w:szCs w:val="22"/>
      <w:lang w:val="en-US"/>
      <w14:ligatures w14:val="none"/>
    </w:rPr>
  </w:style>
  <w:style w:type="paragraph" w:styleId="NoSpacing">
    <w:name w:val="No Spacing"/>
    <w:uiPriority w:val="1"/>
    <w:qFormat/>
    <w:rsid w:val="00EF5A4B"/>
    <w:pPr>
      <w:spacing w:line="276" w:lineRule="auto"/>
      <w:jc w:val="both"/>
    </w:pPr>
    <w:rPr>
      <w:rFonts w:ascii="Arial" w:hAnsi="Arial" w:cs="Arial"/>
      <w:kern w:val="0"/>
      <w:sz w:val="22"/>
      <w:szCs w:val="22"/>
      <w14:ligatures w14:val="none"/>
    </w:rPr>
  </w:style>
  <w:style w:type="paragraph" w:styleId="Caption">
    <w:name w:val="caption"/>
    <w:basedOn w:val="Heading2"/>
    <w:next w:val="Normal"/>
    <w:uiPriority w:val="35"/>
    <w:unhideWhenUsed/>
    <w:qFormat/>
    <w:rsid w:val="001442F5"/>
    <w:rPr>
      <w:sz w:val="22"/>
      <w:szCs w:val="22"/>
    </w:rPr>
  </w:style>
  <w:style w:type="character" w:customStyle="1" w:styleId="e24kjd">
    <w:name w:val="e24kjd"/>
    <w:basedOn w:val="DefaultParagraphFont"/>
    <w:rsid w:val="004C6268"/>
  </w:style>
  <w:style w:type="table" w:styleId="PlainTable1">
    <w:name w:val="Plain Table 1"/>
    <w:basedOn w:val="TableNormal"/>
    <w:uiPriority w:val="41"/>
    <w:rsid w:val="004C6268"/>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Spacing"/>
    <w:uiPriority w:val="1"/>
    <w:qFormat/>
    <w:rsid w:val="00CB392B"/>
    <w:rPr>
      <w:sz w:val="18"/>
      <w:szCs w:val="18"/>
      <w:lang w:eastAsia="en-GB"/>
    </w:rPr>
  </w:style>
  <w:style w:type="paragraph" w:styleId="Revision">
    <w:name w:val="Revision"/>
    <w:hidden/>
    <w:uiPriority w:val="99"/>
    <w:semiHidden/>
    <w:rsid w:val="00954EA0"/>
    <w:rPr>
      <w:rFonts w:ascii="Gill Sans MT" w:hAnsi="Gill Sans MT"/>
      <w:kern w:val="0"/>
      <w:sz w:val="22"/>
      <w:szCs w:val="22"/>
      <w:lang w:val="en-US"/>
      <w14:ligatures w14:val="none"/>
    </w:rPr>
  </w:style>
  <w:style w:type="character" w:styleId="CommentReference">
    <w:name w:val="annotation reference"/>
    <w:basedOn w:val="DefaultParagraphFont"/>
    <w:uiPriority w:val="99"/>
    <w:semiHidden/>
    <w:unhideWhenUsed/>
    <w:rsid w:val="00F117B5"/>
    <w:rPr>
      <w:sz w:val="16"/>
      <w:szCs w:val="16"/>
    </w:rPr>
  </w:style>
  <w:style w:type="paragraph" w:styleId="CommentText">
    <w:name w:val="annotation text"/>
    <w:basedOn w:val="Normal"/>
    <w:link w:val="CommentTextChar"/>
    <w:uiPriority w:val="99"/>
    <w:semiHidden/>
    <w:unhideWhenUsed/>
    <w:rsid w:val="00F117B5"/>
    <w:pPr>
      <w:spacing w:line="240" w:lineRule="auto"/>
    </w:pPr>
    <w:rPr>
      <w:sz w:val="20"/>
      <w:szCs w:val="20"/>
    </w:rPr>
  </w:style>
  <w:style w:type="character" w:customStyle="1" w:styleId="CommentTextChar">
    <w:name w:val="Comment Text Char"/>
    <w:basedOn w:val="DefaultParagraphFont"/>
    <w:link w:val="CommentText"/>
    <w:uiPriority w:val="99"/>
    <w:semiHidden/>
    <w:rsid w:val="00F117B5"/>
    <w:rPr>
      <w:rFonts w:ascii="Gill Sans MT" w:hAnsi="Gill Sans MT"/>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117B5"/>
    <w:rPr>
      <w:b/>
      <w:bCs/>
    </w:rPr>
  </w:style>
  <w:style w:type="character" w:customStyle="1" w:styleId="CommentSubjectChar">
    <w:name w:val="Comment Subject Char"/>
    <w:basedOn w:val="CommentTextChar"/>
    <w:link w:val="CommentSubject"/>
    <w:uiPriority w:val="99"/>
    <w:semiHidden/>
    <w:rsid w:val="00F117B5"/>
    <w:rPr>
      <w:rFonts w:ascii="Gill Sans MT" w:hAnsi="Gill Sans MT"/>
      <w:b/>
      <w:bCs/>
      <w:kern w:val="0"/>
      <w:sz w:val="20"/>
      <w:szCs w:val="20"/>
      <w:lang w:val="en-US"/>
      <w14:ligatures w14:val="none"/>
    </w:rPr>
  </w:style>
  <w:style w:type="character" w:styleId="Emphasis">
    <w:name w:val="Emphasis"/>
    <w:basedOn w:val="DefaultParagraphFont"/>
    <w:uiPriority w:val="20"/>
    <w:qFormat/>
    <w:rsid w:val="00956791"/>
    <w:rPr>
      <w:i/>
      <w:iCs/>
    </w:rPr>
  </w:style>
  <w:style w:type="character" w:styleId="HTMLCite">
    <w:name w:val="HTML Cite"/>
    <w:basedOn w:val="DefaultParagraphFont"/>
    <w:uiPriority w:val="99"/>
    <w:semiHidden/>
    <w:unhideWhenUsed/>
    <w:rsid w:val="00876202"/>
    <w:rPr>
      <w:i/>
      <w:iCs/>
    </w:rPr>
  </w:style>
  <w:style w:type="paragraph" w:styleId="Header">
    <w:name w:val="header"/>
    <w:basedOn w:val="Normal"/>
    <w:link w:val="HeaderChar"/>
    <w:uiPriority w:val="99"/>
    <w:unhideWhenUsed/>
    <w:rsid w:val="00F70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10D"/>
    <w:rPr>
      <w:rFonts w:ascii="Gill Sans MT" w:hAnsi="Gill Sans MT"/>
      <w:kern w:val="0"/>
      <w:sz w:val="22"/>
      <w:szCs w:val="22"/>
      <w:lang w:val="en-US"/>
      <w14:ligatures w14:val="none"/>
    </w:rPr>
  </w:style>
  <w:style w:type="paragraph" w:styleId="Footer">
    <w:name w:val="footer"/>
    <w:basedOn w:val="Normal"/>
    <w:link w:val="FooterChar"/>
    <w:uiPriority w:val="99"/>
    <w:unhideWhenUsed/>
    <w:rsid w:val="00F70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10D"/>
    <w:rPr>
      <w:rFonts w:ascii="Gill Sans MT" w:hAnsi="Gill Sans MT"/>
      <w:kern w:val="0"/>
      <w:sz w:val="22"/>
      <w:szCs w:val="22"/>
      <w:lang w:val="en-US"/>
      <w14:ligatures w14:val="none"/>
    </w:rPr>
  </w:style>
  <w:style w:type="character" w:customStyle="1" w:styleId="meta-citation">
    <w:name w:val="meta-citation"/>
    <w:basedOn w:val="DefaultParagraphFont"/>
    <w:rsid w:val="000A03E2"/>
  </w:style>
  <w:style w:type="character" w:customStyle="1" w:styleId="meta-citation-doi">
    <w:name w:val="meta-citation-doi"/>
    <w:basedOn w:val="DefaultParagraphFont"/>
    <w:rsid w:val="000A03E2"/>
  </w:style>
  <w:style w:type="character" w:customStyle="1" w:styleId="citation-part">
    <w:name w:val="citation-part"/>
    <w:basedOn w:val="DefaultParagraphFont"/>
    <w:rsid w:val="00593D11"/>
  </w:style>
  <w:style w:type="character" w:customStyle="1" w:styleId="docsum-pmid">
    <w:name w:val="docsum-pmid"/>
    <w:basedOn w:val="DefaultParagraphFont"/>
    <w:rsid w:val="00593D11"/>
  </w:style>
  <w:style w:type="character" w:styleId="LineNumber">
    <w:name w:val="line number"/>
    <w:basedOn w:val="DefaultParagraphFont"/>
    <w:uiPriority w:val="99"/>
    <w:semiHidden/>
    <w:unhideWhenUsed/>
    <w:rsid w:val="00AC3E4C"/>
  </w:style>
  <w:style w:type="character" w:styleId="PageNumber">
    <w:name w:val="page number"/>
    <w:basedOn w:val="DefaultParagraphFont"/>
    <w:uiPriority w:val="99"/>
    <w:semiHidden/>
    <w:unhideWhenUsed/>
    <w:rsid w:val="00AC3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81558">
      <w:bodyDiv w:val="1"/>
      <w:marLeft w:val="0"/>
      <w:marRight w:val="0"/>
      <w:marTop w:val="0"/>
      <w:marBottom w:val="0"/>
      <w:divBdr>
        <w:top w:val="none" w:sz="0" w:space="0" w:color="auto"/>
        <w:left w:val="none" w:sz="0" w:space="0" w:color="auto"/>
        <w:bottom w:val="none" w:sz="0" w:space="0" w:color="auto"/>
        <w:right w:val="none" w:sz="0" w:space="0" w:color="auto"/>
      </w:divBdr>
    </w:div>
    <w:div w:id="538325787">
      <w:bodyDiv w:val="1"/>
      <w:marLeft w:val="0"/>
      <w:marRight w:val="0"/>
      <w:marTop w:val="0"/>
      <w:marBottom w:val="0"/>
      <w:divBdr>
        <w:top w:val="none" w:sz="0" w:space="0" w:color="auto"/>
        <w:left w:val="none" w:sz="0" w:space="0" w:color="auto"/>
        <w:bottom w:val="none" w:sz="0" w:space="0" w:color="auto"/>
        <w:right w:val="none" w:sz="0" w:space="0" w:color="auto"/>
      </w:divBdr>
      <w:divsChild>
        <w:div w:id="834491828">
          <w:marLeft w:val="0"/>
          <w:marRight w:val="0"/>
          <w:marTop w:val="0"/>
          <w:marBottom w:val="0"/>
          <w:divBdr>
            <w:top w:val="none" w:sz="0" w:space="0" w:color="auto"/>
            <w:left w:val="none" w:sz="0" w:space="0" w:color="auto"/>
            <w:bottom w:val="none" w:sz="0" w:space="0" w:color="auto"/>
            <w:right w:val="none" w:sz="0" w:space="0" w:color="auto"/>
          </w:divBdr>
        </w:div>
        <w:div w:id="1892883522">
          <w:marLeft w:val="0"/>
          <w:marRight w:val="0"/>
          <w:marTop w:val="0"/>
          <w:marBottom w:val="0"/>
          <w:divBdr>
            <w:top w:val="none" w:sz="0" w:space="0" w:color="auto"/>
            <w:left w:val="none" w:sz="0" w:space="0" w:color="auto"/>
            <w:bottom w:val="none" w:sz="0" w:space="0" w:color="auto"/>
            <w:right w:val="none" w:sz="0" w:space="0" w:color="auto"/>
          </w:divBdr>
        </w:div>
      </w:divsChild>
    </w:div>
    <w:div w:id="1884752667">
      <w:bodyDiv w:val="1"/>
      <w:marLeft w:val="0"/>
      <w:marRight w:val="0"/>
      <w:marTop w:val="0"/>
      <w:marBottom w:val="0"/>
      <w:divBdr>
        <w:top w:val="none" w:sz="0" w:space="0" w:color="auto"/>
        <w:left w:val="none" w:sz="0" w:space="0" w:color="auto"/>
        <w:bottom w:val="none" w:sz="0" w:space="0" w:color="auto"/>
        <w:right w:val="none" w:sz="0" w:space="0" w:color="auto"/>
      </w:divBdr>
    </w:div>
    <w:div w:id="211782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CD084-FD33-254A-829D-C38190E65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3212</Words>
  <Characters>18309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SNOW, Timothy (WHITTINGTON HEALTH NHS TRUST)</dc:creator>
  <cp:keywords/>
  <dc:description/>
  <cp:lastModifiedBy>SNOW, Timothy (WHITTINGTON HEALTH NHS TRUST)</cp:lastModifiedBy>
  <cp:revision>3</cp:revision>
  <dcterms:created xsi:type="dcterms:W3CDTF">2026-05-18T15:27:00Z</dcterms:created>
  <dcterms:modified xsi:type="dcterms:W3CDTF">2026-05-18T15:28:00Z</dcterms:modified>
</cp:coreProperties>
</file>