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ECDE" w14:textId="77777777" w:rsidR="00CE69DE" w:rsidRPr="00921344" w:rsidRDefault="00CE69DE" w:rsidP="00CE69DE">
      <w:pPr>
        <w:rPr>
          <w:rFonts w:ascii="Times New Roman" w:hAnsi="Times New Roman" w:cs="Times New Roman"/>
          <w:lang w:val="en-US"/>
        </w:rPr>
      </w:pPr>
      <w:r w:rsidRPr="00921344">
        <w:rPr>
          <w:rFonts w:ascii="Times New Roman" w:hAnsi="Times New Roman" w:cs="Times New Roman"/>
          <w:b/>
          <w:bCs/>
          <w:lang w:val="en-US"/>
        </w:rPr>
        <w:t>Supplementa</w:t>
      </w:r>
      <w:r>
        <w:rPr>
          <w:rFonts w:ascii="Times New Roman" w:hAnsi="Times New Roman" w:cs="Times New Roman"/>
          <w:b/>
          <w:bCs/>
          <w:lang w:val="en-US"/>
        </w:rPr>
        <w:t>l</w:t>
      </w:r>
      <w:r w:rsidRPr="00921344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table 1</w:t>
      </w:r>
      <w:r w:rsidRPr="00921344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69264E">
        <w:rPr>
          <w:rFonts w:ascii="Times New Roman" w:hAnsi="Times New Roman" w:cs="Times New Roman"/>
          <w:lang w:val="en-US"/>
        </w:rPr>
        <w:t xml:space="preserve">Determinants of brain death after </w:t>
      </w:r>
      <w:r w:rsidRPr="0069264E">
        <w:rPr>
          <w:rFonts w:ascii="Times New Roman" w:eastAsia="Times New Roman" w:hAnsi="Times New Roman" w:cs="Times New Roman"/>
          <w:color w:val="000000"/>
          <w:kern w:val="0"/>
          <w:lang w:val="en-US" w:eastAsia="fr-FR"/>
          <w14:ligatures w14:val="none"/>
        </w:rPr>
        <w:t>out-of-hospital cardiac arrest due to aneurysmal subarachnoid hemorrhage</w:t>
      </w:r>
    </w:p>
    <w:p w14:paraId="63E8AE34" w14:textId="77777777" w:rsidR="00CE69DE" w:rsidRPr="00921344" w:rsidRDefault="00CE69DE" w:rsidP="00CE69DE">
      <w:pPr>
        <w:rPr>
          <w:rFonts w:ascii="Times New Roman" w:hAnsi="Times New Roman" w:cs="Times New Roman"/>
          <w:lang w:val="en-US"/>
        </w:rPr>
      </w:pPr>
    </w:p>
    <w:tbl>
      <w:tblPr>
        <w:tblW w:w="94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2"/>
        <w:gridCol w:w="2207"/>
        <w:gridCol w:w="1895"/>
        <w:gridCol w:w="1145"/>
      </w:tblGrid>
      <w:tr w:rsidR="00CE69DE" w:rsidRPr="005B3928" w14:paraId="796132A6" w14:textId="77777777" w:rsidTr="00527697">
        <w:trPr>
          <w:trHeight w:val="536"/>
          <w:tblHeader/>
          <w:tblCellSpacing w:w="15" w:type="dxa"/>
        </w:trPr>
        <w:tc>
          <w:tcPr>
            <w:tcW w:w="4197" w:type="dxa"/>
            <w:vAlign w:val="center"/>
            <w:hideMark/>
          </w:tcPr>
          <w:p w14:paraId="706FF9E3" w14:textId="77777777" w:rsidR="00CE69DE" w:rsidRPr="00921344" w:rsidRDefault="00CE69DE" w:rsidP="00527697">
            <w:pPr>
              <w:ind w:right="1064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177" w:type="dxa"/>
            <w:vAlign w:val="center"/>
            <w:hideMark/>
          </w:tcPr>
          <w:p w14:paraId="12D277CC" w14:textId="77777777" w:rsidR="00CE69DE" w:rsidRPr="00921344" w:rsidRDefault="00CE69DE" w:rsidP="00527697">
            <w:pPr>
              <w:ind w:left="-137" w:right="-223" w:firstLine="13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344">
              <w:rPr>
                <w:rFonts w:ascii="Times New Roman" w:hAnsi="Times New Roman" w:cs="Times New Roman"/>
                <w:b/>
                <w:bCs/>
              </w:rPr>
              <w:t>OR</w:t>
            </w:r>
          </w:p>
        </w:tc>
        <w:tc>
          <w:tcPr>
            <w:tcW w:w="0" w:type="auto"/>
            <w:vAlign w:val="center"/>
            <w:hideMark/>
          </w:tcPr>
          <w:p w14:paraId="2F4A8A2D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344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59A3BB9C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921344">
              <w:rPr>
                <w:rFonts w:ascii="Times New Roman" w:hAnsi="Times New Roman" w:cs="Times New Roman"/>
                <w:b/>
                <w:bCs/>
              </w:rPr>
              <w:t>p</w:t>
            </w:r>
            <w:proofErr w:type="gramEnd"/>
            <w:r w:rsidRPr="00921344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CE69DE" w:rsidRPr="005B3928" w14:paraId="1197399D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20E1087C" w14:textId="77777777" w:rsidR="00CE69DE" w:rsidRPr="00921344" w:rsidRDefault="00CE69DE" w:rsidP="00527697">
            <w:pPr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177" w:type="dxa"/>
            <w:vAlign w:val="center"/>
            <w:hideMark/>
          </w:tcPr>
          <w:p w14:paraId="740F5263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14:paraId="0AD89BE6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0.61–2.21</w:t>
            </w:r>
          </w:p>
        </w:tc>
        <w:tc>
          <w:tcPr>
            <w:tcW w:w="0" w:type="auto"/>
            <w:vAlign w:val="center"/>
            <w:hideMark/>
          </w:tcPr>
          <w:p w14:paraId="32E18AD1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0.65</w:t>
            </w:r>
          </w:p>
        </w:tc>
      </w:tr>
      <w:tr w:rsidR="00CE69DE" w:rsidRPr="005B3928" w14:paraId="4F4E95A0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7189ECA9" w14:textId="77777777" w:rsidR="00CE69DE" w:rsidRPr="00921344" w:rsidRDefault="00CE69DE" w:rsidP="00527697">
            <w:pPr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 xml:space="preserve">Age (per </w:t>
            </w:r>
            <w:proofErr w:type="spellStart"/>
            <w:r w:rsidRPr="00921344">
              <w:rPr>
                <w:rFonts w:ascii="Times New Roman" w:hAnsi="Times New Roman" w:cs="Times New Roman"/>
              </w:rPr>
              <w:t>year</w:t>
            </w:r>
            <w:proofErr w:type="spellEnd"/>
            <w:r w:rsidRPr="009213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77" w:type="dxa"/>
            <w:vAlign w:val="center"/>
            <w:hideMark/>
          </w:tcPr>
          <w:p w14:paraId="53490B2D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1.014</w:t>
            </w:r>
          </w:p>
        </w:tc>
        <w:tc>
          <w:tcPr>
            <w:tcW w:w="0" w:type="auto"/>
            <w:vAlign w:val="center"/>
            <w:hideMark/>
          </w:tcPr>
          <w:p w14:paraId="343E99E3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0.989–1.039</w:t>
            </w:r>
          </w:p>
        </w:tc>
        <w:tc>
          <w:tcPr>
            <w:tcW w:w="0" w:type="auto"/>
            <w:vAlign w:val="center"/>
            <w:hideMark/>
          </w:tcPr>
          <w:p w14:paraId="60A25974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0.27</w:t>
            </w:r>
          </w:p>
        </w:tc>
      </w:tr>
      <w:tr w:rsidR="00CE69DE" w:rsidRPr="005B3928" w14:paraId="49EEB593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14CEF6D7" w14:textId="77777777" w:rsidR="00CE69DE" w:rsidRPr="00921344" w:rsidRDefault="00CE69DE" w:rsidP="00527697">
            <w:pPr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Active smoking</w:t>
            </w:r>
          </w:p>
        </w:tc>
        <w:tc>
          <w:tcPr>
            <w:tcW w:w="2177" w:type="dxa"/>
            <w:vAlign w:val="center"/>
            <w:hideMark/>
          </w:tcPr>
          <w:p w14:paraId="62E0562B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0.622</w:t>
            </w:r>
          </w:p>
        </w:tc>
        <w:tc>
          <w:tcPr>
            <w:tcW w:w="0" w:type="auto"/>
            <w:vAlign w:val="center"/>
            <w:hideMark/>
          </w:tcPr>
          <w:p w14:paraId="53569513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0.409–0.945</w:t>
            </w:r>
          </w:p>
        </w:tc>
        <w:tc>
          <w:tcPr>
            <w:tcW w:w="0" w:type="auto"/>
            <w:vAlign w:val="center"/>
            <w:hideMark/>
          </w:tcPr>
          <w:p w14:paraId="3BA1D17E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0.096</w:t>
            </w:r>
          </w:p>
        </w:tc>
      </w:tr>
      <w:tr w:rsidR="00CE69DE" w:rsidRPr="005B3928" w14:paraId="77F57109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65B8AA55" w14:textId="77777777" w:rsidR="00CE69DE" w:rsidRPr="00921344" w:rsidRDefault="00CE69DE" w:rsidP="00527697">
            <w:pPr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Atrial fibrillation</w:t>
            </w:r>
          </w:p>
        </w:tc>
        <w:tc>
          <w:tcPr>
            <w:tcW w:w="2177" w:type="dxa"/>
            <w:vAlign w:val="center"/>
            <w:hideMark/>
          </w:tcPr>
          <w:p w14:paraId="786B683A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0.982</w:t>
            </w:r>
          </w:p>
        </w:tc>
        <w:tc>
          <w:tcPr>
            <w:tcW w:w="0" w:type="auto"/>
            <w:vAlign w:val="center"/>
            <w:hideMark/>
          </w:tcPr>
          <w:p w14:paraId="4B8A61BF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0.087–11.068</w:t>
            </w:r>
          </w:p>
        </w:tc>
        <w:tc>
          <w:tcPr>
            <w:tcW w:w="0" w:type="auto"/>
            <w:vAlign w:val="center"/>
            <w:hideMark/>
          </w:tcPr>
          <w:p w14:paraId="16D4ACCA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0.99</w:t>
            </w:r>
          </w:p>
        </w:tc>
      </w:tr>
      <w:tr w:rsidR="00CE69DE" w:rsidRPr="005B3928" w14:paraId="0DDFB0A7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1DFE5431" w14:textId="77777777" w:rsidR="00CE69DE" w:rsidRPr="00921344" w:rsidRDefault="00CE69DE" w:rsidP="00527697">
            <w:pPr>
              <w:rPr>
                <w:rFonts w:ascii="Times New Roman" w:hAnsi="Times New Roman" w:cs="Times New Roman"/>
              </w:rPr>
            </w:pPr>
            <w:r w:rsidRPr="005B3928">
              <w:rPr>
                <w:rFonts w:ascii="Times New Roman" w:hAnsi="Times New Roman" w:cs="Times New Roman"/>
              </w:rPr>
              <w:t xml:space="preserve"> Chronic </w:t>
            </w:r>
            <w:r>
              <w:rPr>
                <w:rFonts w:ascii="Times New Roman" w:hAnsi="Times New Roman" w:cs="Times New Roman"/>
              </w:rPr>
              <w:t>h</w:t>
            </w:r>
            <w:r w:rsidRPr="00921344">
              <w:rPr>
                <w:rFonts w:ascii="Times New Roman" w:hAnsi="Times New Roman" w:cs="Times New Roman"/>
              </w:rPr>
              <w:t>ypertension</w:t>
            </w:r>
          </w:p>
        </w:tc>
        <w:tc>
          <w:tcPr>
            <w:tcW w:w="2177" w:type="dxa"/>
            <w:vAlign w:val="center"/>
            <w:hideMark/>
          </w:tcPr>
          <w:p w14:paraId="40F0A142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1.265</w:t>
            </w:r>
          </w:p>
        </w:tc>
        <w:tc>
          <w:tcPr>
            <w:tcW w:w="0" w:type="auto"/>
            <w:vAlign w:val="center"/>
            <w:hideMark/>
          </w:tcPr>
          <w:p w14:paraId="6A67496D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0.626–2.555</w:t>
            </w:r>
          </w:p>
        </w:tc>
        <w:tc>
          <w:tcPr>
            <w:tcW w:w="0" w:type="auto"/>
            <w:vAlign w:val="center"/>
            <w:hideMark/>
          </w:tcPr>
          <w:p w14:paraId="1778BC62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0.51</w:t>
            </w:r>
          </w:p>
        </w:tc>
      </w:tr>
      <w:tr w:rsidR="00CE69DE" w:rsidRPr="005B3928" w14:paraId="7E02176C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5988C138" w14:textId="77777777" w:rsidR="00CE69DE" w:rsidRPr="0069264E" w:rsidRDefault="00CE69DE" w:rsidP="0052769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Pre-hospital a</w:t>
            </w:r>
            <w:r w:rsidRPr="005B3928">
              <w:rPr>
                <w:rFonts w:ascii="Times New Roman" w:hAnsi="Times New Roman" w:cs="Times New Roman"/>
                <w:lang w:val="en-US"/>
              </w:rPr>
              <w:t>ntiplatelet or anticoagulant therapy</w:t>
            </w:r>
          </w:p>
        </w:tc>
        <w:tc>
          <w:tcPr>
            <w:tcW w:w="2177" w:type="dxa"/>
            <w:vAlign w:val="center"/>
            <w:hideMark/>
          </w:tcPr>
          <w:p w14:paraId="6E697747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2.894</w:t>
            </w:r>
          </w:p>
        </w:tc>
        <w:tc>
          <w:tcPr>
            <w:tcW w:w="0" w:type="auto"/>
            <w:vAlign w:val="center"/>
            <w:hideMark/>
          </w:tcPr>
          <w:p w14:paraId="5F11DB3F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0.950–8.811</w:t>
            </w:r>
          </w:p>
        </w:tc>
        <w:tc>
          <w:tcPr>
            <w:tcW w:w="0" w:type="auto"/>
            <w:vAlign w:val="center"/>
            <w:hideMark/>
          </w:tcPr>
          <w:p w14:paraId="4B14F4D9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0.061</w:t>
            </w:r>
          </w:p>
        </w:tc>
      </w:tr>
      <w:tr w:rsidR="00CE69DE" w:rsidRPr="005B3928" w14:paraId="560F3344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31498E56" w14:textId="77777777" w:rsidR="00CE69DE" w:rsidRPr="00921344" w:rsidRDefault="00CE69DE" w:rsidP="00527697">
            <w:pPr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Neurological prodromes</w:t>
            </w:r>
          </w:p>
        </w:tc>
        <w:tc>
          <w:tcPr>
            <w:tcW w:w="2177" w:type="dxa"/>
            <w:vAlign w:val="center"/>
            <w:hideMark/>
          </w:tcPr>
          <w:p w14:paraId="6DE635B5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1.506</w:t>
            </w:r>
          </w:p>
        </w:tc>
        <w:tc>
          <w:tcPr>
            <w:tcW w:w="0" w:type="auto"/>
            <w:vAlign w:val="center"/>
            <w:hideMark/>
          </w:tcPr>
          <w:p w14:paraId="33A750FF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0.781–2.902</w:t>
            </w:r>
          </w:p>
        </w:tc>
        <w:tc>
          <w:tcPr>
            <w:tcW w:w="0" w:type="auto"/>
            <w:vAlign w:val="center"/>
            <w:hideMark/>
          </w:tcPr>
          <w:p w14:paraId="34DB245F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0.22</w:t>
            </w:r>
          </w:p>
        </w:tc>
      </w:tr>
      <w:tr w:rsidR="00CE69DE" w:rsidRPr="005B3928" w14:paraId="77355C30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202EA0FB" w14:textId="77777777" w:rsidR="00CE69DE" w:rsidRPr="00921344" w:rsidRDefault="00CE69DE" w:rsidP="00527697">
            <w:pPr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Cardiovascular prodromes</w:t>
            </w:r>
          </w:p>
        </w:tc>
        <w:tc>
          <w:tcPr>
            <w:tcW w:w="2177" w:type="dxa"/>
            <w:vAlign w:val="center"/>
            <w:hideMark/>
          </w:tcPr>
          <w:p w14:paraId="37E27887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0.744</w:t>
            </w:r>
          </w:p>
        </w:tc>
        <w:tc>
          <w:tcPr>
            <w:tcW w:w="0" w:type="auto"/>
            <w:vAlign w:val="center"/>
            <w:hideMark/>
          </w:tcPr>
          <w:p w14:paraId="0636A77E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0.377–1.471</w:t>
            </w:r>
          </w:p>
        </w:tc>
        <w:tc>
          <w:tcPr>
            <w:tcW w:w="0" w:type="auto"/>
            <w:vAlign w:val="center"/>
            <w:hideMark/>
          </w:tcPr>
          <w:p w14:paraId="79C43515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0.40</w:t>
            </w:r>
          </w:p>
        </w:tc>
      </w:tr>
      <w:tr w:rsidR="00CE69DE" w:rsidRPr="005B3928" w14:paraId="4C4A9F0E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551E9D7D" w14:textId="77777777" w:rsidR="00CE69DE" w:rsidRPr="00921344" w:rsidRDefault="00CE69DE" w:rsidP="00527697">
            <w:pPr>
              <w:rPr>
                <w:rFonts w:ascii="Times New Roman" w:hAnsi="Times New Roman" w:cs="Times New Roman"/>
                <w:lang w:val="en-US"/>
              </w:rPr>
            </w:pPr>
            <w:r w:rsidRPr="005B3928">
              <w:rPr>
                <w:rFonts w:ascii="Times New Roman" w:hAnsi="Times New Roman" w:cs="Times New Roman"/>
                <w:lang w:val="en-US"/>
              </w:rPr>
              <w:t>No-flow duration (per min)</w:t>
            </w:r>
          </w:p>
        </w:tc>
        <w:tc>
          <w:tcPr>
            <w:tcW w:w="2177" w:type="dxa"/>
            <w:vAlign w:val="center"/>
            <w:hideMark/>
          </w:tcPr>
          <w:p w14:paraId="128CAE96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1.044</w:t>
            </w:r>
          </w:p>
        </w:tc>
        <w:tc>
          <w:tcPr>
            <w:tcW w:w="0" w:type="auto"/>
            <w:vAlign w:val="center"/>
            <w:hideMark/>
          </w:tcPr>
          <w:p w14:paraId="3A1272BB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0.974–1.119</w:t>
            </w:r>
          </w:p>
        </w:tc>
        <w:tc>
          <w:tcPr>
            <w:tcW w:w="0" w:type="auto"/>
            <w:vAlign w:val="center"/>
            <w:hideMark/>
          </w:tcPr>
          <w:p w14:paraId="70C83949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0.23</w:t>
            </w:r>
          </w:p>
        </w:tc>
      </w:tr>
      <w:tr w:rsidR="00CE69DE" w:rsidRPr="005B3928" w14:paraId="4E9DA957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65C4A789" w14:textId="77777777" w:rsidR="00CE69DE" w:rsidRPr="005B3928" w:rsidRDefault="00CE69DE" w:rsidP="00527697">
            <w:pPr>
              <w:rPr>
                <w:rFonts w:ascii="Times New Roman" w:hAnsi="Times New Roman" w:cs="Times New Roman"/>
                <w:lang w:val="en-US"/>
              </w:rPr>
            </w:pPr>
            <w:r w:rsidRPr="005B3928">
              <w:rPr>
                <w:rFonts w:ascii="Times New Roman" w:hAnsi="Times New Roman" w:cs="Times New Roman"/>
                <w:lang w:val="en-US"/>
              </w:rPr>
              <w:t>Low-flow duration (per min)</w:t>
            </w:r>
          </w:p>
        </w:tc>
        <w:tc>
          <w:tcPr>
            <w:tcW w:w="2177" w:type="dxa"/>
            <w:vAlign w:val="center"/>
            <w:hideMark/>
          </w:tcPr>
          <w:p w14:paraId="445C2F9A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1.006</w:t>
            </w:r>
          </w:p>
        </w:tc>
        <w:tc>
          <w:tcPr>
            <w:tcW w:w="0" w:type="auto"/>
            <w:vAlign w:val="center"/>
            <w:hideMark/>
          </w:tcPr>
          <w:p w14:paraId="1F9AF1F3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0.982–1.030</w:t>
            </w:r>
          </w:p>
        </w:tc>
        <w:tc>
          <w:tcPr>
            <w:tcW w:w="0" w:type="auto"/>
            <w:vAlign w:val="center"/>
            <w:hideMark/>
          </w:tcPr>
          <w:p w14:paraId="1640CA4D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0.61</w:t>
            </w:r>
          </w:p>
        </w:tc>
      </w:tr>
      <w:tr w:rsidR="00CE69DE" w:rsidRPr="005B3928" w14:paraId="4E45919F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11763F62" w14:textId="77777777" w:rsidR="00CE69DE" w:rsidRPr="005B3928" w:rsidRDefault="00CE69DE" w:rsidP="00527697">
            <w:pPr>
              <w:rPr>
                <w:rFonts w:ascii="Times New Roman" w:hAnsi="Times New Roman" w:cs="Times New Roman"/>
                <w:lang w:val="en-US"/>
              </w:rPr>
            </w:pPr>
            <w:r w:rsidRPr="00921344">
              <w:rPr>
                <w:rFonts w:ascii="Times New Roman" w:hAnsi="Times New Roman" w:cs="Times New Roman"/>
              </w:rPr>
              <w:t>SAPS II (per point)</w:t>
            </w:r>
          </w:p>
        </w:tc>
        <w:tc>
          <w:tcPr>
            <w:tcW w:w="2177" w:type="dxa"/>
            <w:vAlign w:val="center"/>
            <w:hideMark/>
          </w:tcPr>
          <w:p w14:paraId="006A3EBD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1.021</w:t>
            </w:r>
          </w:p>
        </w:tc>
        <w:tc>
          <w:tcPr>
            <w:tcW w:w="0" w:type="auto"/>
            <w:vAlign w:val="center"/>
            <w:hideMark/>
          </w:tcPr>
          <w:p w14:paraId="06F58B9D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0.996–1.046</w:t>
            </w:r>
          </w:p>
        </w:tc>
        <w:tc>
          <w:tcPr>
            <w:tcW w:w="0" w:type="auto"/>
            <w:vAlign w:val="center"/>
            <w:hideMark/>
          </w:tcPr>
          <w:p w14:paraId="14F9CD4C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</w:rPr>
              <w:t>0.099</w:t>
            </w:r>
          </w:p>
        </w:tc>
      </w:tr>
      <w:tr w:rsidR="00CE69DE" w:rsidRPr="005B3928" w14:paraId="7C5D050D" w14:textId="77777777" w:rsidTr="00527697">
        <w:trPr>
          <w:trHeight w:val="521"/>
          <w:tblCellSpacing w:w="15" w:type="dxa"/>
        </w:trPr>
        <w:tc>
          <w:tcPr>
            <w:tcW w:w="4197" w:type="dxa"/>
            <w:vAlign w:val="center"/>
            <w:hideMark/>
          </w:tcPr>
          <w:p w14:paraId="5DF05B03" w14:textId="77777777" w:rsidR="00CE69DE" w:rsidRPr="00921344" w:rsidRDefault="00CE69DE" w:rsidP="00527697">
            <w:pPr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  <w:b/>
                <w:bCs/>
              </w:rPr>
              <w:t>Epinéphrine use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  <w:lang w:val="en-US"/>
              </w:rPr>
              <w:t>§</w:t>
            </w:r>
          </w:p>
        </w:tc>
        <w:tc>
          <w:tcPr>
            <w:tcW w:w="2177" w:type="dxa"/>
            <w:vAlign w:val="center"/>
            <w:hideMark/>
          </w:tcPr>
          <w:p w14:paraId="68E066F1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  <w:b/>
                <w:bCs/>
              </w:rPr>
              <w:t>2.3</w:t>
            </w:r>
            <w:r w:rsidRPr="005B392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DA1820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  <w:b/>
                <w:bCs/>
              </w:rPr>
              <w:t>1.11–5.05</w:t>
            </w:r>
          </w:p>
        </w:tc>
        <w:tc>
          <w:tcPr>
            <w:tcW w:w="0" w:type="auto"/>
            <w:vAlign w:val="center"/>
            <w:hideMark/>
          </w:tcPr>
          <w:p w14:paraId="60DC3EAB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  <w:b/>
                <w:bCs/>
              </w:rPr>
              <w:t>0.025</w:t>
            </w:r>
          </w:p>
        </w:tc>
      </w:tr>
      <w:tr w:rsidR="00CE69DE" w:rsidRPr="005B3928" w14:paraId="7C63F9C9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  <w:hideMark/>
          </w:tcPr>
          <w:p w14:paraId="1797C93F" w14:textId="77777777" w:rsidR="00CE69DE" w:rsidRPr="00921344" w:rsidRDefault="00CE69DE" w:rsidP="0052769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21344">
              <w:rPr>
                <w:rFonts w:ascii="Times New Roman" w:hAnsi="Times New Roman" w:cs="Times New Roman"/>
              </w:rPr>
              <w:t>Intracranial</w:t>
            </w:r>
            <w:proofErr w:type="spellEnd"/>
            <w:r w:rsidRPr="00921344">
              <w:rPr>
                <w:rFonts w:ascii="Times New Roman" w:hAnsi="Times New Roman" w:cs="Times New Roman"/>
              </w:rPr>
              <w:t xml:space="preserve"> hypertension</w:t>
            </w:r>
          </w:p>
        </w:tc>
        <w:tc>
          <w:tcPr>
            <w:tcW w:w="2177" w:type="dxa"/>
            <w:vAlign w:val="center"/>
            <w:hideMark/>
          </w:tcPr>
          <w:p w14:paraId="351043BD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344"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0" w:type="auto"/>
            <w:vAlign w:val="center"/>
            <w:hideMark/>
          </w:tcPr>
          <w:p w14:paraId="4C0378EF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344">
              <w:rPr>
                <w:rFonts w:ascii="Times New Roman" w:hAnsi="Times New Roman" w:cs="Times New Roman"/>
              </w:rPr>
              <w:t>0.853–3.623</w:t>
            </w:r>
          </w:p>
        </w:tc>
        <w:tc>
          <w:tcPr>
            <w:tcW w:w="0" w:type="auto"/>
            <w:vAlign w:val="center"/>
            <w:hideMark/>
          </w:tcPr>
          <w:p w14:paraId="3C434968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1344">
              <w:rPr>
                <w:rFonts w:ascii="Times New Roman" w:hAnsi="Times New Roman" w:cs="Times New Roman"/>
              </w:rPr>
              <w:t>0.126</w:t>
            </w:r>
          </w:p>
        </w:tc>
      </w:tr>
      <w:tr w:rsidR="00CE69DE" w:rsidRPr="005B3928" w14:paraId="177888F4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</w:tcPr>
          <w:p w14:paraId="2272A083" w14:textId="77777777" w:rsidR="00CE69DE" w:rsidRPr="00921344" w:rsidRDefault="00CE69DE" w:rsidP="00527697">
            <w:pPr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  <w:b/>
                <w:bCs/>
                <w:lang w:val="en-US"/>
              </w:rPr>
              <w:t>Pupillary abnormality</w:t>
            </w:r>
            <w:r w:rsidRPr="00E11113">
              <w:rPr>
                <w:rFonts w:ascii="Calibri" w:hAnsi="Calibri" w:cs="Calibri"/>
                <w:i/>
                <w:iCs/>
                <w:vertAlign w:val="superscript"/>
                <w:lang w:val="en-US"/>
              </w:rPr>
              <w:t>ⴕ</w:t>
            </w:r>
            <w:r w:rsidRPr="0092134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2177" w:type="dxa"/>
            <w:vAlign w:val="center"/>
          </w:tcPr>
          <w:p w14:paraId="22848B3F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  <w:b/>
                <w:bCs/>
                <w:lang w:val="en-US"/>
              </w:rPr>
              <w:t>4.03</w:t>
            </w:r>
          </w:p>
        </w:tc>
        <w:tc>
          <w:tcPr>
            <w:tcW w:w="0" w:type="auto"/>
            <w:vAlign w:val="center"/>
          </w:tcPr>
          <w:p w14:paraId="51DEB891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  <w:b/>
                <w:bCs/>
                <w:lang w:val="en-US"/>
              </w:rPr>
              <w:t>2.005–8.3</w:t>
            </w:r>
          </w:p>
        </w:tc>
        <w:tc>
          <w:tcPr>
            <w:tcW w:w="0" w:type="auto"/>
            <w:vAlign w:val="center"/>
          </w:tcPr>
          <w:p w14:paraId="685B73DB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</w:rPr>
            </w:pPr>
            <w:r w:rsidRPr="00921344">
              <w:rPr>
                <w:rFonts w:ascii="Times New Roman" w:hAnsi="Times New Roman" w:cs="Times New Roman"/>
                <w:b/>
                <w:bCs/>
                <w:lang w:val="en-US"/>
              </w:rPr>
              <w:t>0.0001</w:t>
            </w:r>
          </w:p>
        </w:tc>
      </w:tr>
      <w:tr w:rsidR="00CE69DE" w:rsidRPr="00921344" w14:paraId="53717046" w14:textId="77777777" w:rsidTr="00527697">
        <w:trPr>
          <w:trHeight w:val="536"/>
          <w:tblCellSpacing w:w="15" w:type="dxa"/>
        </w:trPr>
        <w:tc>
          <w:tcPr>
            <w:tcW w:w="4197" w:type="dxa"/>
            <w:vAlign w:val="center"/>
          </w:tcPr>
          <w:p w14:paraId="062ABDCE" w14:textId="77777777" w:rsidR="00CE69DE" w:rsidRPr="00921344" w:rsidRDefault="00CE69DE" w:rsidP="0052769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177" w:type="dxa"/>
            <w:vAlign w:val="center"/>
          </w:tcPr>
          <w:p w14:paraId="30C02E0D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7B374A0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A8DF80B" w14:textId="77777777" w:rsidR="00CE69DE" w:rsidRPr="00921344" w:rsidRDefault="00CE69DE" w:rsidP="00527697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CE69DE" w:rsidRPr="005B3928" w14:paraId="3F90AF85" w14:textId="77777777" w:rsidTr="00527697">
        <w:trPr>
          <w:trHeight w:val="13"/>
          <w:tblCellSpacing w:w="15" w:type="dxa"/>
        </w:trPr>
        <w:tc>
          <w:tcPr>
            <w:tcW w:w="4197" w:type="dxa"/>
            <w:vAlign w:val="center"/>
          </w:tcPr>
          <w:p w14:paraId="41ED02B3" w14:textId="77777777" w:rsidR="00CE69DE" w:rsidRPr="00921344" w:rsidRDefault="00CE69DE" w:rsidP="0052769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77" w:type="dxa"/>
            <w:vAlign w:val="center"/>
          </w:tcPr>
          <w:p w14:paraId="3C8D5BA1" w14:textId="77777777" w:rsidR="00CE69DE" w:rsidRPr="00921344" w:rsidRDefault="00CE69DE" w:rsidP="0052769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vAlign w:val="center"/>
          </w:tcPr>
          <w:p w14:paraId="1600F7B9" w14:textId="77777777" w:rsidR="00CE69DE" w:rsidRPr="00921344" w:rsidRDefault="00CE69DE" w:rsidP="0052769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0" w:type="auto"/>
            <w:vAlign w:val="center"/>
          </w:tcPr>
          <w:p w14:paraId="3E2C2B94" w14:textId="77777777" w:rsidR="00CE69DE" w:rsidRPr="00921344" w:rsidRDefault="00CE69DE" w:rsidP="0052769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2CAA6A98" w14:textId="77777777" w:rsidR="00CE69DE" w:rsidRDefault="00CE69DE" w:rsidP="00CE69DE">
      <w:pPr>
        <w:rPr>
          <w:rFonts w:ascii="Times New Roman" w:hAnsi="Times New Roman" w:cs="Times New Roman"/>
          <w:i/>
          <w:iCs/>
          <w:lang w:val="en-US"/>
        </w:rPr>
      </w:pPr>
      <w:r w:rsidRPr="005B3928">
        <w:rPr>
          <w:rFonts w:ascii="Times New Roman" w:hAnsi="Times New Roman" w:cs="Times New Roman"/>
          <w:i/>
          <w:iCs/>
          <w:lang w:val="en-US"/>
        </w:rPr>
        <w:t>Multivariable logistic regression analysis of factors associated with brain death after OHCA-aSAH. Odds ratios (OR) with 95% confidence intervals (CI) and p-values are shown</w:t>
      </w:r>
    </w:p>
    <w:p w14:paraId="20C80490" w14:textId="77777777" w:rsidR="00CE69DE" w:rsidRPr="00B60905" w:rsidRDefault="00CE69DE" w:rsidP="00CE69DE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vertAlign w:val="superscript"/>
          <w:lang w:val="en-US"/>
        </w:rPr>
        <w:t>§</w:t>
      </w:r>
      <w:r>
        <w:rPr>
          <w:rFonts w:ascii="Times New Roman" w:hAnsi="Times New Roman" w:cs="Times New Roman"/>
          <w:i/>
          <w:iCs/>
          <w:lang w:val="en-US"/>
        </w:rPr>
        <w:t>C</w:t>
      </w:r>
      <w:r w:rsidRPr="00B60905">
        <w:rPr>
          <w:rFonts w:ascii="Times New Roman" w:hAnsi="Times New Roman" w:cs="Times New Roman"/>
          <w:i/>
          <w:iCs/>
          <w:lang w:val="en-US"/>
        </w:rPr>
        <w:t>orresponding to prehospital epinephrine boluses</w:t>
      </w:r>
    </w:p>
    <w:p w14:paraId="3463DCC2" w14:textId="77777777" w:rsidR="00CE69DE" w:rsidRPr="00B60905" w:rsidRDefault="00CE69DE" w:rsidP="00CE69DE">
      <w:pPr>
        <w:rPr>
          <w:rFonts w:ascii="Times New Roman" w:hAnsi="Times New Roman" w:cs="Times New Roman"/>
          <w:i/>
          <w:iCs/>
          <w:lang w:val="en-US"/>
        </w:rPr>
      </w:pPr>
      <w:r w:rsidRPr="00E11113">
        <w:rPr>
          <w:rFonts w:ascii="Calibri" w:hAnsi="Calibri" w:cs="Calibri"/>
          <w:i/>
          <w:iCs/>
          <w:vertAlign w:val="superscript"/>
          <w:lang w:val="en-US"/>
        </w:rPr>
        <w:t>ⴕ</w:t>
      </w:r>
      <w:r w:rsidRPr="00B60905">
        <w:rPr>
          <w:rFonts w:ascii="Times New Roman" w:hAnsi="Times New Roman" w:cs="Times New Roman"/>
          <w:i/>
          <w:iCs/>
          <w:lang w:val="en-US"/>
        </w:rPr>
        <w:t xml:space="preserve">Bilateral mydriasis </w:t>
      </w:r>
      <w:r>
        <w:rPr>
          <w:rFonts w:ascii="Times New Roman" w:hAnsi="Times New Roman" w:cs="Times New Roman"/>
          <w:i/>
          <w:iCs/>
          <w:lang w:val="en-US"/>
        </w:rPr>
        <w:t>or</w:t>
      </w:r>
      <w:r w:rsidRPr="00B60905">
        <w:rPr>
          <w:rFonts w:ascii="Times New Roman" w:hAnsi="Times New Roman" w:cs="Times New Roman"/>
          <w:i/>
          <w:iCs/>
          <w:lang w:val="en-US"/>
        </w:rPr>
        <w:t xml:space="preserve"> anisocoria, both non-reactive to light</w:t>
      </w:r>
    </w:p>
    <w:p w14:paraId="53EE9E1D" w14:textId="77777777" w:rsidR="00CE69DE" w:rsidRPr="00CE69DE" w:rsidRDefault="00CE69DE">
      <w:pPr>
        <w:rPr>
          <w:lang w:val="en-US"/>
        </w:rPr>
      </w:pPr>
    </w:p>
    <w:sectPr w:rsidR="00CE69DE" w:rsidRPr="00CE6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DE"/>
    <w:rsid w:val="0094666F"/>
    <w:rsid w:val="00CE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977C"/>
  <w15:chartTrackingRefBased/>
  <w15:docId w15:val="{DE7587EA-7D6E-4BD7-ABA9-77ED4B0C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9DE"/>
  </w:style>
  <w:style w:type="paragraph" w:styleId="Titre1">
    <w:name w:val="heading 1"/>
    <w:basedOn w:val="Normal"/>
    <w:next w:val="Normal"/>
    <w:link w:val="Titre1Car"/>
    <w:uiPriority w:val="9"/>
    <w:qFormat/>
    <w:rsid w:val="00CE6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E6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E69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E6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E69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E6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E6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E6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E6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69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E69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E69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E69D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E69D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E69D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E69D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E69D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E69D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E6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E6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6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E6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E6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E69D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E69D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E69D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E69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E69D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E69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LEGROS</dc:creator>
  <cp:keywords/>
  <dc:description/>
  <cp:lastModifiedBy>Vincent LEGROS</cp:lastModifiedBy>
  <cp:revision>1</cp:revision>
  <dcterms:created xsi:type="dcterms:W3CDTF">2026-03-25T14:06:00Z</dcterms:created>
  <dcterms:modified xsi:type="dcterms:W3CDTF">2026-03-25T14:06:00Z</dcterms:modified>
</cp:coreProperties>
</file>