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9EC" w:rsidRPr="008708A8" w:rsidRDefault="003309EC" w:rsidP="003309EC">
      <w:pPr>
        <w:autoSpaceDE w:val="0"/>
        <w:autoSpaceDN w:val="0"/>
        <w:adjustRightInd w:val="0"/>
        <w:spacing w:after="240"/>
        <w:rPr>
          <w:rFonts w:ascii="Arial" w:eastAsiaTheme="minorHAnsi" w:hAnsi="Arial" w:cs="Arial"/>
          <w:sz w:val="22"/>
          <w:szCs w:val="22"/>
          <w:lang w:val="en-GB" w:eastAsia="en-US"/>
          <w14:ligatures w14:val="standardContextual"/>
        </w:rPr>
      </w:pPr>
      <w:r w:rsidRPr="008708A8">
        <w:rPr>
          <w:rFonts w:ascii="Arial" w:eastAsiaTheme="minorHAnsi" w:hAnsi="Arial" w:cs="Arial"/>
          <w:b/>
          <w:bCs/>
          <w:sz w:val="22"/>
          <w:szCs w:val="22"/>
          <w:lang w:val="en-GB" w:eastAsia="en-US"/>
          <w14:ligatures w14:val="standardContextual"/>
        </w:rPr>
        <w:t>Supplementary Table 1: Between-</w:t>
      </w:r>
      <w:proofErr w:type="spellStart"/>
      <w:r w:rsidRPr="008708A8">
        <w:rPr>
          <w:rFonts w:ascii="Arial" w:eastAsiaTheme="minorHAnsi" w:hAnsi="Arial" w:cs="Arial"/>
          <w:b/>
          <w:bCs/>
          <w:sz w:val="22"/>
          <w:szCs w:val="22"/>
          <w:lang w:val="en-GB" w:eastAsia="en-US"/>
          <w14:ligatures w14:val="standardContextual"/>
        </w:rPr>
        <w:t>center</w:t>
      </w:r>
      <w:proofErr w:type="spellEnd"/>
      <w:r w:rsidRPr="008708A8">
        <w:rPr>
          <w:rFonts w:ascii="Arial" w:eastAsiaTheme="minorHAnsi" w:hAnsi="Arial" w:cs="Arial"/>
          <w:b/>
          <w:bCs/>
          <w:sz w:val="22"/>
          <w:szCs w:val="22"/>
          <w:lang w:val="en-GB" w:eastAsia="en-US"/>
          <w14:ligatures w14:val="standardContextual"/>
        </w:rPr>
        <w:t xml:space="preserve"> variation in KPS component adherence.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4"/>
        <w:gridCol w:w="1134"/>
        <w:gridCol w:w="1134"/>
        <w:gridCol w:w="1134"/>
        <w:gridCol w:w="1134"/>
        <w:gridCol w:w="992"/>
      </w:tblGrid>
      <w:tr w:rsidR="003309EC" w:rsidRPr="008708A8" w:rsidTr="00D42E9C">
        <w:trPr>
          <w:tblHeader/>
          <w:tblCellSpacing w:w="15" w:type="dxa"/>
        </w:trPr>
        <w:tc>
          <w:tcPr>
            <w:tcW w:w="2649" w:type="dxa"/>
            <w:vAlign w:val="center"/>
            <w:hideMark/>
          </w:tcPr>
          <w:p w:rsidR="003309EC" w:rsidRPr="008708A8" w:rsidRDefault="003309EC" w:rsidP="00D42E9C">
            <w:pPr>
              <w:rPr>
                <w:rFonts w:ascii="Arial" w:hAnsi="Arial" w:cs="Arial"/>
                <w:b/>
                <w:bCs/>
                <w:sz w:val="22"/>
                <w:szCs w:val="22"/>
              </w:rPr>
            </w:pPr>
            <w:r w:rsidRPr="008708A8">
              <w:rPr>
                <w:rStyle w:val="Strong"/>
                <w:rFonts w:ascii="Arial" w:hAnsi="Arial" w:cs="Arial"/>
                <w:sz w:val="22"/>
                <w:szCs w:val="22"/>
              </w:rPr>
              <w:t>KPS Component</w:t>
            </w:r>
          </w:p>
        </w:tc>
        <w:tc>
          <w:tcPr>
            <w:tcW w:w="1104" w:type="dxa"/>
            <w:vAlign w:val="center"/>
          </w:tcPr>
          <w:p w:rsidR="003309EC" w:rsidRPr="008708A8" w:rsidRDefault="003309EC" w:rsidP="00D42E9C">
            <w:pPr>
              <w:rPr>
                <w:rStyle w:val="Strong"/>
                <w:rFonts w:ascii="Arial" w:hAnsi="Arial" w:cs="Arial"/>
                <w:sz w:val="22"/>
                <w:szCs w:val="22"/>
              </w:rPr>
            </w:pPr>
            <w:r w:rsidRPr="008708A8">
              <w:rPr>
                <w:rStyle w:val="Strong"/>
                <w:rFonts w:ascii="Arial" w:hAnsi="Arial" w:cs="Arial"/>
                <w:sz w:val="22"/>
                <w:szCs w:val="22"/>
              </w:rPr>
              <w:t>Center 1 (n = 47)</w:t>
            </w:r>
          </w:p>
        </w:tc>
        <w:tc>
          <w:tcPr>
            <w:tcW w:w="1104" w:type="dxa"/>
            <w:vAlign w:val="center"/>
          </w:tcPr>
          <w:p w:rsidR="003309EC" w:rsidRPr="008708A8" w:rsidRDefault="003309EC" w:rsidP="00D42E9C">
            <w:pPr>
              <w:rPr>
                <w:rStyle w:val="Strong"/>
                <w:rFonts w:ascii="Arial" w:hAnsi="Arial" w:cs="Arial"/>
                <w:sz w:val="22"/>
                <w:szCs w:val="22"/>
              </w:rPr>
            </w:pPr>
            <w:r w:rsidRPr="008708A8">
              <w:rPr>
                <w:rStyle w:val="Strong"/>
                <w:rFonts w:ascii="Arial" w:hAnsi="Arial" w:cs="Arial"/>
                <w:sz w:val="22"/>
                <w:szCs w:val="22"/>
              </w:rPr>
              <w:t>Center 2 (n = 10)</w:t>
            </w:r>
          </w:p>
        </w:tc>
        <w:tc>
          <w:tcPr>
            <w:tcW w:w="1104" w:type="dxa"/>
            <w:vAlign w:val="center"/>
            <w:hideMark/>
          </w:tcPr>
          <w:p w:rsidR="003309EC" w:rsidRPr="008708A8" w:rsidRDefault="003309EC" w:rsidP="00D42E9C">
            <w:pPr>
              <w:rPr>
                <w:rFonts w:ascii="Arial" w:hAnsi="Arial" w:cs="Arial"/>
                <w:b/>
                <w:bCs/>
                <w:sz w:val="22"/>
                <w:szCs w:val="22"/>
              </w:rPr>
            </w:pPr>
            <w:r w:rsidRPr="008708A8">
              <w:rPr>
                <w:rStyle w:val="Strong"/>
                <w:rFonts w:ascii="Arial" w:hAnsi="Arial" w:cs="Arial"/>
                <w:sz w:val="22"/>
                <w:szCs w:val="22"/>
              </w:rPr>
              <w:t>Center 3 (n = 25)</w:t>
            </w:r>
          </w:p>
        </w:tc>
        <w:tc>
          <w:tcPr>
            <w:tcW w:w="1104" w:type="dxa"/>
            <w:vAlign w:val="center"/>
            <w:hideMark/>
          </w:tcPr>
          <w:p w:rsidR="003309EC" w:rsidRPr="008708A8" w:rsidRDefault="003309EC" w:rsidP="00D42E9C">
            <w:pPr>
              <w:rPr>
                <w:rFonts w:ascii="Arial" w:hAnsi="Arial" w:cs="Arial"/>
                <w:b/>
                <w:bCs/>
                <w:sz w:val="22"/>
                <w:szCs w:val="22"/>
              </w:rPr>
            </w:pPr>
            <w:r w:rsidRPr="008708A8">
              <w:rPr>
                <w:rStyle w:val="Strong"/>
                <w:rFonts w:ascii="Arial" w:hAnsi="Arial" w:cs="Arial"/>
                <w:sz w:val="22"/>
                <w:szCs w:val="22"/>
              </w:rPr>
              <w:t>Center 4 (n = 142)</w:t>
            </w:r>
          </w:p>
        </w:tc>
        <w:tc>
          <w:tcPr>
            <w:tcW w:w="947" w:type="dxa"/>
            <w:vAlign w:val="center"/>
            <w:hideMark/>
          </w:tcPr>
          <w:p w:rsidR="003309EC" w:rsidRPr="008708A8" w:rsidRDefault="003309EC" w:rsidP="00D42E9C">
            <w:pPr>
              <w:rPr>
                <w:rFonts w:ascii="Arial" w:hAnsi="Arial" w:cs="Arial"/>
                <w:b/>
                <w:bCs/>
                <w:sz w:val="22"/>
                <w:szCs w:val="22"/>
              </w:rPr>
            </w:pPr>
            <w:r w:rsidRPr="008708A8">
              <w:rPr>
                <w:rStyle w:val="Strong"/>
                <w:rFonts w:ascii="Arial" w:hAnsi="Arial" w:cs="Arial"/>
                <w:sz w:val="22"/>
                <w:szCs w:val="22"/>
              </w:rPr>
              <w:t>Center 5 (n = 34)</w:t>
            </w:r>
          </w:p>
        </w:tc>
      </w:tr>
      <w:tr w:rsidR="003309EC" w:rsidRPr="008708A8" w:rsidTr="00D42E9C">
        <w:trPr>
          <w:tblCellSpacing w:w="15" w:type="dxa"/>
        </w:trPr>
        <w:tc>
          <w:tcPr>
            <w:tcW w:w="2649"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Creatinine monitoring</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97.9</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100.0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100.0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100.0</w:t>
            </w:r>
          </w:p>
        </w:tc>
        <w:tc>
          <w:tcPr>
            <w:tcW w:w="947"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100.0</w:t>
            </w:r>
          </w:p>
        </w:tc>
      </w:tr>
      <w:tr w:rsidR="003309EC" w:rsidRPr="008708A8" w:rsidTr="00D42E9C">
        <w:trPr>
          <w:tblCellSpacing w:w="15" w:type="dxa"/>
        </w:trPr>
        <w:tc>
          <w:tcPr>
            <w:tcW w:w="2649"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Radiocontrast avoidance</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95.7</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100.0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100.0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97.9</w:t>
            </w:r>
          </w:p>
        </w:tc>
        <w:tc>
          <w:tcPr>
            <w:tcW w:w="947"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100.0</w:t>
            </w:r>
          </w:p>
        </w:tc>
      </w:tr>
      <w:tr w:rsidR="003309EC" w:rsidRPr="008708A8" w:rsidTr="00D42E9C">
        <w:trPr>
          <w:tblCellSpacing w:w="15" w:type="dxa"/>
        </w:trPr>
        <w:tc>
          <w:tcPr>
            <w:tcW w:w="2649" w:type="dxa"/>
            <w:vAlign w:val="center"/>
            <w:hideMark/>
          </w:tcPr>
          <w:p w:rsidR="003309EC" w:rsidRPr="008708A8" w:rsidRDefault="003309EC" w:rsidP="00D42E9C">
            <w:pPr>
              <w:rPr>
                <w:rFonts w:ascii="Arial" w:hAnsi="Arial" w:cs="Arial"/>
                <w:sz w:val="22"/>
                <w:szCs w:val="22"/>
              </w:rPr>
            </w:pPr>
            <w:proofErr w:type="spellStart"/>
            <w:r w:rsidRPr="008708A8">
              <w:rPr>
                <w:rFonts w:ascii="Arial" w:hAnsi="Arial" w:cs="Arial"/>
                <w:sz w:val="22"/>
                <w:szCs w:val="22"/>
              </w:rPr>
              <w:t>Nephrotoxin</w:t>
            </w:r>
            <w:proofErr w:type="spellEnd"/>
            <w:r w:rsidRPr="008708A8">
              <w:rPr>
                <w:rFonts w:ascii="Arial" w:hAnsi="Arial" w:cs="Arial"/>
                <w:sz w:val="22"/>
                <w:szCs w:val="22"/>
              </w:rPr>
              <w:t xml:space="preserve"> management</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59.6</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80.0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80.0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63.4</w:t>
            </w:r>
          </w:p>
        </w:tc>
        <w:tc>
          <w:tcPr>
            <w:tcW w:w="947"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55.9</w:t>
            </w:r>
          </w:p>
        </w:tc>
      </w:tr>
      <w:tr w:rsidR="003309EC" w:rsidRPr="008708A8" w:rsidTr="00D42E9C">
        <w:trPr>
          <w:tblCellSpacing w:w="15" w:type="dxa"/>
        </w:trPr>
        <w:tc>
          <w:tcPr>
            <w:tcW w:w="2649"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Hemodynamic monitoring</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63.8</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90.0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68.0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54.2</w:t>
            </w:r>
          </w:p>
        </w:tc>
        <w:tc>
          <w:tcPr>
            <w:tcW w:w="947"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55.9</w:t>
            </w:r>
          </w:p>
        </w:tc>
      </w:tr>
      <w:tr w:rsidR="003309EC" w:rsidRPr="008708A8" w:rsidTr="00D42E9C">
        <w:trPr>
          <w:tblCellSpacing w:w="15" w:type="dxa"/>
        </w:trPr>
        <w:tc>
          <w:tcPr>
            <w:tcW w:w="2649"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Urine output monitoring</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97.9</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90.0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28.0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61.3</w:t>
            </w:r>
          </w:p>
        </w:tc>
        <w:tc>
          <w:tcPr>
            <w:tcW w:w="947"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35.3</w:t>
            </w:r>
          </w:p>
        </w:tc>
      </w:tr>
      <w:tr w:rsidR="003309EC" w:rsidRPr="008708A8" w:rsidTr="00D42E9C">
        <w:trPr>
          <w:tblCellSpacing w:w="15" w:type="dxa"/>
        </w:trPr>
        <w:tc>
          <w:tcPr>
            <w:tcW w:w="2649"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Hyperglycemia management</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42.6</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80.0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32.0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42.3</w:t>
            </w:r>
          </w:p>
        </w:tc>
        <w:tc>
          <w:tcPr>
            <w:tcW w:w="947"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47.1</w:t>
            </w:r>
          </w:p>
        </w:tc>
      </w:tr>
      <w:tr w:rsidR="003309EC" w:rsidRPr="008708A8" w:rsidTr="00D42E9C">
        <w:trPr>
          <w:tblCellSpacing w:w="15" w:type="dxa"/>
        </w:trPr>
        <w:tc>
          <w:tcPr>
            <w:tcW w:w="2649"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 xml:space="preserve">Optimization of MAP </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27.7</w:t>
            </w:r>
          </w:p>
        </w:tc>
        <w:tc>
          <w:tcPr>
            <w:tcW w:w="1104" w:type="dxa"/>
            <w:vAlign w:val="center"/>
          </w:tcPr>
          <w:p w:rsidR="003309EC" w:rsidRPr="008708A8" w:rsidRDefault="003309EC" w:rsidP="00D42E9C">
            <w:pPr>
              <w:rPr>
                <w:rFonts w:ascii="Arial" w:hAnsi="Arial" w:cs="Arial"/>
                <w:sz w:val="22"/>
                <w:szCs w:val="22"/>
              </w:rPr>
            </w:pPr>
            <w:r w:rsidRPr="008708A8">
              <w:rPr>
                <w:rFonts w:ascii="Arial" w:hAnsi="Arial" w:cs="Arial"/>
                <w:sz w:val="22"/>
                <w:szCs w:val="22"/>
              </w:rPr>
              <w:t>80.0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28.0</w:t>
            </w:r>
          </w:p>
        </w:tc>
        <w:tc>
          <w:tcPr>
            <w:tcW w:w="1104"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31.7</w:t>
            </w:r>
          </w:p>
        </w:tc>
        <w:tc>
          <w:tcPr>
            <w:tcW w:w="947" w:type="dxa"/>
            <w:vAlign w:val="center"/>
            <w:hideMark/>
          </w:tcPr>
          <w:p w:rsidR="003309EC" w:rsidRPr="008708A8" w:rsidRDefault="003309EC" w:rsidP="00D42E9C">
            <w:pPr>
              <w:rPr>
                <w:rFonts w:ascii="Arial" w:hAnsi="Arial" w:cs="Arial"/>
                <w:sz w:val="22"/>
                <w:szCs w:val="22"/>
              </w:rPr>
            </w:pPr>
            <w:r w:rsidRPr="008708A8">
              <w:rPr>
                <w:rFonts w:ascii="Arial" w:hAnsi="Arial" w:cs="Arial"/>
                <w:sz w:val="22"/>
                <w:szCs w:val="22"/>
              </w:rPr>
              <w:t>35.3</w:t>
            </w:r>
          </w:p>
        </w:tc>
      </w:tr>
      <w:tr w:rsidR="003309EC" w:rsidRPr="008708A8" w:rsidTr="00D42E9C">
        <w:trPr>
          <w:tblCellSpacing w:w="15" w:type="dxa"/>
        </w:trPr>
        <w:tc>
          <w:tcPr>
            <w:tcW w:w="2649" w:type="dxa"/>
            <w:vAlign w:val="center"/>
            <w:hideMark/>
          </w:tcPr>
          <w:p w:rsidR="003309EC" w:rsidRPr="008708A8" w:rsidRDefault="003309EC" w:rsidP="00D42E9C">
            <w:pPr>
              <w:rPr>
                <w:rFonts w:ascii="Arial" w:hAnsi="Arial" w:cs="Arial"/>
                <w:sz w:val="22"/>
                <w:szCs w:val="22"/>
              </w:rPr>
            </w:pPr>
            <w:r w:rsidRPr="008708A8">
              <w:rPr>
                <w:rStyle w:val="Strong"/>
                <w:rFonts w:ascii="Arial" w:hAnsi="Arial" w:cs="Arial"/>
                <w:sz w:val="22"/>
                <w:szCs w:val="22"/>
              </w:rPr>
              <w:t>Complete KPS</w:t>
            </w:r>
          </w:p>
        </w:tc>
        <w:tc>
          <w:tcPr>
            <w:tcW w:w="1104" w:type="dxa"/>
            <w:vAlign w:val="center"/>
          </w:tcPr>
          <w:p w:rsidR="003309EC" w:rsidRPr="008708A8" w:rsidRDefault="003309EC" w:rsidP="00D42E9C">
            <w:pPr>
              <w:rPr>
                <w:rStyle w:val="Strong"/>
                <w:rFonts w:ascii="Arial" w:hAnsi="Arial" w:cs="Arial"/>
                <w:sz w:val="22"/>
                <w:szCs w:val="22"/>
              </w:rPr>
            </w:pPr>
            <w:r w:rsidRPr="008708A8">
              <w:rPr>
                <w:rStyle w:val="Strong"/>
                <w:rFonts w:ascii="Arial" w:hAnsi="Arial" w:cs="Arial"/>
                <w:sz w:val="22"/>
                <w:szCs w:val="22"/>
              </w:rPr>
              <w:t>25.5</w:t>
            </w:r>
          </w:p>
        </w:tc>
        <w:tc>
          <w:tcPr>
            <w:tcW w:w="1104" w:type="dxa"/>
            <w:vAlign w:val="center"/>
          </w:tcPr>
          <w:p w:rsidR="003309EC" w:rsidRPr="008708A8" w:rsidRDefault="003309EC" w:rsidP="00D42E9C">
            <w:pPr>
              <w:rPr>
                <w:rStyle w:val="Strong"/>
                <w:rFonts w:ascii="Arial" w:hAnsi="Arial" w:cs="Arial"/>
                <w:sz w:val="22"/>
                <w:szCs w:val="22"/>
              </w:rPr>
            </w:pPr>
            <w:r w:rsidRPr="008708A8">
              <w:rPr>
                <w:rStyle w:val="Strong"/>
                <w:rFonts w:ascii="Arial" w:hAnsi="Arial" w:cs="Arial"/>
                <w:sz w:val="22"/>
                <w:szCs w:val="22"/>
              </w:rPr>
              <w:t>80.0</w:t>
            </w:r>
          </w:p>
        </w:tc>
        <w:tc>
          <w:tcPr>
            <w:tcW w:w="1104" w:type="dxa"/>
            <w:vAlign w:val="center"/>
            <w:hideMark/>
          </w:tcPr>
          <w:p w:rsidR="003309EC" w:rsidRPr="008708A8" w:rsidRDefault="003309EC" w:rsidP="00D42E9C">
            <w:pPr>
              <w:rPr>
                <w:rFonts w:ascii="Arial" w:hAnsi="Arial" w:cs="Arial"/>
                <w:sz w:val="22"/>
                <w:szCs w:val="22"/>
              </w:rPr>
            </w:pPr>
            <w:r w:rsidRPr="008708A8">
              <w:rPr>
                <w:rStyle w:val="Strong"/>
                <w:rFonts w:ascii="Arial" w:hAnsi="Arial" w:cs="Arial"/>
                <w:sz w:val="22"/>
                <w:szCs w:val="22"/>
              </w:rPr>
              <w:t>28.0</w:t>
            </w:r>
          </w:p>
        </w:tc>
        <w:tc>
          <w:tcPr>
            <w:tcW w:w="1104" w:type="dxa"/>
            <w:vAlign w:val="center"/>
            <w:hideMark/>
          </w:tcPr>
          <w:p w:rsidR="003309EC" w:rsidRPr="008708A8" w:rsidRDefault="003309EC" w:rsidP="00D42E9C">
            <w:pPr>
              <w:rPr>
                <w:rFonts w:ascii="Arial" w:hAnsi="Arial" w:cs="Arial"/>
                <w:sz w:val="22"/>
                <w:szCs w:val="22"/>
              </w:rPr>
            </w:pPr>
            <w:r w:rsidRPr="008708A8">
              <w:rPr>
                <w:rStyle w:val="Strong"/>
                <w:rFonts w:ascii="Arial" w:hAnsi="Arial" w:cs="Arial"/>
                <w:sz w:val="22"/>
                <w:szCs w:val="22"/>
              </w:rPr>
              <w:t>28.9</w:t>
            </w:r>
          </w:p>
        </w:tc>
        <w:tc>
          <w:tcPr>
            <w:tcW w:w="947" w:type="dxa"/>
            <w:vAlign w:val="center"/>
            <w:hideMark/>
          </w:tcPr>
          <w:p w:rsidR="003309EC" w:rsidRPr="008708A8" w:rsidRDefault="003309EC" w:rsidP="00D42E9C">
            <w:pPr>
              <w:rPr>
                <w:rFonts w:ascii="Arial" w:hAnsi="Arial" w:cs="Arial"/>
                <w:sz w:val="22"/>
                <w:szCs w:val="22"/>
              </w:rPr>
            </w:pPr>
            <w:r w:rsidRPr="008708A8">
              <w:rPr>
                <w:rStyle w:val="Strong"/>
                <w:rFonts w:ascii="Arial" w:hAnsi="Arial" w:cs="Arial"/>
                <w:sz w:val="22"/>
                <w:szCs w:val="22"/>
              </w:rPr>
              <w:t>35.3</w:t>
            </w:r>
          </w:p>
        </w:tc>
      </w:tr>
    </w:tbl>
    <w:p w:rsidR="003309EC" w:rsidRPr="008708A8" w:rsidRDefault="003309EC" w:rsidP="003309EC">
      <w:pPr>
        <w:rPr>
          <w:rFonts w:ascii="Arial" w:eastAsiaTheme="minorHAnsi" w:hAnsi="Arial" w:cs="Arial"/>
          <w:b/>
          <w:bCs/>
          <w:sz w:val="22"/>
          <w:szCs w:val="22"/>
          <w:lang w:val="en-GB" w:eastAsia="en-US"/>
          <w14:ligatures w14:val="standardContextual"/>
        </w:rPr>
      </w:pPr>
    </w:p>
    <w:p w:rsidR="003309EC" w:rsidRPr="008708A8" w:rsidRDefault="003309EC" w:rsidP="003309EC">
      <w:pPr>
        <w:rPr>
          <w:rFonts w:ascii="Arial" w:hAnsi="Arial" w:cs="Arial"/>
          <w:b/>
          <w:bCs/>
          <w:sz w:val="22"/>
          <w:szCs w:val="22"/>
        </w:rPr>
      </w:pPr>
      <w:r w:rsidRPr="008708A8">
        <w:rPr>
          <w:rFonts w:ascii="Arial" w:eastAsiaTheme="minorHAnsi" w:hAnsi="Arial" w:cs="Arial"/>
          <w:b/>
          <w:bCs/>
          <w:sz w:val="22"/>
          <w:szCs w:val="22"/>
          <w:lang w:val="en-GB" w:eastAsia="en-US"/>
          <w14:ligatures w14:val="standardContextual"/>
        </w:rPr>
        <w:br/>
      </w:r>
      <w:r w:rsidRPr="008708A8">
        <w:rPr>
          <w:rFonts w:ascii="Arial" w:hAnsi="Arial" w:cs="Arial"/>
          <w:b/>
          <w:bCs/>
          <w:sz w:val="22"/>
          <w:szCs w:val="22"/>
        </w:rPr>
        <w:t>Supplementary Table 2: Distribution of the number of KPS components fulfilled.</w:t>
      </w:r>
    </w:p>
    <w:p w:rsidR="003309EC" w:rsidRPr="008708A8" w:rsidRDefault="003309EC" w:rsidP="003309EC">
      <w:pPr>
        <w:rPr>
          <w:rFonts w:ascii="Arial" w:hAnsi="Arial" w:cs="Arial"/>
          <w:sz w:val="22"/>
          <w:szCs w:val="22"/>
        </w:rPr>
      </w:pPr>
    </w:p>
    <w:p w:rsidR="003309EC" w:rsidRPr="008708A8" w:rsidRDefault="003309EC" w:rsidP="003309EC">
      <w:pPr>
        <w:rPr>
          <w:rFonts w:ascii="Arial" w:hAnsi="Arial" w:cs="Arial"/>
          <w:sz w:val="22"/>
          <w:szCs w:val="22"/>
        </w:rPr>
      </w:pPr>
    </w:p>
    <w:tbl>
      <w:tblPr>
        <w:tblW w:w="0" w:type="auto"/>
        <w:tblLayout w:type="fixed"/>
        <w:tblLook w:val="0420" w:firstRow="1" w:lastRow="0" w:firstColumn="0" w:lastColumn="0" w:noHBand="0" w:noVBand="1"/>
      </w:tblPr>
      <w:tblGrid>
        <w:gridCol w:w="2698"/>
        <w:gridCol w:w="753"/>
        <w:gridCol w:w="1401"/>
        <w:gridCol w:w="1756"/>
      </w:tblGrid>
      <w:tr w:rsidR="003309EC" w:rsidRPr="008708A8" w:rsidTr="00D42E9C">
        <w:trPr>
          <w:tblHeader/>
        </w:trPr>
        <w:tc>
          <w:tcPr>
            <w:tcW w:w="2698"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b/>
                <w:bCs/>
                <w:sz w:val="22"/>
                <w:szCs w:val="22"/>
              </w:rPr>
            </w:pPr>
            <w:r w:rsidRPr="008708A8">
              <w:rPr>
                <w:rFonts w:ascii="Arial" w:eastAsia="Arial" w:hAnsi="Arial" w:cs="Arial"/>
                <w:b/>
                <w:bCs/>
                <w:sz w:val="22"/>
                <w:szCs w:val="22"/>
              </w:rPr>
              <w:t>No. of bundle components fulfilled</w:t>
            </w:r>
          </w:p>
        </w:tc>
        <w:tc>
          <w:tcPr>
            <w:tcW w:w="753"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b/>
                <w:bCs/>
                <w:sz w:val="22"/>
                <w:szCs w:val="22"/>
              </w:rPr>
            </w:pPr>
            <w:r w:rsidRPr="008708A8">
              <w:rPr>
                <w:rFonts w:ascii="Arial" w:eastAsia="Arial" w:hAnsi="Arial" w:cs="Arial"/>
                <w:b/>
                <w:bCs/>
                <w:sz w:val="22"/>
                <w:szCs w:val="22"/>
              </w:rPr>
              <w:t>N</w:t>
            </w:r>
          </w:p>
        </w:tc>
        <w:tc>
          <w:tcPr>
            <w:tcW w:w="1401"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b/>
                <w:bCs/>
                <w:sz w:val="22"/>
                <w:szCs w:val="22"/>
              </w:rPr>
            </w:pPr>
            <w:r w:rsidRPr="008708A8">
              <w:rPr>
                <w:rFonts w:ascii="Arial" w:eastAsia="Arial" w:hAnsi="Arial" w:cs="Arial"/>
                <w:b/>
                <w:bCs/>
                <w:sz w:val="22"/>
                <w:szCs w:val="22"/>
              </w:rPr>
              <w:t>Proportion</w:t>
            </w:r>
          </w:p>
        </w:tc>
        <w:tc>
          <w:tcPr>
            <w:tcW w:w="1756"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b/>
                <w:bCs/>
                <w:sz w:val="22"/>
                <w:szCs w:val="22"/>
              </w:rPr>
            </w:pPr>
            <w:r w:rsidRPr="008708A8">
              <w:rPr>
                <w:rFonts w:ascii="Arial" w:eastAsia="Arial" w:hAnsi="Arial" w:cs="Arial"/>
                <w:b/>
                <w:bCs/>
                <w:sz w:val="22"/>
                <w:szCs w:val="22"/>
              </w:rPr>
              <w:t>CI</w:t>
            </w:r>
          </w:p>
        </w:tc>
      </w:tr>
      <w:tr w:rsidR="003309EC" w:rsidRPr="008708A8" w:rsidTr="00D42E9C">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w:t>
            </w:r>
          </w:p>
        </w:tc>
        <w:tc>
          <w:tcPr>
            <w:tcW w:w="75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w:t>
            </w:r>
          </w:p>
        </w:tc>
        <w:tc>
          <w:tcPr>
            <w:tcW w:w="140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0.000</w:t>
            </w:r>
          </w:p>
        </w:tc>
        <w:tc>
          <w:tcPr>
            <w:tcW w:w="175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 – 0.014</w:t>
            </w:r>
          </w:p>
        </w:tc>
      </w:tr>
      <w:tr w:rsidR="003309EC" w:rsidRPr="008708A8" w:rsidTr="00D42E9C">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1</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0.000</w:t>
            </w:r>
          </w:p>
        </w:tc>
        <w:tc>
          <w:tcPr>
            <w:tcW w:w="17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 – 0.014</w:t>
            </w:r>
          </w:p>
        </w:tc>
      </w:tr>
      <w:tr w:rsidR="003309EC" w:rsidRPr="008708A8" w:rsidTr="00D42E9C">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2</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32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0.124</w:t>
            </w:r>
          </w:p>
        </w:tc>
        <w:tc>
          <w:tcPr>
            <w:tcW w:w="17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0.086 – 0.171</w:t>
            </w:r>
          </w:p>
        </w:tc>
      </w:tr>
      <w:tr w:rsidR="003309EC" w:rsidRPr="008708A8" w:rsidTr="00D42E9C">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3</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59</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0.229</w:t>
            </w:r>
          </w:p>
        </w:tc>
        <w:tc>
          <w:tcPr>
            <w:tcW w:w="17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0.179 – 0.285</w:t>
            </w:r>
          </w:p>
        </w:tc>
      </w:tr>
      <w:tr w:rsidR="003309EC" w:rsidRPr="008708A8" w:rsidTr="00D42E9C">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4</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58</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0.225</w:t>
            </w:r>
          </w:p>
        </w:tc>
        <w:tc>
          <w:tcPr>
            <w:tcW w:w="17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0.175 – 0.281</w:t>
            </w:r>
          </w:p>
        </w:tc>
      </w:tr>
      <w:tr w:rsidR="003309EC" w:rsidRPr="008708A8" w:rsidTr="00D42E9C">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5</w:t>
            </w:r>
          </w:p>
        </w:tc>
        <w:tc>
          <w:tcPr>
            <w:tcW w:w="7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22</w:t>
            </w:r>
          </w:p>
        </w:tc>
        <w:tc>
          <w:tcPr>
            <w:tcW w:w="14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0.085</w:t>
            </w:r>
          </w:p>
        </w:tc>
        <w:tc>
          <w:tcPr>
            <w:tcW w:w="17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0.054 – 0.126</w:t>
            </w:r>
          </w:p>
        </w:tc>
      </w:tr>
      <w:tr w:rsidR="003309EC" w:rsidRPr="008708A8" w:rsidTr="00D42E9C">
        <w:tc>
          <w:tcPr>
            <w:tcW w:w="269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6</w:t>
            </w:r>
          </w:p>
        </w:tc>
        <w:tc>
          <w:tcPr>
            <w:tcW w:w="75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7</w:t>
            </w:r>
          </w:p>
        </w:tc>
        <w:tc>
          <w:tcPr>
            <w:tcW w:w="140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0.027</w:t>
            </w:r>
          </w:p>
        </w:tc>
        <w:tc>
          <w:tcPr>
            <w:tcW w:w="175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0.011 – 0.055</w:t>
            </w:r>
          </w:p>
        </w:tc>
      </w:tr>
      <w:tr w:rsidR="003309EC" w:rsidRPr="008708A8" w:rsidTr="00D42E9C">
        <w:tc>
          <w:tcPr>
            <w:tcW w:w="2698" w:type="dxa"/>
            <w:tcBorders>
              <w:bottom w:val="single" w:sz="4" w:space="0" w:color="auto"/>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7</w:t>
            </w:r>
          </w:p>
        </w:tc>
        <w:tc>
          <w:tcPr>
            <w:tcW w:w="753" w:type="dxa"/>
            <w:tcBorders>
              <w:bottom w:val="single" w:sz="4" w:space="0" w:color="auto"/>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80</w:t>
            </w:r>
          </w:p>
        </w:tc>
        <w:tc>
          <w:tcPr>
            <w:tcW w:w="1401" w:type="dxa"/>
            <w:tcBorders>
              <w:bottom w:val="single" w:sz="4" w:space="0" w:color="auto"/>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0.310</w:t>
            </w:r>
          </w:p>
        </w:tc>
        <w:tc>
          <w:tcPr>
            <w:tcW w:w="1756" w:type="dxa"/>
            <w:tcBorders>
              <w:bottom w:val="single" w:sz="4" w:space="0" w:color="auto"/>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ind w:left="100" w:right="100"/>
              <w:rPr>
                <w:rFonts w:ascii="Arial" w:eastAsia="Arial" w:hAnsi="Arial" w:cs="Arial"/>
                <w:sz w:val="22"/>
                <w:szCs w:val="22"/>
              </w:rPr>
            </w:pPr>
            <w:r w:rsidRPr="008708A8">
              <w:rPr>
                <w:rFonts w:ascii="Arial" w:eastAsia="Arial" w:hAnsi="Arial" w:cs="Arial"/>
                <w:sz w:val="22"/>
                <w:szCs w:val="22"/>
              </w:rPr>
              <w:t>0.254 – 0.37</w:t>
            </w:r>
          </w:p>
        </w:tc>
      </w:tr>
    </w:tbl>
    <w:p w:rsidR="003309EC" w:rsidRPr="008708A8" w:rsidRDefault="003309EC" w:rsidP="003309EC">
      <w:pPr>
        <w:autoSpaceDE w:val="0"/>
        <w:autoSpaceDN w:val="0"/>
        <w:adjustRightInd w:val="0"/>
        <w:spacing w:after="240"/>
        <w:rPr>
          <w:rFonts w:ascii="Arial" w:eastAsiaTheme="minorHAnsi" w:hAnsi="Arial" w:cs="Arial"/>
          <w:sz w:val="22"/>
          <w:szCs w:val="22"/>
          <w:lang w:val="en-GB" w:eastAsia="en-US"/>
          <w14:ligatures w14:val="standardContextual"/>
        </w:rPr>
      </w:pPr>
    </w:p>
    <w:p w:rsidR="003309EC" w:rsidRPr="008708A8" w:rsidRDefault="003309EC" w:rsidP="003309EC">
      <w:pPr>
        <w:pStyle w:val="NormalWeb"/>
        <w:spacing w:after="0" w:line="480" w:lineRule="auto"/>
        <w:rPr>
          <w:rFonts w:ascii="Arial" w:eastAsiaTheme="majorEastAsia" w:hAnsi="Arial" w:cs="Arial"/>
          <w:b/>
          <w:bCs/>
          <w:sz w:val="22"/>
          <w:szCs w:val="22"/>
        </w:rPr>
      </w:pPr>
      <w:r w:rsidRPr="008708A8">
        <w:rPr>
          <w:rFonts w:ascii="Arial" w:eastAsiaTheme="majorEastAsia" w:hAnsi="Arial" w:cs="Arial"/>
          <w:b/>
          <w:bCs/>
          <w:sz w:val="22"/>
          <w:szCs w:val="22"/>
        </w:rPr>
        <w:t>Supplementary Table 3: Exploratory analysis of individual KPS component effects.</w:t>
      </w:r>
    </w:p>
    <w:tbl>
      <w:tblPr>
        <w:tblW w:w="7960" w:type="dxa"/>
        <w:tblLayout w:type="fixed"/>
        <w:tblLook w:val="0420" w:firstRow="1" w:lastRow="0" w:firstColumn="0" w:lastColumn="0" w:noHBand="0" w:noVBand="1"/>
      </w:tblPr>
      <w:tblGrid>
        <w:gridCol w:w="2318"/>
        <w:gridCol w:w="961"/>
        <w:gridCol w:w="1083"/>
        <w:gridCol w:w="1169"/>
        <w:gridCol w:w="2429"/>
      </w:tblGrid>
      <w:tr w:rsidR="003309EC" w:rsidRPr="008708A8" w:rsidTr="00D42E9C">
        <w:trPr>
          <w:tblHeader/>
        </w:trPr>
        <w:tc>
          <w:tcPr>
            <w:tcW w:w="2318"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Component</w:t>
            </w:r>
          </w:p>
        </w:tc>
        <w:tc>
          <w:tcPr>
            <w:tcW w:w="961"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b/>
                <w:bCs/>
                <w:sz w:val="22"/>
                <w:szCs w:val="22"/>
              </w:rPr>
            </w:pPr>
            <w:r w:rsidRPr="008708A8">
              <w:rPr>
                <w:rFonts w:ascii="Arial" w:eastAsia="Arial" w:hAnsi="Arial" w:cs="Arial"/>
                <w:b/>
                <w:bCs/>
                <w:sz w:val="22"/>
                <w:szCs w:val="22"/>
              </w:rPr>
              <w:t>SHR</w:t>
            </w:r>
          </w:p>
        </w:tc>
        <w:tc>
          <w:tcPr>
            <w:tcW w:w="1083"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b/>
                <w:bCs/>
                <w:sz w:val="22"/>
                <w:szCs w:val="22"/>
              </w:rPr>
            </w:pPr>
            <w:r w:rsidRPr="008708A8">
              <w:rPr>
                <w:rFonts w:ascii="Arial" w:eastAsia="Arial" w:hAnsi="Arial" w:cs="Arial"/>
                <w:b/>
                <w:bCs/>
                <w:sz w:val="22"/>
                <w:szCs w:val="22"/>
              </w:rPr>
              <w:t>CI low</w:t>
            </w:r>
          </w:p>
        </w:tc>
        <w:tc>
          <w:tcPr>
            <w:tcW w:w="1169"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b/>
                <w:bCs/>
                <w:sz w:val="22"/>
                <w:szCs w:val="22"/>
              </w:rPr>
            </w:pPr>
            <w:r w:rsidRPr="008708A8">
              <w:rPr>
                <w:rFonts w:ascii="Arial" w:eastAsia="Arial" w:hAnsi="Arial" w:cs="Arial"/>
                <w:b/>
                <w:bCs/>
                <w:sz w:val="22"/>
                <w:szCs w:val="22"/>
              </w:rPr>
              <w:t>CI high</w:t>
            </w:r>
          </w:p>
        </w:tc>
        <w:tc>
          <w:tcPr>
            <w:tcW w:w="2429"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b/>
                <w:bCs/>
                <w:sz w:val="22"/>
                <w:szCs w:val="22"/>
              </w:rPr>
            </w:pPr>
            <w:r w:rsidRPr="008708A8">
              <w:rPr>
                <w:rFonts w:ascii="Arial" w:eastAsia="Arial" w:hAnsi="Arial" w:cs="Arial"/>
                <w:b/>
                <w:bCs/>
                <w:sz w:val="22"/>
                <w:szCs w:val="22"/>
              </w:rPr>
              <w:t>P</w:t>
            </w:r>
          </w:p>
        </w:tc>
      </w:tr>
      <w:tr w:rsidR="003309EC" w:rsidRPr="008708A8" w:rsidTr="00D42E9C">
        <w:tc>
          <w:tcPr>
            <w:tcW w:w="7960" w:type="dxa"/>
            <w:gridSpan w:val="5"/>
            <w:tcBorders>
              <w:left w:val="none" w:sz="0" w:space="0" w:color="000000"/>
              <w:bottom w:val="single" w:sz="12" w:space="0" w:color="auto"/>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AKD beyond day 7</w:t>
            </w:r>
          </w:p>
        </w:tc>
      </w:tr>
      <w:tr w:rsidR="003309EC" w:rsidRPr="008708A8" w:rsidTr="00D42E9C">
        <w:tc>
          <w:tcPr>
            <w:tcW w:w="2318" w:type="dxa"/>
            <w:tcBorders>
              <w:top w:val="single" w:sz="1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Hemodynamic monitoring</w:t>
            </w:r>
          </w:p>
        </w:tc>
        <w:tc>
          <w:tcPr>
            <w:tcW w:w="961" w:type="dxa"/>
            <w:tcBorders>
              <w:top w:val="single" w:sz="1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1.275</w:t>
            </w:r>
          </w:p>
        </w:tc>
        <w:tc>
          <w:tcPr>
            <w:tcW w:w="1083" w:type="dxa"/>
            <w:tcBorders>
              <w:top w:val="single" w:sz="1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0.902</w:t>
            </w:r>
          </w:p>
        </w:tc>
        <w:tc>
          <w:tcPr>
            <w:tcW w:w="1169" w:type="dxa"/>
            <w:tcBorders>
              <w:top w:val="single" w:sz="1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1.802</w:t>
            </w:r>
          </w:p>
        </w:tc>
        <w:tc>
          <w:tcPr>
            <w:tcW w:w="2429" w:type="dxa"/>
            <w:tcBorders>
              <w:top w:val="single" w:sz="1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0.170</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MAP &lt;65 mmHg</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1.497</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0.985</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2.277</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0.059</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Nephrotoxic exposure</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1.242</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0.876</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1.761</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0.220</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Urine output monitoring</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1.219</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0.860</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1.728</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0.260</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lastRenderedPageBreak/>
              <w:t>Hyperglycemia management</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1.562</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1.069</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2.282</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0.021</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Radiocontrast exposure</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1.851</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0.885</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3.870</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0.100</w:t>
            </w:r>
          </w:p>
        </w:tc>
      </w:tr>
      <w:tr w:rsidR="003309EC" w:rsidRPr="008708A8" w:rsidTr="00D42E9C">
        <w:tc>
          <w:tcPr>
            <w:tcW w:w="231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Creatinine monitoring</w:t>
            </w:r>
          </w:p>
        </w:tc>
        <w:tc>
          <w:tcPr>
            <w:tcW w:w="96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3.060</w:t>
            </w:r>
          </w:p>
        </w:tc>
        <w:tc>
          <w:tcPr>
            <w:tcW w:w="108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2.567</w:t>
            </w:r>
          </w:p>
        </w:tc>
        <w:tc>
          <w:tcPr>
            <w:tcW w:w="116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3.646</w:t>
            </w:r>
          </w:p>
        </w:tc>
        <w:tc>
          <w:tcPr>
            <w:tcW w:w="242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&lt; 0.0001</w:t>
            </w:r>
          </w:p>
        </w:tc>
      </w:tr>
      <w:tr w:rsidR="003309EC" w:rsidRPr="008708A8" w:rsidTr="00D42E9C">
        <w:tc>
          <w:tcPr>
            <w:tcW w:w="7960" w:type="dxa"/>
            <w:gridSpan w:val="5"/>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Renal Recovery</w:t>
            </w:r>
          </w:p>
        </w:tc>
      </w:tr>
      <w:tr w:rsidR="003309EC" w:rsidRPr="008708A8" w:rsidTr="00D42E9C">
        <w:tc>
          <w:tcPr>
            <w:tcW w:w="231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Hemodynamic monitoring</w:t>
            </w:r>
          </w:p>
        </w:tc>
        <w:tc>
          <w:tcPr>
            <w:tcW w:w="96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0.935</w:t>
            </w:r>
          </w:p>
        </w:tc>
        <w:tc>
          <w:tcPr>
            <w:tcW w:w="108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0.594</w:t>
            </w:r>
          </w:p>
        </w:tc>
        <w:tc>
          <w:tcPr>
            <w:tcW w:w="116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1.471</w:t>
            </w:r>
          </w:p>
        </w:tc>
        <w:tc>
          <w:tcPr>
            <w:tcW w:w="242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0.770</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MAP &lt;65 mmHg</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0.697</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0.228</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2.134</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0.530</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Nephrotoxic exposure</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1.147</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0.727</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1.807</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0.560</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Urine output monitoring</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0.648</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0.417</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1.006</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0.053</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Hyperglycemia management</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0.789</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0.470</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1.324</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0.370</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Radiocontrast exposure</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1.647</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0.814</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3.332</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0.170</w:t>
            </w:r>
          </w:p>
        </w:tc>
      </w:tr>
      <w:tr w:rsidR="003309EC" w:rsidRPr="008708A8" w:rsidTr="00D42E9C">
        <w:tc>
          <w:tcPr>
            <w:tcW w:w="231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Creatinine monitoring</w:t>
            </w:r>
          </w:p>
        </w:tc>
        <w:tc>
          <w:tcPr>
            <w:tcW w:w="96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w:t>
            </w:r>
          </w:p>
        </w:tc>
        <w:tc>
          <w:tcPr>
            <w:tcW w:w="108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sz w:val="22"/>
                <w:szCs w:val="22"/>
              </w:rPr>
            </w:pPr>
            <w:r w:rsidRPr="008708A8">
              <w:rPr>
                <w:rFonts w:ascii="Arial" w:eastAsia="Arial" w:hAnsi="Arial" w:cs="Arial"/>
                <w:sz w:val="22"/>
                <w:szCs w:val="22"/>
              </w:rPr>
              <w:t>0.000</w:t>
            </w:r>
          </w:p>
        </w:tc>
        <w:tc>
          <w:tcPr>
            <w:tcW w:w="116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0.003</w:t>
            </w:r>
          </w:p>
        </w:tc>
        <w:tc>
          <w:tcPr>
            <w:tcW w:w="242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&lt;0.0001</w:t>
            </w:r>
          </w:p>
        </w:tc>
      </w:tr>
      <w:tr w:rsidR="003309EC" w:rsidRPr="008708A8" w:rsidTr="00D42E9C">
        <w:tc>
          <w:tcPr>
            <w:tcW w:w="7960" w:type="dxa"/>
            <w:gridSpan w:val="5"/>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RRT at day 30</w:t>
            </w:r>
          </w:p>
        </w:tc>
      </w:tr>
      <w:tr w:rsidR="003309EC" w:rsidRPr="008708A8" w:rsidTr="00D42E9C">
        <w:tc>
          <w:tcPr>
            <w:tcW w:w="231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Hemodynamic monitoring</w:t>
            </w:r>
          </w:p>
        </w:tc>
        <w:tc>
          <w:tcPr>
            <w:tcW w:w="96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5.377</w:t>
            </w:r>
          </w:p>
        </w:tc>
        <w:tc>
          <w:tcPr>
            <w:tcW w:w="108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1.836</w:t>
            </w:r>
          </w:p>
        </w:tc>
        <w:tc>
          <w:tcPr>
            <w:tcW w:w="116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15.751</w:t>
            </w:r>
          </w:p>
        </w:tc>
        <w:tc>
          <w:tcPr>
            <w:tcW w:w="242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0.002</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MAP &lt;65 mmHg</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8.844</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1.201</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65.146</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0.032</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Nephrotoxic exposure</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1.971</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0.831</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4.677</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0.120</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Urine output monitoring</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0.766</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0.301</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1.949</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0.580</w:t>
            </w:r>
          </w:p>
        </w:tc>
      </w:tr>
      <w:tr w:rsidR="003309EC" w:rsidRPr="008708A8" w:rsidTr="00D42E9C">
        <w:tc>
          <w:tcPr>
            <w:tcW w:w="23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Hyperglycemia management</w:t>
            </w:r>
          </w:p>
        </w:tc>
        <w:tc>
          <w:tcPr>
            <w:tcW w:w="9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1.662</w:t>
            </w:r>
          </w:p>
        </w:tc>
        <w:tc>
          <w:tcPr>
            <w:tcW w:w="108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0.652</w:t>
            </w:r>
          </w:p>
        </w:tc>
        <w:tc>
          <w:tcPr>
            <w:tcW w:w="11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4.236</w:t>
            </w:r>
          </w:p>
        </w:tc>
        <w:tc>
          <w:tcPr>
            <w:tcW w:w="24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0.290</w:t>
            </w:r>
          </w:p>
        </w:tc>
      </w:tr>
      <w:tr w:rsidR="003309EC" w:rsidRPr="008708A8" w:rsidTr="00D42E9C">
        <w:tc>
          <w:tcPr>
            <w:tcW w:w="231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Radiocontrast exposure</w:t>
            </w:r>
          </w:p>
        </w:tc>
        <w:tc>
          <w:tcPr>
            <w:tcW w:w="96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2.811</w:t>
            </w:r>
          </w:p>
        </w:tc>
        <w:tc>
          <w:tcPr>
            <w:tcW w:w="108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0.461</w:t>
            </w:r>
          </w:p>
        </w:tc>
        <w:tc>
          <w:tcPr>
            <w:tcW w:w="116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17.155</w:t>
            </w:r>
          </w:p>
        </w:tc>
        <w:tc>
          <w:tcPr>
            <w:tcW w:w="242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0.260</w:t>
            </w:r>
          </w:p>
        </w:tc>
      </w:tr>
      <w:tr w:rsidR="003309EC" w:rsidRPr="008708A8" w:rsidTr="00D42E9C">
        <w:tc>
          <w:tcPr>
            <w:tcW w:w="2318" w:type="dxa"/>
            <w:tcBorders>
              <w:bottom w:val="single" w:sz="4" w:space="0" w:color="auto"/>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Creatinine monitoring</w:t>
            </w:r>
          </w:p>
        </w:tc>
        <w:tc>
          <w:tcPr>
            <w:tcW w:w="961" w:type="dxa"/>
            <w:tcBorders>
              <w:bottom w:val="single" w:sz="4" w:space="0" w:color="auto"/>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3.60</w:t>
            </w:r>
          </w:p>
        </w:tc>
        <w:tc>
          <w:tcPr>
            <w:tcW w:w="1083" w:type="dxa"/>
            <w:tcBorders>
              <w:bottom w:val="single" w:sz="4" w:space="0" w:color="auto"/>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2.87</w:t>
            </w:r>
          </w:p>
        </w:tc>
        <w:tc>
          <w:tcPr>
            <w:tcW w:w="1169" w:type="dxa"/>
            <w:tcBorders>
              <w:bottom w:val="single" w:sz="4" w:space="0" w:color="auto"/>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3.98</w:t>
            </w:r>
          </w:p>
        </w:tc>
        <w:tc>
          <w:tcPr>
            <w:tcW w:w="2429" w:type="dxa"/>
            <w:tcBorders>
              <w:bottom w:val="single" w:sz="4" w:space="0" w:color="auto"/>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&lt; 0.0001</w:t>
            </w:r>
          </w:p>
        </w:tc>
      </w:tr>
    </w:tbl>
    <w:p w:rsidR="003309EC" w:rsidRPr="008708A8" w:rsidRDefault="003309EC" w:rsidP="003309EC">
      <w:pPr>
        <w:pStyle w:val="NormalWeb"/>
        <w:rPr>
          <w:rFonts w:ascii="Arial" w:eastAsiaTheme="majorEastAsia" w:hAnsi="Arial" w:cs="Arial"/>
          <w:sz w:val="22"/>
          <w:szCs w:val="22"/>
        </w:rPr>
      </w:pPr>
      <w:r w:rsidRPr="008708A8">
        <w:rPr>
          <w:rFonts w:ascii="Arial" w:eastAsiaTheme="majorEastAsia" w:hAnsi="Arial" w:cs="Arial"/>
          <w:sz w:val="22"/>
          <w:szCs w:val="22"/>
        </w:rPr>
        <w:t>SHRs represent the effect of violation (non-adherence) vs. adherence (reference) for each component.</w:t>
      </w:r>
    </w:p>
    <w:p w:rsidR="003309EC" w:rsidRPr="008708A8" w:rsidRDefault="003309EC" w:rsidP="003309EC">
      <w:pPr>
        <w:pStyle w:val="NormalWeb"/>
        <w:rPr>
          <w:rFonts w:ascii="Arial" w:eastAsiaTheme="majorEastAsia" w:hAnsi="Arial" w:cs="Arial"/>
          <w:sz w:val="22"/>
          <w:szCs w:val="22"/>
        </w:rPr>
      </w:pPr>
    </w:p>
    <w:p w:rsidR="003309EC" w:rsidRPr="008708A8" w:rsidRDefault="003309EC" w:rsidP="003309EC">
      <w:pPr>
        <w:pStyle w:val="NormalWeb"/>
        <w:spacing w:line="480" w:lineRule="auto"/>
        <w:rPr>
          <w:rFonts w:ascii="Arial" w:eastAsiaTheme="majorEastAsia" w:hAnsi="Arial" w:cs="Arial"/>
          <w:b/>
          <w:bCs/>
          <w:sz w:val="22"/>
          <w:szCs w:val="22"/>
        </w:rPr>
      </w:pPr>
      <w:r w:rsidRPr="008708A8">
        <w:rPr>
          <w:rFonts w:ascii="Arial" w:eastAsiaTheme="majorEastAsia" w:hAnsi="Arial" w:cs="Arial"/>
          <w:b/>
          <w:bCs/>
          <w:sz w:val="22"/>
          <w:szCs w:val="22"/>
        </w:rPr>
        <w:t xml:space="preserve">Supplementary Table 4: </w:t>
      </w:r>
      <w:r w:rsidRPr="008708A8">
        <w:rPr>
          <w:rFonts w:ascii="Arial" w:hAnsi="Arial" w:cs="Arial"/>
          <w:b/>
          <w:bCs/>
          <w:sz w:val="22"/>
          <w:szCs w:val="22"/>
        </w:rPr>
        <w:t>Propensity score IPTW Fine–Gray models.</w:t>
      </w:r>
    </w:p>
    <w:tbl>
      <w:tblPr>
        <w:tblW w:w="0" w:type="auto"/>
        <w:tblLayout w:type="fixed"/>
        <w:tblLook w:val="0420" w:firstRow="1" w:lastRow="0" w:firstColumn="0" w:lastColumn="0" w:noHBand="0" w:noVBand="1"/>
      </w:tblPr>
      <w:tblGrid>
        <w:gridCol w:w="1976"/>
        <w:gridCol w:w="961"/>
        <w:gridCol w:w="1083"/>
        <w:gridCol w:w="1169"/>
        <w:gridCol w:w="1940"/>
      </w:tblGrid>
      <w:tr w:rsidR="003309EC" w:rsidRPr="008708A8" w:rsidTr="00D42E9C">
        <w:trPr>
          <w:tblHeader/>
        </w:trPr>
        <w:tc>
          <w:tcPr>
            <w:tcW w:w="1976"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both"/>
              <w:rPr>
                <w:rFonts w:ascii="Arial" w:eastAsia="Arial" w:hAnsi="Arial" w:cs="Arial"/>
                <w:b/>
                <w:bCs/>
                <w:sz w:val="22"/>
                <w:szCs w:val="22"/>
              </w:rPr>
            </w:pPr>
            <w:r w:rsidRPr="008708A8">
              <w:rPr>
                <w:rFonts w:ascii="Arial" w:eastAsia="Arial" w:hAnsi="Arial" w:cs="Arial"/>
                <w:b/>
                <w:bCs/>
                <w:sz w:val="22"/>
                <w:szCs w:val="22"/>
              </w:rPr>
              <w:lastRenderedPageBreak/>
              <w:t>Outcome</w:t>
            </w:r>
          </w:p>
        </w:tc>
        <w:tc>
          <w:tcPr>
            <w:tcW w:w="961"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b/>
                <w:bCs/>
                <w:sz w:val="22"/>
                <w:szCs w:val="22"/>
              </w:rPr>
            </w:pPr>
            <w:r w:rsidRPr="008708A8">
              <w:rPr>
                <w:rFonts w:ascii="Arial" w:eastAsia="Arial" w:hAnsi="Arial" w:cs="Arial"/>
                <w:b/>
                <w:bCs/>
                <w:sz w:val="22"/>
                <w:szCs w:val="22"/>
              </w:rPr>
              <w:t>SHR</w:t>
            </w:r>
          </w:p>
        </w:tc>
        <w:tc>
          <w:tcPr>
            <w:tcW w:w="1083"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b/>
                <w:bCs/>
                <w:sz w:val="22"/>
                <w:szCs w:val="22"/>
              </w:rPr>
            </w:pPr>
            <w:r w:rsidRPr="008708A8">
              <w:rPr>
                <w:rFonts w:ascii="Arial" w:eastAsia="Arial" w:hAnsi="Arial" w:cs="Arial"/>
                <w:b/>
                <w:bCs/>
                <w:sz w:val="22"/>
                <w:szCs w:val="22"/>
              </w:rPr>
              <w:t>CI low</w:t>
            </w:r>
          </w:p>
        </w:tc>
        <w:tc>
          <w:tcPr>
            <w:tcW w:w="1169"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b/>
                <w:bCs/>
                <w:sz w:val="22"/>
                <w:szCs w:val="22"/>
              </w:rPr>
            </w:pPr>
            <w:r w:rsidRPr="008708A8">
              <w:rPr>
                <w:rFonts w:ascii="Arial" w:eastAsia="Arial" w:hAnsi="Arial" w:cs="Arial"/>
                <w:b/>
                <w:bCs/>
                <w:sz w:val="22"/>
                <w:szCs w:val="22"/>
              </w:rPr>
              <w:t>CI high</w:t>
            </w:r>
          </w:p>
        </w:tc>
        <w:tc>
          <w:tcPr>
            <w:tcW w:w="1940"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b/>
                <w:bCs/>
                <w:sz w:val="22"/>
                <w:szCs w:val="22"/>
              </w:rPr>
            </w:pPr>
            <w:r w:rsidRPr="008708A8">
              <w:rPr>
                <w:rFonts w:ascii="Arial" w:eastAsia="Arial" w:hAnsi="Arial" w:cs="Arial"/>
                <w:b/>
                <w:bCs/>
                <w:sz w:val="22"/>
                <w:szCs w:val="22"/>
              </w:rPr>
              <w:t>P</w:t>
            </w:r>
          </w:p>
        </w:tc>
      </w:tr>
      <w:tr w:rsidR="003309EC" w:rsidRPr="008708A8" w:rsidTr="00D42E9C">
        <w:tc>
          <w:tcPr>
            <w:tcW w:w="197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AKD (&gt;7 days)</w:t>
            </w:r>
          </w:p>
        </w:tc>
        <w:tc>
          <w:tcPr>
            <w:tcW w:w="96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0.624</w:t>
            </w:r>
          </w:p>
        </w:tc>
        <w:tc>
          <w:tcPr>
            <w:tcW w:w="108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0.365</w:t>
            </w:r>
          </w:p>
        </w:tc>
        <w:tc>
          <w:tcPr>
            <w:tcW w:w="116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1.068</w:t>
            </w:r>
          </w:p>
        </w:tc>
        <w:tc>
          <w:tcPr>
            <w:tcW w:w="1940"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0.086</w:t>
            </w:r>
          </w:p>
        </w:tc>
      </w:tr>
      <w:tr w:rsidR="003309EC" w:rsidRPr="008708A8" w:rsidTr="00D42E9C">
        <w:tc>
          <w:tcPr>
            <w:tcW w:w="197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Renal Recovery</w:t>
            </w:r>
          </w:p>
        </w:tc>
        <w:tc>
          <w:tcPr>
            <w:tcW w:w="96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5.502</w:t>
            </w:r>
          </w:p>
        </w:tc>
        <w:tc>
          <w:tcPr>
            <w:tcW w:w="108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3.276</w:t>
            </w:r>
          </w:p>
        </w:tc>
        <w:tc>
          <w:tcPr>
            <w:tcW w:w="116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9.240</w:t>
            </w:r>
          </w:p>
        </w:tc>
        <w:tc>
          <w:tcPr>
            <w:tcW w:w="19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&lt; 0.0001</w:t>
            </w:r>
          </w:p>
        </w:tc>
      </w:tr>
    </w:tbl>
    <w:p w:rsidR="003309EC" w:rsidRPr="008708A8" w:rsidRDefault="003309EC" w:rsidP="003309EC">
      <w:pPr>
        <w:pStyle w:val="NormalWeb"/>
        <w:rPr>
          <w:rFonts w:ascii="Arial" w:eastAsiaTheme="majorEastAsia" w:hAnsi="Arial" w:cs="Arial"/>
          <w:sz w:val="22"/>
          <w:szCs w:val="22"/>
        </w:rPr>
      </w:pPr>
      <w:r w:rsidRPr="008708A8">
        <w:rPr>
          <w:rFonts w:ascii="Arial" w:eastAsiaTheme="majorEastAsia" w:hAnsi="Arial" w:cs="Arial"/>
          <w:sz w:val="22"/>
          <w:szCs w:val="22"/>
        </w:rPr>
        <w:t>RRT at 30 days: IPTW model could not be estimated due to complete separation (near-zero events in the weighted adherent group). No weighted estimate is reported.</w:t>
      </w:r>
    </w:p>
    <w:p w:rsidR="003309EC" w:rsidRPr="008708A8" w:rsidRDefault="003309EC" w:rsidP="003309EC">
      <w:pPr>
        <w:pStyle w:val="Heading1"/>
        <w:rPr>
          <w:rFonts w:ascii="Arial" w:eastAsiaTheme="minorHAnsi" w:hAnsi="Arial" w:cs="Arial"/>
          <w:b/>
          <w:bCs/>
          <w:color w:val="auto"/>
          <w:sz w:val="22"/>
          <w:szCs w:val="22"/>
        </w:rPr>
      </w:pPr>
      <w:r w:rsidRPr="008708A8">
        <w:rPr>
          <w:rFonts w:ascii="Arial" w:eastAsiaTheme="minorHAnsi" w:hAnsi="Arial" w:cs="Arial"/>
          <w:b/>
          <w:bCs/>
          <w:color w:val="auto"/>
          <w:sz w:val="22"/>
          <w:szCs w:val="22"/>
        </w:rPr>
        <w:t>Supplementary Table 5: Sensitivity analysis – Fine-Gray models adjusted for diabetes and hypertension.</w:t>
      </w:r>
    </w:p>
    <w:p w:rsidR="003309EC" w:rsidRPr="008708A8" w:rsidRDefault="003309EC" w:rsidP="003309EC"/>
    <w:tbl>
      <w:tblPr>
        <w:tblW w:w="0" w:type="auto"/>
        <w:jc w:val="center"/>
        <w:tblLook w:val="0420" w:firstRow="1" w:lastRow="0" w:firstColumn="0" w:lastColumn="0" w:noHBand="0" w:noVBand="1"/>
      </w:tblPr>
      <w:tblGrid>
        <w:gridCol w:w="1422"/>
        <w:gridCol w:w="751"/>
        <w:gridCol w:w="794"/>
        <w:gridCol w:w="837"/>
        <w:gridCol w:w="1016"/>
        <w:gridCol w:w="4206"/>
      </w:tblGrid>
      <w:tr w:rsidR="003309EC" w:rsidRPr="008708A8" w:rsidTr="00D42E9C">
        <w:trPr>
          <w:tblHeader/>
          <w:jc w:val="center"/>
        </w:trPr>
        <w:tc>
          <w:tcPr>
            <w:tcW w:w="0" w:type="auto"/>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Outcome</w:t>
            </w:r>
          </w:p>
        </w:tc>
        <w:tc>
          <w:tcPr>
            <w:tcW w:w="0" w:type="auto"/>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SHR</w:t>
            </w:r>
          </w:p>
        </w:tc>
        <w:tc>
          <w:tcPr>
            <w:tcW w:w="0" w:type="auto"/>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CI low</w:t>
            </w:r>
          </w:p>
        </w:tc>
        <w:tc>
          <w:tcPr>
            <w:tcW w:w="0" w:type="auto"/>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CI high</w:t>
            </w:r>
          </w:p>
        </w:tc>
        <w:tc>
          <w:tcPr>
            <w:tcW w:w="1016"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P value</w:t>
            </w:r>
          </w:p>
        </w:tc>
        <w:tc>
          <w:tcPr>
            <w:tcW w:w="4206" w:type="dxa"/>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bCs/>
                <w:sz w:val="22"/>
                <w:szCs w:val="22"/>
              </w:rPr>
            </w:pPr>
            <w:r w:rsidRPr="008708A8">
              <w:rPr>
                <w:rFonts w:ascii="Arial" w:eastAsia="Arial" w:hAnsi="Arial" w:cs="Arial"/>
                <w:b/>
                <w:bCs/>
                <w:sz w:val="22"/>
                <w:szCs w:val="22"/>
              </w:rPr>
              <w:t>Adjusted for</w:t>
            </w:r>
          </w:p>
        </w:tc>
      </w:tr>
      <w:tr w:rsidR="003309EC" w:rsidRPr="008708A8" w:rsidTr="00D42E9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AKD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1.20</w:t>
            </w:r>
          </w:p>
        </w:tc>
        <w:tc>
          <w:tcPr>
            <w:tcW w:w="1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0.19</w:t>
            </w:r>
          </w:p>
        </w:tc>
        <w:tc>
          <w:tcPr>
            <w:tcW w:w="4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Age, AKI stage, SOFA Score, APACHE-II Score</w:t>
            </w:r>
          </w:p>
        </w:tc>
      </w:tr>
      <w:tr w:rsidR="003309EC" w:rsidRPr="008708A8" w:rsidTr="00D42E9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AKD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1.15</w:t>
            </w:r>
          </w:p>
        </w:tc>
        <w:tc>
          <w:tcPr>
            <w:tcW w:w="1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0.140</w:t>
            </w:r>
          </w:p>
        </w:tc>
        <w:tc>
          <w:tcPr>
            <w:tcW w:w="4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Age, AKI stage, SOFA Score, APACHE-II Score, Diabetes, Hypertension</w:t>
            </w:r>
          </w:p>
        </w:tc>
      </w:tr>
      <w:tr w:rsidR="003309EC" w:rsidRPr="008708A8" w:rsidTr="00D42E9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Renal Recovery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6.29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3.08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12.85</w:t>
            </w:r>
          </w:p>
        </w:tc>
        <w:tc>
          <w:tcPr>
            <w:tcW w:w="1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&lt;0.001</w:t>
            </w:r>
          </w:p>
        </w:tc>
        <w:tc>
          <w:tcPr>
            <w:tcW w:w="4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Age, AKI stage, CKD, SOFA Score, APACHE-II Score</w:t>
            </w:r>
          </w:p>
        </w:tc>
      </w:tr>
      <w:tr w:rsidR="003309EC" w:rsidRPr="008708A8" w:rsidTr="00D42E9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Renal Recovery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8.90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3.57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22.21</w:t>
            </w:r>
          </w:p>
        </w:tc>
        <w:tc>
          <w:tcPr>
            <w:tcW w:w="1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&lt;0.001</w:t>
            </w:r>
          </w:p>
        </w:tc>
        <w:tc>
          <w:tcPr>
            <w:tcW w:w="4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Age, AKI stage, CKD, SOFA Score, APACHE-II Score, Diabetes, Hypertension</w:t>
            </w:r>
          </w:p>
        </w:tc>
      </w:tr>
      <w:tr w:rsidR="003309EC" w:rsidRPr="008708A8" w:rsidTr="00D42E9C">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RRT at day 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1.11</w:t>
            </w:r>
          </w:p>
        </w:tc>
        <w:tc>
          <w:tcPr>
            <w:tcW w:w="101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0.064</w:t>
            </w:r>
          </w:p>
        </w:tc>
        <w:tc>
          <w:tcPr>
            <w:tcW w:w="42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Age, AKI stage, CKD, SOFA Score, APACHE-II Score</w:t>
            </w:r>
          </w:p>
        </w:tc>
      </w:tr>
      <w:tr w:rsidR="003309EC" w:rsidRPr="008708A8" w:rsidTr="00D42E9C">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RRT at day 30</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0.168</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0.021</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1.338</w:t>
            </w:r>
          </w:p>
        </w:tc>
        <w:tc>
          <w:tcPr>
            <w:tcW w:w="101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Arial" w:hAnsi="Arial" w:cs="Arial"/>
                <w:sz w:val="22"/>
                <w:szCs w:val="22"/>
              </w:rPr>
            </w:pPr>
            <w:r w:rsidRPr="008708A8">
              <w:rPr>
                <w:rFonts w:ascii="Arial" w:eastAsia="Arial" w:hAnsi="Arial" w:cs="Arial"/>
                <w:sz w:val="22"/>
                <w:szCs w:val="22"/>
              </w:rPr>
              <w:t>0.092</w:t>
            </w:r>
          </w:p>
        </w:tc>
        <w:tc>
          <w:tcPr>
            <w:tcW w:w="420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rsidR="003309EC" w:rsidRPr="008708A8" w:rsidRDefault="003309EC" w:rsidP="00D42E9C">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sz w:val="22"/>
                <w:szCs w:val="22"/>
              </w:rPr>
            </w:pPr>
            <w:r w:rsidRPr="008708A8">
              <w:rPr>
                <w:rFonts w:ascii="Arial" w:eastAsia="Arial" w:hAnsi="Arial" w:cs="Arial"/>
                <w:sz w:val="22"/>
                <w:szCs w:val="22"/>
              </w:rPr>
              <w:t>Age, AKI stage, CKD, SOFA Score, APACHE-II Score, Diabetes, Hypertension</w:t>
            </w:r>
          </w:p>
        </w:tc>
      </w:tr>
    </w:tbl>
    <w:p w:rsidR="003309EC" w:rsidRPr="008708A8" w:rsidRDefault="003309EC" w:rsidP="003309EC">
      <w:pPr>
        <w:rPr>
          <w:rFonts w:ascii="Arial" w:hAnsi="Arial" w:cs="Arial"/>
          <w:sz w:val="22"/>
          <w:szCs w:val="22"/>
        </w:rPr>
      </w:pPr>
    </w:p>
    <w:p w:rsidR="003309EC" w:rsidRPr="008708A8" w:rsidRDefault="003309EC" w:rsidP="003309EC">
      <w:pPr>
        <w:pStyle w:val="NormalWeb"/>
        <w:spacing w:after="0" w:line="480" w:lineRule="auto"/>
        <w:rPr>
          <w:rFonts w:ascii="Arial" w:eastAsiaTheme="majorEastAsia" w:hAnsi="Arial" w:cs="Arial"/>
          <w:b/>
          <w:bCs/>
          <w:sz w:val="22"/>
          <w:szCs w:val="22"/>
        </w:rPr>
      </w:pPr>
      <w:r w:rsidRPr="008708A8">
        <w:rPr>
          <w:rFonts w:ascii="Arial" w:eastAsiaTheme="majorEastAsia" w:hAnsi="Arial" w:cs="Arial"/>
          <w:b/>
          <w:bCs/>
          <w:sz w:val="22"/>
          <w:szCs w:val="22"/>
        </w:rPr>
        <w:t>Supplementary Table 6: Clinical outcomes by KPS adherence</w:t>
      </w:r>
    </w:p>
    <w:tbl>
      <w:tblPr>
        <w:tblW w:w="9072" w:type="dxa"/>
        <w:tblCellSpacing w:w="15" w:type="dxa"/>
        <w:tblCellMar>
          <w:top w:w="15" w:type="dxa"/>
          <w:left w:w="15" w:type="dxa"/>
          <w:bottom w:w="15" w:type="dxa"/>
          <w:right w:w="15" w:type="dxa"/>
        </w:tblCellMar>
        <w:tblLook w:val="04A0" w:firstRow="1" w:lastRow="0" w:firstColumn="1" w:lastColumn="0" w:noHBand="0" w:noVBand="1"/>
      </w:tblPr>
      <w:tblGrid>
        <w:gridCol w:w="2813"/>
        <w:gridCol w:w="1831"/>
        <w:gridCol w:w="1831"/>
        <w:gridCol w:w="1971"/>
        <w:gridCol w:w="626"/>
      </w:tblGrid>
      <w:tr w:rsidR="003309EC" w:rsidRPr="008708A8" w:rsidTr="00D42E9C">
        <w:trPr>
          <w:tblHeade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b/>
                <w:bCs/>
                <w:sz w:val="22"/>
                <w:szCs w:val="22"/>
                <w:lang w:val="de-DE"/>
              </w:rPr>
            </w:pPr>
            <w:r w:rsidRPr="008708A8">
              <w:rPr>
                <w:rFonts w:ascii="Arial" w:eastAsiaTheme="majorEastAsia" w:hAnsi="Arial" w:cs="Arial"/>
                <w:b/>
                <w:bCs/>
                <w:sz w:val="22"/>
                <w:szCs w:val="22"/>
                <w:lang w:val="de-DE"/>
              </w:rPr>
              <w:t>Outcome</w:t>
            </w:r>
          </w:p>
        </w:tc>
        <w:tc>
          <w:tcPr>
            <w:tcW w:w="1801" w:type="dxa"/>
            <w:vAlign w:val="bottom"/>
            <w:hideMark/>
          </w:tcPr>
          <w:p w:rsidR="003309EC" w:rsidRPr="008708A8" w:rsidRDefault="003309EC" w:rsidP="00D42E9C">
            <w:pPr>
              <w:pStyle w:val="NormalWeb"/>
              <w:spacing w:after="0"/>
              <w:rPr>
                <w:rFonts w:ascii="Arial" w:eastAsiaTheme="majorEastAsia" w:hAnsi="Arial" w:cs="Arial"/>
                <w:b/>
                <w:bCs/>
                <w:sz w:val="22"/>
                <w:szCs w:val="22"/>
                <w:lang w:val="de-DE"/>
              </w:rPr>
            </w:pPr>
            <w:r w:rsidRPr="008708A8">
              <w:rPr>
                <w:rFonts w:ascii="Arial" w:eastAsiaTheme="majorEastAsia" w:hAnsi="Arial" w:cs="Arial"/>
                <w:b/>
                <w:bCs/>
                <w:sz w:val="22"/>
                <w:szCs w:val="22"/>
                <w:lang w:val="de-DE"/>
              </w:rPr>
              <w:t>All Patients</w:t>
            </w:r>
          </w:p>
        </w:tc>
        <w:tc>
          <w:tcPr>
            <w:tcW w:w="1801" w:type="dxa"/>
            <w:vAlign w:val="bottom"/>
            <w:hideMark/>
          </w:tcPr>
          <w:p w:rsidR="003309EC" w:rsidRPr="008708A8" w:rsidRDefault="003309EC" w:rsidP="00D42E9C">
            <w:pPr>
              <w:pStyle w:val="NormalWeb"/>
              <w:spacing w:after="0"/>
              <w:rPr>
                <w:rFonts w:ascii="Arial" w:eastAsiaTheme="majorEastAsia" w:hAnsi="Arial" w:cs="Arial"/>
                <w:b/>
                <w:bCs/>
                <w:sz w:val="22"/>
                <w:szCs w:val="22"/>
                <w:lang w:val="de-DE"/>
              </w:rPr>
            </w:pPr>
            <w:r w:rsidRPr="008708A8">
              <w:rPr>
                <w:rFonts w:ascii="Arial" w:eastAsiaTheme="majorEastAsia" w:hAnsi="Arial" w:cs="Arial"/>
                <w:b/>
                <w:bCs/>
                <w:sz w:val="22"/>
                <w:szCs w:val="22"/>
                <w:lang w:val="de-DE"/>
              </w:rPr>
              <w:t>KPS Fulfilled</w:t>
            </w:r>
            <w:r w:rsidRPr="008708A8">
              <w:rPr>
                <w:rFonts w:ascii="Arial" w:eastAsiaTheme="majorEastAsia" w:hAnsi="Arial" w:cs="Arial"/>
                <w:b/>
                <w:bCs/>
                <w:sz w:val="22"/>
                <w:szCs w:val="22"/>
                <w:lang w:val="de-DE"/>
              </w:rPr>
              <w:br/>
              <w:t>(n = 80)</w:t>
            </w:r>
          </w:p>
        </w:tc>
        <w:tc>
          <w:tcPr>
            <w:tcW w:w="1941" w:type="dxa"/>
            <w:vAlign w:val="bottom"/>
            <w:hideMark/>
          </w:tcPr>
          <w:p w:rsidR="003309EC" w:rsidRPr="008708A8" w:rsidRDefault="003309EC" w:rsidP="00D42E9C">
            <w:pPr>
              <w:pStyle w:val="NormalWeb"/>
              <w:spacing w:after="0"/>
              <w:rPr>
                <w:rFonts w:ascii="Arial" w:eastAsiaTheme="majorEastAsia" w:hAnsi="Arial" w:cs="Arial"/>
                <w:b/>
                <w:bCs/>
                <w:sz w:val="22"/>
                <w:szCs w:val="22"/>
                <w:lang w:val="de-DE"/>
              </w:rPr>
            </w:pPr>
            <w:r w:rsidRPr="008708A8">
              <w:rPr>
                <w:rFonts w:ascii="Arial" w:eastAsiaTheme="majorEastAsia" w:hAnsi="Arial" w:cs="Arial"/>
                <w:b/>
                <w:bCs/>
                <w:sz w:val="22"/>
                <w:szCs w:val="22"/>
                <w:lang w:val="de-DE"/>
              </w:rPr>
              <w:t>KPS Not Fulfilled (n = 178)</w:t>
            </w:r>
          </w:p>
        </w:tc>
        <w:tc>
          <w:tcPr>
            <w:tcW w:w="581" w:type="dxa"/>
            <w:vAlign w:val="bottom"/>
            <w:hideMark/>
          </w:tcPr>
          <w:p w:rsidR="003309EC" w:rsidRPr="008708A8" w:rsidRDefault="003309EC" w:rsidP="00D42E9C">
            <w:pPr>
              <w:pStyle w:val="NormalWeb"/>
              <w:spacing w:after="0"/>
              <w:rPr>
                <w:rFonts w:ascii="Arial" w:eastAsiaTheme="majorEastAsia" w:hAnsi="Arial" w:cs="Arial"/>
                <w:b/>
                <w:bCs/>
                <w:sz w:val="22"/>
                <w:szCs w:val="22"/>
                <w:lang w:val="de-DE"/>
              </w:rPr>
            </w:pPr>
            <w:r w:rsidRPr="008708A8">
              <w:rPr>
                <w:rFonts w:ascii="Arial" w:eastAsiaTheme="majorEastAsia" w:hAnsi="Arial" w:cs="Arial"/>
                <w:b/>
                <w:bCs/>
                <w:sz w:val="22"/>
                <w:szCs w:val="22"/>
                <w:lang w:val="de-DE"/>
              </w:rPr>
              <w:t>p</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b/>
                <w:bCs/>
                <w:sz w:val="22"/>
                <w:szCs w:val="22"/>
                <w:lang w:val="de-DE"/>
              </w:rPr>
            </w:pPr>
            <w:r w:rsidRPr="008708A8">
              <w:rPr>
                <w:rFonts w:ascii="Arial" w:eastAsiaTheme="majorEastAsia" w:hAnsi="Arial" w:cs="Arial"/>
                <w:b/>
                <w:bCs/>
                <w:sz w:val="22"/>
                <w:szCs w:val="22"/>
                <w:lang w:val="de-DE"/>
              </w:rPr>
              <w:t>Renal outcomes</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rPr>
            </w:pPr>
            <w:r w:rsidRPr="008708A8">
              <w:rPr>
                <w:rFonts w:ascii="Arial" w:eastAsiaTheme="majorEastAsia" w:hAnsi="Arial" w:cs="Arial"/>
                <w:sz w:val="22"/>
                <w:szCs w:val="22"/>
              </w:rPr>
              <w:t>Persistent AKI at 48 h — n/N (%)</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181/258 (70.2)</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57/80 (71.3)</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124/178 (69.7)</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0.80</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rPr>
            </w:pPr>
            <w:r w:rsidRPr="008708A8">
              <w:rPr>
                <w:rFonts w:ascii="Arial" w:eastAsiaTheme="majorEastAsia" w:hAnsi="Arial" w:cs="Arial"/>
                <w:sz w:val="22"/>
                <w:szCs w:val="22"/>
              </w:rPr>
              <w:t>AKD beyond day 7 — n/N (%)</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152/258 (58.9)</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43/80 (53.8)</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109/178 (61.2)</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0.26</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rPr>
            </w:pPr>
            <w:r w:rsidRPr="008708A8">
              <w:rPr>
                <w:rFonts w:ascii="Arial" w:eastAsiaTheme="majorEastAsia" w:hAnsi="Arial" w:cs="Arial"/>
                <w:sz w:val="22"/>
                <w:szCs w:val="22"/>
              </w:rPr>
              <w:t>Renal recovery at discharge — n/N (%</w:t>
            </w:r>
            <w:proofErr w:type="gramStart"/>
            <w:r w:rsidRPr="008708A8">
              <w:rPr>
                <w:rFonts w:ascii="Arial" w:eastAsiaTheme="majorEastAsia" w:hAnsi="Arial" w:cs="Arial"/>
                <w:sz w:val="22"/>
                <w:szCs w:val="22"/>
              </w:rPr>
              <w:t>)</w:t>
            </w:r>
            <w:r w:rsidRPr="008708A8">
              <w:rPr>
                <w:rFonts w:ascii="Arial" w:eastAsiaTheme="majorEastAsia" w:hAnsi="Arial" w:cs="Arial"/>
                <w:sz w:val="22"/>
                <w:szCs w:val="22"/>
                <w:lang w:val="de-DE"/>
              </w:rPr>
              <w:t>ᵃ</w:t>
            </w:r>
            <w:proofErr w:type="gramEnd"/>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90/155 (58.1)</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33/48 (68.8)</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57/107 (53.3)</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0.07</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RRT during ICU stay — n/N (%)ᵇ</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75/246 (30.5)</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27/77 (35.1)</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48/169 (28.4)</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0.30</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rPr>
            </w:pPr>
            <w:r w:rsidRPr="008708A8">
              <w:rPr>
                <w:rFonts w:ascii="Arial" w:eastAsiaTheme="majorEastAsia" w:hAnsi="Arial" w:cs="Arial"/>
                <w:sz w:val="22"/>
                <w:szCs w:val="22"/>
              </w:rPr>
              <w:t>RRT at 30 days — n/N (%</w:t>
            </w:r>
            <w:proofErr w:type="gramStart"/>
            <w:r w:rsidRPr="008708A8">
              <w:rPr>
                <w:rFonts w:ascii="Arial" w:eastAsiaTheme="majorEastAsia" w:hAnsi="Arial" w:cs="Arial"/>
                <w:sz w:val="22"/>
                <w:szCs w:val="22"/>
              </w:rPr>
              <w:t>)</w:t>
            </w:r>
            <w:r w:rsidRPr="008708A8">
              <w:rPr>
                <w:rFonts w:ascii="Arial" w:eastAsiaTheme="majorEastAsia" w:hAnsi="Arial" w:cs="Arial"/>
                <w:sz w:val="22"/>
                <w:szCs w:val="22"/>
                <w:lang w:val="de-DE"/>
              </w:rPr>
              <w:t>ᶜ</w:t>
            </w:r>
            <w:proofErr w:type="gramEnd"/>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30/232 (12.9)</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2/73 (2.7)</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28/159 (17.6)</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0.002</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rPr>
            </w:pPr>
            <w:r w:rsidRPr="008708A8">
              <w:rPr>
                <w:rFonts w:ascii="Arial" w:eastAsiaTheme="majorEastAsia" w:hAnsi="Arial" w:cs="Arial"/>
                <w:sz w:val="22"/>
                <w:szCs w:val="22"/>
              </w:rPr>
              <w:lastRenderedPageBreak/>
              <w:t>RRT at 90 days — n/N (%</w:t>
            </w:r>
            <w:proofErr w:type="gramStart"/>
            <w:r w:rsidRPr="008708A8">
              <w:rPr>
                <w:rFonts w:ascii="Arial" w:eastAsiaTheme="majorEastAsia" w:hAnsi="Arial" w:cs="Arial"/>
                <w:sz w:val="22"/>
                <w:szCs w:val="22"/>
              </w:rPr>
              <w:t>)</w:t>
            </w:r>
            <w:r w:rsidRPr="008708A8">
              <w:rPr>
                <w:rFonts w:ascii="Arial" w:eastAsiaTheme="majorEastAsia" w:hAnsi="Arial" w:cs="Arial"/>
                <w:sz w:val="22"/>
                <w:szCs w:val="22"/>
                <w:lang w:val="de-DE"/>
              </w:rPr>
              <w:t>ᵈ</w:t>
            </w:r>
            <w:proofErr w:type="gramEnd"/>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15/208 (7.2)</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2/65 (3.1)</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13/143 (9.1)</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0.13</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b/>
                <w:bCs/>
                <w:sz w:val="22"/>
                <w:szCs w:val="22"/>
                <w:lang w:val="de-DE"/>
              </w:rPr>
            </w:pPr>
            <w:r w:rsidRPr="008708A8">
              <w:rPr>
                <w:rFonts w:ascii="Arial" w:eastAsiaTheme="majorEastAsia" w:hAnsi="Arial" w:cs="Arial"/>
                <w:b/>
                <w:bCs/>
                <w:sz w:val="22"/>
                <w:szCs w:val="22"/>
                <w:lang w:val="de-DE"/>
              </w:rPr>
              <w:t>ICU course</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rPr>
            </w:pPr>
            <w:r w:rsidRPr="008708A8">
              <w:rPr>
                <w:rFonts w:ascii="Arial" w:eastAsiaTheme="majorEastAsia" w:hAnsi="Arial" w:cs="Arial"/>
                <w:sz w:val="22"/>
                <w:szCs w:val="22"/>
              </w:rPr>
              <w:t>ICU length of stay, days — median [IQR]</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11.7 [6.4–20.9]</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13.5 [7.5–23.1]</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10.8 [5.9–19.5]</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0.15</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b/>
                <w:bCs/>
                <w:sz w:val="22"/>
                <w:szCs w:val="22"/>
                <w:lang w:val="de-DE"/>
              </w:rPr>
            </w:pPr>
            <w:r w:rsidRPr="008708A8">
              <w:rPr>
                <w:rFonts w:ascii="Arial" w:eastAsiaTheme="majorEastAsia" w:hAnsi="Arial" w:cs="Arial"/>
                <w:b/>
                <w:bCs/>
                <w:sz w:val="22"/>
                <w:szCs w:val="22"/>
                <w:lang w:val="de-DE"/>
              </w:rPr>
              <w:t>Mortality</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ICU mortality — n/N (%)ᵉ</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31/252 (12.3)</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12/78 (15.4)</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19/174 (10.9)</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0.31</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30-day mortality — n/N (%)ᶜ</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38/232 (16.4)</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14/73 (19.2)</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24/159 (15.1)</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0.43</w:t>
            </w:r>
          </w:p>
        </w:tc>
      </w:tr>
      <w:tr w:rsidR="003309EC" w:rsidRPr="008708A8" w:rsidTr="00D42E9C">
        <w:trPr>
          <w:tblCellSpacing w:w="15" w:type="dxa"/>
        </w:trPr>
        <w:tc>
          <w:tcPr>
            <w:tcW w:w="2768"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90-day mortality — n/N (%)ᵈ</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59/208 (28.4)</w:t>
            </w:r>
          </w:p>
        </w:tc>
        <w:tc>
          <w:tcPr>
            <w:tcW w:w="180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20/65 (30.8)</w:t>
            </w:r>
          </w:p>
        </w:tc>
        <w:tc>
          <w:tcPr>
            <w:tcW w:w="194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39/143 (27.3)</w:t>
            </w:r>
          </w:p>
        </w:tc>
        <w:tc>
          <w:tcPr>
            <w:tcW w:w="581" w:type="dxa"/>
            <w:vAlign w:val="bottom"/>
            <w:hideMark/>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0.61</w:t>
            </w:r>
          </w:p>
        </w:tc>
      </w:tr>
      <w:tr w:rsidR="003309EC" w:rsidRPr="008708A8" w:rsidTr="00D42E9C">
        <w:trPr>
          <w:tblCellSpacing w:w="15" w:type="dxa"/>
        </w:trPr>
        <w:tc>
          <w:tcPr>
            <w:tcW w:w="2768" w:type="dxa"/>
            <w:vAlign w:val="bottom"/>
          </w:tcPr>
          <w:p w:rsidR="003309EC" w:rsidRPr="008708A8" w:rsidRDefault="003309EC" w:rsidP="00D42E9C">
            <w:pPr>
              <w:pStyle w:val="NormalWeb"/>
              <w:spacing w:after="0"/>
              <w:rPr>
                <w:rFonts w:ascii="Arial" w:eastAsiaTheme="majorEastAsia" w:hAnsi="Arial" w:cs="Arial"/>
                <w:b/>
                <w:bCs/>
                <w:sz w:val="22"/>
                <w:szCs w:val="22"/>
                <w:lang w:val="de-DE"/>
              </w:rPr>
            </w:pPr>
            <w:r w:rsidRPr="008708A8">
              <w:rPr>
                <w:rFonts w:ascii="Arial" w:eastAsiaTheme="majorEastAsia" w:hAnsi="Arial" w:cs="Arial"/>
                <w:b/>
                <w:bCs/>
                <w:sz w:val="22"/>
                <w:szCs w:val="22"/>
                <w:lang w:val="de-DE"/>
              </w:rPr>
              <w:t>MAKE</w:t>
            </w:r>
          </w:p>
        </w:tc>
        <w:tc>
          <w:tcPr>
            <w:tcW w:w="1801" w:type="dxa"/>
            <w:vAlign w:val="bottom"/>
          </w:tcPr>
          <w:p w:rsidR="003309EC" w:rsidRPr="008708A8" w:rsidRDefault="003309EC" w:rsidP="00D42E9C">
            <w:pPr>
              <w:pStyle w:val="NormalWeb"/>
              <w:spacing w:after="0"/>
              <w:rPr>
                <w:rFonts w:ascii="Arial" w:eastAsiaTheme="majorEastAsia" w:hAnsi="Arial" w:cs="Arial"/>
                <w:sz w:val="22"/>
                <w:szCs w:val="22"/>
                <w:lang w:val="de-DE"/>
              </w:rPr>
            </w:pPr>
          </w:p>
        </w:tc>
        <w:tc>
          <w:tcPr>
            <w:tcW w:w="1801" w:type="dxa"/>
            <w:vAlign w:val="bottom"/>
          </w:tcPr>
          <w:p w:rsidR="003309EC" w:rsidRPr="008708A8" w:rsidRDefault="003309EC" w:rsidP="00D42E9C">
            <w:pPr>
              <w:pStyle w:val="NormalWeb"/>
              <w:spacing w:after="0"/>
              <w:rPr>
                <w:rFonts w:ascii="Arial" w:eastAsiaTheme="majorEastAsia" w:hAnsi="Arial" w:cs="Arial"/>
                <w:sz w:val="22"/>
                <w:szCs w:val="22"/>
                <w:lang w:val="de-DE"/>
              </w:rPr>
            </w:pPr>
          </w:p>
        </w:tc>
        <w:tc>
          <w:tcPr>
            <w:tcW w:w="1941" w:type="dxa"/>
            <w:vAlign w:val="bottom"/>
          </w:tcPr>
          <w:p w:rsidR="003309EC" w:rsidRPr="008708A8" w:rsidRDefault="003309EC" w:rsidP="00D42E9C">
            <w:pPr>
              <w:pStyle w:val="NormalWeb"/>
              <w:spacing w:after="0"/>
              <w:rPr>
                <w:rFonts w:ascii="Arial" w:eastAsiaTheme="majorEastAsia" w:hAnsi="Arial" w:cs="Arial"/>
                <w:sz w:val="22"/>
                <w:szCs w:val="22"/>
                <w:lang w:val="de-DE"/>
              </w:rPr>
            </w:pPr>
          </w:p>
        </w:tc>
        <w:tc>
          <w:tcPr>
            <w:tcW w:w="581" w:type="dxa"/>
            <w:vAlign w:val="bottom"/>
          </w:tcPr>
          <w:p w:rsidR="003309EC" w:rsidRPr="008708A8" w:rsidRDefault="003309EC" w:rsidP="00D42E9C">
            <w:pPr>
              <w:pStyle w:val="NormalWeb"/>
              <w:spacing w:after="0"/>
              <w:rPr>
                <w:rFonts w:ascii="Arial" w:eastAsiaTheme="majorEastAsia" w:hAnsi="Arial" w:cs="Arial"/>
                <w:sz w:val="22"/>
                <w:szCs w:val="22"/>
                <w:lang w:val="de-DE"/>
              </w:rPr>
            </w:pPr>
          </w:p>
        </w:tc>
      </w:tr>
      <w:tr w:rsidR="003309EC" w:rsidRPr="008708A8" w:rsidTr="00D42E9C">
        <w:trPr>
          <w:tblCellSpacing w:w="15" w:type="dxa"/>
        </w:trPr>
        <w:tc>
          <w:tcPr>
            <w:tcW w:w="2768" w:type="dxa"/>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MAKE30</w:t>
            </w:r>
            <w:r w:rsidRPr="008708A8">
              <w:rPr>
                <w:rFonts w:ascii="Arial" w:eastAsiaTheme="majorEastAsia" w:hAnsi="Arial" w:cs="Arial"/>
                <w:sz w:val="22"/>
                <w:szCs w:val="22"/>
                <w:vertAlign w:val="superscript"/>
                <w:lang w:val="de-DE"/>
              </w:rPr>
              <w:t>f</w:t>
            </w:r>
          </w:p>
        </w:tc>
        <w:tc>
          <w:tcPr>
            <w:tcW w:w="1801" w:type="dxa"/>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68 (29.3%)</w:t>
            </w:r>
          </w:p>
        </w:tc>
        <w:tc>
          <w:tcPr>
            <w:tcW w:w="1801" w:type="dxa"/>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16 (21.9%)</w:t>
            </w:r>
          </w:p>
        </w:tc>
        <w:tc>
          <w:tcPr>
            <w:tcW w:w="1941" w:type="dxa"/>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52 (32.7%)</w:t>
            </w:r>
          </w:p>
        </w:tc>
        <w:tc>
          <w:tcPr>
            <w:tcW w:w="581" w:type="dxa"/>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0.09</w:t>
            </w:r>
          </w:p>
        </w:tc>
      </w:tr>
      <w:tr w:rsidR="003309EC" w:rsidRPr="008708A8" w:rsidTr="00D42E9C">
        <w:trPr>
          <w:tblCellSpacing w:w="15" w:type="dxa"/>
        </w:trPr>
        <w:tc>
          <w:tcPr>
            <w:tcW w:w="2768" w:type="dxa"/>
            <w:tcBorders>
              <w:bottom w:val="single" w:sz="4" w:space="0" w:color="auto"/>
            </w:tcBorders>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MAKE90</w:t>
            </w:r>
            <w:r w:rsidRPr="008708A8">
              <w:rPr>
                <w:rFonts w:ascii="Arial" w:eastAsiaTheme="majorEastAsia" w:hAnsi="Arial" w:cs="Arial"/>
                <w:sz w:val="22"/>
                <w:szCs w:val="22"/>
                <w:vertAlign w:val="superscript"/>
                <w:lang w:val="de-DE"/>
              </w:rPr>
              <w:t>f</w:t>
            </w:r>
          </w:p>
        </w:tc>
        <w:tc>
          <w:tcPr>
            <w:tcW w:w="1801" w:type="dxa"/>
            <w:tcBorders>
              <w:bottom w:val="single" w:sz="4" w:space="0" w:color="auto"/>
            </w:tcBorders>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74 (35.6%)</w:t>
            </w:r>
          </w:p>
        </w:tc>
        <w:tc>
          <w:tcPr>
            <w:tcW w:w="1801" w:type="dxa"/>
            <w:tcBorders>
              <w:bottom w:val="single" w:sz="4" w:space="0" w:color="auto"/>
            </w:tcBorders>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22 (33.8%)</w:t>
            </w:r>
          </w:p>
        </w:tc>
        <w:tc>
          <w:tcPr>
            <w:tcW w:w="1941" w:type="dxa"/>
            <w:tcBorders>
              <w:bottom w:val="single" w:sz="4" w:space="0" w:color="auto"/>
            </w:tcBorders>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52 (36.4%)</w:t>
            </w:r>
          </w:p>
        </w:tc>
        <w:tc>
          <w:tcPr>
            <w:tcW w:w="581" w:type="dxa"/>
            <w:tcBorders>
              <w:bottom w:val="single" w:sz="4" w:space="0" w:color="auto"/>
            </w:tcBorders>
            <w:vAlign w:val="bottom"/>
          </w:tcPr>
          <w:p w:rsidR="003309EC" w:rsidRPr="008708A8" w:rsidRDefault="003309EC" w:rsidP="00D42E9C">
            <w:pPr>
              <w:pStyle w:val="NormalWeb"/>
              <w:spacing w:after="0"/>
              <w:rPr>
                <w:rFonts w:ascii="Arial" w:eastAsiaTheme="majorEastAsia" w:hAnsi="Arial" w:cs="Arial"/>
                <w:sz w:val="22"/>
                <w:szCs w:val="22"/>
                <w:lang w:val="de-DE"/>
              </w:rPr>
            </w:pPr>
            <w:r w:rsidRPr="008708A8">
              <w:rPr>
                <w:rFonts w:ascii="Arial" w:eastAsiaTheme="majorEastAsia" w:hAnsi="Arial" w:cs="Arial"/>
                <w:sz w:val="22"/>
                <w:szCs w:val="22"/>
                <w:lang w:val="de-DE"/>
              </w:rPr>
              <w:t>0.73</w:t>
            </w:r>
          </w:p>
        </w:tc>
      </w:tr>
    </w:tbl>
    <w:p w:rsidR="003309EC" w:rsidRPr="008708A8" w:rsidRDefault="003309EC" w:rsidP="003309EC">
      <w:pPr>
        <w:pStyle w:val="NormalWeb"/>
        <w:spacing w:after="0"/>
        <w:rPr>
          <w:rFonts w:ascii="Arial" w:eastAsiaTheme="majorEastAsia" w:hAnsi="Arial" w:cs="Arial"/>
          <w:sz w:val="22"/>
          <w:szCs w:val="22"/>
        </w:rPr>
      </w:pPr>
      <w:r w:rsidRPr="008708A8">
        <w:rPr>
          <w:rFonts w:ascii="Arial" w:eastAsiaTheme="majorEastAsia" w:hAnsi="Arial" w:cs="Arial"/>
          <w:sz w:val="22"/>
          <w:szCs w:val="22"/>
        </w:rPr>
        <w:t xml:space="preserve">Crude unadjusted proportions; p-values from chi-square or Fisher's exact tests (categorical) or Wilcoxon rank-sum tests (continuous). These comparisons do not account for the competing risk of death. Competing-risk regression results are reported in Table 3. </w:t>
      </w:r>
      <w:r w:rsidRPr="008708A8">
        <w:rPr>
          <w:rFonts w:ascii="Arial" w:eastAsiaTheme="majorEastAsia" w:hAnsi="Arial" w:cs="Arial"/>
          <w:sz w:val="22"/>
          <w:szCs w:val="22"/>
          <w:lang w:val="de-DE"/>
        </w:rPr>
        <w:t>ᵃ</w:t>
      </w:r>
      <w:r w:rsidRPr="008708A8">
        <w:rPr>
          <w:rFonts w:ascii="Arial" w:eastAsiaTheme="majorEastAsia" w:hAnsi="Arial" w:cs="Arial"/>
          <w:sz w:val="22"/>
          <w:szCs w:val="22"/>
        </w:rPr>
        <w:t xml:space="preserve"> Among hospital survivors with available baseline and discharge renal function data. </w:t>
      </w:r>
      <w:r w:rsidRPr="008708A8">
        <w:rPr>
          <w:rFonts w:ascii="Arial" w:eastAsiaTheme="majorEastAsia" w:hAnsi="Arial" w:cs="Arial"/>
          <w:sz w:val="22"/>
          <w:szCs w:val="22"/>
          <w:lang w:val="de-DE"/>
        </w:rPr>
        <w:t>ᵇ</w:t>
      </w:r>
      <w:r w:rsidRPr="008708A8">
        <w:rPr>
          <w:rFonts w:ascii="Arial" w:eastAsiaTheme="majorEastAsia" w:hAnsi="Arial" w:cs="Arial"/>
          <w:sz w:val="22"/>
          <w:szCs w:val="22"/>
        </w:rPr>
        <w:t xml:space="preserve"> Among patients with evaluable ICU RRT data (n = 246). </w:t>
      </w:r>
      <w:r w:rsidRPr="008708A8">
        <w:rPr>
          <w:rFonts w:ascii="Arial" w:eastAsiaTheme="majorEastAsia" w:hAnsi="Arial" w:cs="Arial"/>
          <w:sz w:val="22"/>
          <w:szCs w:val="22"/>
          <w:lang w:val="de-DE"/>
        </w:rPr>
        <w:t>ᶜ</w:t>
      </w:r>
      <w:r w:rsidRPr="008708A8">
        <w:rPr>
          <w:rFonts w:ascii="Arial" w:eastAsiaTheme="majorEastAsia" w:hAnsi="Arial" w:cs="Arial"/>
          <w:sz w:val="22"/>
          <w:szCs w:val="22"/>
        </w:rPr>
        <w:t xml:space="preserve"> Among patients with evaluable 30-day follow-up data. </w:t>
      </w:r>
      <w:r w:rsidRPr="008708A8">
        <w:rPr>
          <w:rFonts w:ascii="Arial" w:eastAsiaTheme="majorEastAsia" w:hAnsi="Arial" w:cs="Arial"/>
          <w:sz w:val="22"/>
          <w:szCs w:val="22"/>
          <w:lang w:val="de-DE"/>
        </w:rPr>
        <w:t>ᵈ</w:t>
      </w:r>
      <w:r w:rsidRPr="008708A8">
        <w:rPr>
          <w:rFonts w:ascii="Arial" w:eastAsiaTheme="majorEastAsia" w:hAnsi="Arial" w:cs="Arial"/>
          <w:sz w:val="22"/>
          <w:szCs w:val="22"/>
        </w:rPr>
        <w:t xml:space="preserve"> Among patients with evaluable 90-day follow-up data. </w:t>
      </w:r>
      <w:r w:rsidRPr="008708A8">
        <w:rPr>
          <w:rFonts w:ascii="Arial" w:eastAsiaTheme="majorEastAsia" w:hAnsi="Arial" w:cs="Arial"/>
          <w:sz w:val="22"/>
          <w:szCs w:val="22"/>
          <w:lang w:val="de-DE"/>
        </w:rPr>
        <w:t>ᵉ</w:t>
      </w:r>
      <w:r w:rsidRPr="008708A8">
        <w:rPr>
          <w:rFonts w:ascii="Arial" w:eastAsiaTheme="majorEastAsia" w:hAnsi="Arial" w:cs="Arial"/>
          <w:sz w:val="22"/>
          <w:szCs w:val="22"/>
        </w:rPr>
        <w:t xml:space="preserve"> Among patients with evaluable ICU discharge data. </w:t>
      </w:r>
      <w:proofErr w:type="gramStart"/>
      <w:r w:rsidRPr="007562CE">
        <w:rPr>
          <w:rFonts w:ascii="Arial" w:eastAsiaTheme="majorEastAsia" w:hAnsi="Arial" w:cs="Arial"/>
          <w:sz w:val="22"/>
          <w:szCs w:val="22"/>
          <w:vertAlign w:val="superscript"/>
        </w:rPr>
        <w:t>f</w:t>
      </w:r>
      <w:proofErr w:type="gramEnd"/>
      <w:r>
        <w:rPr>
          <w:rFonts w:ascii="Arial" w:eastAsiaTheme="majorEastAsia" w:hAnsi="Arial" w:cs="Arial"/>
          <w:sz w:val="22"/>
          <w:szCs w:val="22"/>
        </w:rPr>
        <w:t xml:space="preserve"> </w:t>
      </w:r>
      <w:r w:rsidRPr="008708A8">
        <w:rPr>
          <w:rFonts w:ascii="Arial" w:eastAsiaTheme="majorEastAsia" w:hAnsi="Arial" w:cs="Arial"/>
          <w:sz w:val="22"/>
          <w:szCs w:val="22"/>
        </w:rPr>
        <w:t>Due to the unavailability of post-discharge creatinine/</w:t>
      </w:r>
      <w:proofErr w:type="spellStart"/>
      <w:r w:rsidRPr="008708A8">
        <w:rPr>
          <w:rFonts w:ascii="Arial" w:eastAsiaTheme="majorEastAsia" w:hAnsi="Arial" w:cs="Arial"/>
          <w:sz w:val="22"/>
          <w:szCs w:val="22"/>
        </w:rPr>
        <w:t>eGFR</w:t>
      </w:r>
      <w:proofErr w:type="spellEnd"/>
      <w:r w:rsidRPr="008708A8">
        <w:rPr>
          <w:rFonts w:ascii="Arial" w:eastAsiaTheme="majorEastAsia" w:hAnsi="Arial" w:cs="Arial"/>
          <w:sz w:val="22"/>
          <w:szCs w:val="22"/>
        </w:rPr>
        <w:t>, MAKE is defined as death or dialysis.</w:t>
      </w:r>
    </w:p>
    <w:p w:rsidR="003309EC" w:rsidRPr="008708A8" w:rsidRDefault="003309EC" w:rsidP="003309EC">
      <w:pPr>
        <w:pStyle w:val="NormalWeb"/>
        <w:rPr>
          <w:rFonts w:ascii="Arial" w:hAnsi="Arial" w:cs="Arial"/>
          <w:sz w:val="22"/>
          <w:szCs w:val="22"/>
        </w:rPr>
      </w:pPr>
    </w:p>
    <w:p w:rsidR="003309EC" w:rsidRPr="008708A8" w:rsidRDefault="003309EC" w:rsidP="003309EC">
      <w:pPr>
        <w:autoSpaceDE w:val="0"/>
        <w:autoSpaceDN w:val="0"/>
        <w:adjustRightInd w:val="0"/>
        <w:spacing w:after="240"/>
        <w:rPr>
          <w:rFonts w:ascii="Arial" w:hAnsi="Arial" w:cs="Arial"/>
          <w:sz w:val="22"/>
          <w:szCs w:val="22"/>
          <w:lang w:val="en-GB"/>
        </w:rPr>
      </w:pPr>
      <w:r w:rsidRPr="008708A8">
        <w:rPr>
          <w:rFonts w:ascii="Arial" w:hAnsi="Arial" w:cs="Arial"/>
          <w:noProof/>
          <w:sz w:val="22"/>
          <w:szCs w:val="22"/>
          <w:lang w:val="en-IN" w:eastAsia="en-IN"/>
        </w:rPr>
        <w:drawing>
          <wp:inline distT="0" distB="0" distL="0" distR="0" wp14:anchorId="554E060C" wp14:editId="2D4AE715">
            <wp:extent cx="4918909" cy="3382178"/>
            <wp:effectExtent l="0" t="0" r="0" b="0"/>
            <wp:docPr id="18759154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1543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4954544" cy="3406680"/>
                    </a:xfrm>
                    <a:prstGeom prst="rect">
                      <a:avLst/>
                    </a:prstGeom>
                    <a:noFill/>
                    <a:ln>
                      <a:noFill/>
                    </a:ln>
                  </pic:spPr>
                </pic:pic>
              </a:graphicData>
            </a:graphic>
          </wp:inline>
        </w:drawing>
      </w:r>
    </w:p>
    <w:p w:rsidR="003309EC" w:rsidRPr="008708A8" w:rsidRDefault="003309EC" w:rsidP="003309EC">
      <w:pPr>
        <w:autoSpaceDE w:val="0"/>
        <w:autoSpaceDN w:val="0"/>
        <w:adjustRightInd w:val="0"/>
        <w:spacing w:after="240"/>
        <w:rPr>
          <w:rFonts w:ascii="Arial" w:hAnsi="Arial" w:cs="Arial"/>
          <w:b/>
          <w:bCs/>
          <w:sz w:val="22"/>
          <w:szCs w:val="22"/>
          <w:lang w:val="en-GB"/>
        </w:rPr>
      </w:pPr>
      <w:r w:rsidRPr="008708A8">
        <w:rPr>
          <w:rFonts w:ascii="Arial" w:hAnsi="Arial" w:cs="Arial"/>
          <w:b/>
          <w:bCs/>
          <w:sz w:val="22"/>
          <w:szCs w:val="22"/>
          <w:lang w:val="en-GB"/>
        </w:rPr>
        <w:t>Supplementary Figure 1: Missing Data.</w:t>
      </w:r>
      <w:r w:rsidRPr="008708A8">
        <w:rPr>
          <w:rFonts w:ascii="Arial" w:hAnsi="Arial" w:cs="Arial"/>
          <w:b/>
          <w:bCs/>
          <w:sz w:val="22"/>
          <w:szCs w:val="22"/>
          <w:lang w:val="en-GB"/>
        </w:rPr>
        <w:br/>
      </w:r>
    </w:p>
    <w:p w:rsidR="003309EC" w:rsidRPr="008708A8" w:rsidRDefault="003309EC" w:rsidP="003309EC">
      <w:pPr>
        <w:rPr>
          <w:rFonts w:ascii="Arial" w:hAnsi="Arial" w:cs="Arial"/>
          <w:sz w:val="22"/>
          <w:szCs w:val="22"/>
        </w:rPr>
      </w:pPr>
      <w:r w:rsidRPr="008708A8">
        <w:rPr>
          <w:noProof/>
          <w:lang w:val="en-IN" w:eastAsia="en-IN"/>
        </w:rPr>
        <w:lastRenderedPageBreak/>
        <w:drawing>
          <wp:inline distT="0" distB="0" distL="0" distR="0" wp14:anchorId="2D8FD99C" wp14:editId="029C0C5E">
            <wp:extent cx="4413837" cy="3647209"/>
            <wp:effectExtent l="0" t="0" r="6350" b="0"/>
            <wp:docPr id="148833042" name="Picture 4" descr="The image displays a correlation matrix comparing various clinical monitoring parameters and their relationships, with negative values indicating inverse correlations and positive values indicating direct correla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3042" name="Picture 4" descr="The image displays a correlation matrix comparing various clinical monitoring parameters and their relationships, with negative values indicating inverse correlations and positive values indicating direct correlation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34512" cy="3664293"/>
                    </a:xfrm>
                    <a:prstGeom prst="rect">
                      <a:avLst/>
                    </a:prstGeom>
                    <a:noFill/>
                    <a:ln>
                      <a:noFill/>
                    </a:ln>
                  </pic:spPr>
                </pic:pic>
              </a:graphicData>
            </a:graphic>
          </wp:inline>
        </w:drawing>
      </w:r>
    </w:p>
    <w:p w:rsidR="003309EC" w:rsidRPr="008708A8" w:rsidRDefault="003309EC" w:rsidP="003309EC">
      <w:pPr>
        <w:rPr>
          <w:rFonts w:ascii="Arial" w:hAnsi="Arial" w:cs="Arial"/>
          <w:sz w:val="22"/>
          <w:szCs w:val="22"/>
        </w:rPr>
      </w:pPr>
      <w:r w:rsidRPr="008708A8">
        <w:rPr>
          <w:rFonts w:ascii="Arial" w:hAnsi="Arial" w:cs="Arial"/>
          <w:b/>
          <w:bCs/>
          <w:sz w:val="22"/>
          <w:szCs w:val="22"/>
          <w:lang w:val="en-GB"/>
        </w:rPr>
        <w:t>Supplementary Figure 2: Correlation of KPS component violations.</w:t>
      </w:r>
      <w:r w:rsidRPr="008708A8">
        <w:rPr>
          <w:rFonts w:ascii="Arial" w:hAnsi="Arial" w:cs="Arial"/>
          <w:sz w:val="22"/>
          <w:szCs w:val="22"/>
        </w:rPr>
        <w:t xml:space="preserve"> In the correlation analysis of KPS component violations, distinct patterns of co</w:t>
      </w:r>
      <w:r w:rsidRPr="008708A8">
        <w:rPr>
          <w:rFonts w:ascii="Arial" w:hAnsi="Arial" w:cs="Arial"/>
          <w:sz w:val="22"/>
          <w:szCs w:val="22"/>
        </w:rPr>
        <w:noBreakHyphen/>
        <w:t xml:space="preserve">occurrence emerged. Violations clustered primarily within two domains. A </w:t>
      </w:r>
      <w:r w:rsidRPr="008708A8">
        <w:rPr>
          <w:rFonts w:ascii="Arial" w:hAnsi="Arial" w:cs="Arial"/>
          <w:b/>
          <w:bCs/>
          <w:sz w:val="22"/>
          <w:szCs w:val="22"/>
        </w:rPr>
        <w:t>hemodynamic cluster</w:t>
      </w:r>
      <w:r w:rsidRPr="008708A8">
        <w:rPr>
          <w:rFonts w:ascii="Arial" w:hAnsi="Arial" w:cs="Arial"/>
          <w:sz w:val="22"/>
          <w:szCs w:val="22"/>
        </w:rPr>
        <w:t xml:space="preserve"> – including hemodynamic monitoring, MAP &lt; 65 mmHg – showed strong positive correlations, indicating that patients failing one of these monitoring or optimization steps often failed the others. A second </w:t>
      </w:r>
      <w:r w:rsidRPr="008708A8">
        <w:rPr>
          <w:rFonts w:ascii="Arial" w:hAnsi="Arial" w:cs="Arial"/>
          <w:b/>
          <w:bCs/>
          <w:sz w:val="22"/>
          <w:szCs w:val="22"/>
        </w:rPr>
        <w:t>exposure cluster</w:t>
      </w:r>
      <w:r w:rsidRPr="008708A8">
        <w:rPr>
          <w:rFonts w:ascii="Arial" w:hAnsi="Arial" w:cs="Arial"/>
          <w:sz w:val="22"/>
          <w:szCs w:val="22"/>
        </w:rPr>
        <w:t xml:space="preserve"> – nephrotoxic exposure and radiocontrast exposure – displayed moderate inter</w:t>
      </w:r>
      <w:r w:rsidRPr="008708A8">
        <w:rPr>
          <w:rFonts w:ascii="Arial" w:hAnsi="Arial" w:cs="Arial"/>
          <w:sz w:val="22"/>
          <w:szCs w:val="22"/>
        </w:rPr>
        <w:noBreakHyphen/>
        <w:t>correlations, suggesting that lapses in renal protection and monitoring tended to co</w:t>
      </w:r>
      <w:r w:rsidRPr="008708A8">
        <w:rPr>
          <w:rFonts w:ascii="Arial" w:hAnsi="Arial" w:cs="Arial"/>
          <w:sz w:val="22"/>
          <w:szCs w:val="22"/>
        </w:rPr>
        <w:noBreakHyphen/>
        <w:t>occur. Hyperglycemia management correlated modestly with both clusters.</w:t>
      </w:r>
    </w:p>
    <w:p w:rsidR="003309EC" w:rsidRPr="008708A8" w:rsidRDefault="003309EC" w:rsidP="003309EC">
      <w:pPr>
        <w:autoSpaceDE w:val="0"/>
        <w:autoSpaceDN w:val="0"/>
        <w:adjustRightInd w:val="0"/>
        <w:spacing w:after="240"/>
        <w:rPr>
          <w:rFonts w:ascii="Arial" w:hAnsi="Arial" w:cs="Arial"/>
          <w:sz w:val="22"/>
          <w:szCs w:val="22"/>
        </w:rPr>
      </w:pPr>
    </w:p>
    <w:p w:rsidR="003309EC" w:rsidRPr="008708A8" w:rsidRDefault="003309EC" w:rsidP="003309EC">
      <w:pPr>
        <w:rPr>
          <w:rFonts w:ascii="Arial" w:hAnsi="Arial" w:cs="Arial"/>
          <w:sz w:val="22"/>
          <w:szCs w:val="22"/>
        </w:rPr>
      </w:pPr>
      <w:r w:rsidRPr="008708A8">
        <w:rPr>
          <w:rFonts w:ascii="Arial" w:hAnsi="Arial" w:cs="Arial"/>
          <w:noProof/>
          <w:sz w:val="22"/>
          <w:szCs w:val="22"/>
          <w:lang w:val="en-IN" w:eastAsia="en-IN"/>
        </w:rPr>
        <w:lastRenderedPageBreak/>
        <w:drawing>
          <wp:inline distT="0" distB="0" distL="0" distR="0" wp14:anchorId="37932BB2" wp14:editId="24001253">
            <wp:extent cx="6120130" cy="4237355"/>
            <wp:effectExtent l="0" t="0" r="0" b="0"/>
            <wp:docPr id="3977229" name="Picture 2" descr="The image is a fine-grained survival analysis comparing various clinical factors (like creatinine monitoring, radiocontrast exposure, hyperglycemia management, and others) in their relationship to renal recovery and other outcomes, with hazard ratios on a logarithmic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229" name="Picture 2" descr="The image is a fine-grained survival analysis comparing various clinical factors (like creatinine monitoring, radiocontrast exposure, hyperglycemia management, and others) in their relationship to renal recovery and other outcomes, with hazard ratios on a logarithmic scal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4237355"/>
                    </a:xfrm>
                    <a:prstGeom prst="rect">
                      <a:avLst/>
                    </a:prstGeom>
                    <a:noFill/>
                    <a:ln>
                      <a:noFill/>
                    </a:ln>
                  </pic:spPr>
                </pic:pic>
              </a:graphicData>
            </a:graphic>
          </wp:inline>
        </w:drawing>
      </w:r>
    </w:p>
    <w:p w:rsidR="003309EC" w:rsidRPr="008708A8" w:rsidRDefault="003309EC" w:rsidP="003309EC">
      <w:pPr>
        <w:autoSpaceDE w:val="0"/>
        <w:autoSpaceDN w:val="0"/>
        <w:adjustRightInd w:val="0"/>
        <w:spacing w:after="240"/>
        <w:rPr>
          <w:rFonts w:ascii="Arial" w:hAnsi="Arial" w:cs="Arial"/>
          <w:b/>
          <w:bCs/>
          <w:sz w:val="22"/>
          <w:szCs w:val="22"/>
        </w:rPr>
      </w:pPr>
      <w:r w:rsidRPr="008708A8">
        <w:rPr>
          <w:rFonts w:ascii="Arial" w:hAnsi="Arial" w:cs="Arial"/>
          <w:b/>
          <w:bCs/>
          <w:sz w:val="22"/>
          <w:szCs w:val="22"/>
        </w:rPr>
        <w:t xml:space="preserve">Supplementary Figure 3: Individual component effects. </w:t>
      </w:r>
      <w:r w:rsidRPr="008708A8">
        <w:rPr>
          <w:rFonts w:ascii="Arial" w:hAnsi="Arial" w:cs="Arial"/>
          <w:sz w:val="22"/>
          <w:szCs w:val="22"/>
        </w:rPr>
        <w:t xml:space="preserve">Forest plot showing </w:t>
      </w:r>
      <w:proofErr w:type="spellStart"/>
      <w:r w:rsidRPr="008708A8">
        <w:rPr>
          <w:rFonts w:ascii="Arial" w:hAnsi="Arial" w:cs="Arial"/>
          <w:sz w:val="22"/>
          <w:szCs w:val="22"/>
        </w:rPr>
        <w:t>subdistribution</w:t>
      </w:r>
      <w:proofErr w:type="spellEnd"/>
      <w:r w:rsidRPr="008708A8">
        <w:rPr>
          <w:rFonts w:ascii="Arial" w:hAnsi="Arial" w:cs="Arial"/>
          <w:sz w:val="22"/>
          <w:szCs w:val="22"/>
        </w:rPr>
        <w:t xml:space="preserve"> hazard ratios (log scale) for each individual KPS component violation across three renal outcomes: AKD beyond day 7 (green), renal recovery at discharge (red), and RRT at 30 days (blue). Each point represents the estimated SHR with 95% confidence intervals from </w:t>
      </w:r>
      <w:proofErr w:type="spellStart"/>
      <w:r w:rsidRPr="008708A8">
        <w:rPr>
          <w:rFonts w:ascii="Arial" w:hAnsi="Arial" w:cs="Arial"/>
          <w:sz w:val="22"/>
          <w:szCs w:val="22"/>
        </w:rPr>
        <w:t>univariable</w:t>
      </w:r>
      <w:proofErr w:type="spellEnd"/>
      <w:r w:rsidRPr="008708A8">
        <w:rPr>
          <w:rFonts w:ascii="Arial" w:hAnsi="Arial" w:cs="Arial"/>
          <w:sz w:val="22"/>
          <w:szCs w:val="22"/>
        </w:rPr>
        <w:t xml:space="preserve"> Fine–Gray competing risk models. The vertical dashed line indicates the reference value (SHR = 1). Violations of MAP &lt; 65 mmHg and hemodynamic monitoring were most strongly associated with adverse renal outcomes while the strong apparent association with creatinine should be interpreted as ascertainment bias as creatinine measurements are required for outcome documentation.</w:t>
      </w:r>
    </w:p>
    <w:p w:rsidR="003309EC" w:rsidRPr="008708A8" w:rsidRDefault="003309EC" w:rsidP="003309EC">
      <w:pPr>
        <w:rPr>
          <w:rFonts w:ascii="Arial" w:hAnsi="Arial" w:cs="Arial"/>
          <w:sz w:val="22"/>
          <w:szCs w:val="22"/>
        </w:rPr>
      </w:pPr>
    </w:p>
    <w:p w:rsidR="003309EC" w:rsidRPr="008708A8" w:rsidRDefault="003309EC" w:rsidP="003309EC">
      <w:pPr>
        <w:rPr>
          <w:rFonts w:ascii="Arial" w:hAnsi="Arial" w:cs="Arial"/>
          <w:sz w:val="22"/>
          <w:szCs w:val="22"/>
        </w:rPr>
      </w:pPr>
    </w:p>
    <w:p w:rsidR="003309EC" w:rsidRPr="008708A8" w:rsidRDefault="003309EC" w:rsidP="003309EC">
      <w:pPr>
        <w:rPr>
          <w:rFonts w:ascii="Arial" w:hAnsi="Arial" w:cs="Arial"/>
          <w:sz w:val="22"/>
          <w:szCs w:val="22"/>
        </w:rPr>
      </w:pPr>
    </w:p>
    <w:p w:rsidR="003309EC" w:rsidRPr="008708A8" w:rsidRDefault="003309EC" w:rsidP="003309EC">
      <w:pPr>
        <w:rPr>
          <w:rFonts w:ascii="Arial" w:hAnsi="Arial" w:cs="Arial"/>
          <w:sz w:val="22"/>
          <w:szCs w:val="22"/>
        </w:rPr>
      </w:pPr>
      <w:r w:rsidRPr="008708A8">
        <w:rPr>
          <w:rFonts w:ascii="Arial" w:hAnsi="Arial" w:cs="Arial"/>
          <w:noProof/>
          <w:sz w:val="22"/>
          <w:szCs w:val="22"/>
          <w:lang w:val="en-IN" w:eastAsia="en-IN"/>
        </w:rPr>
        <w:lastRenderedPageBreak/>
        <w:drawing>
          <wp:inline distT="0" distB="0" distL="0" distR="0" wp14:anchorId="31CBCFA6" wp14:editId="72E9D072">
            <wp:extent cx="5181501" cy="3834246"/>
            <wp:effectExtent l="0" t="0" r="635" b="1270"/>
            <wp:docPr id="618547522" name="Picture 4" descr="The diagram illustrates the IPTW Subdistribution Hazard Ratios for AKD (&gt;7 days) and Renal Recovery, showing a hazard ratio of 0.624 for AKD, and a hazard ratio of 5.502 for Renal Recov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47522" name="Picture 4" descr="The diagram illustrates the IPTW Subdistribution Hazard Ratios for AKD (&gt;7 days) and Renal Recovery, showing a hazard ratio of 0.624 for AKD, and a hazard ratio of 5.502 for Renal Recover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89752" cy="3840352"/>
                    </a:xfrm>
                    <a:prstGeom prst="rect">
                      <a:avLst/>
                    </a:prstGeom>
                    <a:noFill/>
                    <a:ln>
                      <a:noFill/>
                    </a:ln>
                  </pic:spPr>
                </pic:pic>
              </a:graphicData>
            </a:graphic>
          </wp:inline>
        </w:drawing>
      </w:r>
    </w:p>
    <w:p w:rsidR="003309EC" w:rsidRPr="008708A8" w:rsidRDefault="003309EC" w:rsidP="003309EC">
      <w:r w:rsidRPr="008708A8">
        <w:rPr>
          <w:b/>
          <w:bCs/>
        </w:rPr>
        <w:t xml:space="preserve">Supplementary Figure 4: IPTW Hazard ratios. </w:t>
      </w:r>
      <w:r w:rsidRPr="008708A8">
        <w:t>IPTW analysis confirmed the strong association between KPS fulfillment and renal recovery (SHR 5.50; 95% CI 3.28–9.24; p &lt; 0.0001). For AKD, the association showed a consistent trend (SHR 0.62; 95% CI 0.37–1.07; p = 0.086). RRT at 30 days: IPTW model could not be estimated due to complete separation (zero/near-zero events in the weighted adherent group). N</w:t>
      </w:r>
      <w:r>
        <w:t>o weighted estimate is reported</w:t>
      </w:r>
      <w:bookmarkStart w:id="0" w:name="_GoBack"/>
      <w:bookmarkEnd w:id="0"/>
    </w:p>
    <w:sectPr w:rsidR="003309EC" w:rsidRPr="008708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EC"/>
    <w:rsid w:val="003309EC"/>
    <w:rsid w:val="00CE45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C357D-F9FC-426C-93C9-F901551F1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9EC"/>
    <w:pPr>
      <w:spacing w:after="0" w:line="240" w:lineRule="auto"/>
    </w:pPr>
    <w:rPr>
      <w:rFonts w:ascii="Times New Roman" w:eastAsia="Times New Roman" w:hAnsi="Times New Roman" w:cs="Times New Roman"/>
      <w:sz w:val="24"/>
      <w:szCs w:val="24"/>
      <w:lang w:val="en-US" w:eastAsia="en-GB"/>
    </w:rPr>
  </w:style>
  <w:style w:type="paragraph" w:styleId="Heading1">
    <w:name w:val="heading 1"/>
    <w:basedOn w:val="Normal"/>
    <w:next w:val="Normal"/>
    <w:link w:val="Heading1Char"/>
    <w:uiPriority w:val="9"/>
    <w:qFormat/>
    <w:rsid w:val="003309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9EC"/>
    <w:rPr>
      <w:rFonts w:asciiTheme="majorHAnsi" w:eastAsiaTheme="majorEastAsia" w:hAnsiTheme="majorHAnsi" w:cstheme="majorBidi"/>
      <w:color w:val="2E74B5" w:themeColor="accent1" w:themeShade="BF"/>
      <w:sz w:val="40"/>
      <w:szCs w:val="40"/>
      <w:lang w:val="en-US" w:eastAsia="en-GB"/>
    </w:rPr>
  </w:style>
  <w:style w:type="paragraph" w:styleId="NormalWeb">
    <w:name w:val="Normal (Web)"/>
    <w:basedOn w:val="Normal"/>
    <w:uiPriority w:val="99"/>
    <w:unhideWhenUsed/>
    <w:rsid w:val="003309EC"/>
    <w:pPr>
      <w:spacing w:before="100" w:beforeAutospacing="1" w:after="100" w:afterAutospacing="1"/>
    </w:pPr>
  </w:style>
  <w:style w:type="character" w:styleId="Strong">
    <w:name w:val="Strong"/>
    <w:basedOn w:val="DefaultParagraphFont"/>
    <w:uiPriority w:val="22"/>
    <w:qFormat/>
    <w:rsid w:val="003309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1022</Words>
  <Characters>5829</Characters>
  <Application>Microsoft Office Word</Application>
  <DocSecurity>0</DocSecurity>
  <Lines>48</Lines>
  <Paragraphs>13</Paragraphs>
  <ScaleCrop>false</ScaleCrop>
  <Company/>
  <LinksUpToDate>false</LinksUpToDate>
  <CharactersWithSpaces>6838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 M</dc:creator>
  <cp:keywords/>
  <dc:description/>
  <cp:lastModifiedBy>Banu M</cp:lastModifiedBy>
  <cp:revision>1</cp:revision>
  <dcterms:created xsi:type="dcterms:W3CDTF">2026-06-16T01:46:00Z</dcterms:created>
  <dcterms:modified xsi:type="dcterms:W3CDTF">2026-06-16T01:48:00Z</dcterms:modified>
</cp:coreProperties>
</file>