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498A" w14:textId="794DA2FF" w:rsidR="00765F32" w:rsidRPr="00163051" w:rsidRDefault="00765F32" w:rsidP="00163051">
      <w:pPr>
        <w:spacing w:before="0" w:beforeAutospacing="0" w:after="240" w:afterAutospacing="0" w:line="240" w:lineRule="auto"/>
        <w:jc w:val="both"/>
        <w:rPr>
          <w:rFonts w:asciiTheme="majorBidi" w:hAnsiTheme="majorBidi" w:cstheme="majorBidi"/>
          <w:b/>
          <w:bCs/>
          <w:color w:val="000000"/>
        </w:rPr>
      </w:pPr>
      <w:r w:rsidRPr="00163051">
        <w:rPr>
          <w:rFonts w:asciiTheme="majorBidi" w:hAnsiTheme="majorBidi" w:cstheme="majorBidi"/>
          <w:b/>
          <w:bCs/>
        </w:rPr>
        <w:t>Supplementary Material 1</w:t>
      </w:r>
    </w:p>
    <w:p w14:paraId="569E26B8" w14:textId="77777777" w:rsidR="00552E77" w:rsidRPr="005D4762" w:rsidRDefault="00552E77" w:rsidP="009D7649">
      <w:pPr>
        <w:tabs>
          <w:tab w:val="left" w:pos="426"/>
        </w:tabs>
        <w:spacing w:before="0" w:beforeAutospacing="0" w:after="0" w:afterAutospacing="0" w:line="240" w:lineRule="auto"/>
        <w:jc w:val="center"/>
        <w:rPr>
          <w:rFonts w:asciiTheme="majorBidi" w:hAnsiTheme="majorBidi" w:cstheme="majorBidi"/>
          <w:b/>
          <w:bCs/>
        </w:rPr>
      </w:pPr>
      <w:r w:rsidRPr="005D4762">
        <w:rPr>
          <w:rFonts w:asciiTheme="majorBidi" w:hAnsiTheme="majorBidi" w:cstheme="majorBidi"/>
          <w:b/>
          <w:bCs/>
        </w:rPr>
        <w:t>Effect of the orexin receptor antagonist, suvorexant, on sleep architecture in the early postoperative period following cardiac surgery: a randomized controlled trial</w:t>
      </w:r>
    </w:p>
    <w:p w14:paraId="2BE8CDB3" w14:textId="77777777" w:rsidR="009D7649" w:rsidRPr="009D7649" w:rsidRDefault="009D7649" w:rsidP="009D7649">
      <w:pPr>
        <w:tabs>
          <w:tab w:val="left" w:pos="426"/>
        </w:tabs>
        <w:spacing w:before="0" w:beforeAutospacing="0" w:after="0" w:afterAutospacing="0" w:line="240" w:lineRule="auto"/>
        <w:jc w:val="center"/>
        <w:rPr>
          <w:rFonts w:asciiTheme="majorBidi" w:hAnsiTheme="majorBidi" w:cstheme="majorBidi"/>
          <w:b/>
          <w:bCs/>
        </w:rPr>
      </w:pPr>
    </w:p>
    <w:p w14:paraId="05AA371F" w14:textId="645D7F25" w:rsidR="00F315E2" w:rsidRDefault="00F315E2" w:rsidP="007E1D58">
      <w:pPr>
        <w:tabs>
          <w:tab w:val="left" w:pos="426"/>
        </w:tabs>
        <w:spacing w:before="0" w:beforeAutospacing="0" w:after="0" w:afterAutospacing="0" w:line="240" w:lineRule="auto"/>
        <w:rPr>
          <w:rFonts w:asciiTheme="majorBidi" w:eastAsia="Calibri" w:hAnsiTheme="majorBidi" w:cstheme="majorBidi"/>
        </w:rPr>
      </w:pPr>
      <w:r>
        <w:rPr>
          <w:rFonts w:asciiTheme="majorBidi" w:eastAsia="Calibri" w:hAnsiTheme="majorBidi" w:cstheme="majorBidi"/>
        </w:rPr>
        <w:t>Karuna Wongtangman</w:t>
      </w:r>
      <w:r w:rsidRPr="007A68BE">
        <w:rPr>
          <w:rFonts w:asciiTheme="majorBidi" w:eastAsia="Calibri" w:hAnsiTheme="majorBidi" w:cstheme="majorBidi"/>
          <w:vertAlign w:val="superscript"/>
        </w:rPr>
        <w:t>1,2</w:t>
      </w:r>
      <w:r>
        <w:rPr>
          <w:rFonts w:asciiTheme="majorBidi" w:eastAsia="Calibri" w:hAnsiTheme="majorBidi" w:cstheme="majorBidi"/>
          <w:vertAlign w:val="superscript"/>
        </w:rPr>
        <w:t>*</w:t>
      </w:r>
      <w:r>
        <w:rPr>
          <w:rFonts w:asciiTheme="majorBidi" w:eastAsia="Calibri" w:hAnsiTheme="majorBidi" w:cstheme="majorBidi"/>
        </w:rPr>
        <w:t xml:space="preserve">, </w:t>
      </w:r>
      <w:r w:rsidRPr="00B11E66">
        <w:rPr>
          <w:rFonts w:asciiTheme="majorBidi" w:eastAsia="Calibri" w:hAnsiTheme="majorBidi" w:cstheme="majorBidi"/>
        </w:rPr>
        <w:t xml:space="preserve">Siddhartha </w:t>
      </w:r>
      <w:proofErr w:type="spellStart"/>
      <w:r w:rsidR="00B9271B">
        <w:rPr>
          <w:rFonts w:asciiTheme="majorBidi" w:eastAsia="Calibri" w:hAnsiTheme="majorBidi" w:cstheme="majorBidi"/>
        </w:rPr>
        <w:t>reddy</w:t>
      </w:r>
      <w:proofErr w:type="spellEnd"/>
      <w:r w:rsidR="00B9271B">
        <w:rPr>
          <w:rFonts w:asciiTheme="majorBidi" w:eastAsia="Calibri" w:hAnsiTheme="majorBidi" w:cstheme="majorBidi"/>
        </w:rPr>
        <w:t xml:space="preserve"> </w:t>
      </w:r>
      <w:r w:rsidRPr="00B11E66">
        <w:rPr>
          <w:rFonts w:asciiTheme="majorBidi" w:eastAsia="Calibri" w:hAnsiTheme="majorBidi" w:cstheme="majorBidi"/>
        </w:rPr>
        <w:t>Janga</w:t>
      </w:r>
      <w:r w:rsidRPr="007A68BE">
        <w:rPr>
          <w:rFonts w:asciiTheme="majorBidi" w:eastAsia="Calibri" w:hAnsiTheme="majorBidi" w:cstheme="majorBidi"/>
          <w:vertAlign w:val="superscript"/>
        </w:rPr>
        <w:t>3</w:t>
      </w:r>
      <w:r>
        <w:rPr>
          <w:rFonts w:asciiTheme="majorBidi" w:eastAsia="Calibri" w:hAnsiTheme="majorBidi" w:cstheme="majorBidi"/>
          <w:vertAlign w:val="superscript"/>
        </w:rPr>
        <w:t>*</w:t>
      </w:r>
      <w:r w:rsidRPr="00B11E66">
        <w:rPr>
          <w:rFonts w:asciiTheme="majorBidi" w:eastAsia="Calibri" w:hAnsiTheme="majorBidi" w:cstheme="majorBidi"/>
        </w:rPr>
        <w:t xml:space="preserve">, </w:t>
      </w:r>
      <w:r>
        <w:rPr>
          <w:rFonts w:asciiTheme="majorBidi" w:eastAsia="Calibri" w:hAnsiTheme="majorBidi" w:cstheme="majorBidi"/>
        </w:rPr>
        <w:t>Omid Azimaraghi</w:t>
      </w:r>
      <w:r w:rsidRPr="007A68BE">
        <w:rPr>
          <w:rFonts w:asciiTheme="majorBidi" w:eastAsia="Calibri" w:hAnsiTheme="majorBidi" w:cstheme="majorBidi"/>
          <w:vertAlign w:val="superscript"/>
        </w:rPr>
        <w:t>1</w:t>
      </w:r>
      <w:r>
        <w:rPr>
          <w:rFonts w:asciiTheme="majorBidi" w:eastAsia="Calibri" w:hAnsiTheme="majorBidi" w:cstheme="majorBidi"/>
          <w:vertAlign w:val="superscript"/>
        </w:rPr>
        <w:t>*</w:t>
      </w:r>
      <w:r>
        <w:rPr>
          <w:rFonts w:asciiTheme="majorBidi" w:eastAsia="Calibri" w:hAnsiTheme="majorBidi" w:cstheme="majorBidi"/>
        </w:rPr>
        <w:t>, Rafi Khandaker</w:t>
      </w:r>
      <w:r w:rsidRPr="007A68BE">
        <w:rPr>
          <w:rFonts w:asciiTheme="majorBidi" w:eastAsia="Calibri" w:hAnsiTheme="majorBidi" w:cstheme="majorBidi"/>
          <w:vertAlign w:val="superscript"/>
        </w:rPr>
        <w:t>1</w:t>
      </w:r>
      <w:r>
        <w:rPr>
          <w:rFonts w:asciiTheme="majorBidi" w:eastAsia="Calibri" w:hAnsiTheme="majorBidi" w:cstheme="majorBidi"/>
        </w:rPr>
        <w:t xml:space="preserve">, </w:t>
      </w:r>
      <w:r w:rsidRPr="00B11E66">
        <w:rPr>
          <w:rFonts w:asciiTheme="majorBidi" w:eastAsia="Calibri" w:hAnsiTheme="majorBidi" w:cstheme="majorBidi"/>
        </w:rPr>
        <w:t>Tanvi Khera</w:t>
      </w:r>
      <w:r>
        <w:rPr>
          <w:rFonts w:asciiTheme="majorBidi" w:eastAsia="Calibri" w:hAnsiTheme="majorBidi" w:cstheme="majorBidi"/>
          <w:vertAlign w:val="superscript"/>
        </w:rPr>
        <w:t>3</w:t>
      </w:r>
      <w:r>
        <w:rPr>
          <w:rFonts w:asciiTheme="majorBidi" w:eastAsia="Calibri" w:hAnsiTheme="majorBidi" w:cstheme="majorBidi"/>
        </w:rPr>
        <w:t>,</w:t>
      </w:r>
      <w:r w:rsidRPr="00B11E66">
        <w:rPr>
          <w:rFonts w:asciiTheme="majorBidi" w:eastAsia="Calibri" w:hAnsiTheme="majorBidi" w:cstheme="majorBidi"/>
        </w:rPr>
        <w:t xml:space="preserve"> </w:t>
      </w:r>
      <w:r>
        <w:rPr>
          <w:rFonts w:asciiTheme="majorBidi" w:eastAsia="Calibri" w:hAnsiTheme="majorBidi" w:cstheme="majorBidi"/>
        </w:rPr>
        <w:t>Jonathan Leff</w:t>
      </w:r>
      <w:r w:rsidRPr="007A68BE">
        <w:rPr>
          <w:rFonts w:asciiTheme="majorBidi" w:eastAsia="Calibri" w:hAnsiTheme="majorBidi" w:cstheme="majorBidi"/>
          <w:vertAlign w:val="superscript"/>
        </w:rPr>
        <w:t>1</w:t>
      </w:r>
      <w:r>
        <w:rPr>
          <w:rFonts w:asciiTheme="majorBidi" w:eastAsia="Calibri" w:hAnsiTheme="majorBidi" w:cstheme="majorBidi"/>
        </w:rPr>
        <w:t>, Stephen J Forest</w:t>
      </w:r>
      <w:r>
        <w:rPr>
          <w:rFonts w:asciiTheme="majorBidi" w:eastAsia="Calibri" w:hAnsiTheme="majorBidi" w:cstheme="majorBidi"/>
          <w:vertAlign w:val="superscript"/>
        </w:rPr>
        <w:t>4</w:t>
      </w:r>
      <w:r>
        <w:rPr>
          <w:rFonts w:asciiTheme="majorBidi" w:eastAsia="Calibri" w:hAnsiTheme="majorBidi" w:cstheme="majorBidi"/>
        </w:rPr>
        <w:t xml:space="preserve">, </w:t>
      </w:r>
      <w:r w:rsidRPr="00A06887">
        <w:rPr>
          <w:rFonts w:asciiTheme="majorBidi" w:eastAsia="Calibri" w:hAnsiTheme="majorBidi" w:cstheme="majorBidi"/>
        </w:rPr>
        <w:t>Aiman Suleiman</w:t>
      </w:r>
      <w:r w:rsidRPr="00F31F22">
        <w:rPr>
          <w:rFonts w:asciiTheme="majorBidi" w:eastAsia="Calibri" w:hAnsiTheme="majorBidi" w:cstheme="majorBidi"/>
          <w:vertAlign w:val="superscript"/>
        </w:rPr>
        <w:t>1</w:t>
      </w:r>
      <w:r w:rsidRPr="00A06887">
        <w:rPr>
          <w:rFonts w:asciiTheme="majorBidi" w:eastAsia="Calibri" w:hAnsiTheme="majorBidi" w:cstheme="majorBidi"/>
        </w:rPr>
        <w:t xml:space="preserve">, </w:t>
      </w:r>
      <w:r>
        <w:rPr>
          <w:rFonts w:asciiTheme="majorBidi" w:eastAsia="Calibri" w:hAnsiTheme="majorBidi" w:cstheme="majorBidi"/>
        </w:rPr>
        <w:t>Christopher Tam</w:t>
      </w:r>
      <w:r w:rsidRPr="007A68BE">
        <w:rPr>
          <w:rFonts w:asciiTheme="majorBidi" w:eastAsia="Calibri" w:hAnsiTheme="majorBidi" w:cstheme="majorBidi"/>
          <w:vertAlign w:val="superscript"/>
        </w:rPr>
        <w:t>1</w:t>
      </w:r>
      <w:r>
        <w:rPr>
          <w:rFonts w:asciiTheme="majorBidi" w:eastAsia="Calibri" w:hAnsiTheme="majorBidi" w:cstheme="majorBidi"/>
        </w:rPr>
        <w:t>, Stephen Spindel</w:t>
      </w:r>
      <w:r>
        <w:rPr>
          <w:rFonts w:asciiTheme="majorBidi" w:eastAsia="Calibri" w:hAnsiTheme="majorBidi" w:cstheme="majorBidi"/>
          <w:vertAlign w:val="superscript"/>
        </w:rPr>
        <w:t>4</w:t>
      </w:r>
      <w:r>
        <w:rPr>
          <w:rFonts w:asciiTheme="majorBidi" w:eastAsia="Calibri" w:hAnsiTheme="majorBidi" w:cstheme="majorBidi"/>
        </w:rPr>
        <w:t xml:space="preserve">, Pamela N </w:t>
      </w:r>
      <w:r w:rsidRPr="00805C7C">
        <w:rPr>
          <w:rFonts w:asciiTheme="majorBidi" w:eastAsia="Calibri" w:hAnsiTheme="majorBidi" w:cstheme="majorBidi"/>
        </w:rPr>
        <w:t>De</w:t>
      </w:r>
      <w:r>
        <w:rPr>
          <w:rFonts w:asciiTheme="majorBidi" w:eastAsia="Calibri" w:hAnsiTheme="majorBidi" w:cstheme="majorBidi"/>
        </w:rPr>
        <w:t>Y</w:t>
      </w:r>
      <w:r w:rsidRPr="00805C7C">
        <w:rPr>
          <w:rFonts w:asciiTheme="majorBidi" w:eastAsia="Calibri" w:hAnsiTheme="majorBidi" w:cstheme="majorBidi"/>
        </w:rPr>
        <w:t>oung</w:t>
      </w:r>
      <w:r>
        <w:rPr>
          <w:rFonts w:asciiTheme="majorBidi" w:eastAsia="Calibri" w:hAnsiTheme="majorBidi" w:cstheme="majorBidi"/>
          <w:vertAlign w:val="superscript"/>
        </w:rPr>
        <w:t>5</w:t>
      </w:r>
      <w:r>
        <w:rPr>
          <w:rFonts w:asciiTheme="majorBidi" w:eastAsia="Calibri" w:hAnsiTheme="majorBidi" w:cstheme="majorBidi"/>
        </w:rPr>
        <w:t>, The ICU Sedation collaborators</w:t>
      </w:r>
      <w:r w:rsidRPr="0071524A">
        <w:rPr>
          <w:rFonts w:asciiTheme="majorBidi" w:eastAsia="Calibri" w:hAnsiTheme="majorBidi" w:cstheme="majorBidi"/>
          <w:vertAlign w:val="superscript"/>
        </w:rPr>
        <w:t>#</w:t>
      </w:r>
      <w:r>
        <w:rPr>
          <w:rFonts w:asciiTheme="majorBidi" w:eastAsia="Calibri" w:hAnsiTheme="majorBidi" w:cstheme="majorBidi"/>
        </w:rPr>
        <w:t>, Atul Malhotra</w:t>
      </w:r>
      <w:r>
        <w:rPr>
          <w:rFonts w:asciiTheme="majorBidi" w:eastAsia="Calibri" w:hAnsiTheme="majorBidi" w:cstheme="majorBidi"/>
          <w:vertAlign w:val="superscript"/>
        </w:rPr>
        <w:t>5</w:t>
      </w:r>
      <w:r>
        <w:rPr>
          <w:rFonts w:asciiTheme="majorBidi" w:eastAsia="Calibri" w:hAnsiTheme="majorBidi" w:cstheme="majorBidi"/>
        </w:rPr>
        <w:t>,</w:t>
      </w:r>
      <w:r w:rsidR="00B9271B" w:rsidRPr="004E39C5">
        <w:rPr>
          <w:rFonts w:asciiTheme="majorBidi" w:eastAsia="Calibri" w:hAnsiTheme="majorBidi" w:cstheme="majorBidi"/>
        </w:rPr>
        <w:t xml:space="preserve"> </w:t>
      </w:r>
      <w:proofErr w:type="spellStart"/>
      <w:r w:rsidR="00B9271B" w:rsidRPr="004E39C5">
        <w:rPr>
          <w:rFonts w:asciiTheme="majorBidi" w:eastAsia="Calibri" w:hAnsiTheme="majorBidi" w:cstheme="majorBidi"/>
        </w:rPr>
        <w:t>Balachundhar</w:t>
      </w:r>
      <w:proofErr w:type="spellEnd"/>
      <w:r w:rsidR="0000225F" w:rsidRPr="0000225F">
        <w:rPr>
          <w:rFonts w:asciiTheme="majorBidi" w:eastAsia="Calibri" w:hAnsiTheme="majorBidi" w:cstheme="majorBidi"/>
        </w:rPr>
        <w:t xml:space="preserve"> </w:t>
      </w:r>
      <w:r w:rsidR="0000225F" w:rsidRPr="004E39C5">
        <w:rPr>
          <w:rFonts w:asciiTheme="majorBidi" w:eastAsia="Calibri" w:hAnsiTheme="majorBidi" w:cstheme="majorBidi"/>
        </w:rPr>
        <w:t>Subramaniam</w:t>
      </w:r>
      <w:r w:rsidRPr="007A68BE">
        <w:rPr>
          <w:rFonts w:asciiTheme="majorBidi" w:eastAsia="Calibri" w:hAnsiTheme="majorBidi" w:cstheme="majorBidi"/>
          <w:vertAlign w:val="superscript"/>
        </w:rPr>
        <w:t>3</w:t>
      </w:r>
      <w:r>
        <w:rPr>
          <w:rFonts w:asciiTheme="majorBidi" w:eastAsia="Calibri" w:hAnsiTheme="majorBidi" w:cstheme="majorBidi"/>
        </w:rPr>
        <w:t>, Matthias Eikermann</w:t>
      </w:r>
      <w:r w:rsidRPr="007A68BE">
        <w:rPr>
          <w:rFonts w:asciiTheme="majorBidi" w:eastAsia="Calibri" w:hAnsiTheme="majorBidi" w:cstheme="majorBidi"/>
          <w:vertAlign w:val="superscript"/>
        </w:rPr>
        <w:t>1,</w:t>
      </w:r>
      <w:r>
        <w:rPr>
          <w:rFonts w:asciiTheme="majorBidi" w:eastAsia="Calibri" w:hAnsiTheme="majorBidi" w:cstheme="majorBidi"/>
          <w:vertAlign w:val="superscript"/>
        </w:rPr>
        <w:t>6</w:t>
      </w:r>
    </w:p>
    <w:p w14:paraId="6E1149EB" w14:textId="42A6B37D" w:rsidR="00F315E2" w:rsidRDefault="00F315E2" w:rsidP="00F315E2">
      <w:pPr>
        <w:tabs>
          <w:tab w:val="left" w:pos="426"/>
        </w:tabs>
        <w:spacing w:before="0" w:beforeAutospacing="0" w:after="0" w:afterAutospacing="0" w:line="240" w:lineRule="auto"/>
        <w:rPr>
          <w:rFonts w:asciiTheme="majorBidi" w:eastAsia="Calibri" w:hAnsiTheme="majorBidi" w:cstheme="majorBidi"/>
          <w:vertAlign w:val="superscript"/>
        </w:rPr>
      </w:pPr>
      <w:r w:rsidRPr="00A06887">
        <w:rPr>
          <w:rFonts w:asciiTheme="majorBidi" w:eastAsia="Calibri" w:hAnsiTheme="majorBidi" w:cstheme="majorBidi"/>
        </w:rPr>
        <w:t>Collaborators</w:t>
      </w:r>
      <w:r w:rsidRPr="0071524A">
        <w:rPr>
          <w:rFonts w:asciiTheme="majorBidi" w:eastAsia="Calibri" w:hAnsiTheme="majorBidi" w:cstheme="majorBidi"/>
          <w:vertAlign w:val="superscript"/>
        </w:rPr>
        <w:t>#</w:t>
      </w:r>
      <w:r w:rsidRPr="00A06887">
        <w:rPr>
          <w:rFonts w:asciiTheme="majorBidi" w:eastAsia="Calibri" w:hAnsiTheme="majorBidi" w:cstheme="majorBidi"/>
        </w:rPr>
        <w:t>: Christian Mpody</w:t>
      </w:r>
      <w:r w:rsidRPr="00F31F22">
        <w:rPr>
          <w:rFonts w:asciiTheme="majorBidi" w:eastAsia="Calibri" w:hAnsiTheme="majorBidi" w:cstheme="majorBidi"/>
          <w:vertAlign w:val="superscript"/>
        </w:rPr>
        <w:t>1</w:t>
      </w:r>
      <w:r w:rsidRPr="00A06887">
        <w:rPr>
          <w:rFonts w:asciiTheme="majorBidi" w:eastAsia="Calibri" w:hAnsiTheme="majorBidi" w:cstheme="majorBidi"/>
        </w:rPr>
        <w:t>, John Lipiz</w:t>
      </w:r>
      <w:r w:rsidRPr="00F31F22">
        <w:rPr>
          <w:rFonts w:asciiTheme="majorBidi" w:eastAsia="Calibri" w:hAnsiTheme="majorBidi" w:cstheme="majorBidi"/>
          <w:vertAlign w:val="superscript"/>
        </w:rPr>
        <w:t>1</w:t>
      </w:r>
      <w:r w:rsidRPr="00A06887">
        <w:rPr>
          <w:rFonts w:asciiTheme="majorBidi" w:eastAsia="Calibri" w:hAnsiTheme="majorBidi" w:cstheme="majorBidi"/>
        </w:rPr>
        <w:t>, Jamil Borgi</w:t>
      </w:r>
      <w:r w:rsidRPr="00F31F22">
        <w:rPr>
          <w:rFonts w:asciiTheme="majorBidi" w:eastAsia="Calibri" w:hAnsiTheme="majorBidi" w:cstheme="majorBidi"/>
          <w:vertAlign w:val="superscript"/>
        </w:rPr>
        <w:t>4</w:t>
      </w:r>
      <w:r w:rsidRPr="00A06887">
        <w:rPr>
          <w:rFonts w:asciiTheme="majorBidi" w:eastAsia="Calibri" w:hAnsiTheme="majorBidi" w:cstheme="majorBidi"/>
        </w:rPr>
        <w:t xml:space="preserve">, Robert </w:t>
      </w:r>
      <w:r>
        <w:rPr>
          <w:rFonts w:asciiTheme="majorBidi" w:eastAsia="Calibri" w:hAnsiTheme="majorBidi" w:cstheme="majorBidi"/>
        </w:rPr>
        <w:t xml:space="preserve">E </w:t>
      </w:r>
      <w:r w:rsidRPr="00A06887">
        <w:rPr>
          <w:rFonts w:asciiTheme="majorBidi" w:eastAsia="Calibri" w:hAnsiTheme="majorBidi" w:cstheme="majorBidi"/>
        </w:rPr>
        <w:t>Michler</w:t>
      </w:r>
      <w:r w:rsidRPr="00F31F22">
        <w:rPr>
          <w:rFonts w:asciiTheme="majorBidi" w:eastAsia="Calibri" w:hAnsiTheme="majorBidi" w:cstheme="majorBidi"/>
          <w:vertAlign w:val="superscript"/>
        </w:rPr>
        <w:t>4</w:t>
      </w:r>
      <w:r w:rsidRPr="00A06887">
        <w:rPr>
          <w:rFonts w:asciiTheme="majorBidi" w:eastAsia="Calibri" w:hAnsiTheme="majorBidi" w:cstheme="majorBidi"/>
        </w:rPr>
        <w:t xml:space="preserve">, Daniel </w:t>
      </w:r>
      <w:r>
        <w:rPr>
          <w:rFonts w:asciiTheme="majorBidi" w:eastAsia="Calibri" w:hAnsiTheme="majorBidi" w:cstheme="majorBidi"/>
        </w:rPr>
        <w:t xml:space="preserve">J </w:t>
      </w:r>
      <w:r w:rsidRPr="00A06887">
        <w:rPr>
          <w:rFonts w:asciiTheme="majorBidi" w:eastAsia="Calibri" w:hAnsiTheme="majorBidi" w:cstheme="majorBidi"/>
        </w:rPr>
        <w:t>Goldstein</w:t>
      </w:r>
      <w:r w:rsidRPr="00F31F22">
        <w:rPr>
          <w:rFonts w:asciiTheme="majorBidi" w:eastAsia="Calibri" w:hAnsiTheme="majorBidi" w:cstheme="majorBidi"/>
          <w:vertAlign w:val="superscript"/>
        </w:rPr>
        <w:t>4</w:t>
      </w:r>
      <w:r w:rsidRPr="00A06887">
        <w:rPr>
          <w:rFonts w:asciiTheme="majorBidi" w:eastAsia="Calibri" w:hAnsiTheme="majorBidi" w:cstheme="majorBidi"/>
        </w:rPr>
        <w:t>, Jo</w:t>
      </w:r>
      <w:r>
        <w:rPr>
          <w:rFonts w:asciiTheme="majorBidi" w:eastAsia="Calibri" w:hAnsiTheme="majorBidi" w:cstheme="majorBidi"/>
        </w:rPr>
        <w:t>seph J</w:t>
      </w:r>
      <w:r w:rsidRPr="00A06887">
        <w:rPr>
          <w:rFonts w:asciiTheme="majorBidi" w:eastAsia="Calibri" w:hAnsiTheme="majorBidi" w:cstheme="majorBidi"/>
        </w:rPr>
        <w:t xml:space="preserve"> Derose</w:t>
      </w:r>
      <w:r w:rsidRPr="00F31F22">
        <w:rPr>
          <w:rFonts w:asciiTheme="majorBidi" w:eastAsia="Calibri" w:hAnsiTheme="majorBidi" w:cstheme="majorBidi"/>
          <w:vertAlign w:val="superscript"/>
        </w:rPr>
        <w:t>4</w:t>
      </w:r>
      <w:r w:rsidRPr="00A06887">
        <w:rPr>
          <w:rFonts w:asciiTheme="majorBidi" w:eastAsia="Calibri" w:hAnsiTheme="majorBidi" w:cstheme="majorBidi"/>
        </w:rPr>
        <w:t>, Michael Kiyatkin</w:t>
      </w:r>
      <w:r w:rsidRPr="00F31F22">
        <w:rPr>
          <w:rFonts w:asciiTheme="majorBidi" w:eastAsia="Calibri" w:hAnsiTheme="majorBidi" w:cstheme="majorBidi"/>
          <w:vertAlign w:val="superscript"/>
        </w:rPr>
        <w:t>1</w:t>
      </w:r>
      <w:r w:rsidRPr="00A06887">
        <w:rPr>
          <w:rFonts w:asciiTheme="majorBidi" w:eastAsia="Calibri" w:hAnsiTheme="majorBidi" w:cstheme="majorBidi"/>
        </w:rPr>
        <w:t>, Daniel Rueddel Thomas</w:t>
      </w:r>
      <w:r w:rsidRPr="00F31F22">
        <w:rPr>
          <w:rFonts w:asciiTheme="majorBidi" w:eastAsia="Calibri" w:hAnsiTheme="majorBidi" w:cstheme="majorBidi"/>
          <w:vertAlign w:val="superscript"/>
        </w:rPr>
        <w:t>1</w:t>
      </w:r>
      <w:r w:rsidRPr="00A06887">
        <w:rPr>
          <w:rFonts w:asciiTheme="majorBidi" w:eastAsia="Calibri" w:hAnsiTheme="majorBidi" w:cstheme="majorBidi"/>
        </w:rPr>
        <w:t xml:space="preserve">, </w:t>
      </w:r>
      <w:r w:rsidRPr="0071524A">
        <w:rPr>
          <w:rFonts w:asciiTheme="majorBidi" w:eastAsia="Calibri" w:hAnsiTheme="majorBidi" w:cstheme="majorBidi"/>
        </w:rPr>
        <w:t>Tim Brandenburger</w:t>
      </w:r>
      <w:r w:rsidRPr="0071524A">
        <w:rPr>
          <w:rFonts w:asciiTheme="majorBidi" w:eastAsia="Calibri" w:hAnsiTheme="majorBidi" w:cstheme="majorBidi"/>
          <w:vertAlign w:val="superscript"/>
        </w:rPr>
        <w:t>7</w:t>
      </w:r>
      <w:r>
        <w:rPr>
          <w:rFonts w:asciiTheme="majorBidi" w:eastAsia="Calibri" w:hAnsiTheme="majorBidi" w:cstheme="majorBidi"/>
        </w:rPr>
        <w:t xml:space="preserve">, </w:t>
      </w:r>
      <w:r w:rsidRPr="00A06887">
        <w:rPr>
          <w:rFonts w:asciiTheme="majorBidi" w:eastAsia="Calibri" w:hAnsiTheme="majorBidi" w:cstheme="majorBidi"/>
        </w:rPr>
        <w:t>Michael Chang</w:t>
      </w:r>
      <w:r w:rsidRPr="00F31F22">
        <w:rPr>
          <w:rFonts w:asciiTheme="majorBidi" w:eastAsia="Calibri" w:hAnsiTheme="majorBidi" w:cstheme="majorBidi"/>
          <w:vertAlign w:val="superscript"/>
        </w:rPr>
        <w:t>1</w:t>
      </w:r>
      <w:r w:rsidRPr="00A06887">
        <w:rPr>
          <w:rFonts w:asciiTheme="majorBidi" w:eastAsia="Calibri" w:hAnsiTheme="majorBidi" w:cstheme="majorBidi"/>
        </w:rPr>
        <w:t xml:space="preserve">, </w:t>
      </w:r>
      <w:r w:rsidRPr="0071524A">
        <w:rPr>
          <w:rFonts w:asciiTheme="majorBidi" w:eastAsia="Calibri" w:hAnsiTheme="majorBidi" w:cstheme="majorBidi"/>
        </w:rPr>
        <w:t>Constance Rippel</w:t>
      </w:r>
      <w:r w:rsidRPr="0071524A">
        <w:rPr>
          <w:rFonts w:asciiTheme="majorBidi" w:eastAsia="Calibri" w:hAnsiTheme="majorBidi" w:cstheme="majorBidi"/>
          <w:vertAlign w:val="superscript"/>
        </w:rPr>
        <w:t>1</w:t>
      </w:r>
      <w:r w:rsidRPr="00A06887">
        <w:rPr>
          <w:rFonts w:asciiTheme="majorBidi" w:eastAsia="Calibri" w:hAnsiTheme="majorBidi" w:cstheme="majorBidi"/>
        </w:rPr>
        <w:t xml:space="preserve">, </w:t>
      </w:r>
      <w:r w:rsidRPr="0071524A">
        <w:rPr>
          <w:rFonts w:asciiTheme="majorBidi" w:eastAsia="Calibri" w:hAnsiTheme="majorBidi" w:cstheme="majorBidi"/>
        </w:rPr>
        <w:t>Fabian Kuhn</w:t>
      </w:r>
      <w:r w:rsidRPr="0071524A">
        <w:rPr>
          <w:rFonts w:asciiTheme="majorBidi" w:eastAsia="Calibri" w:hAnsiTheme="majorBidi" w:cstheme="majorBidi"/>
          <w:vertAlign w:val="superscript"/>
        </w:rPr>
        <w:t>8</w:t>
      </w:r>
      <w:r w:rsidRPr="00A06887">
        <w:rPr>
          <w:rFonts w:asciiTheme="majorBidi" w:eastAsia="Calibri" w:hAnsiTheme="majorBidi" w:cstheme="majorBidi"/>
        </w:rPr>
        <w:t xml:space="preserve">, </w:t>
      </w:r>
      <w:r w:rsidRPr="0071524A">
        <w:rPr>
          <w:rFonts w:asciiTheme="majorBidi" w:eastAsia="Calibri" w:hAnsiTheme="majorBidi" w:cstheme="majorBidi"/>
        </w:rPr>
        <w:t>Dorothee Stratz</w:t>
      </w:r>
      <w:r w:rsidRPr="00F466A6">
        <w:rPr>
          <w:rFonts w:asciiTheme="majorBidi" w:eastAsia="Calibri" w:hAnsiTheme="majorBidi" w:cstheme="majorBidi"/>
          <w:vertAlign w:val="superscript"/>
        </w:rPr>
        <w:t>8</w:t>
      </w:r>
      <w:r w:rsidRPr="00A06887">
        <w:rPr>
          <w:rFonts w:asciiTheme="majorBidi" w:eastAsia="Calibri" w:hAnsiTheme="majorBidi" w:cstheme="majorBidi"/>
        </w:rPr>
        <w:t>, Sujatha Ramachandran</w:t>
      </w:r>
      <w:r w:rsidRPr="00F31F22">
        <w:rPr>
          <w:rFonts w:asciiTheme="majorBidi" w:eastAsia="Calibri" w:hAnsiTheme="majorBidi" w:cstheme="majorBidi"/>
          <w:vertAlign w:val="superscript"/>
        </w:rPr>
        <w:t>1</w:t>
      </w:r>
      <w:r w:rsidRPr="00A06887">
        <w:rPr>
          <w:rFonts w:asciiTheme="majorBidi" w:eastAsia="Calibri" w:hAnsiTheme="majorBidi" w:cstheme="majorBidi"/>
        </w:rPr>
        <w:t>, Jan N Schwarz</w:t>
      </w:r>
      <w:r w:rsidRPr="00F31F22">
        <w:rPr>
          <w:rFonts w:asciiTheme="majorBidi" w:eastAsia="Calibri" w:hAnsiTheme="majorBidi" w:cstheme="majorBidi"/>
          <w:vertAlign w:val="superscript"/>
        </w:rPr>
        <w:t>1</w:t>
      </w:r>
      <w:r w:rsidRPr="00A06887">
        <w:rPr>
          <w:rFonts w:asciiTheme="majorBidi" w:eastAsia="Calibri" w:hAnsiTheme="majorBidi" w:cstheme="majorBidi"/>
        </w:rPr>
        <w:t xml:space="preserve">, </w:t>
      </w:r>
      <w:r w:rsidRPr="0071524A">
        <w:rPr>
          <w:rFonts w:asciiTheme="majorBidi" w:eastAsia="Calibri" w:hAnsiTheme="majorBidi" w:cstheme="majorBidi"/>
        </w:rPr>
        <w:t xml:space="preserve">Lorenz </w:t>
      </w:r>
      <w:r w:rsidRPr="007E1D58">
        <w:rPr>
          <w:rFonts w:asciiTheme="majorBidi" w:eastAsia="Calibri" w:hAnsiTheme="majorBidi" w:cstheme="majorBidi"/>
        </w:rPr>
        <w:t>Droege</w:t>
      </w:r>
      <w:r w:rsidRPr="007E1D58">
        <w:rPr>
          <w:rFonts w:asciiTheme="majorBidi" w:eastAsia="Calibri" w:hAnsiTheme="majorBidi" w:cstheme="majorBidi"/>
          <w:vertAlign w:val="superscript"/>
        </w:rPr>
        <w:t>1</w:t>
      </w:r>
      <w:r w:rsidRPr="007E1D58">
        <w:rPr>
          <w:rFonts w:asciiTheme="majorBidi" w:eastAsia="Calibri" w:hAnsiTheme="majorBidi" w:cstheme="majorBidi"/>
        </w:rPr>
        <w:t xml:space="preserve">, </w:t>
      </w:r>
      <w:hyperlink r:id="rId8" w:history="1">
        <w:r w:rsidRPr="007E1D58">
          <w:rPr>
            <w:rStyle w:val="Hyperlink"/>
            <w:rFonts w:asciiTheme="majorBidi" w:eastAsia="Calibri" w:hAnsiTheme="majorBidi" w:cstheme="majorBidi"/>
            <w:color w:val="000000" w:themeColor="text1"/>
            <w:u w:val="none"/>
          </w:rPr>
          <w:t>Daniel O Thomas-Rueddel</w:t>
        </w:r>
      </w:hyperlink>
      <w:r w:rsidRPr="007E1D58">
        <w:rPr>
          <w:rFonts w:asciiTheme="majorBidi" w:eastAsia="Calibri" w:hAnsiTheme="majorBidi" w:cstheme="majorBidi"/>
          <w:vertAlign w:val="superscript"/>
        </w:rPr>
        <w:t>1</w:t>
      </w:r>
      <w:r w:rsidRPr="007E1D58">
        <w:rPr>
          <w:rFonts w:asciiTheme="majorBidi" w:eastAsia="Calibri" w:hAnsiTheme="majorBidi" w:cstheme="majorBidi"/>
        </w:rPr>
        <w:t xml:space="preserve">,  </w:t>
      </w:r>
      <w:hyperlink r:id="rId9" w:history="1">
        <w:r w:rsidRPr="007E1D58">
          <w:rPr>
            <w:rStyle w:val="Hyperlink"/>
            <w:rFonts w:asciiTheme="majorBidi" w:eastAsia="Calibri" w:hAnsiTheme="majorBidi" w:cstheme="majorBidi"/>
            <w:color w:val="000000" w:themeColor="text1"/>
            <w:u w:val="none"/>
          </w:rPr>
          <w:t>Noah Hopstein</w:t>
        </w:r>
      </w:hyperlink>
      <w:r w:rsidRPr="007E1D58">
        <w:rPr>
          <w:rFonts w:asciiTheme="majorBidi" w:eastAsia="Calibri" w:hAnsiTheme="majorBidi" w:cstheme="majorBidi"/>
          <w:vertAlign w:val="superscript"/>
        </w:rPr>
        <w:t>1</w:t>
      </w:r>
      <w:r w:rsidRPr="007E1D58">
        <w:rPr>
          <w:rFonts w:asciiTheme="majorBidi" w:eastAsia="Calibri" w:hAnsiTheme="majorBidi" w:cstheme="majorBidi"/>
        </w:rPr>
        <w:t>, </w:t>
      </w:r>
      <w:hyperlink r:id="rId10" w:history="1">
        <w:r w:rsidRPr="007E1D58">
          <w:rPr>
            <w:rStyle w:val="Hyperlink"/>
            <w:rFonts w:asciiTheme="majorBidi" w:eastAsia="Calibri" w:hAnsiTheme="majorBidi" w:cstheme="majorBidi"/>
            <w:color w:val="000000" w:themeColor="text1"/>
            <w:u w:val="none"/>
          </w:rPr>
          <w:t>Pooja Kumar</w:t>
        </w:r>
      </w:hyperlink>
      <w:r w:rsidRPr="007E1D58">
        <w:rPr>
          <w:rFonts w:asciiTheme="majorBidi" w:eastAsia="Calibri" w:hAnsiTheme="majorBidi" w:cstheme="majorBidi"/>
          <w:vertAlign w:val="superscript"/>
        </w:rPr>
        <w:t>9</w:t>
      </w:r>
      <w:r w:rsidRPr="007E1D58">
        <w:rPr>
          <w:rFonts w:asciiTheme="majorBidi" w:eastAsia="Calibri" w:hAnsiTheme="majorBidi" w:cstheme="majorBidi"/>
        </w:rPr>
        <w:t>, </w:t>
      </w:r>
      <w:hyperlink r:id="rId11" w:history="1">
        <w:r w:rsidRPr="007E1D58">
          <w:rPr>
            <w:rStyle w:val="Hyperlink"/>
            <w:rFonts w:asciiTheme="majorBidi" w:eastAsia="Calibri" w:hAnsiTheme="majorBidi" w:cstheme="majorBidi"/>
            <w:color w:val="000000" w:themeColor="text1"/>
            <w:u w:val="none"/>
          </w:rPr>
          <w:t>Tina Ramishvili</w:t>
        </w:r>
      </w:hyperlink>
      <w:r w:rsidRPr="007E1D58">
        <w:rPr>
          <w:rFonts w:asciiTheme="majorBidi" w:eastAsia="Calibri" w:hAnsiTheme="majorBidi" w:cstheme="majorBidi"/>
          <w:vertAlign w:val="superscript"/>
        </w:rPr>
        <w:t>1</w:t>
      </w:r>
      <w:r w:rsidRPr="007E1D58">
        <w:rPr>
          <w:rFonts w:asciiTheme="majorBidi" w:eastAsia="Calibri" w:hAnsiTheme="majorBidi" w:cstheme="majorBidi"/>
        </w:rPr>
        <w:t>, </w:t>
      </w:r>
      <w:proofErr w:type="spellStart"/>
      <w:r>
        <w:fldChar w:fldCharType="begin"/>
      </w:r>
      <w:r>
        <w:instrText>HYPERLINK "https://pubmed.ncbi.nlm.nih.gov/?sort=date&amp;term=Mathew+S"</w:instrText>
      </w:r>
      <w:r>
        <w:fldChar w:fldCharType="separate"/>
      </w:r>
      <w:r w:rsidRPr="007E1D58">
        <w:rPr>
          <w:rStyle w:val="Hyperlink"/>
          <w:rFonts w:asciiTheme="majorBidi" w:eastAsia="Calibri" w:hAnsiTheme="majorBidi" w:cstheme="majorBidi"/>
          <w:color w:val="000000" w:themeColor="text1"/>
          <w:u w:val="none"/>
        </w:rPr>
        <w:t>Shiyon</w:t>
      </w:r>
      <w:proofErr w:type="spellEnd"/>
      <w:r w:rsidRPr="007E1D58">
        <w:rPr>
          <w:rStyle w:val="Hyperlink"/>
          <w:rFonts w:asciiTheme="majorBidi" w:eastAsia="Calibri" w:hAnsiTheme="majorBidi" w:cstheme="majorBidi"/>
          <w:color w:val="000000" w:themeColor="text1"/>
          <w:u w:val="none"/>
        </w:rPr>
        <w:t xml:space="preserve"> Mathew</w:t>
      </w:r>
      <w:r>
        <w:fldChar w:fldCharType="end"/>
      </w:r>
      <w:r w:rsidRPr="007E1D58">
        <w:rPr>
          <w:rFonts w:asciiTheme="majorBidi" w:eastAsia="Calibri" w:hAnsiTheme="majorBidi" w:cstheme="majorBidi"/>
          <w:vertAlign w:val="superscript"/>
        </w:rPr>
        <w:t>10</w:t>
      </w:r>
      <w:r w:rsidRPr="007E1D58">
        <w:rPr>
          <w:rFonts w:asciiTheme="majorBidi" w:eastAsia="Calibri" w:hAnsiTheme="majorBidi" w:cstheme="majorBidi"/>
        </w:rPr>
        <w:t xml:space="preserve">, Marjan Rahmanian </w:t>
      </w:r>
      <w:r w:rsidRPr="007E1D58">
        <w:rPr>
          <w:rFonts w:asciiTheme="majorBidi" w:eastAsia="Calibri" w:hAnsiTheme="majorBidi" w:cstheme="majorBidi"/>
          <w:vertAlign w:val="superscript"/>
        </w:rPr>
        <w:t>11</w:t>
      </w:r>
      <w:r w:rsidRPr="007E1D58">
        <w:rPr>
          <w:rFonts w:asciiTheme="majorBidi" w:eastAsia="Calibri" w:hAnsiTheme="majorBidi" w:cstheme="majorBidi"/>
        </w:rPr>
        <w:t xml:space="preserve">, </w:t>
      </w:r>
      <w:r w:rsidR="003E232A" w:rsidRPr="00020157">
        <w:rPr>
          <w:rFonts w:asciiTheme="majorBidi" w:eastAsia="Calibri" w:hAnsiTheme="majorBidi" w:cstheme="majorBidi"/>
        </w:rPr>
        <w:t>Evgenii Surnin</w:t>
      </w:r>
      <w:r w:rsidR="003E232A" w:rsidRPr="00694F04">
        <w:rPr>
          <w:rFonts w:asciiTheme="majorBidi" w:eastAsia="Calibri" w:hAnsiTheme="majorBidi" w:cstheme="majorBidi"/>
          <w:vertAlign w:val="superscript"/>
        </w:rPr>
        <w:t>1</w:t>
      </w:r>
      <w:r w:rsidR="003E232A" w:rsidRPr="003E232A">
        <w:rPr>
          <w:rFonts w:asciiTheme="majorBidi" w:eastAsia="Calibri" w:hAnsiTheme="majorBidi" w:cstheme="majorBidi"/>
        </w:rPr>
        <w:t xml:space="preserve">, </w:t>
      </w:r>
      <w:hyperlink r:id="rId12" w:history="1">
        <w:proofErr w:type="spellStart"/>
        <w:r w:rsidRPr="007E1D58">
          <w:rPr>
            <w:rStyle w:val="Hyperlink"/>
            <w:rFonts w:asciiTheme="majorBidi" w:eastAsia="Calibri" w:hAnsiTheme="majorBidi" w:cstheme="majorBidi"/>
            <w:color w:val="000000" w:themeColor="text1"/>
            <w:u w:val="none"/>
          </w:rPr>
          <w:t>Nonthida</w:t>
        </w:r>
        <w:proofErr w:type="spellEnd"/>
        <w:r w:rsidRPr="007E1D58">
          <w:rPr>
            <w:rStyle w:val="Hyperlink"/>
            <w:rFonts w:asciiTheme="majorBidi" w:eastAsia="Calibri" w:hAnsiTheme="majorBidi" w:cstheme="majorBidi"/>
            <w:color w:val="000000" w:themeColor="text1"/>
            <w:u w:val="none"/>
          </w:rPr>
          <w:t xml:space="preserve"> Rojanapithayakorn</w:t>
        </w:r>
      </w:hyperlink>
      <w:r w:rsidRPr="007E1D58">
        <w:rPr>
          <w:rFonts w:asciiTheme="majorBidi" w:eastAsia="Calibri" w:hAnsiTheme="majorBidi" w:cstheme="majorBidi"/>
          <w:vertAlign w:val="superscript"/>
        </w:rPr>
        <w:t>1,2</w:t>
      </w:r>
      <w:r w:rsidRPr="007E1D58">
        <w:rPr>
          <w:rFonts w:asciiTheme="majorBidi" w:eastAsia="Calibri" w:hAnsiTheme="majorBidi" w:cstheme="majorBidi"/>
        </w:rPr>
        <w:t xml:space="preserve">, William </w:t>
      </w:r>
      <w:r w:rsidRPr="0071524A">
        <w:rPr>
          <w:rFonts w:asciiTheme="majorBidi" w:eastAsia="Calibri" w:hAnsiTheme="majorBidi" w:cstheme="majorBidi"/>
        </w:rPr>
        <w:t>J. Sauer</w:t>
      </w:r>
      <w:r w:rsidRPr="0071524A">
        <w:rPr>
          <w:rFonts w:asciiTheme="majorBidi" w:eastAsia="Calibri" w:hAnsiTheme="majorBidi" w:cstheme="majorBidi"/>
          <w:vertAlign w:val="superscript"/>
        </w:rPr>
        <w:t>1</w:t>
      </w:r>
    </w:p>
    <w:p w14:paraId="65712B61" w14:textId="77777777" w:rsidR="00F315E2" w:rsidRPr="0071524A" w:rsidRDefault="00F315E2" w:rsidP="007E1D58">
      <w:pPr>
        <w:tabs>
          <w:tab w:val="left" w:pos="426"/>
        </w:tabs>
        <w:spacing w:before="0" w:beforeAutospacing="0" w:after="0" w:afterAutospacing="0" w:line="240" w:lineRule="auto"/>
        <w:rPr>
          <w:rFonts w:asciiTheme="majorBidi" w:eastAsia="Calibri" w:hAnsiTheme="majorBidi" w:cstheme="majorBidi"/>
        </w:rPr>
      </w:pPr>
    </w:p>
    <w:p w14:paraId="5A7379D0" w14:textId="77777777" w:rsidR="00F315E2" w:rsidRDefault="00F315E2" w:rsidP="00F315E2">
      <w:pPr>
        <w:tabs>
          <w:tab w:val="left" w:pos="426"/>
        </w:tabs>
        <w:spacing w:before="0" w:beforeAutospacing="0" w:after="0" w:afterAutospacing="0" w:line="240" w:lineRule="auto"/>
        <w:rPr>
          <w:rFonts w:asciiTheme="majorBidi" w:eastAsia="Calibri" w:hAnsiTheme="majorBidi" w:cstheme="majorBidi"/>
        </w:rPr>
      </w:pPr>
      <w:r>
        <w:rPr>
          <w:rFonts w:asciiTheme="majorBidi" w:eastAsia="Calibri" w:hAnsiTheme="majorBidi" w:cstheme="majorBidi"/>
          <w:vertAlign w:val="superscript"/>
        </w:rPr>
        <w:t>1</w:t>
      </w:r>
      <w:r w:rsidRPr="00AB342C">
        <w:rPr>
          <w:rFonts w:asciiTheme="majorBidi" w:eastAsia="Calibri" w:hAnsiTheme="majorBidi" w:cstheme="majorBidi"/>
        </w:rPr>
        <w:t xml:space="preserve"> Department of Anesthesiology, Montefiore Medical Center and Albert Einstein College of Medicine, Bronx, NY, USA</w:t>
      </w:r>
    </w:p>
    <w:p w14:paraId="2A984B28" w14:textId="77777777" w:rsidR="00F315E2" w:rsidRDefault="00F315E2" w:rsidP="00F315E2">
      <w:pPr>
        <w:tabs>
          <w:tab w:val="left" w:pos="426"/>
        </w:tabs>
        <w:spacing w:before="0" w:beforeAutospacing="0" w:after="0" w:afterAutospacing="0" w:line="240" w:lineRule="auto"/>
        <w:rPr>
          <w:rFonts w:asciiTheme="majorBidi" w:eastAsia="Calibri" w:hAnsiTheme="majorBidi" w:cstheme="majorBidi"/>
        </w:rPr>
      </w:pPr>
      <w:r w:rsidRPr="0062753A">
        <w:rPr>
          <w:vertAlign w:val="superscript"/>
        </w:rPr>
        <w:t>2</w:t>
      </w:r>
      <w:r>
        <w:rPr>
          <w:vertAlign w:val="superscript"/>
        </w:rPr>
        <w:t xml:space="preserve"> </w:t>
      </w:r>
      <w:r w:rsidRPr="00384EBA">
        <w:t>Department of Anesthesiology, Faculty of Medicine, Siriraj Hospital, Mahidol University, Bangkok, Thailand.</w:t>
      </w:r>
    </w:p>
    <w:p w14:paraId="0D42EB8E" w14:textId="3BBF07BA" w:rsidR="00F315E2" w:rsidRPr="007E1D58" w:rsidRDefault="00F315E2" w:rsidP="007E1D58">
      <w:pPr>
        <w:tabs>
          <w:tab w:val="left" w:pos="426"/>
        </w:tabs>
        <w:spacing w:before="0" w:beforeAutospacing="0" w:after="0" w:afterAutospacing="0" w:line="240" w:lineRule="auto"/>
        <w:rPr>
          <w:rFonts w:asciiTheme="majorBidi" w:eastAsia="Calibri" w:hAnsiTheme="majorBidi" w:cstheme="majorBidi"/>
        </w:rPr>
      </w:pPr>
      <w:r w:rsidRPr="000F35ED">
        <w:rPr>
          <w:rFonts w:asciiTheme="majorBidi" w:eastAsia="Times New Roman" w:hAnsiTheme="majorBidi" w:cstheme="majorBidi"/>
          <w:vertAlign w:val="superscript"/>
        </w:rPr>
        <w:t>3</w:t>
      </w:r>
      <w:r>
        <w:rPr>
          <w:rFonts w:asciiTheme="majorBidi" w:eastAsia="Times New Roman" w:hAnsiTheme="majorBidi" w:cstheme="majorBidi"/>
          <w:vertAlign w:val="superscript"/>
        </w:rPr>
        <w:t xml:space="preserve"> </w:t>
      </w:r>
      <w:r w:rsidRPr="0083688E">
        <w:rPr>
          <w:rFonts w:asciiTheme="majorBidi" w:eastAsia="Times New Roman" w:hAnsiTheme="majorBidi" w:cstheme="majorBidi"/>
        </w:rPr>
        <w:t>Department of Anesthesia, Critical Care, and Pain Medicine, Beth Israel Deaconess Medical Center, Harvard Medical School, Boston, MA</w:t>
      </w:r>
    </w:p>
    <w:p w14:paraId="5B535A6F" w14:textId="77777777" w:rsidR="00F315E2" w:rsidRDefault="00F315E2" w:rsidP="007E1D58">
      <w:pPr>
        <w:tabs>
          <w:tab w:val="left" w:pos="426"/>
        </w:tabs>
        <w:spacing w:before="0" w:beforeAutospacing="0" w:after="0" w:afterAutospacing="0" w:line="240" w:lineRule="auto"/>
        <w:rPr>
          <w:rFonts w:asciiTheme="majorBidi" w:eastAsia="Calibri" w:hAnsiTheme="majorBidi" w:cstheme="majorBidi"/>
        </w:rPr>
      </w:pPr>
      <w:r w:rsidRPr="007A68BE">
        <w:rPr>
          <w:rFonts w:asciiTheme="majorBidi" w:eastAsia="Calibri" w:hAnsiTheme="majorBidi" w:cstheme="majorBidi"/>
          <w:vertAlign w:val="superscript"/>
        </w:rPr>
        <w:t>4</w:t>
      </w:r>
      <w:r>
        <w:rPr>
          <w:rFonts w:asciiTheme="majorBidi" w:eastAsia="Calibri" w:hAnsiTheme="majorBidi" w:cstheme="majorBidi"/>
        </w:rPr>
        <w:t xml:space="preserve"> </w:t>
      </w:r>
      <w:r w:rsidRPr="007039FA">
        <w:rPr>
          <w:rFonts w:asciiTheme="majorBidi" w:eastAsia="Calibri" w:hAnsiTheme="majorBidi" w:cstheme="majorBidi"/>
        </w:rPr>
        <w:t>Department of Cardiothoracic and Vascular Surgery, Montefiore Medical Center and Albert Einstein College of Medicine, Bronx, New York.</w:t>
      </w:r>
    </w:p>
    <w:p w14:paraId="0DB7F8D2" w14:textId="77777777" w:rsidR="00F315E2" w:rsidRDefault="00F315E2" w:rsidP="00F315E2">
      <w:pPr>
        <w:tabs>
          <w:tab w:val="left" w:pos="426"/>
        </w:tabs>
        <w:spacing w:before="0" w:beforeAutospacing="0" w:after="0" w:afterAutospacing="0" w:line="240" w:lineRule="auto"/>
        <w:rPr>
          <w:rFonts w:asciiTheme="majorBidi" w:eastAsia="Calibri" w:hAnsiTheme="majorBidi" w:cstheme="majorBidi"/>
        </w:rPr>
      </w:pPr>
      <w:r w:rsidRPr="007A68BE">
        <w:rPr>
          <w:rFonts w:asciiTheme="majorBidi" w:eastAsia="Calibri" w:hAnsiTheme="majorBidi" w:cstheme="majorBidi"/>
          <w:vertAlign w:val="superscript"/>
        </w:rPr>
        <w:t>5</w:t>
      </w:r>
      <w:r>
        <w:rPr>
          <w:rFonts w:asciiTheme="majorBidi" w:eastAsia="Calibri" w:hAnsiTheme="majorBidi" w:cstheme="majorBidi"/>
        </w:rPr>
        <w:t xml:space="preserve"> </w:t>
      </w:r>
      <w:r w:rsidRPr="007039FA">
        <w:rPr>
          <w:rFonts w:asciiTheme="majorBidi" w:eastAsia="Calibri" w:hAnsiTheme="majorBidi" w:cstheme="majorBidi"/>
        </w:rPr>
        <w:t>Division of Pulmonary, Critical Care, Sleep Medicine, and Physiology, University of California San Diego, La Jolla, CA, United States.</w:t>
      </w:r>
    </w:p>
    <w:p w14:paraId="403D1AE0" w14:textId="77777777" w:rsidR="00F315E2" w:rsidRDefault="00F315E2" w:rsidP="00F315E2">
      <w:pPr>
        <w:tabs>
          <w:tab w:val="left" w:pos="426"/>
        </w:tabs>
        <w:spacing w:before="0" w:beforeAutospacing="0" w:after="0" w:afterAutospacing="0" w:line="240" w:lineRule="auto"/>
        <w:rPr>
          <w:rFonts w:asciiTheme="majorBidi" w:eastAsia="Calibri" w:hAnsiTheme="majorBidi" w:cstheme="majorBidi"/>
          <w:lang w:val="de-DE"/>
        </w:rPr>
      </w:pPr>
      <w:r>
        <w:rPr>
          <w:rFonts w:asciiTheme="majorBidi" w:eastAsia="Calibri" w:hAnsiTheme="majorBidi" w:cstheme="majorBidi"/>
          <w:vertAlign w:val="superscript"/>
          <w:lang w:val="de-DE"/>
        </w:rPr>
        <w:t>6</w:t>
      </w:r>
      <w:r w:rsidRPr="00AA01C5">
        <w:rPr>
          <w:rFonts w:asciiTheme="majorBidi" w:eastAsia="Calibri" w:hAnsiTheme="majorBidi" w:cstheme="majorBidi"/>
          <w:vertAlign w:val="superscript"/>
          <w:lang w:val="de-DE"/>
        </w:rPr>
        <w:t xml:space="preserve"> </w:t>
      </w:r>
      <w:r w:rsidRPr="00AA01C5">
        <w:rPr>
          <w:rFonts w:asciiTheme="majorBidi" w:eastAsia="Calibri" w:hAnsiTheme="majorBidi" w:cstheme="majorBidi"/>
          <w:lang w:val="de-DE"/>
        </w:rPr>
        <w:t>Klinik für Anästhesiologie und Intensivmedizin, Universität Duisburg-Essen, Essen, Germany</w:t>
      </w:r>
    </w:p>
    <w:p w14:paraId="118B01DD" w14:textId="77777777" w:rsidR="00F315E2" w:rsidRDefault="00F315E2" w:rsidP="00F315E2">
      <w:pPr>
        <w:tabs>
          <w:tab w:val="left" w:pos="426"/>
        </w:tabs>
        <w:spacing w:before="0" w:beforeAutospacing="0" w:after="0" w:afterAutospacing="0" w:line="240" w:lineRule="auto"/>
        <w:rPr>
          <w:rFonts w:asciiTheme="majorBidi" w:eastAsia="Calibri" w:hAnsiTheme="majorBidi" w:cstheme="majorBidi"/>
          <w:lang w:val="de-DE"/>
        </w:rPr>
      </w:pPr>
      <w:r w:rsidRPr="0071524A">
        <w:rPr>
          <w:rFonts w:asciiTheme="majorBidi" w:eastAsia="Calibri" w:hAnsiTheme="majorBidi" w:cstheme="majorBidi"/>
          <w:vertAlign w:val="superscript"/>
          <w:lang w:val="de-DE"/>
        </w:rPr>
        <w:t>7</w:t>
      </w:r>
      <w:r>
        <w:rPr>
          <w:rFonts w:asciiTheme="majorBidi" w:eastAsia="Calibri" w:hAnsiTheme="majorBidi" w:cstheme="majorBidi"/>
          <w:lang w:val="de-DE"/>
        </w:rPr>
        <w:t xml:space="preserve"> Zentrum </w:t>
      </w:r>
      <w:proofErr w:type="spellStart"/>
      <w:r>
        <w:rPr>
          <w:rFonts w:asciiTheme="majorBidi" w:eastAsia="Calibri" w:hAnsiTheme="majorBidi" w:cstheme="majorBidi"/>
          <w:lang w:val="de-DE"/>
        </w:rPr>
        <w:t>fuer</w:t>
      </w:r>
      <w:proofErr w:type="spellEnd"/>
      <w:r>
        <w:rPr>
          <w:rFonts w:asciiTheme="majorBidi" w:eastAsia="Calibri" w:hAnsiTheme="majorBidi" w:cstheme="majorBidi"/>
          <w:lang w:val="de-DE"/>
        </w:rPr>
        <w:t xml:space="preserve"> </w:t>
      </w:r>
      <w:proofErr w:type="spellStart"/>
      <w:r>
        <w:rPr>
          <w:rFonts w:asciiTheme="majorBidi" w:eastAsia="Calibri" w:hAnsiTheme="majorBidi" w:cstheme="majorBidi"/>
          <w:lang w:val="de-DE"/>
        </w:rPr>
        <w:t>Anesthesiologie</w:t>
      </w:r>
      <w:proofErr w:type="spellEnd"/>
      <w:r>
        <w:rPr>
          <w:rFonts w:asciiTheme="majorBidi" w:eastAsia="Calibri" w:hAnsiTheme="majorBidi" w:cstheme="majorBidi"/>
          <w:lang w:val="de-DE"/>
        </w:rPr>
        <w:t xml:space="preserve">, Heinrich- Heine </w:t>
      </w:r>
      <w:proofErr w:type="spellStart"/>
      <w:r>
        <w:rPr>
          <w:rFonts w:asciiTheme="majorBidi" w:eastAsia="Calibri" w:hAnsiTheme="majorBidi" w:cstheme="majorBidi"/>
          <w:lang w:val="de-DE"/>
        </w:rPr>
        <w:t>Universitaet</w:t>
      </w:r>
      <w:proofErr w:type="spellEnd"/>
      <w:r>
        <w:rPr>
          <w:rFonts w:asciiTheme="majorBidi" w:eastAsia="Calibri" w:hAnsiTheme="majorBidi" w:cstheme="majorBidi"/>
          <w:lang w:val="de-DE"/>
        </w:rPr>
        <w:t xml:space="preserve">, </w:t>
      </w:r>
      <w:proofErr w:type="spellStart"/>
      <w:r>
        <w:rPr>
          <w:rFonts w:asciiTheme="majorBidi" w:eastAsia="Calibri" w:hAnsiTheme="majorBidi" w:cstheme="majorBidi"/>
          <w:lang w:val="de-DE"/>
        </w:rPr>
        <w:t>Duesseldorf</w:t>
      </w:r>
      <w:proofErr w:type="spellEnd"/>
      <w:r>
        <w:rPr>
          <w:rFonts w:asciiTheme="majorBidi" w:eastAsia="Calibri" w:hAnsiTheme="majorBidi" w:cstheme="majorBidi"/>
          <w:lang w:val="de-DE"/>
        </w:rPr>
        <w:t>, Germany</w:t>
      </w:r>
    </w:p>
    <w:p w14:paraId="23C17A9B" w14:textId="7A39AC11" w:rsidR="00F315E2" w:rsidRPr="00470BA2" w:rsidRDefault="00F315E2" w:rsidP="007E1D58">
      <w:pPr>
        <w:tabs>
          <w:tab w:val="left" w:pos="426"/>
        </w:tabs>
        <w:spacing w:before="0" w:beforeAutospacing="0" w:after="0" w:afterAutospacing="0" w:line="240" w:lineRule="auto"/>
        <w:rPr>
          <w:rFonts w:asciiTheme="majorBidi" w:eastAsia="Calibri" w:hAnsiTheme="majorBidi" w:cstheme="majorBidi"/>
        </w:rPr>
      </w:pPr>
      <w:r w:rsidRPr="0071524A">
        <w:rPr>
          <w:rFonts w:asciiTheme="majorBidi" w:eastAsia="Calibri" w:hAnsiTheme="majorBidi" w:cstheme="majorBidi"/>
          <w:vertAlign w:val="superscript"/>
        </w:rPr>
        <w:t>8</w:t>
      </w:r>
      <w:r w:rsidRPr="0071524A">
        <w:rPr>
          <w:rFonts w:asciiTheme="majorBidi" w:eastAsia="Calibri" w:hAnsiTheme="majorBidi" w:cstheme="majorBidi"/>
        </w:rPr>
        <w:t xml:space="preserve"> </w:t>
      </w:r>
      <w:proofErr w:type="spellStart"/>
      <w:r w:rsidRPr="0071524A">
        <w:rPr>
          <w:rFonts w:asciiTheme="majorBidi" w:eastAsia="Calibri" w:hAnsiTheme="majorBidi" w:cstheme="majorBidi"/>
        </w:rPr>
        <w:t>Universitaetsspital</w:t>
      </w:r>
      <w:proofErr w:type="spellEnd"/>
      <w:r w:rsidRPr="0071524A">
        <w:rPr>
          <w:rFonts w:asciiTheme="majorBidi" w:eastAsia="Calibri" w:hAnsiTheme="majorBidi" w:cstheme="majorBidi"/>
        </w:rPr>
        <w:t xml:space="preserve"> </w:t>
      </w:r>
      <w:proofErr w:type="spellStart"/>
      <w:r w:rsidRPr="0071524A">
        <w:rPr>
          <w:rFonts w:asciiTheme="majorBidi" w:eastAsia="Calibri" w:hAnsiTheme="majorBidi" w:cstheme="majorBidi"/>
        </w:rPr>
        <w:t>Zuerich</w:t>
      </w:r>
      <w:proofErr w:type="spellEnd"/>
      <w:r w:rsidRPr="0071524A">
        <w:rPr>
          <w:rFonts w:asciiTheme="majorBidi" w:eastAsia="Calibri" w:hAnsiTheme="majorBidi" w:cstheme="majorBidi"/>
        </w:rPr>
        <w:t xml:space="preserve">, Institute for Anesthesiology and Perioperative Medicine, </w:t>
      </w:r>
      <w:proofErr w:type="spellStart"/>
      <w:r w:rsidRPr="0071524A">
        <w:rPr>
          <w:rFonts w:asciiTheme="majorBidi" w:eastAsia="Calibri" w:hAnsiTheme="majorBidi" w:cstheme="majorBidi"/>
        </w:rPr>
        <w:t>Zuerich</w:t>
      </w:r>
      <w:proofErr w:type="spellEnd"/>
      <w:r w:rsidRPr="0071524A">
        <w:rPr>
          <w:rFonts w:asciiTheme="majorBidi" w:eastAsia="Calibri" w:hAnsiTheme="majorBidi" w:cstheme="majorBidi"/>
        </w:rPr>
        <w:t>, Switzerland.</w:t>
      </w:r>
    </w:p>
    <w:p w14:paraId="50896459" w14:textId="77777777" w:rsidR="00F315E2" w:rsidRDefault="00F315E2" w:rsidP="007E1D58">
      <w:pPr>
        <w:tabs>
          <w:tab w:val="left" w:pos="426"/>
        </w:tabs>
        <w:spacing w:before="0" w:beforeAutospacing="0" w:after="0" w:afterAutospacing="0" w:line="240" w:lineRule="auto"/>
        <w:rPr>
          <w:rFonts w:asciiTheme="majorBidi" w:eastAsia="Calibri" w:hAnsiTheme="majorBidi" w:cstheme="majorBidi"/>
        </w:rPr>
      </w:pPr>
      <w:r w:rsidRPr="0071524A">
        <w:rPr>
          <w:rFonts w:asciiTheme="majorBidi" w:eastAsia="Calibri" w:hAnsiTheme="majorBidi" w:cstheme="majorBidi"/>
          <w:vertAlign w:val="superscript"/>
        </w:rPr>
        <w:t>9</w:t>
      </w:r>
      <w:r>
        <w:rPr>
          <w:rFonts w:asciiTheme="majorBidi" w:eastAsia="Calibri" w:hAnsiTheme="majorBidi" w:cstheme="majorBidi"/>
        </w:rPr>
        <w:t xml:space="preserve"> Pharmacy, </w:t>
      </w:r>
      <w:r w:rsidRPr="007039FA">
        <w:rPr>
          <w:rFonts w:asciiTheme="majorBidi" w:eastAsia="Calibri" w:hAnsiTheme="majorBidi" w:cstheme="majorBidi"/>
        </w:rPr>
        <w:t>Montefiore Medical Center and Albert Einstein College of Medicine, Bronx, New York.</w:t>
      </w:r>
    </w:p>
    <w:p w14:paraId="41DB9495" w14:textId="77777777" w:rsidR="00F315E2" w:rsidRDefault="00F315E2" w:rsidP="007E1D58">
      <w:pPr>
        <w:tabs>
          <w:tab w:val="left" w:pos="426"/>
        </w:tabs>
        <w:spacing w:before="0" w:beforeAutospacing="0" w:after="0" w:afterAutospacing="0" w:line="240" w:lineRule="auto"/>
        <w:rPr>
          <w:rFonts w:asciiTheme="majorBidi" w:eastAsia="Calibri" w:hAnsiTheme="majorBidi" w:cstheme="majorBidi"/>
        </w:rPr>
      </w:pPr>
      <w:r w:rsidRPr="0071524A">
        <w:rPr>
          <w:rFonts w:asciiTheme="majorBidi" w:eastAsia="Calibri" w:hAnsiTheme="majorBidi" w:cstheme="majorBidi"/>
          <w:vertAlign w:val="superscript"/>
        </w:rPr>
        <w:t>10</w:t>
      </w:r>
      <w:r>
        <w:rPr>
          <w:rFonts w:asciiTheme="majorBidi" w:eastAsia="Calibri" w:hAnsiTheme="majorBidi" w:cstheme="majorBidi"/>
        </w:rPr>
        <w:t xml:space="preserve"> Department of nursing, </w:t>
      </w:r>
      <w:r w:rsidRPr="007039FA">
        <w:rPr>
          <w:rFonts w:asciiTheme="majorBidi" w:eastAsia="Calibri" w:hAnsiTheme="majorBidi" w:cstheme="majorBidi"/>
        </w:rPr>
        <w:t>Montefiore Medical Center</w:t>
      </w:r>
      <w:r>
        <w:rPr>
          <w:rFonts w:asciiTheme="majorBidi" w:eastAsia="Calibri" w:hAnsiTheme="majorBidi" w:cstheme="majorBidi"/>
        </w:rPr>
        <w:t xml:space="preserve">, </w:t>
      </w:r>
      <w:r w:rsidRPr="007039FA">
        <w:rPr>
          <w:rFonts w:asciiTheme="majorBidi" w:eastAsia="Calibri" w:hAnsiTheme="majorBidi" w:cstheme="majorBidi"/>
        </w:rPr>
        <w:t>Bronx, New York.</w:t>
      </w:r>
    </w:p>
    <w:p w14:paraId="1FDFE156" w14:textId="77777777" w:rsidR="00F315E2" w:rsidRDefault="00F315E2" w:rsidP="007E1D58">
      <w:pPr>
        <w:tabs>
          <w:tab w:val="left" w:pos="426"/>
        </w:tabs>
        <w:spacing w:before="0" w:beforeAutospacing="0" w:after="0" w:afterAutospacing="0" w:line="240" w:lineRule="auto"/>
        <w:rPr>
          <w:rFonts w:asciiTheme="majorBidi" w:eastAsia="Calibri" w:hAnsiTheme="majorBidi" w:cstheme="majorBidi"/>
        </w:rPr>
      </w:pPr>
      <w:r w:rsidRPr="0071524A">
        <w:rPr>
          <w:rFonts w:asciiTheme="majorBidi" w:eastAsia="Calibri" w:hAnsiTheme="majorBidi" w:cstheme="majorBidi"/>
          <w:vertAlign w:val="superscript"/>
        </w:rPr>
        <w:t>11</w:t>
      </w:r>
      <w:r>
        <w:rPr>
          <w:rFonts w:asciiTheme="majorBidi" w:eastAsia="Calibri" w:hAnsiTheme="majorBidi" w:cstheme="majorBidi"/>
        </w:rPr>
        <w:t xml:space="preserve"> </w:t>
      </w:r>
      <w:r w:rsidRPr="0071524A">
        <w:rPr>
          <w:rFonts w:asciiTheme="majorBidi" w:eastAsia="Calibri" w:hAnsiTheme="majorBidi" w:cstheme="majorBidi"/>
        </w:rPr>
        <w:t xml:space="preserve">Division of Critical Care Medicine, Montefiore Medical Center, Bronx, </w:t>
      </w:r>
      <w:r>
        <w:rPr>
          <w:rFonts w:asciiTheme="majorBidi" w:eastAsia="Calibri" w:hAnsiTheme="majorBidi" w:cstheme="majorBidi"/>
        </w:rPr>
        <w:t>New York</w:t>
      </w:r>
    </w:p>
    <w:p w14:paraId="6AD46579" w14:textId="77777777" w:rsidR="00F315E2" w:rsidRDefault="00F315E2" w:rsidP="00F315E2">
      <w:pPr>
        <w:tabs>
          <w:tab w:val="left" w:pos="426"/>
        </w:tabs>
        <w:spacing w:before="0" w:beforeAutospacing="0" w:after="0" w:afterAutospacing="0" w:line="240" w:lineRule="auto"/>
        <w:rPr>
          <w:rFonts w:asciiTheme="majorBidi" w:eastAsia="Calibri" w:hAnsiTheme="majorBidi" w:cstheme="majorBidi"/>
        </w:rPr>
      </w:pPr>
      <w:r>
        <w:rPr>
          <w:rFonts w:asciiTheme="majorBidi" w:eastAsia="Calibri" w:hAnsiTheme="majorBidi" w:cstheme="majorBidi"/>
        </w:rPr>
        <w:t>*Equal contribution</w:t>
      </w:r>
    </w:p>
    <w:p w14:paraId="20FFB948" w14:textId="77777777" w:rsidR="00F315E2" w:rsidRDefault="00F315E2" w:rsidP="007E1D58">
      <w:pPr>
        <w:tabs>
          <w:tab w:val="left" w:pos="426"/>
        </w:tabs>
        <w:spacing w:before="0" w:beforeAutospacing="0" w:after="0" w:afterAutospacing="0" w:line="240" w:lineRule="auto"/>
        <w:rPr>
          <w:rFonts w:asciiTheme="majorBidi" w:eastAsia="Calibri" w:hAnsiTheme="majorBidi" w:cstheme="majorBidi"/>
        </w:rPr>
      </w:pPr>
    </w:p>
    <w:p w14:paraId="02428C8C" w14:textId="77777777" w:rsidR="00D01F61" w:rsidRPr="00163051" w:rsidRDefault="00D01F61" w:rsidP="00163051">
      <w:pPr>
        <w:spacing w:before="0" w:beforeAutospacing="0" w:after="240" w:afterAutospacing="0" w:line="240" w:lineRule="auto"/>
        <w:jc w:val="both"/>
        <w:rPr>
          <w:rFonts w:asciiTheme="majorBidi" w:eastAsiaTheme="minorEastAsia" w:hAnsiTheme="majorBidi" w:cstheme="majorBidi"/>
        </w:rPr>
      </w:pPr>
      <w:r w:rsidRPr="00163051">
        <w:rPr>
          <w:rFonts w:asciiTheme="majorBidi" w:eastAsiaTheme="minorEastAsia" w:hAnsiTheme="majorBidi" w:cstheme="majorBidi"/>
        </w:rPr>
        <w:t xml:space="preserve">Corresponding authors: </w:t>
      </w:r>
    </w:p>
    <w:p w14:paraId="4E169187" w14:textId="77777777" w:rsidR="00D01F61" w:rsidRPr="00163051" w:rsidRDefault="00D01F61" w:rsidP="00163051">
      <w:pPr>
        <w:spacing w:before="0" w:beforeAutospacing="0" w:after="240" w:afterAutospacing="0" w:line="240" w:lineRule="auto"/>
        <w:jc w:val="both"/>
        <w:rPr>
          <w:rFonts w:asciiTheme="majorBidi" w:eastAsiaTheme="minorEastAsia" w:hAnsiTheme="majorBidi" w:cstheme="majorBidi"/>
        </w:rPr>
      </w:pPr>
      <w:proofErr w:type="spellStart"/>
      <w:r w:rsidRPr="00163051">
        <w:rPr>
          <w:rFonts w:asciiTheme="majorBidi" w:eastAsiaTheme="minorEastAsia" w:hAnsiTheme="majorBidi" w:cstheme="majorBidi"/>
        </w:rPr>
        <w:t>Balachundhar</w:t>
      </w:r>
      <w:proofErr w:type="spellEnd"/>
      <w:r w:rsidRPr="00163051">
        <w:rPr>
          <w:rFonts w:asciiTheme="majorBidi" w:eastAsiaTheme="minorEastAsia" w:hAnsiTheme="majorBidi" w:cstheme="majorBidi"/>
        </w:rPr>
        <w:t xml:space="preserve"> Subramaniam, MD, Department of Anesthesia, Critical Care, and Pain Medicine, Beth Israel Deaconess Medical Center, Harvard Medical School, Boston, MA., bsubrama@bidmc.harvard.edu </w:t>
      </w:r>
    </w:p>
    <w:p w14:paraId="52D9CA80" w14:textId="77777777" w:rsidR="00D01F61" w:rsidRPr="00163051" w:rsidRDefault="00D01F61" w:rsidP="00163051">
      <w:pPr>
        <w:spacing w:before="0" w:beforeAutospacing="0" w:after="240" w:afterAutospacing="0" w:line="240" w:lineRule="auto"/>
        <w:jc w:val="both"/>
        <w:rPr>
          <w:rFonts w:asciiTheme="majorBidi" w:eastAsiaTheme="minorEastAsia" w:hAnsiTheme="majorBidi" w:cstheme="majorBidi"/>
        </w:rPr>
      </w:pPr>
      <w:r w:rsidRPr="00163051">
        <w:rPr>
          <w:rFonts w:asciiTheme="majorBidi" w:eastAsiaTheme="minorEastAsia" w:hAnsiTheme="majorBidi" w:cstheme="majorBidi"/>
        </w:rPr>
        <w:t>Matthias Eikermann, MD, Department of Anesthesiology, Montefiore Medical Center, Albert Einstein College of Medicine</w:t>
      </w:r>
    </w:p>
    <w:p w14:paraId="3F289F66" w14:textId="083A74E8" w:rsidR="00D01F61" w:rsidRPr="00163051" w:rsidRDefault="00D01F61" w:rsidP="00163051">
      <w:pPr>
        <w:spacing w:before="0" w:beforeAutospacing="0" w:after="240" w:afterAutospacing="0" w:line="240" w:lineRule="auto"/>
        <w:jc w:val="both"/>
        <w:rPr>
          <w:rFonts w:asciiTheme="majorBidi" w:eastAsiaTheme="minorEastAsia" w:hAnsiTheme="majorBidi" w:cstheme="majorBidi"/>
        </w:rPr>
      </w:pPr>
      <w:r w:rsidRPr="00163051">
        <w:rPr>
          <w:rFonts w:asciiTheme="majorBidi" w:eastAsiaTheme="minorEastAsia" w:hAnsiTheme="majorBidi" w:cstheme="majorBidi"/>
        </w:rPr>
        <w:t>111 East 210th St, Bronx, NY 10467, USA, meikermann@montefiore.org,</w:t>
      </w:r>
    </w:p>
    <w:p w14:paraId="253EA62B" w14:textId="53A34FE1" w:rsidR="00765F32" w:rsidRPr="00AC2EE0" w:rsidRDefault="00765F32" w:rsidP="00AC2EE0">
      <w:pPr>
        <w:spacing w:before="0" w:beforeAutospacing="0" w:after="240" w:afterAutospacing="0" w:line="240" w:lineRule="auto"/>
        <w:jc w:val="both"/>
        <w:rPr>
          <w:rFonts w:asciiTheme="majorBidi" w:hAnsiTheme="majorBidi" w:cstheme="majorBidi"/>
          <w:i/>
          <w:iCs/>
        </w:rPr>
      </w:pPr>
      <w:proofErr w:type="gramStart"/>
      <w:r w:rsidRPr="007E1D58">
        <w:rPr>
          <w:rFonts w:asciiTheme="majorBidi" w:hAnsiTheme="majorBidi" w:cstheme="majorBidi"/>
          <w:i/>
          <w:iCs/>
        </w:rPr>
        <w:t>In order to</w:t>
      </w:r>
      <w:proofErr w:type="gramEnd"/>
      <w:r w:rsidRPr="007E1D58">
        <w:rPr>
          <w:rFonts w:asciiTheme="majorBidi" w:hAnsiTheme="majorBidi" w:cstheme="majorBidi"/>
          <w:i/>
          <w:iCs/>
        </w:rPr>
        <w:t xml:space="preserve"> respect space limitations in the main manuscript, we present additional information on methods and results in this Supplementary Appendix.</w:t>
      </w:r>
    </w:p>
    <w:sdt>
      <w:sdtPr>
        <w:rPr>
          <w:rFonts w:asciiTheme="majorBidi" w:eastAsiaTheme="minorHAnsi" w:hAnsiTheme="majorBidi" w:cs="Times New Roman"/>
          <w:b w:val="0"/>
          <w:bCs w:val="0"/>
          <w:color w:val="000000" w:themeColor="text1"/>
          <w:sz w:val="24"/>
          <w:szCs w:val="24"/>
          <w:lang w:bidi="th-TH"/>
        </w:rPr>
        <w:id w:val="1445497625"/>
        <w:docPartObj>
          <w:docPartGallery w:val="Table of Contents"/>
          <w:docPartUnique/>
        </w:docPartObj>
      </w:sdtPr>
      <w:sdtEndPr>
        <w:rPr>
          <w:noProof/>
        </w:rPr>
      </w:sdtEndPr>
      <w:sdtContent>
        <w:p w14:paraId="73C07497" w14:textId="60E422B5" w:rsidR="00291FB8" w:rsidRPr="00DD796F" w:rsidRDefault="00291FB8" w:rsidP="00DD796F">
          <w:pPr>
            <w:pStyle w:val="TOCHeading"/>
            <w:spacing w:before="0" w:line="360" w:lineRule="auto"/>
            <w:rPr>
              <w:rFonts w:asciiTheme="majorBidi" w:hAnsiTheme="majorBidi"/>
            </w:rPr>
          </w:pPr>
          <w:r w:rsidRPr="00DD796F">
            <w:rPr>
              <w:rFonts w:asciiTheme="majorBidi" w:hAnsiTheme="majorBidi"/>
            </w:rPr>
            <w:t>Table of Contents</w:t>
          </w:r>
        </w:p>
        <w:p w14:paraId="366BEDF7" w14:textId="72662CCC" w:rsidR="00DD796F" w:rsidRPr="00DD796F" w:rsidRDefault="00291FB8" w:rsidP="00DD796F">
          <w:pPr>
            <w:pStyle w:val="TOC1"/>
            <w:tabs>
              <w:tab w:val="right" w:pos="10070"/>
            </w:tabs>
            <w:spacing w:after="0" w:afterAutospacing="0" w:line="360" w:lineRule="auto"/>
            <w:rPr>
              <w:rFonts w:asciiTheme="majorBidi" w:eastAsiaTheme="minorEastAsia" w:hAnsiTheme="majorBidi" w:cstheme="majorBidi"/>
              <w:b w:val="0"/>
              <w:bCs w:val="0"/>
              <w:noProof/>
              <w:color w:val="auto"/>
              <w:kern w:val="2"/>
              <w:sz w:val="24"/>
              <w:szCs w:val="24"/>
              <w:lang w:bidi="ar-SA"/>
              <w14:ligatures w14:val="standardContextual"/>
            </w:rPr>
          </w:pPr>
          <w:r w:rsidRPr="00DD796F">
            <w:rPr>
              <w:rFonts w:asciiTheme="majorBidi" w:hAnsiTheme="majorBidi" w:cstheme="majorBidi"/>
              <w:b w:val="0"/>
              <w:bCs w:val="0"/>
            </w:rPr>
            <w:fldChar w:fldCharType="begin"/>
          </w:r>
          <w:r w:rsidRPr="00DD796F">
            <w:rPr>
              <w:rFonts w:asciiTheme="majorBidi" w:hAnsiTheme="majorBidi" w:cstheme="majorBidi"/>
            </w:rPr>
            <w:instrText xml:space="preserve"> TOC \o "1-3" \h \z \u </w:instrText>
          </w:r>
          <w:r w:rsidRPr="00DD796F">
            <w:rPr>
              <w:rFonts w:asciiTheme="majorBidi" w:hAnsiTheme="majorBidi" w:cstheme="majorBidi"/>
              <w:b w:val="0"/>
              <w:bCs w:val="0"/>
            </w:rPr>
            <w:fldChar w:fldCharType="separate"/>
          </w:r>
          <w:hyperlink w:anchor="_Toc228451199" w:history="1">
            <w:r w:rsidR="00DD796F" w:rsidRPr="00DD796F">
              <w:rPr>
                <w:rStyle w:val="Hyperlink"/>
                <w:rFonts w:asciiTheme="majorBidi" w:hAnsiTheme="majorBidi" w:cstheme="majorBidi"/>
                <w:noProof/>
              </w:rPr>
              <w:t>S1 Study design and setting</w:t>
            </w:r>
            <w:r w:rsidR="00DD796F" w:rsidRPr="00DD796F">
              <w:rPr>
                <w:rFonts w:asciiTheme="majorBidi" w:hAnsiTheme="majorBidi" w:cstheme="majorBidi"/>
                <w:noProof/>
                <w:webHidden/>
              </w:rPr>
              <w:tab/>
            </w:r>
            <w:r w:rsidR="00DD796F" w:rsidRPr="00DD796F">
              <w:rPr>
                <w:rFonts w:asciiTheme="majorBidi" w:hAnsiTheme="majorBidi" w:cstheme="majorBidi"/>
                <w:noProof/>
                <w:webHidden/>
              </w:rPr>
              <w:fldChar w:fldCharType="begin"/>
            </w:r>
            <w:r w:rsidR="00DD796F" w:rsidRPr="00DD796F">
              <w:rPr>
                <w:rFonts w:asciiTheme="majorBidi" w:hAnsiTheme="majorBidi" w:cstheme="majorBidi"/>
                <w:noProof/>
                <w:webHidden/>
              </w:rPr>
              <w:instrText xml:space="preserve"> PAGEREF _Toc228451199 \h </w:instrText>
            </w:r>
            <w:r w:rsidR="00DD796F" w:rsidRPr="00DD796F">
              <w:rPr>
                <w:rFonts w:asciiTheme="majorBidi" w:hAnsiTheme="majorBidi" w:cstheme="majorBidi"/>
                <w:noProof/>
                <w:webHidden/>
              </w:rPr>
            </w:r>
            <w:r w:rsidR="00DD796F" w:rsidRPr="00DD796F">
              <w:rPr>
                <w:rFonts w:asciiTheme="majorBidi" w:hAnsiTheme="majorBidi" w:cstheme="majorBidi"/>
                <w:noProof/>
                <w:webHidden/>
              </w:rPr>
              <w:fldChar w:fldCharType="separate"/>
            </w:r>
            <w:r w:rsidR="00DD796F" w:rsidRPr="00DD796F">
              <w:rPr>
                <w:rFonts w:asciiTheme="majorBidi" w:hAnsiTheme="majorBidi" w:cstheme="majorBidi"/>
                <w:noProof/>
                <w:webHidden/>
              </w:rPr>
              <w:t>3</w:t>
            </w:r>
            <w:r w:rsidR="00DD796F" w:rsidRPr="00DD796F">
              <w:rPr>
                <w:rFonts w:asciiTheme="majorBidi" w:hAnsiTheme="majorBidi" w:cstheme="majorBidi"/>
                <w:noProof/>
                <w:webHidden/>
              </w:rPr>
              <w:fldChar w:fldCharType="end"/>
            </w:r>
          </w:hyperlink>
        </w:p>
        <w:p w14:paraId="6594ECD4" w14:textId="04703A48" w:rsidR="00DD796F" w:rsidRPr="00DD796F" w:rsidRDefault="00DD796F" w:rsidP="00DD796F">
          <w:pPr>
            <w:pStyle w:val="TOC1"/>
            <w:tabs>
              <w:tab w:val="right" w:pos="10070"/>
            </w:tabs>
            <w:spacing w:after="0" w:afterAutospacing="0" w:line="360" w:lineRule="auto"/>
            <w:rPr>
              <w:rFonts w:asciiTheme="majorBidi" w:eastAsiaTheme="minorEastAsia" w:hAnsiTheme="majorBidi" w:cstheme="majorBidi"/>
              <w:b w:val="0"/>
              <w:bCs w:val="0"/>
              <w:noProof/>
              <w:color w:val="auto"/>
              <w:kern w:val="2"/>
              <w:sz w:val="24"/>
              <w:szCs w:val="24"/>
              <w:lang w:bidi="ar-SA"/>
              <w14:ligatures w14:val="standardContextual"/>
            </w:rPr>
          </w:pPr>
          <w:hyperlink w:anchor="_Toc228451200" w:history="1">
            <w:r w:rsidRPr="00DD796F">
              <w:rPr>
                <w:rStyle w:val="Hyperlink"/>
                <w:rFonts w:asciiTheme="majorBidi" w:hAnsiTheme="majorBidi" w:cstheme="majorBidi"/>
                <w:noProof/>
              </w:rPr>
              <w:t>S2 Study participants</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_Toc228451200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3</w:t>
            </w:r>
            <w:r w:rsidRPr="00DD796F">
              <w:rPr>
                <w:rFonts w:asciiTheme="majorBidi" w:hAnsiTheme="majorBidi" w:cstheme="majorBidi"/>
                <w:noProof/>
                <w:webHidden/>
              </w:rPr>
              <w:fldChar w:fldCharType="end"/>
            </w:r>
          </w:hyperlink>
        </w:p>
        <w:p w14:paraId="1D4E6187" w14:textId="0C2DEB66" w:rsidR="00DD796F" w:rsidRPr="00DD796F" w:rsidRDefault="00DD796F" w:rsidP="00DD796F">
          <w:pPr>
            <w:pStyle w:val="TOC1"/>
            <w:tabs>
              <w:tab w:val="right" w:pos="10070"/>
            </w:tabs>
            <w:spacing w:after="0" w:afterAutospacing="0" w:line="360" w:lineRule="auto"/>
            <w:rPr>
              <w:rFonts w:asciiTheme="majorBidi" w:eastAsiaTheme="minorEastAsia" w:hAnsiTheme="majorBidi" w:cstheme="majorBidi"/>
              <w:b w:val="0"/>
              <w:bCs w:val="0"/>
              <w:noProof/>
              <w:color w:val="auto"/>
              <w:kern w:val="2"/>
              <w:sz w:val="24"/>
              <w:szCs w:val="24"/>
              <w:lang w:bidi="ar-SA"/>
              <w14:ligatures w14:val="standardContextual"/>
            </w:rPr>
          </w:pPr>
          <w:hyperlink w:anchor="_Toc228451201" w:history="1">
            <w:r w:rsidRPr="00DD796F">
              <w:rPr>
                <w:rStyle w:val="Hyperlink"/>
                <w:rFonts w:asciiTheme="majorBidi" w:hAnsiTheme="majorBidi" w:cstheme="majorBidi"/>
                <w:noProof/>
              </w:rPr>
              <w:t>S3 Study intervention</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_Toc228451201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4</w:t>
            </w:r>
            <w:r w:rsidRPr="00DD796F">
              <w:rPr>
                <w:rFonts w:asciiTheme="majorBidi" w:hAnsiTheme="majorBidi" w:cstheme="majorBidi"/>
                <w:noProof/>
                <w:webHidden/>
              </w:rPr>
              <w:fldChar w:fldCharType="end"/>
            </w:r>
          </w:hyperlink>
        </w:p>
        <w:p w14:paraId="630029B8" w14:textId="6690E9F7" w:rsidR="00DD796F" w:rsidRPr="00DD796F" w:rsidRDefault="00DD796F" w:rsidP="00DD796F">
          <w:pPr>
            <w:pStyle w:val="TOC1"/>
            <w:tabs>
              <w:tab w:val="right" w:pos="10070"/>
            </w:tabs>
            <w:spacing w:after="0" w:afterAutospacing="0" w:line="360" w:lineRule="auto"/>
            <w:rPr>
              <w:rFonts w:asciiTheme="majorBidi" w:eastAsiaTheme="minorEastAsia" w:hAnsiTheme="majorBidi" w:cstheme="majorBidi"/>
              <w:b w:val="0"/>
              <w:bCs w:val="0"/>
              <w:noProof/>
              <w:color w:val="auto"/>
              <w:kern w:val="2"/>
              <w:sz w:val="24"/>
              <w:szCs w:val="24"/>
              <w:lang w:bidi="ar-SA"/>
              <w14:ligatures w14:val="standardContextual"/>
            </w:rPr>
          </w:pPr>
          <w:hyperlink w:anchor="_Toc228451202" w:history="1">
            <w:r w:rsidRPr="00DD796F">
              <w:rPr>
                <w:rStyle w:val="Hyperlink"/>
                <w:rFonts w:asciiTheme="majorBidi" w:hAnsiTheme="majorBidi" w:cstheme="majorBidi"/>
                <w:noProof/>
              </w:rPr>
              <w:t>S4 Study outcomes</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_Toc228451202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5</w:t>
            </w:r>
            <w:r w:rsidRPr="00DD796F">
              <w:rPr>
                <w:rFonts w:asciiTheme="majorBidi" w:hAnsiTheme="majorBidi" w:cstheme="majorBidi"/>
                <w:noProof/>
                <w:webHidden/>
              </w:rPr>
              <w:fldChar w:fldCharType="end"/>
            </w:r>
          </w:hyperlink>
        </w:p>
        <w:p w14:paraId="184D6218" w14:textId="40F628E3" w:rsidR="00DD796F" w:rsidRPr="00DD796F" w:rsidRDefault="00DD796F" w:rsidP="00DD796F">
          <w:pPr>
            <w:pStyle w:val="TOC2"/>
            <w:tabs>
              <w:tab w:val="right" w:pos="10070"/>
            </w:tabs>
            <w:spacing w:afterAutospacing="0" w:line="360" w:lineRule="auto"/>
            <w:rPr>
              <w:rFonts w:asciiTheme="majorBidi" w:eastAsiaTheme="minorEastAsia" w:hAnsiTheme="majorBidi" w:cstheme="majorBidi"/>
              <w:i w:val="0"/>
              <w:iCs w:val="0"/>
              <w:noProof/>
              <w:color w:val="auto"/>
              <w:kern w:val="2"/>
              <w:sz w:val="24"/>
              <w:szCs w:val="24"/>
              <w:lang w:bidi="ar-SA"/>
              <w14:ligatures w14:val="standardContextual"/>
            </w:rPr>
          </w:pPr>
          <w:hyperlink w:anchor="_Toc228451203" w:history="1">
            <w:r w:rsidRPr="00DD796F">
              <w:rPr>
                <w:rStyle w:val="Hyperlink"/>
                <w:rFonts w:asciiTheme="majorBidi" w:hAnsiTheme="majorBidi" w:cstheme="majorBidi"/>
                <w:noProof/>
              </w:rPr>
              <w:t>S4.1 EEG spectrograms</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_Toc228451203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5</w:t>
            </w:r>
            <w:r w:rsidRPr="00DD796F">
              <w:rPr>
                <w:rFonts w:asciiTheme="majorBidi" w:hAnsiTheme="majorBidi" w:cstheme="majorBidi"/>
                <w:noProof/>
                <w:webHidden/>
              </w:rPr>
              <w:fldChar w:fldCharType="end"/>
            </w:r>
          </w:hyperlink>
        </w:p>
        <w:p w14:paraId="6BB8FBEC" w14:textId="0636A09F" w:rsidR="00DD796F" w:rsidRPr="00DD796F" w:rsidRDefault="00DD796F" w:rsidP="00DD796F">
          <w:pPr>
            <w:pStyle w:val="TOC2"/>
            <w:tabs>
              <w:tab w:val="right" w:pos="10070"/>
            </w:tabs>
            <w:spacing w:afterAutospacing="0" w:line="360" w:lineRule="auto"/>
            <w:rPr>
              <w:rFonts w:asciiTheme="majorBidi" w:eastAsiaTheme="minorEastAsia" w:hAnsiTheme="majorBidi" w:cstheme="majorBidi"/>
              <w:i w:val="0"/>
              <w:iCs w:val="0"/>
              <w:noProof/>
              <w:color w:val="auto"/>
              <w:kern w:val="2"/>
              <w:sz w:val="24"/>
              <w:szCs w:val="24"/>
              <w:lang w:bidi="ar-SA"/>
              <w14:ligatures w14:val="standardContextual"/>
            </w:rPr>
          </w:pPr>
          <w:hyperlink w:anchor="_Toc228451204" w:history="1">
            <w:r w:rsidRPr="00DD796F">
              <w:rPr>
                <w:rStyle w:val="Hyperlink"/>
                <w:rFonts w:asciiTheme="majorBidi" w:hAnsiTheme="majorBidi" w:cstheme="majorBidi"/>
                <w:noProof/>
              </w:rPr>
              <w:t>S4.2 RCSQ</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_Toc228451204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5</w:t>
            </w:r>
            <w:r w:rsidRPr="00DD796F">
              <w:rPr>
                <w:rFonts w:asciiTheme="majorBidi" w:hAnsiTheme="majorBidi" w:cstheme="majorBidi"/>
                <w:noProof/>
                <w:webHidden/>
              </w:rPr>
              <w:fldChar w:fldCharType="end"/>
            </w:r>
          </w:hyperlink>
        </w:p>
        <w:p w14:paraId="32A57855" w14:textId="79967340" w:rsidR="00DD796F" w:rsidRPr="00DD796F" w:rsidRDefault="00DD796F" w:rsidP="00DD796F">
          <w:pPr>
            <w:pStyle w:val="TOC1"/>
            <w:tabs>
              <w:tab w:val="right" w:pos="10070"/>
            </w:tabs>
            <w:spacing w:after="0" w:afterAutospacing="0" w:line="360" w:lineRule="auto"/>
            <w:rPr>
              <w:rFonts w:asciiTheme="majorBidi" w:eastAsiaTheme="minorEastAsia" w:hAnsiTheme="majorBidi" w:cstheme="majorBidi"/>
              <w:b w:val="0"/>
              <w:bCs w:val="0"/>
              <w:noProof/>
              <w:color w:val="auto"/>
              <w:kern w:val="2"/>
              <w:sz w:val="24"/>
              <w:szCs w:val="24"/>
              <w:lang w:bidi="ar-SA"/>
              <w14:ligatures w14:val="standardContextual"/>
            </w:rPr>
          </w:pPr>
          <w:hyperlink w:anchor="_Toc228451205" w:history="1">
            <w:r w:rsidRPr="00DD796F">
              <w:rPr>
                <w:rStyle w:val="Hyperlink"/>
                <w:rFonts w:asciiTheme="majorBidi" w:hAnsiTheme="majorBidi" w:cstheme="majorBidi"/>
                <w:noProof/>
              </w:rPr>
              <w:t>S5 Actiwatch Pilot Data</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_Toc228451205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6</w:t>
            </w:r>
            <w:r w:rsidRPr="00DD796F">
              <w:rPr>
                <w:rFonts w:asciiTheme="majorBidi" w:hAnsiTheme="majorBidi" w:cstheme="majorBidi"/>
                <w:noProof/>
                <w:webHidden/>
              </w:rPr>
              <w:fldChar w:fldCharType="end"/>
            </w:r>
          </w:hyperlink>
        </w:p>
        <w:p w14:paraId="1106286D" w14:textId="221AED08" w:rsidR="00DD796F" w:rsidRPr="00DD796F" w:rsidRDefault="00DD796F" w:rsidP="00DD796F">
          <w:pPr>
            <w:pStyle w:val="TOC1"/>
            <w:tabs>
              <w:tab w:val="right" w:pos="10070"/>
            </w:tabs>
            <w:spacing w:after="0" w:afterAutospacing="0" w:line="360" w:lineRule="auto"/>
            <w:rPr>
              <w:rFonts w:asciiTheme="majorBidi" w:eastAsiaTheme="minorEastAsia" w:hAnsiTheme="majorBidi" w:cstheme="majorBidi"/>
              <w:b w:val="0"/>
              <w:bCs w:val="0"/>
              <w:noProof/>
              <w:color w:val="auto"/>
              <w:kern w:val="2"/>
              <w:sz w:val="24"/>
              <w:szCs w:val="24"/>
              <w:lang w:bidi="ar-SA"/>
              <w14:ligatures w14:val="standardContextual"/>
            </w:rPr>
          </w:pPr>
          <w:hyperlink w:anchor="_Toc228451206" w:history="1">
            <w:r w:rsidRPr="00DD796F">
              <w:rPr>
                <w:rStyle w:val="Hyperlink"/>
                <w:rFonts w:asciiTheme="majorBidi" w:hAnsiTheme="majorBidi" w:cstheme="majorBidi"/>
                <w:noProof/>
              </w:rPr>
              <w:t>S6 Supplementary Table</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_Toc228451206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7</w:t>
            </w:r>
            <w:r w:rsidRPr="00DD796F">
              <w:rPr>
                <w:rFonts w:asciiTheme="majorBidi" w:hAnsiTheme="majorBidi" w:cstheme="majorBidi"/>
                <w:noProof/>
                <w:webHidden/>
              </w:rPr>
              <w:fldChar w:fldCharType="end"/>
            </w:r>
          </w:hyperlink>
        </w:p>
        <w:p w14:paraId="3449A561" w14:textId="7ACDBFBE" w:rsidR="00DD796F" w:rsidRPr="00DD796F" w:rsidRDefault="00DD796F" w:rsidP="00DD796F">
          <w:pPr>
            <w:pStyle w:val="TOC2"/>
            <w:tabs>
              <w:tab w:val="right" w:pos="10070"/>
            </w:tabs>
            <w:spacing w:afterAutospacing="0" w:line="360" w:lineRule="auto"/>
            <w:rPr>
              <w:rFonts w:asciiTheme="majorBidi" w:eastAsiaTheme="minorEastAsia" w:hAnsiTheme="majorBidi" w:cstheme="majorBidi"/>
              <w:i w:val="0"/>
              <w:iCs w:val="0"/>
              <w:noProof/>
              <w:color w:val="auto"/>
              <w:kern w:val="2"/>
              <w:sz w:val="24"/>
              <w:szCs w:val="24"/>
              <w:lang w:bidi="ar-SA"/>
              <w14:ligatures w14:val="standardContextual"/>
            </w:rPr>
          </w:pPr>
          <w:hyperlink w:anchor="_Toc228451207" w:history="1">
            <w:r w:rsidRPr="00DD796F">
              <w:rPr>
                <w:rStyle w:val="Hyperlink"/>
                <w:rFonts w:asciiTheme="majorBidi" w:hAnsiTheme="majorBidi" w:cstheme="majorBidi"/>
                <w:noProof/>
              </w:rPr>
              <w:t>STable 1: Safety endpoint</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_Toc228451207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7</w:t>
            </w:r>
            <w:r w:rsidRPr="00DD796F">
              <w:rPr>
                <w:rFonts w:asciiTheme="majorBidi" w:hAnsiTheme="majorBidi" w:cstheme="majorBidi"/>
                <w:noProof/>
                <w:webHidden/>
              </w:rPr>
              <w:fldChar w:fldCharType="end"/>
            </w:r>
          </w:hyperlink>
        </w:p>
        <w:p w14:paraId="085A5488" w14:textId="74FD9F8E" w:rsidR="00DD796F" w:rsidRPr="00DD796F" w:rsidRDefault="00DD796F" w:rsidP="00DD796F">
          <w:pPr>
            <w:pStyle w:val="TOC2"/>
            <w:tabs>
              <w:tab w:val="right" w:pos="10070"/>
            </w:tabs>
            <w:spacing w:afterAutospacing="0" w:line="360" w:lineRule="auto"/>
            <w:rPr>
              <w:rFonts w:asciiTheme="majorBidi" w:eastAsiaTheme="minorEastAsia" w:hAnsiTheme="majorBidi" w:cstheme="majorBidi"/>
              <w:i w:val="0"/>
              <w:iCs w:val="0"/>
              <w:noProof/>
              <w:color w:val="auto"/>
              <w:kern w:val="2"/>
              <w:sz w:val="24"/>
              <w:szCs w:val="24"/>
              <w:lang w:bidi="ar-SA"/>
              <w14:ligatures w14:val="standardContextual"/>
            </w:rPr>
          </w:pPr>
          <w:hyperlink w:anchor="_Toc228451208" w:history="1">
            <w:r w:rsidRPr="00DD796F">
              <w:rPr>
                <w:rStyle w:val="Hyperlink"/>
                <w:rFonts w:asciiTheme="majorBidi" w:eastAsia="Times New Roman" w:hAnsiTheme="majorBidi" w:cstheme="majorBidi"/>
                <w:noProof/>
              </w:rPr>
              <w:t>STable 2: Subjective sleep quality of the first night after extubation</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_Toc228451208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7</w:t>
            </w:r>
            <w:r w:rsidRPr="00DD796F">
              <w:rPr>
                <w:rFonts w:asciiTheme="majorBidi" w:hAnsiTheme="majorBidi" w:cstheme="majorBidi"/>
                <w:noProof/>
                <w:webHidden/>
              </w:rPr>
              <w:fldChar w:fldCharType="end"/>
            </w:r>
          </w:hyperlink>
        </w:p>
        <w:p w14:paraId="0C69942A" w14:textId="44C53A8D" w:rsidR="00DD796F" w:rsidRPr="00DD796F" w:rsidRDefault="00DD796F" w:rsidP="00DD796F">
          <w:pPr>
            <w:pStyle w:val="TOC1"/>
            <w:tabs>
              <w:tab w:val="right" w:pos="10070"/>
            </w:tabs>
            <w:spacing w:after="0" w:afterAutospacing="0" w:line="360" w:lineRule="auto"/>
            <w:rPr>
              <w:rFonts w:asciiTheme="majorBidi" w:eastAsiaTheme="minorEastAsia" w:hAnsiTheme="majorBidi" w:cstheme="majorBidi"/>
              <w:b w:val="0"/>
              <w:bCs w:val="0"/>
              <w:noProof/>
              <w:color w:val="auto"/>
              <w:kern w:val="2"/>
              <w:sz w:val="24"/>
              <w:szCs w:val="24"/>
              <w:lang w:bidi="ar-SA"/>
              <w14:ligatures w14:val="standardContextual"/>
            </w:rPr>
          </w:pPr>
          <w:hyperlink w:anchor="_Toc228451209" w:history="1">
            <w:r w:rsidRPr="00DD796F">
              <w:rPr>
                <w:rStyle w:val="Hyperlink"/>
                <w:rFonts w:asciiTheme="majorBidi" w:hAnsiTheme="majorBidi" w:cstheme="majorBidi"/>
                <w:noProof/>
              </w:rPr>
              <w:t>S7 Supplementary Figures</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_Toc228451209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8</w:t>
            </w:r>
            <w:r w:rsidRPr="00DD796F">
              <w:rPr>
                <w:rFonts w:asciiTheme="majorBidi" w:hAnsiTheme="majorBidi" w:cstheme="majorBidi"/>
                <w:noProof/>
                <w:webHidden/>
              </w:rPr>
              <w:fldChar w:fldCharType="end"/>
            </w:r>
          </w:hyperlink>
        </w:p>
        <w:p w14:paraId="4965CFEC" w14:textId="613F1D07" w:rsidR="00DD796F" w:rsidRPr="00DD796F" w:rsidRDefault="00DD796F" w:rsidP="00DD796F">
          <w:pPr>
            <w:pStyle w:val="TOC2"/>
            <w:tabs>
              <w:tab w:val="right" w:pos="10070"/>
            </w:tabs>
            <w:spacing w:afterAutospacing="0" w:line="360" w:lineRule="auto"/>
            <w:rPr>
              <w:rFonts w:asciiTheme="majorBidi" w:eastAsiaTheme="minorEastAsia" w:hAnsiTheme="majorBidi" w:cstheme="majorBidi"/>
              <w:i w:val="0"/>
              <w:iCs w:val="0"/>
              <w:noProof/>
              <w:color w:val="auto"/>
              <w:kern w:val="2"/>
              <w:sz w:val="24"/>
              <w:szCs w:val="24"/>
              <w:lang w:bidi="ar-SA"/>
              <w14:ligatures w14:val="standardContextual"/>
            </w:rPr>
          </w:pPr>
          <w:hyperlink w:anchor="_Toc228451210" w:history="1">
            <w:r w:rsidRPr="00DD796F">
              <w:rPr>
                <w:rStyle w:val="Hyperlink"/>
                <w:rFonts w:asciiTheme="majorBidi" w:hAnsiTheme="majorBidi" w:cstheme="majorBidi"/>
                <w:noProof/>
              </w:rPr>
              <w:t>SFigure 1. Multitaper EEG spectrograms of a postoperative cardiac ICU patient during the first night of monitoring</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_Toc228451210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8</w:t>
            </w:r>
            <w:r w:rsidRPr="00DD796F">
              <w:rPr>
                <w:rFonts w:asciiTheme="majorBidi" w:hAnsiTheme="majorBidi" w:cstheme="majorBidi"/>
                <w:noProof/>
                <w:webHidden/>
              </w:rPr>
              <w:fldChar w:fldCharType="end"/>
            </w:r>
          </w:hyperlink>
        </w:p>
        <w:p w14:paraId="61E66135" w14:textId="179B993F" w:rsidR="00DD796F" w:rsidRPr="00DD796F" w:rsidRDefault="00DD796F" w:rsidP="00DD796F">
          <w:pPr>
            <w:pStyle w:val="TOC2"/>
            <w:tabs>
              <w:tab w:val="right" w:pos="10070"/>
            </w:tabs>
            <w:spacing w:afterAutospacing="0" w:line="360" w:lineRule="auto"/>
            <w:rPr>
              <w:rFonts w:asciiTheme="majorBidi" w:eastAsiaTheme="minorEastAsia" w:hAnsiTheme="majorBidi" w:cstheme="majorBidi"/>
              <w:i w:val="0"/>
              <w:iCs w:val="0"/>
              <w:noProof/>
              <w:color w:val="auto"/>
              <w:kern w:val="2"/>
              <w:sz w:val="24"/>
              <w:szCs w:val="24"/>
              <w:lang w:bidi="ar-SA"/>
              <w14:ligatures w14:val="standardContextual"/>
            </w:rPr>
          </w:pPr>
          <w:hyperlink w:anchor="_Toc228451211" w:history="1">
            <w:r w:rsidRPr="00DD796F">
              <w:rPr>
                <w:rStyle w:val="Hyperlink"/>
                <w:rFonts w:asciiTheme="majorBidi" w:hAnsiTheme="majorBidi" w:cstheme="majorBidi"/>
                <w:noProof/>
              </w:rPr>
              <w:t>SFigure2 Sample hypnograms of patients receiving A-suvorexant and B-placebo</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_Toc228451211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9</w:t>
            </w:r>
            <w:r w:rsidRPr="00DD796F">
              <w:rPr>
                <w:rFonts w:asciiTheme="majorBidi" w:hAnsiTheme="majorBidi" w:cstheme="majorBidi"/>
                <w:noProof/>
                <w:webHidden/>
              </w:rPr>
              <w:fldChar w:fldCharType="end"/>
            </w:r>
          </w:hyperlink>
        </w:p>
        <w:p w14:paraId="5E2C0B3D" w14:textId="4EB472E4" w:rsidR="00DD796F" w:rsidRPr="00DD796F" w:rsidRDefault="00DD796F" w:rsidP="00DD796F">
          <w:pPr>
            <w:pStyle w:val="TOC2"/>
            <w:tabs>
              <w:tab w:val="right" w:pos="10070"/>
            </w:tabs>
            <w:spacing w:afterAutospacing="0" w:line="360" w:lineRule="auto"/>
            <w:rPr>
              <w:rFonts w:asciiTheme="majorBidi" w:eastAsiaTheme="minorEastAsia" w:hAnsiTheme="majorBidi" w:cstheme="majorBidi"/>
              <w:i w:val="0"/>
              <w:iCs w:val="0"/>
              <w:noProof/>
              <w:color w:val="auto"/>
              <w:kern w:val="2"/>
              <w:sz w:val="24"/>
              <w:szCs w:val="24"/>
              <w:lang w:bidi="ar-SA"/>
              <w14:ligatures w14:val="standardContextual"/>
            </w:rPr>
          </w:pPr>
          <w:hyperlink w:anchor="_Toc228451212" w:history="1">
            <w:r w:rsidRPr="00DD796F">
              <w:rPr>
                <w:rStyle w:val="Hyperlink"/>
                <w:rFonts w:asciiTheme="majorBidi" w:hAnsiTheme="majorBidi" w:cstheme="majorBidi"/>
                <w:noProof/>
              </w:rPr>
              <w:t>SFigure3 Association of actigraphy and EEG-based sleep scoring</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_Toc228451212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10</w:t>
            </w:r>
            <w:r w:rsidRPr="00DD796F">
              <w:rPr>
                <w:rFonts w:asciiTheme="majorBidi" w:hAnsiTheme="majorBidi" w:cstheme="majorBidi"/>
                <w:noProof/>
                <w:webHidden/>
              </w:rPr>
              <w:fldChar w:fldCharType="end"/>
            </w:r>
          </w:hyperlink>
        </w:p>
        <w:p w14:paraId="5AB80CF5" w14:textId="0A3CAA2E" w:rsidR="00DD796F" w:rsidRPr="00DD796F" w:rsidRDefault="00DD796F" w:rsidP="00DD796F">
          <w:pPr>
            <w:pStyle w:val="TOC1"/>
            <w:tabs>
              <w:tab w:val="right" w:pos="10070"/>
            </w:tabs>
            <w:spacing w:after="0" w:afterAutospacing="0" w:line="360" w:lineRule="auto"/>
            <w:rPr>
              <w:rFonts w:asciiTheme="majorBidi" w:eastAsiaTheme="minorEastAsia" w:hAnsiTheme="majorBidi" w:cstheme="majorBidi"/>
              <w:b w:val="0"/>
              <w:bCs w:val="0"/>
              <w:noProof/>
              <w:color w:val="auto"/>
              <w:kern w:val="2"/>
              <w:sz w:val="24"/>
              <w:szCs w:val="24"/>
              <w:lang w:bidi="ar-SA"/>
              <w14:ligatures w14:val="standardContextual"/>
            </w:rPr>
          </w:pPr>
          <w:hyperlink w:anchor="_Toc228451213" w:history="1">
            <w:r w:rsidRPr="00DD796F">
              <w:rPr>
                <w:rStyle w:val="Hyperlink"/>
                <w:rFonts w:asciiTheme="majorBidi" w:hAnsiTheme="majorBidi" w:cstheme="majorBidi"/>
                <w:noProof/>
              </w:rPr>
              <w:t>S8 Reference:</w:t>
            </w:r>
            <w:r w:rsidRPr="00DD796F">
              <w:rPr>
                <w:rFonts w:asciiTheme="majorBidi" w:hAnsiTheme="majorBidi" w:cstheme="majorBidi"/>
                <w:noProof/>
                <w:webHidden/>
              </w:rPr>
              <w:tab/>
            </w:r>
            <w:r w:rsidRPr="00DD796F">
              <w:rPr>
                <w:rFonts w:asciiTheme="majorBidi" w:hAnsiTheme="majorBidi" w:cstheme="majorBidi"/>
                <w:noProof/>
                <w:webHidden/>
              </w:rPr>
              <w:fldChar w:fldCharType="begin"/>
            </w:r>
            <w:r w:rsidRPr="00DD796F">
              <w:rPr>
                <w:rFonts w:asciiTheme="majorBidi" w:hAnsiTheme="majorBidi" w:cstheme="majorBidi"/>
                <w:noProof/>
                <w:webHidden/>
              </w:rPr>
              <w:instrText xml:space="preserve"> PAGEREF _Toc228451213 \h </w:instrText>
            </w:r>
            <w:r w:rsidRPr="00DD796F">
              <w:rPr>
                <w:rFonts w:asciiTheme="majorBidi" w:hAnsiTheme="majorBidi" w:cstheme="majorBidi"/>
                <w:noProof/>
                <w:webHidden/>
              </w:rPr>
            </w:r>
            <w:r w:rsidRPr="00DD796F">
              <w:rPr>
                <w:rFonts w:asciiTheme="majorBidi" w:hAnsiTheme="majorBidi" w:cstheme="majorBidi"/>
                <w:noProof/>
                <w:webHidden/>
              </w:rPr>
              <w:fldChar w:fldCharType="separate"/>
            </w:r>
            <w:r w:rsidRPr="00DD796F">
              <w:rPr>
                <w:rFonts w:asciiTheme="majorBidi" w:hAnsiTheme="majorBidi" w:cstheme="majorBidi"/>
                <w:noProof/>
                <w:webHidden/>
              </w:rPr>
              <w:t>11</w:t>
            </w:r>
            <w:r w:rsidRPr="00DD796F">
              <w:rPr>
                <w:rFonts w:asciiTheme="majorBidi" w:hAnsiTheme="majorBidi" w:cstheme="majorBidi"/>
                <w:noProof/>
                <w:webHidden/>
              </w:rPr>
              <w:fldChar w:fldCharType="end"/>
            </w:r>
          </w:hyperlink>
        </w:p>
        <w:p w14:paraId="3945B6AC" w14:textId="61D5FF20" w:rsidR="00291FB8" w:rsidRPr="00DD796F" w:rsidRDefault="00291FB8" w:rsidP="00DD796F">
          <w:pPr>
            <w:spacing w:before="0" w:beforeAutospacing="0" w:after="0" w:afterAutospacing="0" w:line="360" w:lineRule="auto"/>
            <w:rPr>
              <w:rFonts w:asciiTheme="majorBidi" w:hAnsiTheme="majorBidi" w:cstheme="majorBidi"/>
            </w:rPr>
          </w:pPr>
          <w:r w:rsidRPr="00DD796F">
            <w:rPr>
              <w:rFonts w:asciiTheme="majorBidi" w:hAnsiTheme="majorBidi" w:cstheme="majorBidi"/>
              <w:b/>
              <w:bCs/>
              <w:noProof/>
            </w:rPr>
            <w:fldChar w:fldCharType="end"/>
          </w:r>
        </w:p>
      </w:sdtContent>
    </w:sdt>
    <w:p w14:paraId="7E60A4F5" w14:textId="0560DC91" w:rsidR="00291FB8" w:rsidRPr="00DD796F" w:rsidRDefault="00291FB8" w:rsidP="00DD796F">
      <w:pPr>
        <w:tabs>
          <w:tab w:val="clear" w:pos="720"/>
        </w:tabs>
        <w:spacing w:before="0" w:beforeAutospacing="0" w:after="0" w:afterAutospacing="0" w:line="278" w:lineRule="auto"/>
        <w:rPr>
          <w:rFonts w:asciiTheme="majorBidi" w:hAnsiTheme="majorBidi" w:cstheme="majorBidi"/>
        </w:rPr>
      </w:pPr>
      <w:r w:rsidRPr="00DD796F">
        <w:rPr>
          <w:rFonts w:asciiTheme="majorBidi" w:hAnsiTheme="majorBidi" w:cstheme="majorBidi"/>
        </w:rPr>
        <w:br w:type="page"/>
      </w:r>
    </w:p>
    <w:p w14:paraId="67D6B62D" w14:textId="77777777" w:rsidR="00291FB8" w:rsidRPr="0066401D" w:rsidRDefault="00D46F6C" w:rsidP="00291FB8">
      <w:pPr>
        <w:pStyle w:val="Heading1"/>
        <w:rPr>
          <w:rFonts w:asciiTheme="majorBidi" w:hAnsiTheme="majorBidi"/>
          <w:sz w:val="32"/>
          <w:szCs w:val="32"/>
        </w:rPr>
      </w:pPr>
      <w:bookmarkStart w:id="0" w:name="_Toc199936810"/>
      <w:bookmarkStart w:id="1" w:name="_Toc228451199"/>
      <w:r w:rsidRPr="0066401D">
        <w:rPr>
          <w:rFonts w:asciiTheme="majorBidi" w:hAnsiTheme="majorBidi"/>
          <w:sz w:val="32"/>
          <w:szCs w:val="32"/>
        </w:rPr>
        <w:lastRenderedPageBreak/>
        <w:t xml:space="preserve">S1 </w:t>
      </w:r>
      <w:bookmarkEnd w:id="0"/>
      <w:r w:rsidRPr="0066401D">
        <w:rPr>
          <w:rFonts w:asciiTheme="majorBidi" w:hAnsiTheme="majorBidi"/>
          <w:sz w:val="32"/>
          <w:szCs w:val="32"/>
        </w:rPr>
        <w:t>Study design and setting</w:t>
      </w:r>
      <w:bookmarkEnd w:id="1"/>
      <w:r w:rsidRPr="0066401D">
        <w:rPr>
          <w:rFonts w:asciiTheme="majorBidi" w:hAnsiTheme="majorBidi"/>
          <w:sz w:val="32"/>
          <w:szCs w:val="32"/>
        </w:rPr>
        <w:t xml:space="preserve"> </w:t>
      </w:r>
    </w:p>
    <w:p w14:paraId="4FBE4089" w14:textId="0D978601" w:rsidR="00D01F61" w:rsidRDefault="00D01F61" w:rsidP="00D908E2">
      <w:pPr>
        <w:spacing w:line="240" w:lineRule="auto"/>
        <w:jc w:val="both"/>
      </w:pPr>
      <w:r w:rsidRPr="00163051">
        <w:t xml:space="preserve">This multicenter, randomized, double-blind, placebo-controlled clinical trial was conducted at two tertiary referral hospitals in the United States: Montefiore Medical Center (Bronx, NY) and Beth Israel Deaconess Medical Center (Boston, MA). The study protocol was developed by the </w:t>
      </w:r>
      <w:r w:rsidR="00D908E2">
        <w:t xml:space="preserve">study </w:t>
      </w:r>
      <w:r w:rsidRPr="00163051">
        <w:t>investigator</w:t>
      </w:r>
      <w:r w:rsidR="00552E77">
        <w:t>s</w:t>
      </w:r>
      <w:r w:rsidRPr="00163051">
        <w:t xml:space="preserve"> and approved by the local institutional review boards at both Albert Einstein College of Medicine/Montefiore Health System (protocol number 2021-13369) and Beth Israel Deaconess Medical Center (protocol number 2019-P0000759). This study was conducted under IND 113,330 filed with the U.S. Food and Drug Administration. The study protocol has been previously published</w:t>
      </w:r>
      <w:r w:rsidR="00B9271B">
        <w:t xml:space="preserve"> </w:t>
      </w:r>
      <w:r w:rsidR="00B9271B">
        <w:fldChar w:fldCharType="begin" w:fldLock="1"/>
      </w:r>
      <w:r w:rsidR="00470BA2">
        <w:instrText>ADDIN CSL_CITATION {"citationItems":[{"id":"ITEM-1","itemData":{"DOI":"10.1136/bmjopen-2020-038474","ISSN":"20446055","PMID":"32690536","abstract":"INTRODUCTION: Insomnia frequently occurs in patients admitted to an intensive care unit (ICU). Sleep-promoting agents may reduce rapid eye movement sleep and have deliriogenic effects. Suvorexant (Belsomra) is an orexin receptor antagonist with Food and Drug Administration (FDA) approval for the treatment of adult insomnia, which improves sleep onset and maintenance as well as subjective measures of quality of sleep. This trial will evaluate the efficacy of postoperative oral suvorexant treatment on night-time wakefulness after persistent sleep onset as well as the incidence and duration of delirium among adult cardiac surgical patients. METHODS AND ANALYSIS: In this single-centre, randomised, double-blind, placebo-controlled trial, we will enrol 120 patients, aged 60 years or older, undergoing elective cardiac surgery with planned postoperative admission to the ICU. Participants will be randomised to receive oral suvorexant (20 mg) or placebo one time a day starting the night after extubation. The primary outcome will be wakefulness after persistent sleep onset. The secondary outcome will be total sleep time. Exploratory outcomes will include time to sleep onset, incidence of postoperative in-hospital delirium, number of delirium-free days and subjective sleep quality. ETHICS AND DISSEMINATION: Ethics approval was obtained through the 'Committee on Clinical Investigations' at Beth Israel Deaconess Medical Center (protocol number 2019P000759). The findings will be published in peer-reviewed journals. TRIAL REGISTRATION NUMBER: This trial has been registered at clinicaltrials.gov on 17 September 2019 (NCT04092894).","author":[{"dropping-particle":"","family":"Azimaraghi","given":"Omid","non-dropping-particle":"","parse-names":false,"suffix":""},{"dropping-particle":"","family":"Hammer","given":"Maximilian","non-dropping-particle":"","parse-names":false,"suffix":""},{"dropping-particle":"","family":"Santer","given":"Peter","non-dropping-particle":"","parse-names":false,"suffix":""},{"dropping-particle":"","family":"Platzbecker","given":"Katharina","non-dropping-particle":"","parse-names":false,"suffix":""},{"dropping-particle":"","family":"Althoff","given":"Friederike C.","non-dropping-particle":"","parse-names":false,"suffix":""},{"dropping-particle":"","family":"Patrocinio","given":"Maria","non-dropping-particle":"","parse-names":false,"suffix":""},{"dropping-particle":"","family":"Grabitz","given":"Stephanie D.","non-dropping-particle":"","parse-names":false,"suffix":""},{"dropping-particle":"","family":"Wongtangman","given":"Karuna","non-dropping-particle":"","parse-names":false,"suffix":""},{"dropping-particle":"","family":"Rumyantsev","given":"Sandra","non-dropping-particle":"","parse-names":false,"suffix":""},{"dropping-particle":"","family":"Xu","given":"Xinling","non-dropping-particle":"","parse-names":false,"suffix":""},{"dropping-particle":"","family":"Schaefer","given":"Maximilian S.","non-dropping-particle":"","parse-names":false,"suffix":""},{"dropping-particle":"","family":"Fuller","given":"Patrick M.","non-dropping-particle":"","parse-names":false,"suffix":""},{"dropping-particle":"","family":"Subramaniam","given":"Balachundhar","non-dropping-particle":"","parse-names":false,"suffix":""},{"dropping-particle":"","family":"Eikermann","given":"Matthias","non-dropping-particle":"","parse-names":false,"suffix":""}],"container-title":"BMJ open","id":"ITEM-1","issue":"7","issued":{"date-parts":[["2020"]]},"page":"e038474","title":"Study protocol for a randomised controlled trial evaluating the effects of the orexin receptor antagonist suvorexant on sleep architecture and delirium in the intensive care unit","type":"article-journal","volume":"10"},"uris":["http://www.mendeley.com/documents/?uuid=a38adf3e-b059-4bfb-90db-00381f299dc6"]}],"mendeley":{"formattedCitation":"(1)","plainTextFormattedCitation":"(1)","previouslyFormattedCitation":"(1)"},"properties":{"noteIndex":0},"schema":"https://github.com/citation-style-language/schema/raw/master/csl-citation.json"}</w:instrText>
      </w:r>
      <w:r w:rsidR="00B9271B">
        <w:fldChar w:fldCharType="separate"/>
      </w:r>
      <w:r w:rsidR="00B9271B" w:rsidRPr="00B9271B">
        <w:rPr>
          <w:noProof/>
        </w:rPr>
        <w:t>(1)</w:t>
      </w:r>
      <w:r w:rsidR="00B9271B">
        <w:fldChar w:fldCharType="end"/>
      </w:r>
      <w:r w:rsidRPr="00163051">
        <w:t>. The trial was registered prior to patient enrollment at clinicaltrials.gov (NCT04092894, Principal investigator: Matthias Eikermann, Date of registration: 09/17/2019</w:t>
      </w:r>
      <w:r w:rsidR="00D908E2">
        <w:t>,</w:t>
      </w:r>
      <w:r w:rsidR="007E1D58">
        <w:t xml:space="preserve"> </w:t>
      </w:r>
      <w:r w:rsidR="00D908E2">
        <w:t>Study Start (Actual) 2020-02-28</w:t>
      </w:r>
      <w:r w:rsidRPr="00163051">
        <w:t>).</w:t>
      </w:r>
    </w:p>
    <w:p w14:paraId="21295D87" w14:textId="4645020C" w:rsidR="00A74801" w:rsidRPr="00A74801" w:rsidRDefault="00A74801" w:rsidP="00D908E2">
      <w:pPr>
        <w:spacing w:line="240" w:lineRule="auto"/>
        <w:jc w:val="both"/>
      </w:pPr>
      <w:r w:rsidRPr="00DD796F">
        <w:rPr>
          <w:rFonts w:asciiTheme="majorBidi" w:hAnsiTheme="majorBidi" w:cstheme="majorBidi"/>
        </w:rPr>
        <w:t>The study was conducted in two cardiothoracic ICUs: a 20-bed cardiac ICU at Beth Israel Deaconess Medical Center and a 14-bed cardiac ICU at Montefiore Medical Center. The ICU rooms in which first-night sleep recordings were obtained were single-patient rooms. All EEG sleep recordings for the primary analysis were performed in these ICU rooms during the first postoperative night after extubation. Delirium assessments and subjective sleep questionnaires were also performed in the ICU while patients remained there; if patients were subsequently transferred out of the ICU, these follow-up assessments were continued in the cardiac step-down units, where patients were typically cared for in two-bed rooms. EEG sleep recordings, however, were limited to the first postoperative night in the ICU. The recordings were obtained under usual care conditions, including routine nocturnal nursing assessments and other clinical interventions, which were not standardized across rooms or centers.</w:t>
      </w:r>
    </w:p>
    <w:p w14:paraId="77B06035" w14:textId="4291001D" w:rsidR="00D46F6C" w:rsidRPr="0066401D" w:rsidRDefault="00D46F6C" w:rsidP="00291FB8">
      <w:pPr>
        <w:pStyle w:val="Heading1"/>
        <w:rPr>
          <w:rFonts w:asciiTheme="majorBidi" w:hAnsiTheme="majorBidi"/>
          <w:sz w:val="32"/>
          <w:szCs w:val="32"/>
        </w:rPr>
      </w:pPr>
      <w:bookmarkStart w:id="2" w:name="_Toc228451200"/>
      <w:r w:rsidRPr="0066401D">
        <w:rPr>
          <w:rFonts w:asciiTheme="majorBidi" w:hAnsiTheme="majorBidi"/>
          <w:sz w:val="32"/>
          <w:szCs w:val="32"/>
        </w:rPr>
        <w:t xml:space="preserve">S2 Study </w:t>
      </w:r>
      <w:r w:rsidR="00A86CA2" w:rsidRPr="0066401D">
        <w:rPr>
          <w:rFonts w:asciiTheme="majorBidi" w:hAnsiTheme="majorBidi"/>
          <w:sz w:val="32"/>
          <w:szCs w:val="32"/>
        </w:rPr>
        <w:t>participants</w:t>
      </w:r>
      <w:bookmarkEnd w:id="2"/>
      <w:r w:rsidRPr="0066401D">
        <w:rPr>
          <w:rFonts w:asciiTheme="majorBidi" w:hAnsiTheme="majorBidi"/>
          <w:sz w:val="32"/>
          <w:szCs w:val="32"/>
        </w:rPr>
        <w:t xml:space="preserve"> </w:t>
      </w:r>
    </w:p>
    <w:p w14:paraId="4A24A5A6" w14:textId="127E1432" w:rsidR="00D01F61" w:rsidRPr="00163051" w:rsidRDefault="00D01F61" w:rsidP="00163051">
      <w:pPr>
        <w:spacing w:line="240" w:lineRule="auto"/>
        <w:jc w:val="both"/>
        <w:rPr>
          <w:rFonts w:asciiTheme="majorBidi" w:hAnsiTheme="majorBidi" w:cstheme="majorBidi"/>
          <w:lang w:bidi="ar-SA"/>
        </w:rPr>
      </w:pPr>
      <w:r w:rsidRPr="00163051">
        <w:rPr>
          <w:rFonts w:asciiTheme="majorBidi" w:hAnsiTheme="majorBidi" w:cstheme="majorBidi"/>
          <w:lang w:bidi="ar-SA"/>
        </w:rPr>
        <w:t xml:space="preserve">Participants (age ≥ 60 years) admitted to the ICU after coronary artery bypass graft surgery with or without aortic and/ or mitral valve replacement between </w:t>
      </w:r>
      <w:r w:rsidR="00D908E2">
        <w:rPr>
          <w:rFonts w:asciiTheme="majorBidi" w:hAnsiTheme="majorBidi" w:cstheme="majorBidi"/>
          <w:lang w:bidi="ar-SA"/>
        </w:rPr>
        <w:t>February</w:t>
      </w:r>
      <w:r w:rsidR="00D908E2" w:rsidRPr="00163051">
        <w:rPr>
          <w:rFonts w:asciiTheme="majorBidi" w:hAnsiTheme="majorBidi" w:cstheme="majorBidi"/>
          <w:lang w:bidi="ar-SA"/>
        </w:rPr>
        <w:t xml:space="preserve"> </w:t>
      </w:r>
      <w:r w:rsidRPr="00163051">
        <w:rPr>
          <w:rFonts w:asciiTheme="majorBidi" w:hAnsiTheme="majorBidi" w:cstheme="majorBidi"/>
          <w:lang w:bidi="ar-SA"/>
        </w:rPr>
        <w:t>2020 and February 2025 were eligible for enrollment.</w:t>
      </w:r>
    </w:p>
    <w:p w14:paraId="3D077833" w14:textId="77777777" w:rsidR="00D01F61" w:rsidRPr="00163051" w:rsidRDefault="00D01F61" w:rsidP="00163051">
      <w:pPr>
        <w:spacing w:after="0" w:afterAutospacing="0" w:line="240" w:lineRule="auto"/>
        <w:jc w:val="both"/>
        <w:rPr>
          <w:rFonts w:asciiTheme="majorBidi" w:hAnsiTheme="majorBidi" w:cstheme="majorBidi"/>
          <w:lang w:bidi="ar-SA"/>
        </w:rPr>
      </w:pPr>
      <w:r w:rsidRPr="00163051">
        <w:rPr>
          <w:rFonts w:asciiTheme="majorBidi" w:hAnsiTheme="majorBidi" w:cstheme="majorBidi"/>
          <w:lang w:bidi="ar-SA"/>
        </w:rPr>
        <w:t>The exclusion criteria were the following</w:t>
      </w:r>
    </w:p>
    <w:p w14:paraId="2BA9C3D0" w14:textId="7E831A3F"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Severe cardio-vascular disorders (ejection fraction &lt;30%)</w:t>
      </w:r>
    </w:p>
    <w:p w14:paraId="1FDE91B5" w14:textId="4DAB6941"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Renal insufficiency (creatinine clearance &lt;30 mL/min or dialysis dependence)</w:t>
      </w:r>
    </w:p>
    <w:p w14:paraId="4556044B" w14:textId="2DD448EC"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Liver failure (Child- Pugh score &gt;6)</w:t>
      </w:r>
    </w:p>
    <w:p w14:paraId="1033DD65" w14:textId="107FFDC2" w:rsidR="00D01F61" w:rsidRPr="00163051" w:rsidRDefault="00D01F61" w:rsidP="00163051">
      <w:pPr>
        <w:pStyle w:val="ListParagraph"/>
        <w:numPr>
          <w:ilvl w:val="0"/>
          <w:numId w:val="3"/>
        </w:numPr>
        <w:spacing w:line="240" w:lineRule="auto"/>
        <w:jc w:val="both"/>
        <w:rPr>
          <w:rFonts w:asciiTheme="majorBidi" w:hAnsiTheme="majorBidi" w:cstheme="majorBidi"/>
          <w:lang w:val="fr-FR"/>
        </w:rPr>
      </w:pPr>
      <w:r w:rsidRPr="00163051">
        <w:rPr>
          <w:rFonts w:asciiTheme="majorBidi" w:hAnsiTheme="majorBidi" w:cstheme="majorBidi"/>
          <w:lang w:val="fr-FR"/>
        </w:rPr>
        <w:t xml:space="preserve">Coma (Richmond Agitation </w:t>
      </w:r>
      <w:proofErr w:type="spellStart"/>
      <w:r w:rsidRPr="00163051">
        <w:rPr>
          <w:rFonts w:asciiTheme="majorBidi" w:hAnsiTheme="majorBidi" w:cstheme="majorBidi"/>
          <w:lang w:val="fr-FR"/>
        </w:rPr>
        <w:t>Sedation</w:t>
      </w:r>
      <w:proofErr w:type="spellEnd"/>
      <w:r w:rsidRPr="00163051">
        <w:rPr>
          <w:rFonts w:asciiTheme="majorBidi" w:hAnsiTheme="majorBidi" w:cstheme="majorBidi"/>
          <w:lang w:val="fr-FR"/>
        </w:rPr>
        <w:t xml:space="preserve"> Scale (RASS) &lt;−1)</w:t>
      </w:r>
    </w:p>
    <w:p w14:paraId="2A9919C6" w14:textId="6418DED5"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Signs and symptoms of delirium and agitation at time of enrolment (confusion assessment method (CAM- ICU positive)</w:t>
      </w:r>
    </w:p>
    <w:p w14:paraId="75148D92" w14:textId="39C2FE50"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Psychiatric or neurological diseases (including chronic benzodiazepine use, bipolar disorder, psychotic disorder, post- traumatic stress disorder, the requirement of prophylactic psychiatric medication, evidence of acute depression on screening visit)</w:t>
      </w:r>
    </w:p>
    <w:p w14:paraId="6D1E6B8C" w14:textId="72009976"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Pre- existing cognitive impairment</w:t>
      </w:r>
    </w:p>
    <w:p w14:paraId="07624ACD" w14:textId="77777777"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Alzheimer disease</w:t>
      </w:r>
    </w:p>
    <w:p w14:paraId="18586B2D" w14:textId="77777777"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Parkinson’s disease</w:t>
      </w:r>
    </w:p>
    <w:p w14:paraId="501DA3A6" w14:textId="1C79E546"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Medications for cognitive decline</w:t>
      </w:r>
    </w:p>
    <w:p w14:paraId="5CFC0C53" w14:textId="1D52FB7A"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History of recent seizures (within 1 year prior to visit)</w:t>
      </w:r>
    </w:p>
    <w:p w14:paraId="5963C870" w14:textId="1C97CC1F"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Alcoholism or documented history of alcohol abuse</w:t>
      </w:r>
    </w:p>
    <w:p w14:paraId="6D4DF054" w14:textId="3DC417A6"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lastRenderedPageBreak/>
        <w:t>Narcolepsy</w:t>
      </w:r>
    </w:p>
    <w:p w14:paraId="1C239B7B" w14:textId="7F149572"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Severe sleep apnea requiring home continuous positive airway pressure (CPAP) treatment</w:t>
      </w:r>
    </w:p>
    <w:p w14:paraId="13630A7E" w14:textId="0F268AE9"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Morbid obesity (body mass index (BMI) &gt;40)</w:t>
      </w:r>
    </w:p>
    <w:p w14:paraId="0A863AB4" w14:textId="5EBC36FD"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Known hypersensitivity to study medications</w:t>
      </w:r>
    </w:p>
    <w:p w14:paraId="440AAC28" w14:textId="7574524D" w:rsidR="00D01F61" w:rsidRPr="00163051" w:rsidRDefault="00D01F61" w:rsidP="00163051">
      <w:pPr>
        <w:pStyle w:val="ListParagraph"/>
        <w:numPr>
          <w:ilvl w:val="0"/>
          <w:numId w:val="3"/>
        </w:numPr>
        <w:spacing w:line="240" w:lineRule="auto"/>
        <w:jc w:val="both"/>
        <w:rPr>
          <w:rFonts w:asciiTheme="majorBidi" w:hAnsiTheme="majorBidi" w:cstheme="majorBidi"/>
        </w:rPr>
      </w:pPr>
      <w:r w:rsidRPr="00163051">
        <w:rPr>
          <w:rFonts w:asciiTheme="majorBidi" w:hAnsiTheme="majorBidi" w:cstheme="majorBidi"/>
        </w:rPr>
        <w:t>English language limitations</w:t>
      </w:r>
    </w:p>
    <w:p w14:paraId="2180DFF4" w14:textId="4454BDFA" w:rsidR="00E85B02" w:rsidRDefault="006F5C7A" w:rsidP="00163051">
      <w:pPr>
        <w:spacing w:line="240" w:lineRule="auto"/>
        <w:jc w:val="both"/>
        <w:rPr>
          <w:rFonts w:asciiTheme="majorBidi" w:hAnsiTheme="majorBidi" w:cstheme="majorBidi"/>
        </w:rPr>
      </w:pPr>
      <w:r w:rsidRPr="00163051">
        <w:rPr>
          <w:rFonts w:asciiTheme="majorBidi" w:hAnsiTheme="majorBidi" w:cstheme="majorBidi"/>
        </w:rPr>
        <w:t xml:space="preserve">After enrollment the night before surgery, 11 patients were excluded prior to randomization </w:t>
      </w:r>
      <w:r w:rsidR="002C7D9E">
        <w:rPr>
          <w:rFonts w:asciiTheme="majorBidi" w:hAnsiTheme="majorBidi" w:cstheme="majorBidi"/>
        </w:rPr>
        <w:t>due to</w:t>
      </w:r>
      <w:r w:rsidRPr="00163051">
        <w:rPr>
          <w:rFonts w:asciiTheme="majorBidi" w:hAnsiTheme="majorBidi" w:cstheme="majorBidi"/>
        </w:rPr>
        <w:t xml:space="preserve"> postoperative pulmonary complication</w:t>
      </w:r>
      <w:r w:rsidR="00D908E2">
        <w:rPr>
          <w:rFonts w:asciiTheme="majorBidi" w:hAnsiTheme="majorBidi" w:cstheme="majorBidi"/>
        </w:rPr>
        <w:t>s</w:t>
      </w:r>
      <w:r w:rsidRPr="00163051">
        <w:rPr>
          <w:rFonts w:asciiTheme="majorBidi" w:hAnsiTheme="majorBidi" w:cstheme="majorBidi"/>
        </w:rPr>
        <w:t xml:space="preserve"> (</w:t>
      </w:r>
      <w:r w:rsidR="00D20145">
        <w:rPr>
          <w:rFonts w:asciiTheme="majorBidi" w:hAnsiTheme="majorBidi" w:cstheme="majorBidi"/>
        </w:rPr>
        <w:t>n=</w:t>
      </w:r>
      <w:r w:rsidRPr="00163051">
        <w:rPr>
          <w:rFonts w:asciiTheme="majorBidi" w:hAnsiTheme="majorBidi" w:cstheme="majorBidi"/>
        </w:rPr>
        <w:t>7), patient withdrawal (</w:t>
      </w:r>
      <w:r w:rsidR="00D20145">
        <w:rPr>
          <w:rFonts w:asciiTheme="majorBidi" w:hAnsiTheme="majorBidi" w:cstheme="majorBidi"/>
        </w:rPr>
        <w:t>n=</w:t>
      </w:r>
      <w:r w:rsidRPr="00163051">
        <w:rPr>
          <w:rFonts w:asciiTheme="majorBidi" w:hAnsiTheme="majorBidi" w:cstheme="majorBidi"/>
        </w:rPr>
        <w:t>3), and massive intraoperative hemorrhage (</w:t>
      </w:r>
      <w:r w:rsidR="00D20145">
        <w:rPr>
          <w:rFonts w:asciiTheme="majorBidi" w:hAnsiTheme="majorBidi" w:cstheme="majorBidi"/>
        </w:rPr>
        <w:t>n=</w:t>
      </w:r>
      <w:r w:rsidRPr="00163051">
        <w:rPr>
          <w:rFonts w:asciiTheme="majorBidi" w:hAnsiTheme="majorBidi" w:cstheme="majorBidi"/>
        </w:rPr>
        <w:t>1). 100 patients were randomized</w:t>
      </w:r>
      <w:r w:rsidR="002C7D9E">
        <w:rPr>
          <w:rFonts w:asciiTheme="majorBidi" w:hAnsiTheme="majorBidi" w:cstheme="majorBidi"/>
        </w:rPr>
        <w:t>;</w:t>
      </w:r>
      <w:r w:rsidRPr="00163051">
        <w:rPr>
          <w:rFonts w:asciiTheme="majorBidi" w:hAnsiTheme="majorBidi" w:cstheme="majorBidi"/>
        </w:rPr>
        <w:t xml:space="preserve"> 47 patients in each group received study medication for at least one night. </w:t>
      </w:r>
    </w:p>
    <w:p w14:paraId="18B524A8" w14:textId="77777777" w:rsidR="00620118" w:rsidRPr="00620118" w:rsidRDefault="00620118" w:rsidP="00620118">
      <w:pPr>
        <w:spacing w:line="240" w:lineRule="auto"/>
        <w:rPr>
          <w:rFonts w:asciiTheme="majorBidi" w:hAnsiTheme="majorBidi" w:cstheme="majorBidi"/>
        </w:rPr>
      </w:pPr>
      <w:r w:rsidRPr="00620118">
        <w:rPr>
          <w:rFonts w:asciiTheme="majorBidi" w:hAnsiTheme="majorBidi" w:cstheme="majorBidi"/>
        </w:rPr>
        <w:t xml:space="preserve">Post-randomization losses of the primary outcome fell into 2 broad categories. </w:t>
      </w:r>
    </w:p>
    <w:p w14:paraId="784BFADF" w14:textId="77777777" w:rsidR="00620118" w:rsidRPr="00620118" w:rsidRDefault="00620118" w:rsidP="00620118">
      <w:pPr>
        <w:spacing w:line="240" w:lineRule="auto"/>
        <w:rPr>
          <w:rFonts w:asciiTheme="majorBidi" w:hAnsiTheme="majorBidi" w:cstheme="majorBidi"/>
        </w:rPr>
      </w:pPr>
      <w:r w:rsidRPr="00DD796F">
        <w:rPr>
          <w:rFonts w:asciiTheme="majorBidi" w:hAnsiTheme="majorBidi" w:cstheme="majorBidi"/>
          <w:b/>
          <w:bCs/>
        </w:rPr>
        <w:t>Primary exclusion (no medication received):</w:t>
      </w:r>
      <w:r w:rsidRPr="00620118">
        <w:rPr>
          <w:rFonts w:asciiTheme="majorBidi" w:hAnsiTheme="majorBidi" w:cstheme="majorBidi"/>
        </w:rPr>
        <w:t xml:space="preserve"> Six randomized patients did not receive the study medication for the following reasons: three patients declined the medication after surgery; the primary surgeon requested withholding the medication for one patient; and two patients had fluctuating RASS scores of −1 to −2 after extubation, leading to a decision not to administer the medication after discussion with the principal investigator. </w:t>
      </w:r>
    </w:p>
    <w:p w14:paraId="146822E6" w14:textId="15E445E9" w:rsidR="00620118" w:rsidRDefault="00620118" w:rsidP="00620118">
      <w:pPr>
        <w:spacing w:line="240" w:lineRule="auto"/>
        <w:jc w:val="both"/>
        <w:rPr>
          <w:rFonts w:asciiTheme="majorBidi" w:hAnsiTheme="majorBidi" w:cstheme="majorBidi"/>
        </w:rPr>
      </w:pPr>
      <w:r w:rsidRPr="00DD796F">
        <w:rPr>
          <w:rFonts w:asciiTheme="majorBidi" w:hAnsiTheme="majorBidi" w:cstheme="majorBidi"/>
          <w:b/>
          <w:bCs/>
        </w:rPr>
        <w:t xml:space="preserve">Secondary exclusion (medication received): </w:t>
      </w:r>
      <w:r w:rsidRPr="00620118">
        <w:rPr>
          <w:rFonts w:asciiTheme="majorBidi" w:hAnsiTheme="majorBidi" w:cstheme="majorBidi"/>
        </w:rPr>
        <w:t>Sixteen additional randomized patients were excluded from the primary analysis due to loss of analyzable EEG data for the following reasons: technical acquisition failure, unreadable, corrupted, or non-convertible EDF files, or premature electrode removal resulting in insufficient overnight data for valid sleep-stage scoring. However, under the intention-to-treat principle, data from 83 patients were available for the RCSQ analysis, and all randomized patients were included in the delirium analysis.</w:t>
      </w:r>
    </w:p>
    <w:p w14:paraId="35B21A74" w14:textId="0AA5FDEA" w:rsidR="002C7D9E" w:rsidRPr="0066401D" w:rsidRDefault="002C7D9E" w:rsidP="00291FB8">
      <w:pPr>
        <w:pStyle w:val="Heading1"/>
        <w:rPr>
          <w:rFonts w:asciiTheme="majorBidi" w:hAnsiTheme="majorBidi"/>
          <w:sz w:val="32"/>
          <w:szCs w:val="32"/>
        </w:rPr>
      </w:pPr>
      <w:bookmarkStart w:id="3" w:name="_Toc228451201"/>
      <w:r w:rsidRPr="0066401D">
        <w:rPr>
          <w:rFonts w:asciiTheme="majorBidi" w:hAnsiTheme="majorBidi"/>
          <w:sz w:val="32"/>
          <w:szCs w:val="32"/>
        </w:rPr>
        <w:t>S3 Study intervention</w:t>
      </w:r>
      <w:bookmarkEnd w:id="3"/>
    </w:p>
    <w:p w14:paraId="38B6EBD1" w14:textId="77777777" w:rsidR="002C7D9E" w:rsidRPr="002C7D9E" w:rsidRDefault="002C7D9E" w:rsidP="002C7D9E">
      <w:pPr>
        <w:spacing w:line="240" w:lineRule="auto"/>
        <w:rPr>
          <w:rFonts w:asciiTheme="majorBidi" w:hAnsiTheme="majorBidi" w:cstheme="majorBidi"/>
        </w:rPr>
      </w:pPr>
      <w:r w:rsidRPr="002C7D9E">
        <w:rPr>
          <w:rFonts w:asciiTheme="majorBidi" w:hAnsiTheme="majorBidi" w:cstheme="majorBidi"/>
        </w:rPr>
        <w:t>Patient eligibility was assessed and informed consent was obtained, preoperatively. After postoperative extubation, patients were randomly assigned into a 1:1 ratio to receive either suvorexant 20 mg or placebo. This process was performed by an investigator who did not have other roles in patient enrollment or management. All other investigators, patients, attending physicians, and the nurses were blinded to the study assignment. At each center the study drug (suvorexant 20 mg or placebo) was prepared by pharmacists, who were not involved in this study. Study drugs were packaged in identically shaped containers labeled with sequential numbers according to the randomization table order.</w:t>
      </w:r>
    </w:p>
    <w:p w14:paraId="4FB67739" w14:textId="5C817F60" w:rsidR="002C7D9E" w:rsidRPr="00163051" w:rsidRDefault="002C7D9E" w:rsidP="002C7D9E">
      <w:pPr>
        <w:spacing w:line="240" w:lineRule="auto"/>
        <w:jc w:val="both"/>
        <w:rPr>
          <w:rFonts w:asciiTheme="majorBidi" w:hAnsiTheme="majorBidi" w:cstheme="majorBidi"/>
        </w:rPr>
      </w:pPr>
      <w:r w:rsidRPr="002C7D9E">
        <w:rPr>
          <w:rFonts w:asciiTheme="majorBidi" w:hAnsiTheme="majorBidi" w:cstheme="majorBidi"/>
        </w:rPr>
        <w:tab/>
        <w:t>The study medication was administered orally between 9-10 PM after extubation until seven consecutive doses or until any of the following occurred: hospital discharge, ICU discharge if signs of airway obstruction were observed during sleep in the ICU, or inhibitors of CYP3A were co-administered. Rescue medications were the following: low-dose melatonin and a low-dose benzodiazepine for sleeplessness, haloperidol for agitation, and oxycodone for pain control.</w:t>
      </w:r>
    </w:p>
    <w:p w14:paraId="43E16516" w14:textId="398D9E49" w:rsidR="00A86CA2" w:rsidRPr="00163051" w:rsidRDefault="00D46F6C" w:rsidP="00163051">
      <w:pPr>
        <w:pStyle w:val="Heading1"/>
        <w:spacing w:line="240" w:lineRule="auto"/>
        <w:jc w:val="both"/>
        <w:rPr>
          <w:rFonts w:asciiTheme="majorBidi" w:hAnsiTheme="majorBidi"/>
          <w:sz w:val="32"/>
          <w:szCs w:val="32"/>
        </w:rPr>
      </w:pPr>
      <w:bookmarkStart w:id="4" w:name="_Toc228451202"/>
      <w:r w:rsidRPr="00163051">
        <w:rPr>
          <w:rFonts w:asciiTheme="majorBidi" w:hAnsiTheme="majorBidi"/>
          <w:sz w:val="32"/>
          <w:szCs w:val="32"/>
        </w:rPr>
        <w:lastRenderedPageBreak/>
        <w:t>S</w:t>
      </w:r>
      <w:r w:rsidR="00291FB8">
        <w:rPr>
          <w:rFonts w:asciiTheme="majorBidi" w:hAnsiTheme="majorBidi"/>
          <w:sz w:val="32"/>
          <w:szCs w:val="32"/>
        </w:rPr>
        <w:t>4</w:t>
      </w:r>
      <w:r w:rsidRPr="00163051">
        <w:rPr>
          <w:rFonts w:asciiTheme="majorBidi" w:hAnsiTheme="majorBidi"/>
          <w:sz w:val="32"/>
          <w:szCs w:val="32"/>
        </w:rPr>
        <w:t xml:space="preserve"> </w:t>
      </w:r>
      <w:r w:rsidR="00A86CA2" w:rsidRPr="00163051">
        <w:rPr>
          <w:rFonts w:asciiTheme="majorBidi" w:hAnsiTheme="majorBidi"/>
          <w:sz w:val="32"/>
          <w:szCs w:val="32"/>
        </w:rPr>
        <w:t>Study outcomes</w:t>
      </w:r>
      <w:bookmarkEnd w:id="4"/>
    </w:p>
    <w:p w14:paraId="4B871608" w14:textId="5FDFAA31" w:rsidR="00D46F6C" w:rsidRPr="0066401D" w:rsidRDefault="00D46F6C" w:rsidP="00163051">
      <w:pPr>
        <w:pStyle w:val="Heading2"/>
        <w:spacing w:line="240" w:lineRule="auto"/>
        <w:jc w:val="both"/>
        <w:rPr>
          <w:rFonts w:asciiTheme="majorBidi" w:hAnsiTheme="majorBidi"/>
          <w:sz w:val="24"/>
          <w:szCs w:val="24"/>
        </w:rPr>
      </w:pPr>
      <w:r w:rsidRPr="0066401D">
        <w:rPr>
          <w:rFonts w:asciiTheme="majorBidi" w:hAnsiTheme="majorBidi"/>
          <w:sz w:val="24"/>
          <w:szCs w:val="24"/>
        </w:rPr>
        <w:t xml:space="preserve"> </w:t>
      </w:r>
      <w:bookmarkStart w:id="5" w:name="_Toc228451203"/>
      <w:r w:rsidR="00A86CA2" w:rsidRPr="0066401D">
        <w:rPr>
          <w:rFonts w:asciiTheme="majorBidi" w:hAnsiTheme="majorBidi"/>
          <w:sz w:val="24"/>
          <w:szCs w:val="24"/>
        </w:rPr>
        <w:t>S</w:t>
      </w:r>
      <w:r w:rsidR="00C92D7E" w:rsidRPr="0066401D">
        <w:rPr>
          <w:rFonts w:asciiTheme="majorBidi" w:hAnsiTheme="majorBidi"/>
          <w:sz w:val="24"/>
          <w:szCs w:val="24"/>
        </w:rPr>
        <w:t>4</w:t>
      </w:r>
      <w:r w:rsidR="00A86CA2" w:rsidRPr="0066401D">
        <w:rPr>
          <w:rFonts w:asciiTheme="majorBidi" w:hAnsiTheme="majorBidi"/>
          <w:sz w:val="24"/>
          <w:szCs w:val="24"/>
        </w:rPr>
        <w:t>.1 EEG spectrograms</w:t>
      </w:r>
      <w:bookmarkEnd w:id="5"/>
    </w:p>
    <w:p w14:paraId="32A11EF9" w14:textId="5E7DFCB9" w:rsidR="00E85B02" w:rsidRPr="00163051" w:rsidRDefault="4DE9F4C0" w:rsidP="00163051">
      <w:pPr>
        <w:spacing w:before="240" w:beforeAutospacing="0" w:after="240" w:afterAutospacing="0" w:line="240" w:lineRule="auto"/>
        <w:jc w:val="both"/>
        <w:rPr>
          <w:rFonts w:asciiTheme="majorBidi" w:hAnsiTheme="majorBidi" w:cstheme="majorBidi"/>
        </w:rPr>
      </w:pPr>
      <w:r w:rsidRPr="00163051">
        <w:rPr>
          <w:rFonts w:asciiTheme="majorBidi" w:eastAsia="Times New Roman" w:hAnsiTheme="majorBidi" w:cstheme="majorBidi"/>
        </w:rPr>
        <w:t>Continuous overnight EEG recordings were obtained from patients in the intensive care unit (ICU) using the SedLine® Brain Function Monitor (Masimo Corp., Irvine, CA). The monitor provides a four-channel frontal montage (Fp1, Fp2, F7, F8) referenced to a midline electrode, sampled at 250 Hz. Data were exported in European Data Format (EDF) files for offline analysis. Each file contained a full night (typically 6–10 hours) of continuous EEG data along with metadata on channel configuration and impedance.</w:t>
      </w:r>
      <w:r w:rsidR="00C92D7E">
        <w:rPr>
          <w:rFonts w:asciiTheme="majorBidi" w:eastAsia="Times New Roman" w:hAnsiTheme="majorBidi" w:cstheme="majorBidi"/>
        </w:rPr>
        <w:t xml:space="preserve"> </w:t>
      </w:r>
      <w:r w:rsidR="00C92D7E" w:rsidRPr="3ED96AC5">
        <w:rPr>
          <w:rFonts w:asciiTheme="majorBidi" w:hAnsiTheme="majorBidi" w:cstheme="majorBidi"/>
        </w:rPr>
        <w:t>The measurements were started before the initiation of study medication and continuously recorded until 6:00. The onset of sleep was defined as REM or non- REM stages 1, 2, 3 on the EEG as the first 30 seconds epoch after lights off. Wakefulness was defined as an awake period of 30 s or longer.</w:t>
      </w:r>
    </w:p>
    <w:p w14:paraId="57EEEA1A" w14:textId="3CF48C72" w:rsidR="002C7D9E" w:rsidRDefault="4DE9F4C0" w:rsidP="002C7D9E">
      <w:pPr>
        <w:spacing w:before="240" w:beforeAutospacing="0" w:after="0" w:afterAutospacing="0" w:line="240" w:lineRule="auto"/>
        <w:jc w:val="both"/>
        <w:rPr>
          <w:rFonts w:asciiTheme="majorBidi" w:eastAsia="Times New Roman" w:hAnsiTheme="majorBidi" w:cstheme="majorBidi"/>
          <w:b/>
          <w:bCs/>
        </w:rPr>
      </w:pPr>
      <w:r w:rsidRPr="00163051">
        <w:rPr>
          <w:rFonts w:asciiTheme="majorBidi" w:eastAsia="Times New Roman" w:hAnsiTheme="majorBidi" w:cstheme="majorBidi"/>
          <w:b/>
          <w:bCs/>
        </w:rPr>
        <w:t>Spectrogram Computation</w:t>
      </w:r>
      <w:r w:rsidR="00470A02">
        <w:rPr>
          <w:rFonts w:asciiTheme="majorBidi" w:eastAsia="Times New Roman" w:hAnsiTheme="majorBidi" w:cstheme="majorBidi"/>
          <w:b/>
          <w:bCs/>
        </w:rPr>
        <w:t xml:space="preserve"> and Visualization</w:t>
      </w:r>
    </w:p>
    <w:p w14:paraId="59820A79" w14:textId="77777777" w:rsidR="00470A02" w:rsidRDefault="00470A02" w:rsidP="002C7D9E">
      <w:pPr>
        <w:spacing w:before="240" w:beforeAutospacing="0" w:after="0" w:afterAutospacing="0" w:line="240" w:lineRule="auto"/>
        <w:jc w:val="both"/>
        <w:rPr>
          <w:rFonts w:asciiTheme="majorBidi" w:hAnsiTheme="majorBidi" w:cstheme="majorBidi"/>
        </w:rPr>
      </w:pPr>
      <w:r w:rsidRPr="00470A02">
        <w:rPr>
          <w:rFonts w:asciiTheme="majorBidi" w:hAnsiTheme="majorBidi" w:cstheme="majorBidi"/>
        </w:rPr>
        <w:t xml:space="preserve">EDF files were imported into MATLAB (MathWorks, Natick, MA) using custom-built scripts. After exporting the full EEG recording from </w:t>
      </w:r>
      <w:proofErr w:type="spellStart"/>
      <w:r w:rsidRPr="00470A02">
        <w:rPr>
          <w:rFonts w:asciiTheme="majorBidi" w:hAnsiTheme="majorBidi" w:cstheme="majorBidi"/>
        </w:rPr>
        <w:t>Polyman</w:t>
      </w:r>
      <w:proofErr w:type="spellEnd"/>
      <w:r w:rsidRPr="00470A02">
        <w:rPr>
          <w:rFonts w:asciiTheme="majorBidi" w:hAnsiTheme="majorBidi" w:cstheme="majorBidi"/>
        </w:rPr>
        <w:t xml:space="preserve">, the EDF file was loaded into MATLAB, where the script extracted the EEG channel by vertically concatenating the EDF data segments and defined </w:t>
      </w:r>
      <w:proofErr w:type="spellStart"/>
      <w:r w:rsidRPr="00470A02">
        <w:rPr>
          <w:rFonts w:asciiTheme="majorBidi" w:hAnsiTheme="majorBidi" w:cstheme="majorBidi"/>
        </w:rPr>
        <w:t>multitaper</w:t>
      </w:r>
      <w:proofErr w:type="spellEnd"/>
      <w:r w:rsidRPr="00470A02">
        <w:rPr>
          <w:rFonts w:asciiTheme="majorBidi" w:hAnsiTheme="majorBidi" w:cstheme="majorBidi"/>
        </w:rPr>
        <w:t xml:space="preserve"> parameters (sampling rate, frequency range, and Slepian tapers). Time–frequency analysis was then performed using </w:t>
      </w:r>
      <w:proofErr w:type="spellStart"/>
      <w:r w:rsidRPr="00470A02">
        <w:rPr>
          <w:rFonts w:asciiTheme="majorBidi" w:hAnsiTheme="majorBidi" w:cstheme="majorBidi"/>
        </w:rPr>
        <w:t>Chronux’s</w:t>
      </w:r>
      <w:proofErr w:type="spellEnd"/>
      <w:r w:rsidRPr="00470A02">
        <w:rPr>
          <w:rFonts w:asciiTheme="majorBidi" w:hAnsiTheme="majorBidi" w:cstheme="majorBidi"/>
        </w:rPr>
        <w:t xml:space="preserve"> </w:t>
      </w:r>
      <w:proofErr w:type="spellStart"/>
      <w:r w:rsidRPr="00470A02">
        <w:rPr>
          <w:rFonts w:asciiTheme="majorBidi" w:hAnsiTheme="majorBidi" w:cstheme="majorBidi"/>
        </w:rPr>
        <w:t>mtspecgramc</w:t>
      </w:r>
      <w:proofErr w:type="spellEnd"/>
      <w:r w:rsidRPr="00470A02">
        <w:rPr>
          <w:rFonts w:asciiTheme="majorBidi" w:hAnsiTheme="majorBidi" w:cstheme="majorBidi"/>
        </w:rPr>
        <w:t xml:space="preserve"> function, which computes </w:t>
      </w:r>
      <w:proofErr w:type="spellStart"/>
      <w:r w:rsidRPr="00470A02">
        <w:rPr>
          <w:rFonts w:asciiTheme="majorBidi" w:hAnsiTheme="majorBidi" w:cstheme="majorBidi"/>
        </w:rPr>
        <w:t>multitaper</w:t>
      </w:r>
      <w:proofErr w:type="spellEnd"/>
      <w:r w:rsidRPr="00470A02">
        <w:rPr>
          <w:rFonts w:asciiTheme="majorBidi" w:hAnsiTheme="majorBidi" w:cstheme="majorBidi"/>
        </w:rPr>
        <w:t xml:space="preserve"> spectral estimates across short sliding windows. The resulting matrices of spectral power were converted to decibels and visualized using MATLAB’s </w:t>
      </w:r>
      <w:proofErr w:type="spellStart"/>
      <w:r w:rsidRPr="00470A02">
        <w:rPr>
          <w:rFonts w:asciiTheme="majorBidi" w:hAnsiTheme="majorBidi" w:cstheme="majorBidi"/>
        </w:rPr>
        <w:t>imagesc</w:t>
      </w:r>
      <w:proofErr w:type="spellEnd"/>
      <w:r w:rsidRPr="00470A02">
        <w:rPr>
          <w:rFonts w:asciiTheme="majorBidi" w:hAnsiTheme="majorBidi" w:cstheme="majorBidi"/>
        </w:rPr>
        <w:t xml:space="preserve"> function, with time on the x-axis, frequency on the y-axis, and color representing power. Standardized color limits, logarithmic scaling, and saved figure outputs were incorporated directly in the code to ensure consistent visualization. </w:t>
      </w:r>
    </w:p>
    <w:p w14:paraId="69045304" w14:textId="0B74776F" w:rsidR="00470A02" w:rsidRDefault="00470A02" w:rsidP="002C7D9E">
      <w:pPr>
        <w:spacing w:before="240" w:beforeAutospacing="0" w:after="0" w:afterAutospacing="0" w:line="240" w:lineRule="auto"/>
        <w:jc w:val="both"/>
        <w:rPr>
          <w:rFonts w:asciiTheme="majorBidi" w:hAnsiTheme="majorBidi" w:cstheme="majorBidi"/>
        </w:rPr>
      </w:pPr>
      <w:r w:rsidRPr="00470A02">
        <w:rPr>
          <w:rFonts w:asciiTheme="majorBidi" w:hAnsiTheme="majorBidi" w:cstheme="majorBidi"/>
        </w:rPr>
        <w:t xml:space="preserve">This </w:t>
      </w:r>
      <w:proofErr w:type="spellStart"/>
      <w:r w:rsidRPr="00470A02">
        <w:rPr>
          <w:rFonts w:asciiTheme="majorBidi" w:hAnsiTheme="majorBidi" w:cstheme="majorBidi"/>
        </w:rPr>
        <w:t>multitaper</w:t>
      </w:r>
      <w:proofErr w:type="spellEnd"/>
      <w:r w:rsidRPr="00470A02">
        <w:rPr>
          <w:rFonts w:asciiTheme="majorBidi" w:hAnsiTheme="majorBidi" w:cstheme="majorBidi"/>
        </w:rPr>
        <w:t xml:space="preserve"> approach provides improved spectral concentration and reduced variance retaining physiologic activity and allowing clear visualization of delta, theta, alpha, and beta rhythms. The resulting spectrograms depict overnight neurophysiologic dynamics, including transitions between behavioral states, emergence of slow-wave, and suppression patterns associated with sedation or environmental disturbances, </w:t>
      </w:r>
      <w:r w:rsidR="007426E7">
        <w:rPr>
          <w:rFonts w:asciiTheme="majorBidi" w:hAnsiTheme="majorBidi" w:cstheme="majorBidi"/>
        </w:rPr>
        <w:t xml:space="preserve">and </w:t>
      </w:r>
      <w:r w:rsidRPr="00470A02">
        <w:rPr>
          <w:rFonts w:asciiTheme="majorBidi" w:hAnsiTheme="majorBidi" w:cstheme="majorBidi"/>
        </w:rPr>
        <w:t>follow</w:t>
      </w:r>
      <w:r w:rsidR="007426E7">
        <w:rPr>
          <w:rFonts w:asciiTheme="majorBidi" w:hAnsiTheme="majorBidi" w:cstheme="majorBidi"/>
        </w:rPr>
        <w:t>s</w:t>
      </w:r>
      <w:r w:rsidRPr="00470A02">
        <w:rPr>
          <w:rFonts w:asciiTheme="majorBidi" w:hAnsiTheme="majorBidi" w:cstheme="majorBidi"/>
        </w:rPr>
        <w:t xml:space="preserve"> established methods for analyzing sleep architecture </w:t>
      </w:r>
      <w:r w:rsidR="00470BA2">
        <w:rPr>
          <w:rFonts w:asciiTheme="majorBidi" w:eastAsia="Times New Roman" w:hAnsiTheme="majorBidi" w:cstheme="majorBidi"/>
        </w:rPr>
        <w:fldChar w:fldCharType="begin" w:fldLock="1"/>
      </w:r>
      <w:r w:rsidR="00470BA2">
        <w:rPr>
          <w:rFonts w:asciiTheme="majorBidi" w:eastAsia="Times New Roman" w:hAnsiTheme="majorBidi" w:cstheme="majorBidi"/>
        </w:rPr>
        <w:instrText>ADDIN CSL_CITATION {"citationItems":[{"id":"ITEM-1","itemData":{"DOI":"10.1152/physiol.00062.2015","ISSN":"15489221","PMID":"27927806","abstract":"During sleep, cortical and subcortical structures within the brain engage in highly structured oscillatory dynamics that can be observed in the electroencephalogram (EEG). The ability to accurately describe changes in sleep state from these oscillations has thus been a major goal of sleep medicine. While numerous studies over the past 50 years have shown sleep to be a continuous, multifocal, dynamic process, long-standing clinical practice categorizes sleep EEG into discrete stages through visual inspection of 30-s epochs. By representing sleep as a coarsely discretized progression of stages, vital neurophysiological information on the dynamic interplay between sleep and arousal is lost. However, by using principled timefrequency spectral analysis methods, the rich dynamics of the sleep EEG are immediately visible— elegantly depicted and quantified at time scales ranging from a full night down to individual microevents. In this paper, we review the neurophysiology of sleep through this lens of dynamic spectral analysis. We begin by reviewing spectral estimation techniques traditionally used in sleep EEG analysis and introduce multitaper spectral analysis, a method that makes EEG spectral estimates clearer and more accurate than traditional approaches. Through the lens of the multitaper spectrogram, we review the oscillations and mechanisms underlying the traditional sleep stages. In doing so, we will demonstrate how multitaper spectral analysis makes the oscillatory structure of traditional sleep states instantaneously visible, closely paralleling the traditional hypnogram, but with a richness of information that suggests novel insights into the neural mechanisms of sleep, as well as novel clinical and research applications.","author":[{"dropping-particle":"","family":"Prerau","given":"Michael J.","non-dropping-particle":"","parse-names":false,"suffix":""},{"dropping-particle":"","family":"Brown","given":"Ritchie E.","non-dropping-particle":"","parse-names":false,"suffix":""},{"dropping-particle":"","family":"Bianchi","given":"Matt T.","non-dropping-particle":"","parse-names":false,"suffix":""},{"dropping-particle":"","family":"Ellenbogen","given":"Jeffrey M.","non-dropping-particle":"","parse-names":false,"suffix":""},{"dropping-particle":"","family":"Purdon","given":"Patrick L.","non-dropping-particle":"","parse-names":false,"suffix":""}],"container-title":"Physiology","id":"ITEM-1","issue":"1","issued":{"date-parts":[["2017"]]},"page":"60-92","title":"Sleep neurophysiological dynamics through the lens of multitaper spectral analysis","type":"article-journal","volume":"32"},"uris":["http://www.mendeley.com/documents/?uuid=3c7770b0-5ee1-4275-a8be-d7fb42e95c3e"]},{"id":"ITEM-2","itemData":{"ISSN":"0003-3022","abstract":"The authors review the neurophysiology of the electroencephalogram signatures of the anesthetics: propofol, dexmedetomidine, ketamine, sevoflurane, isoflurane, desflurane, and nitrous oxide. These signatures provide a neurophysiologically based paradigm for brain state monitoring of patients receiving anesthesia care.The widely used electroencephalogram-based indices for depth-of-anesthesia monitoring assume that the same index value defines the same level of unconsciousness for all anesthetics. In contrast, we show that different anesthetics act at different molecular targets and neural circuits to produce distinct brain states that are readily visible in the electroencephalogram. We present a two-part review to educate anesthesiologists on use of the unprocessed electroencephalogram and its spectrogram to track the brain states of patients receiving anesthesia care. Here in part I, we review the biophysics of the electroencephalogram and the neurophysiology of the electroencephalogram signatures of three intravenous anesthetics: propofol, dexmedetomidine, and ketamine, and four inhaled anesthetics: sevoflurane, isoflurane, desflurane, and nitrous oxide. Later in part II, we discuss patient management using these electroencephalogram signatures. Use of these electroencephalogram signatures suggests a neurophysiologically based paradigm for brain state monitoring of patients receiving anesthesia care.","author":[{"dropping-particle":"","family":"Purdon","given":"Patrick L","non-dropping-particle":"","parse-names":false,"suffix":""},{"dropping-particle":"","family":"Sampson","given":"Aaron","non-dropping-particle":"","parse-names":false,"suffix":""},{"dropping-particle":"","family":"Pavone","given":"Kara J","non-dropping-particle":"","parse-names":false,"suffix":""},{"dropping-particle":"","family":"Brown","given":"Emery N","non-dropping-particle":"","parse-names":false,"suffix":""}],"container-title":"Anesthesiology","id":"ITEM-2","issue":"4","issued":{"date-parts":[["2015"]]},"page":"937-960","title":"Clinical Electroencephalography for Anesthesiologists: Part I: Background and Basic Signatures","type":"article-journal","volume":"123"},"uris":["http://www.mendeley.com/documents/?uuid=10c5aba1-7b87-4276-b096-76554ece8bbc"]}],"mendeley":{"formattedCitation":"(2, 3)","plainTextFormattedCitation":"(2, 3)","previouslyFormattedCitation":"(1, 2)"},"properties":{"noteIndex":0},"schema":"https://github.com/citation-style-language/schema/raw/master/csl-citation.json"}</w:instrText>
      </w:r>
      <w:r w:rsidR="00470BA2">
        <w:rPr>
          <w:rFonts w:asciiTheme="majorBidi" w:eastAsia="Times New Roman" w:hAnsiTheme="majorBidi" w:cstheme="majorBidi"/>
        </w:rPr>
        <w:fldChar w:fldCharType="separate"/>
      </w:r>
      <w:r w:rsidR="00470BA2" w:rsidRPr="00470BA2">
        <w:rPr>
          <w:rFonts w:asciiTheme="majorBidi" w:eastAsia="Times New Roman" w:hAnsiTheme="majorBidi" w:cstheme="majorBidi"/>
          <w:noProof/>
        </w:rPr>
        <w:t>(2, 3)</w:t>
      </w:r>
      <w:r w:rsidR="00470BA2">
        <w:rPr>
          <w:rFonts w:asciiTheme="majorBidi" w:eastAsia="Times New Roman" w:hAnsiTheme="majorBidi" w:cstheme="majorBidi"/>
        </w:rPr>
        <w:fldChar w:fldCharType="end"/>
      </w:r>
      <w:r w:rsidR="00470BA2">
        <w:rPr>
          <w:rFonts w:asciiTheme="majorBidi" w:eastAsia="Times New Roman" w:hAnsiTheme="majorBidi" w:cstheme="majorBidi"/>
        </w:rPr>
        <w:t>.</w:t>
      </w:r>
    </w:p>
    <w:p w14:paraId="744AB010" w14:textId="5929610F" w:rsidR="00A86CA2" w:rsidRPr="0066401D" w:rsidRDefault="00A86CA2" w:rsidP="00163051">
      <w:pPr>
        <w:pStyle w:val="Heading2"/>
        <w:spacing w:line="240" w:lineRule="auto"/>
        <w:jc w:val="both"/>
        <w:rPr>
          <w:rFonts w:asciiTheme="majorBidi" w:hAnsiTheme="majorBidi"/>
          <w:sz w:val="24"/>
          <w:szCs w:val="24"/>
        </w:rPr>
      </w:pPr>
      <w:bookmarkStart w:id="6" w:name="_Toc228451204"/>
      <w:r w:rsidRPr="0066401D">
        <w:rPr>
          <w:rFonts w:asciiTheme="majorBidi" w:hAnsiTheme="majorBidi"/>
          <w:sz w:val="24"/>
          <w:szCs w:val="24"/>
        </w:rPr>
        <w:t>S</w:t>
      </w:r>
      <w:r w:rsidR="007A5EA2" w:rsidRPr="0066401D">
        <w:rPr>
          <w:rFonts w:asciiTheme="majorBidi" w:hAnsiTheme="majorBidi"/>
          <w:sz w:val="24"/>
          <w:szCs w:val="24"/>
        </w:rPr>
        <w:t>4</w:t>
      </w:r>
      <w:r w:rsidRPr="0066401D">
        <w:rPr>
          <w:rFonts w:asciiTheme="majorBidi" w:hAnsiTheme="majorBidi"/>
          <w:sz w:val="24"/>
          <w:szCs w:val="24"/>
        </w:rPr>
        <w:t xml:space="preserve">.2 </w:t>
      </w:r>
      <w:r w:rsidR="00E85B02" w:rsidRPr="0066401D">
        <w:rPr>
          <w:rFonts w:asciiTheme="majorBidi" w:hAnsiTheme="majorBidi"/>
          <w:sz w:val="24"/>
          <w:szCs w:val="24"/>
        </w:rPr>
        <w:t>RCSQ</w:t>
      </w:r>
      <w:bookmarkEnd w:id="6"/>
    </w:p>
    <w:p w14:paraId="082A1826" w14:textId="4C6DC8E8" w:rsidR="00A86CA2" w:rsidRPr="00163051" w:rsidRDefault="006A09A5" w:rsidP="001A369F">
      <w:pPr>
        <w:spacing w:line="240" w:lineRule="auto"/>
        <w:jc w:val="both"/>
        <w:rPr>
          <w:rFonts w:asciiTheme="majorBidi" w:hAnsiTheme="majorBidi" w:cstheme="majorBidi"/>
          <w:lang w:bidi="ar-SA"/>
        </w:rPr>
      </w:pPr>
      <w:r w:rsidRPr="006A09A5">
        <w:rPr>
          <w:rFonts w:asciiTheme="majorBidi" w:hAnsiTheme="majorBidi" w:cstheme="majorBidi"/>
          <w:lang w:bidi="ar-SA"/>
        </w:rPr>
        <w:t xml:space="preserve">The Richards- Campbell Sleep Questionnaire (RCSQ) </w:t>
      </w:r>
      <w:r>
        <w:rPr>
          <w:rFonts w:asciiTheme="majorBidi" w:hAnsiTheme="majorBidi" w:cstheme="majorBidi"/>
          <w:lang w:bidi="ar-SA"/>
        </w:rPr>
        <w:t xml:space="preserve">was </w:t>
      </w:r>
      <w:r w:rsidR="007850A8">
        <w:rPr>
          <w:rFonts w:asciiTheme="majorBidi" w:hAnsiTheme="majorBidi" w:cstheme="majorBidi"/>
          <w:lang w:bidi="ar-SA"/>
        </w:rPr>
        <w:t xml:space="preserve">used </w:t>
      </w:r>
      <w:r w:rsidRPr="006A09A5">
        <w:rPr>
          <w:rFonts w:asciiTheme="majorBidi" w:hAnsiTheme="majorBidi" w:cstheme="majorBidi"/>
          <w:lang w:bidi="ar-SA"/>
        </w:rPr>
        <w:t xml:space="preserve">assessing </w:t>
      </w:r>
      <w:r>
        <w:rPr>
          <w:rFonts w:asciiTheme="majorBidi" w:hAnsiTheme="majorBidi" w:cstheme="majorBidi"/>
          <w:lang w:bidi="ar-SA"/>
        </w:rPr>
        <w:t xml:space="preserve">subjective </w:t>
      </w:r>
      <w:r w:rsidRPr="006A09A5">
        <w:rPr>
          <w:rFonts w:asciiTheme="majorBidi" w:hAnsiTheme="majorBidi" w:cstheme="majorBidi"/>
          <w:lang w:bidi="ar-SA"/>
        </w:rPr>
        <w:t>sleep quality based on a five- item, Visual Analogue Scale (each ranging from 0 (worst value) to 100 (best value)). The questionnaire evaluates perceptions of depth of sleep, sleep onset latency, number of awakenings, time spent awake and overall sleep quality</w:t>
      </w:r>
      <w:r w:rsidR="00327E6D">
        <w:rPr>
          <w:rFonts w:asciiTheme="majorBidi" w:hAnsiTheme="majorBidi" w:cstheme="majorBidi"/>
          <w:lang w:bidi="ar-SA"/>
        </w:rPr>
        <w:fldChar w:fldCharType="begin" w:fldLock="1"/>
      </w:r>
      <w:r w:rsidR="00470BA2">
        <w:rPr>
          <w:rFonts w:asciiTheme="majorBidi" w:hAnsiTheme="majorBidi" w:cstheme="majorBidi"/>
          <w:lang w:bidi="ar-SA"/>
        </w:rPr>
        <w:instrText>ADDIN CSL_CITATION {"citationItems":[{"id":"ITEM-1","itemData":{"DOI":"10.1186/cc5966","ISSN":"13648535","abstract":"UNLABELLED Sleep disturbances are common in critically ill patients and have been characterised by numerous studies using polysomnography. Issues regarding patient populations, monitoring duration and timing (nocturnal versus continuous), as well as practical problems encountered in critical care studies using polysomnography are considered with regard to future interventional studies on sleep. Polysomnography is the gold standard in objectively measuring the quality and quantity of sleep. However, it is difficult to undertake, particularly in patients recovering from critical illness in an acute-care area. Therefore, other objective (actigraphy and bispectral index) and subjective (nurse or patient assessment) methods have been used in other critical care studies. Each of these techniques has its own particular advantages and disadvantages. We use data from an interventional study to compare agreement between four of these alternative techniques in the measurement of nocturnal sleep quantity. Recommendations for further developments in sleep monitoring techniques for research and clinical application are made. Also, methodological problems in studies validating various sleep measurement techniques are explored. TRIAL REGISTRATION Current Controlled Trials ISRCTN47578325.","author":[{"dropping-particle":"","family":"Bourne","given":"Richard S.","non-dropping-particle":"","parse-names":false,"suffix":""},{"dropping-particle":"","family":"Minelli","given":"Cosetta","non-dropping-particle":"","parse-names":false,"suffix":""},{"dropping-particle":"","family":"Mills","given":"Gary H.","non-dropping-particle":"","parse-names":false,"suffix":""},{"dropping-particle":"","family":"Kandler","given":"Rosalind","non-dropping-particle":"","parse-names":false,"suffix":""}],"container-title":"Critical Care","id":"ITEM-1","issue":"4","issued":{"date-parts":[["2007","8","22"]]},"title":"Clinical review: Sleep measurement in critical care patients: Research and clinical implications","type":"article","volume":"11"},"uris":["http://www.mendeley.com/documents/?uuid=6687815c-1958-379f-8060-df028d698e0a"]}],"mendeley":{"formattedCitation":"(4)","plainTextFormattedCitation":"(4)","previouslyFormattedCitation":"(2)"},"properties":{"noteIndex":0},"schema":"https://github.com/citation-style-language/schema/raw/master/csl-citation.json"}</w:instrText>
      </w:r>
      <w:r w:rsidR="00327E6D">
        <w:rPr>
          <w:rFonts w:asciiTheme="majorBidi" w:hAnsiTheme="majorBidi" w:cstheme="majorBidi"/>
          <w:lang w:bidi="ar-SA"/>
        </w:rPr>
        <w:fldChar w:fldCharType="separate"/>
      </w:r>
      <w:r w:rsidR="00470BA2" w:rsidRPr="00470BA2">
        <w:rPr>
          <w:rFonts w:asciiTheme="majorBidi" w:hAnsiTheme="majorBidi" w:cstheme="majorBidi"/>
          <w:noProof/>
          <w:lang w:bidi="ar-SA"/>
        </w:rPr>
        <w:t>(4)</w:t>
      </w:r>
      <w:r w:rsidR="00327E6D">
        <w:rPr>
          <w:rFonts w:asciiTheme="majorBidi" w:hAnsiTheme="majorBidi" w:cstheme="majorBidi"/>
          <w:lang w:bidi="ar-SA"/>
        </w:rPr>
        <w:fldChar w:fldCharType="end"/>
      </w:r>
      <w:r w:rsidRPr="006A09A5">
        <w:rPr>
          <w:rFonts w:asciiTheme="majorBidi" w:hAnsiTheme="majorBidi" w:cstheme="majorBidi"/>
          <w:lang w:bidi="ar-SA"/>
        </w:rPr>
        <w:t>.</w:t>
      </w:r>
      <w:r>
        <w:rPr>
          <w:rFonts w:asciiTheme="majorBidi" w:hAnsiTheme="majorBidi" w:cstheme="majorBidi"/>
          <w:lang w:bidi="ar-SA"/>
        </w:rPr>
        <w:t xml:space="preserve"> </w:t>
      </w:r>
      <w:r w:rsidRPr="006A09A5">
        <w:rPr>
          <w:rFonts w:asciiTheme="majorBidi" w:hAnsiTheme="majorBidi" w:cstheme="majorBidi"/>
          <w:lang w:bidi="ar-SA"/>
        </w:rPr>
        <w:t xml:space="preserve">Patients </w:t>
      </w:r>
      <w:r w:rsidR="007A5EA2">
        <w:rPr>
          <w:rFonts w:asciiTheme="majorBidi" w:hAnsiTheme="majorBidi" w:cstheme="majorBidi"/>
          <w:lang w:bidi="ar-SA"/>
        </w:rPr>
        <w:t>were</w:t>
      </w:r>
      <w:r w:rsidRPr="006A09A5">
        <w:rPr>
          <w:rFonts w:asciiTheme="majorBidi" w:hAnsiTheme="majorBidi" w:cstheme="majorBidi"/>
          <w:lang w:bidi="ar-SA"/>
        </w:rPr>
        <w:t xml:space="preserve"> asked to complete a sleep questionnaire </w:t>
      </w:r>
      <w:r>
        <w:rPr>
          <w:rFonts w:asciiTheme="majorBidi" w:hAnsiTheme="majorBidi" w:cstheme="majorBidi"/>
          <w:lang w:bidi="ar-SA"/>
        </w:rPr>
        <w:t>every morning</w:t>
      </w:r>
      <w:r w:rsidRPr="006A09A5">
        <w:rPr>
          <w:rFonts w:asciiTheme="majorBidi" w:hAnsiTheme="majorBidi" w:cstheme="majorBidi"/>
          <w:lang w:bidi="ar-SA"/>
        </w:rPr>
        <w:t xml:space="preserve">. </w:t>
      </w:r>
      <w:r w:rsidR="007A5EA2">
        <w:rPr>
          <w:rFonts w:asciiTheme="majorBidi" w:hAnsiTheme="majorBidi" w:cstheme="majorBidi"/>
          <w:lang w:bidi="ar-SA"/>
        </w:rPr>
        <w:t xml:space="preserve">RCSQ questionnaire results were available </w:t>
      </w:r>
      <w:r w:rsidR="00881358">
        <w:rPr>
          <w:rFonts w:asciiTheme="majorBidi" w:hAnsiTheme="majorBidi" w:cstheme="majorBidi"/>
          <w:lang w:bidi="ar-SA"/>
        </w:rPr>
        <w:t xml:space="preserve">in 83 patients </w:t>
      </w:r>
      <w:r w:rsidR="007A5EA2">
        <w:rPr>
          <w:rFonts w:asciiTheme="majorBidi" w:hAnsiTheme="majorBidi" w:cstheme="majorBidi"/>
          <w:lang w:bidi="ar-SA"/>
        </w:rPr>
        <w:t xml:space="preserve">for a median (IQR) of 4 (2, 5) nights/ patients. </w:t>
      </w:r>
      <w:r w:rsidR="001A369F">
        <w:rPr>
          <w:rFonts w:asciiTheme="majorBidi" w:hAnsiTheme="majorBidi" w:cstheme="majorBidi"/>
          <w:lang w:bidi="ar-SA"/>
        </w:rPr>
        <w:t xml:space="preserve">Total RCSQ was calculated as a mean of 5 components. </w:t>
      </w:r>
      <w:r w:rsidR="00AC2EE0">
        <w:rPr>
          <w:rFonts w:asciiTheme="majorBidi" w:hAnsiTheme="majorBidi" w:cstheme="majorBidi"/>
          <w:lang w:bidi="ar-SA"/>
        </w:rPr>
        <w:t>Mean</w:t>
      </w:r>
      <w:r w:rsidR="00B26843">
        <w:rPr>
          <w:rFonts w:asciiTheme="majorBidi" w:hAnsiTheme="majorBidi" w:cstheme="majorBidi"/>
          <w:lang w:bidi="ar-SA"/>
        </w:rPr>
        <w:t xml:space="preserve"> (IQR)</w:t>
      </w:r>
      <w:r w:rsidR="007A5EA2">
        <w:rPr>
          <w:rFonts w:asciiTheme="majorBidi" w:hAnsiTheme="majorBidi" w:cstheme="majorBidi"/>
          <w:lang w:bidi="ar-SA"/>
        </w:rPr>
        <w:t xml:space="preserve"> </w:t>
      </w:r>
      <w:r w:rsidR="001A369F">
        <w:rPr>
          <w:rFonts w:asciiTheme="majorBidi" w:hAnsiTheme="majorBidi" w:cstheme="majorBidi"/>
          <w:lang w:bidi="ar-SA"/>
        </w:rPr>
        <w:t xml:space="preserve">total </w:t>
      </w:r>
      <w:r w:rsidR="007A5EA2">
        <w:rPr>
          <w:rFonts w:asciiTheme="majorBidi" w:hAnsiTheme="majorBidi" w:cstheme="majorBidi"/>
          <w:lang w:bidi="ar-SA"/>
        </w:rPr>
        <w:t>RCSQ</w:t>
      </w:r>
      <w:r w:rsidR="004B0B3D">
        <w:rPr>
          <w:rFonts w:asciiTheme="majorBidi" w:hAnsiTheme="majorBidi" w:cstheme="majorBidi"/>
          <w:lang w:bidi="ar-SA"/>
        </w:rPr>
        <w:t xml:space="preserve"> </w:t>
      </w:r>
      <w:r w:rsidR="00B26843">
        <w:rPr>
          <w:rFonts w:asciiTheme="majorBidi" w:hAnsiTheme="majorBidi" w:cstheme="majorBidi"/>
          <w:lang w:bidi="ar-SA"/>
        </w:rPr>
        <w:t xml:space="preserve">during the first </w:t>
      </w:r>
      <w:r w:rsidR="00B26843" w:rsidRPr="00AC2EE0">
        <w:rPr>
          <w:rFonts w:asciiTheme="majorBidi" w:hAnsiTheme="majorBidi" w:cstheme="majorBidi"/>
          <w:lang w:bidi="ar-SA"/>
        </w:rPr>
        <w:t xml:space="preserve">night assessment </w:t>
      </w:r>
      <w:r w:rsidR="001A369F" w:rsidRPr="00AC2EE0">
        <w:rPr>
          <w:rFonts w:asciiTheme="majorBidi" w:hAnsiTheme="majorBidi" w:cstheme="majorBidi"/>
          <w:lang w:bidi="ar-SA"/>
        </w:rPr>
        <w:t>was</w:t>
      </w:r>
      <w:r w:rsidR="00B26843" w:rsidRPr="00AC2EE0">
        <w:rPr>
          <w:rFonts w:asciiTheme="majorBidi" w:hAnsiTheme="majorBidi" w:cstheme="majorBidi"/>
          <w:lang w:bidi="ar-SA"/>
        </w:rPr>
        <w:t xml:space="preserve"> </w:t>
      </w:r>
      <w:r w:rsidR="00AC2EE0" w:rsidRPr="00AC2EE0">
        <w:rPr>
          <w:lang w:bidi="ar-SA"/>
        </w:rPr>
        <w:t>34.7 (24.1, 45.4) in the suvorexant group and 33.3 (22.7, 43.8</w:t>
      </w:r>
      <w:r w:rsidR="00AC2EE0" w:rsidRPr="00AC2EE0">
        <w:rPr>
          <w:lang w:bidi="ar-SA"/>
        </w:rPr>
        <w:t>)</w:t>
      </w:r>
      <w:r w:rsidR="001A369F" w:rsidRPr="00AC2EE0">
        <w:rPr>
          <w:rFonts w:asciiTheme="majorBidi" w:hAnsiTheme="majorBidi" w:cstheme="majorBidi"/>
          <w:lang w:bidi="ar-SA"/>
        </w:rPr>
        <w:t xml:space="preserve"> </w:t>
      </w:r>
      <w:r w:rsidR="00B26843" w:rsidRPr="00AC2EE0">
        <w:rPr>
          <w:rFonts w:asciiTheme="majorBidi" w:hAnsiTheme="majorBidi" w:cstheme="majorBidi"/>
          <w:lang w:bidi="ar-SA"/>
        </w:rPr>
        <w:t xml:space="preserve">in control </w:t>
      </w:r>
      <w:r w:rsidR="00B26843">
        <w:rPr>
          <w:rFonts w:asciiTheme="majorBidi" w:hAnsiTheme="majorBidi" w:cstheme="majorBidi"/>
          <w:lang w:bidi="ar-SA"/>
        </w:rPr>
        <w:t>group</w:t>
      </w:r>
      <w:r w:rsidR="007850A8">
        <w:rPr>
          <w:rFonts w:asciiTheme="majorBidi" w:hAnsiTheme="majorBidi" w:cstheme="majorBidi"/>
          <w:lang w:bidi="ar-SA"/>
        </w:rPr>
        <w:t xml:space="preserve"> (p=0.</w:t>
      </w:r>
      <w:r w:rsidR="001A369F">
        <w:rPr>
          <w:rFonts w:asciiTheme="majorBidi" w:hAnsiTheme="majorBidi" w:cstheme="majorBidi"/>
          <w:lang w:bidi="ar-SA"/>
        </w:rPr>
        <w:t>85</w:t>
      </w:r>
      <w:r w:rsidR="007850A8">
        <w:rPr>
          <w:rFonts w:asciiTheme="majorBidi" w:hAnsiTheme="majorBidi" w:cstheme="majorBidi"/>
          <w:lang w:bidi="ar-SA"/>
        </w:rPr>
        <w:t>)</w:t>
      </w:r>
      <w:r w:rsidR="00B26843">
        <w:rPr>
          <w:rFonts w:asciiTheme="majorBidi" w:hAnsiTheme="majorBidi" w:cstheme="majorBidi"/>
          <w:lang w:bidi="ar-SA"/>
        </w:rPr>
        <w:t>.</w:t>
      </w:r>
      <w:r w:rsidR="00BB41BD">
        <w:rPr>
          <w:rFonts w:asciiTheme="majorBidi" w:hAnsiTheme="majorBidi" w:cstheme="majorBidi"/>
          <w:lang w:bidi="ar-SA"/>
        </w:rPr>
        <w:t xml:space="preserve"> </w:t>
      </w:r>
      <w:r w:rsidR="00881358" w:rsidRPr="00881358">
        <w:rPr>
          <w:rFonts w:asciiTheme="majorBidi" w:hAnsiTheme="majorBidi" w:cstheme="majorBidi"/>
          <w:lang w:bidi="ar-SA"/>
        </w:rPr>
        <w:t xml:space="preserve">A repeated measures mixed linear model for repeated measurements were used to test for differences in the </w:t>
      </w:r>
      <w:r w:rsidR="00881358">
        <w:rPr>
          <w:rFonts w:asciiTheme="majorBidi" w:hAnsiTheme="majorBidi" w:cstheme="majorBidi"/>
          <w:lang w:bidi="ar-SA"/>
        </w:rPr>
        <w:t>me</w:t>
      </w:r>
      <w:r w:rsidR="001A369F">
        <w:rPr>
          <w:rFonts w:asciiTheme="majorBidi" w:hAnsiTheme="majorBidi" w:cstheme="majorBidi"/>
          <w:lang w:bidi="ar-SA"/>
        </w:rPr>
        <w:t>an</w:t>
      </w:r>
      <w:r w:rsidR="00881358">
        <w:rPr>
          <w:rFonts w:asciiTheme="majorBidi" w:hAnsiTheme="majorBidi" w:cstheme="majorBidi"/>
          <w:lang w:bidi="ar-SA"/>
        </w:rPr>
        <w:t xml:space="preserve"> RCSQ for each night</w:t>
      </w:r>
      <w:r w:rsidR="00881358" w:rsidRPr="00881358">
        <w:rPr>
          <w:rFonts w:asciiTheme="majorBidi" w:hAnsiTheme="majorBidi" w:cstheme="majorBidi"/>
          <w:lang w:bidi="ar-SA"/>
        </w:rPr>
        <w:t xml:space="preserve">. </w:t>
      </w:r>
    </w:p>
    <w:p w14:paraId="25363EBA" w14:textId="5063D94B" w:rsidR="00B32BCD" w:rsidRDefault="00B32BCD" w:rsidP="00163051">
      <w:pPr>
        <w:pStyle w:val="Heading1"/>
        <w:spacing w:line="240" w:lineRule="auto"/>
        <w:jc w:val="both"/>
        <w:rPr>
          <w:rFonts w:asciiTheme="majorBidi" w:hAnsiTheme="majorBidi"/>
          <w:sz w:val="32"/>
          <w:szCs w:val="32"/>
        </w:rPr>
      </w:pPr>
      <w:bookmarkStart w:id="7" w:name="_Toc228451205"/>
      <w:r w:rsidRPr="00163051">
        <w:rPr>
          <w:rFonts w:asciiTheme="majorBidi" w:hAnsiTheme="majorBidi"/>
          <w:sz w:val="32"/>
          <w:szCs w:val="32"/>
        </w:rPr>
        <w:t>S</w:t>
      </w:r>
      <w:r w:rsidR="0066401D">
        <w:rPr>
          <w:rFonts w:asciiTheme="majorBidi" w:hAnsiTheme="majorBidi"/>
          <w:sz w:val="32"/>
          <w:szCs w:val="32"/>
        </w:rPr>
        <w:t>5</w:t>
      </w:r>
      <w:r w:rsidRPr="00163051">
        <w:rPr>
          <w:rFonts w:asciiTheme="majorBidi" w:hAnsiTheme="majorBidi"/>
          <w:sz w:val="32"/>
          <w:szCs w:val="32"/>
        </w:rPr>
        <w:t xml:space="preserve"> Actiwatch Pilot Data</w:t>
      </w:r>
      <w:bookmarkEnd w:id="7"/>
    </w:p>
    <w:p w14:paraId="306773D1" w14:textId="48B17918" w:rsidR="00E05E0F" w:rsidRPr="00E05E0F" w:rsidRDefault="001D04E4" w:rsidP="001D04E4">
      <w:pPr>
        <w:spacing w:line="240" w:lineRule="auto"/>
        <w:jc w:val="both"/>
        <w:rPr>
          <w:lang w:bidi="ar-SA"/>
        </w:rPr>
      </w:pPr>
      <w:r>
        <w:rPr>
          <w:lang w:bidi="ar-SA"/>
        </w:rPr>
        <w:t xml:space="preserve">We used </w:t>
      </w:r>
      <w:r w:rsidRPr="001D04E4">
        <w:rPr>
          <w:lang w:bidi="ar-SA"/>
        </w:rPr>
        <w:t xml:space="preserve">an </w:t>
      </w:r>
      <w:proofErr w:type="spellStart"/>
      <w:r w:rsidRPr="001D04E4">
        <w:rPr>
          <w:lang w:bidi="ar-SA"/>
        </w:rPr>
        <w:t>actigraph</w:t>
      </w:r>
      <w:proofErr w:type="spellEnd"/>
      <w:r w:rsidRPr="001D04E4">
        <w:rPr>
          <w:lang w:bidi="ar-SA"/>
        </w:rPr>
        <w:t xml:space="preserve"> wrist- watch</w:t>
      </w:r>
      <w:r>
        <w:rPr>
          <w:lang w:bidi="ar-SA"/>
        </w:rPr>
        <w:t xml:space="preserve"> </w:t>
      </w:r>
      <w:r w:rsidRPr="26E2E1F2">
        <w:rPr>
          <w:rFonts w:asciiTheme="majorBidi" w:hAnsiTheme="majorBidi" w:cstheme="majorBidi"/>
        </w:rPr>
        <w:t>(</w:t>
      </w:r>
      <w:r>
        <w:rPr>
          <w:rFonts w:asciiTheme="majorBidi" w:hAnsiTheme="majorBidi" w:cstheme="majorBidi"/>
        </w:rPr>
        <w:t>Actiwatch, Phillips, NV, USA</w:t>
      </w:r>
      <w:r w:rsidRPr="26E2E1F2">
        <w:rPr>
          <w:rFonts w:asciiTheme="majorBidi" w:hAnsiTheme="majorBidi" w:cstheme="majorBidi"/>
        </w:rPr>
        <w:t>)</w:t>
      </w:r>
      <w:r>
        <w:rPr>
          <w:rFonts w:asciiTheme="majorBidi" w:hAnsiTheme="majorBidi" w:cstheme="majorBidi"/>
        </w:rPr>
        <w:t xml:space="preserve"> </w:t>
      </w:r>
      <w:r>
        <w:rPr>
          <w:lang w:bidi="ar-SA"/>
        </w:rPr>
        <w:t xml:space="preserve">to measure movements during the EEG monitoring in 6 patients in the pilot study. </w:t>
      </w:r>
      <w:r w:rsidR="00E05E0F" w:rsidRPr="00E05E0F">
        <w:rPr>
          <w:lang w:bidi="ar-SA"/>
        </w:rPr>
        <w:t xml:space="preserve">The data indicates that actigraphy cannot be used in the </w:t>
      </w:r>
      <w:r w:rsidR="00E05E0F" w:rsidRPr="00E05E0F">
        <w:rPr>
          <w:lang w:bidi="ar-SA"/>
        </w:rPr>
        <w:lastRenderedPageBreak/>
        <w:t>ICU for sleep scoring</w:t>
      </w:r>
      <w:r w:rsidR="007426E7">
        <w:rPr>
          <w:lang w:bidi="ar-SA"/>
        </w:rPr>
        <w:t xml:space="preserve"> after cardiac surgery.</w:t>
      </w:r>
      <w:r w:rsidR="00E05E0F" w:rsidRPr="00E05E0F">
        <w:rPr>
          <w:lang w:bidi="ar-SA"/>
        </w:rPr>
        <w:t xml:space="preserve"> </w:t>
      </w:r>
      <w:r w:rsidR="007426E7" w:rsidRPr="007426E7">
        <w:rPr>
          <w:lang w:bidi="ar-SA"/>
        </w:rPr>
        <w:t xml:space="preserve"> Post-operative patients frequently remain immobile despite being awake due to pain, sedation, delirium risk, or restricted mobility, and the device cannot differentiate between voluntary movements and passive movements caused by bedside nursing care or repositioning (</w:t>
      </w:r>
      <w:proofErr w:type="spellStart"/>
      <w:r w:rsidR="007426E7" w:rsidRPr="007426E7">
        <w:rPr>
          <w:lang w:bidi="ar-SA"/>
        </w:rPr>
        <w:t>SFigure</w:t>
      </w:r>
      <w:proofErr w:type="spellEnd"/>
      <w:r w:rsidR="007426E7" w:rsidRPr="007426E7">
        <w:rPr>
          <w:lang w:bidi="ar-SA"/>
        </w:rPr>
        <w:t xml:space="preserve"> 2). </w:t>
      </w:r>
      <w:r w:rsidR="007426E7">
        <w:rPr>
          <w:lang w:bidi="ar-SA"/>
        </w:rPr>
        <w:t>T</w:t>
      </w:r>
      <w:r w:rsidR="007426E7" w:rsidRPr="007426E7">
        <w:rPr>
          <w:lang w:bidi="ar-SA"/>
        </w:rPr>
        <w:t>he presence of arterial lines, and limitations related to radial artery harvesting during surgery further reduce wearable feasibility and contribute to signal misclassification. Collectively, these factors highlight that wrist actigraphy cannot be used for accurate sleep scoring in critically ill post-operative patients.</w:t>
      </w:r>
    </w:p>
    <w:p w14:paraId="5BDFFC11" w14:textId="3FF5D089" w:rsidR="00163051" w:rsidRDefault="00163051" w:rsidP="00163051">
      <w:pPr>
        <w:tabs>
          <w:tab w:val="clear" w:pos="720"/>
        </w:tabs>
        <w:spacing w:before="0" w:beforeAutospacing="0" w:after="160" w:afterAutospacing="0" w:line="240" w:lineRule="auto"/>
        <w:jc w:val="both"/>
        <w:rPr>
          <w:rFonts w:asciiTheme="majorBidi" w:hAnsiTheme="majorBidi" w:cstheme="majorBidi"/>
        </w:rPr>
      </w:pPr>
      <w:r w:rsidRPr="00163051">
        <w:rPr>
          <w:rFonts w:asciiTheme="majorBidi" w:hAnsiTheme="majorBidi" w:cstheme="majorBidi"/>
        </w:rPr>
        <w:br w:type="page"/>
      </w:r>
    </w:p>
    <w:p w14:paraId="6F551B3F" w14:textId="376C1F97" w:rsidR="0066401D" w:rsidRPr="0066401D" w:rsidRDefault="0066401D" w:rsidP="0066401D">
      <w:pPr>
        <w:pStyle w:val="Heading1"/>
        <w:rPr>
          <w:rFonts w:asciiTheme="majorBidi" w:hAnsiTheme="majorBidi"/>
          <w:sz w:val="32"/>
          <w:szCs w:val="32"/>
        </w:rPr>
      </w:pPr>
      <w:bookmarkStart w:id="8" w:name="_Toc228451206"/>
      <w:r w:rsidRPr="0066401D">
        <w:rPr>
          <w:rFonts w:asciiTheme="majorBidi" w:hAnsiTheme="majorBidi"/>
          <w:sz w:val="32"/>
          <w:szCs w:val="32"/>
        </w:rPr>
        <w:lastRenderedPageBreak/>
        <w:t>S6 Supplementary Table</w:t>
      </w:r>
      <w:bookmarkEnd w:id="8"/>
    </w:p>
    <w:p w14:paraId="19594F3B" w14:textId="77777777" w:rsidR="0066401D" w:rsidRPr="0066401D" w:rsidRDefault="0066401D" w:rsidP="0066401D">
      <w:pPr>
        <w:tabs>
          <w:tab w:val="clear" w:pos="720"/>
        </w:tabs>
        <w:spacing w:before="0" w:beforeAutospacing="0" w:after="0" w:afterAutospacing="0" w:line="240" w:lineRule="auto"/>
        <w:rPr>
          <w:rFonts w:eastAsia="Times New Roman"/>
          <w:color w:val="auto"/>
          <w:lang w:bidi="ar-SA"/>
        </w:rPr>
      </w:pPr>
    </w:p>
    <w:tbl>
      <w:tblPr>
        <w:tblW w:w="0" w:type="auto"/>
        <w:tblCellMar>
          <w:left w:w="0" w:type="dxa"/>
          <w:right w:w="0" w:type="dxa"/>
        </w:tblCellMar>
        <w:tblLook w:val="04A0" w:firstRow="1" w:lastRow="0" w:firstColumn="1" w:lastColumn="0" w:noHBand="0" w:noVBand="1"/>
      </w:tblPr>
      <w:tblGrid>
        <w:gridCol w:w="3330"/>
        <w:gridCol w:w="2610"/>
        <w:gridCol w:w="2150"/>
        <w:gridCol w:w="1260"/>
      </w:tblGrid>
      <w:tr w:rsidR="009C2237" w:rsidRPr="009C2237" w14:paraId="44557512" w14:textId="77777777" w:rsidTr="009C2237">
        <w:tc>
          <w:tcPr>
            <w:tcW w:w="9350" w:type="dxa"/>
            <w:gridSpan w:val="4"/>
            <w:tcBorders>
              <w:bottom w:val="single" w:sz="4" w:space="0" w:color="auto"/>
            </w:tcBorders>
            <w:tcMar>
              <w:top w:w="0" w:type="dxa"/>
              <w:left w:w="108" w:type="dxa"/>
              <w:bottom w:w="0" w:type="dxa"/>
              <w:right w:w="108" w:type="dxa"/>
            </w:tcMar>
          </w:tcPr>
          <w:p w14:paraId="26DB40E6" w14:textId="642D7FBD" w:rsidR="0066401D" w:rsidRPr="009C2237" w:rsidRDefault="009C2237" w:rsidP="009C2237">
            <w:pPr>
              <w:pStyle w:val="Heading2"/>
              <w:rPr>
                <w:rFonts w:asciiTheme="majorBidi" w:hAnsiTheme="majorBidi"/>
                <w:sz w:val="24"/>
                <w:szCs w:val="24"/>
              </w:rPr>
            </w:pPr>
            <w:bookmarkStart w:id="9" w:name="_Toc228451207"/>
            <w:proofErr w:type="spellStart"/>
            <w:r w:rsidRPr="009C2237">
              <w:rPr>
                <w:rFonts w:asciiTheme="majorBidi" w:hAnsiTheme="majorBidi"/>
                <w:sz w:val="24"/>
                <w:szCs w:val="24"/>
              </w:rPr>
              <w:t>STable</w:t>
            </w:r>
            <w:proofErr w:type="spellEnd"/>
            <w:r w:rsidRPr="009C2237">
              <w:rPr>
                <w:rFonts w:asciiTheme="majorBidi" w:hAnsiTheme="majorBidi"/>
                <w:sz w:val="24"/>
                <w:szCs w:val="24"/>
              </w:rPr>
              <w:t xml:space="preserve"> 1: Safety endpoint</w:t>
            </w:r>
            <w:bookmarkEnd w:id="9"/>
          </w:p>
        </w:tc>
      </w:tr>
      <w:tr w:rsidR="009C2237" w:rsidRPr="0066401D" w14:paraId="5E8BBCFF" w14:textId="77777777" w:rsidTr="009C2237">
        <w:tc>
          <w:tcPr>
            <w:tcW w:w="3330" w:type="dxa"/>
            <w:tcBorders>
              <w:top w:val="single" w:sz="4" w:space="0" w:color="auto"/>
              <w:left w:val="single" w:sz="8" w:space="0" w:color="auto"/>
              <w:bottom w:val="single" w:sz="4" w:space="0" w:color="auto"/>
            </w:tcBorders>
            <w:tcMar>
              <w:top w:w="0" w:type="dxa"/>
              <w:left w:w="108" w:type="dxa"/>
              <w:bottom w:w="0" w:type="dxa"/>
              <w:right w:w="108" w:type="dxa"/>
            </w:tcMar>
            <w:hideMark/>
          </w:tcPr>
          <w:p w14:paraId="124154C4" w14:textId="77777777" w:rsidR="0066401D" w:rsidRPr="0066401D" w:rsidRDefault="0066401D" w:rsidP="009C2237">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b/>
                <w:bCs/>
                <w:sz w:val="22"/>
                <w:szCs w:val="22"/>
                <w:lang w:bidi="ar-SA"/>
              </w:rPr>
              <w:t>Adverse event</w:t>
            </w:r>
          </w:p>
        </w:tc>
        <w:tc>
          <w:tcPr>
            <w:tcW w:w="2610" w:type="dxa"/>
            <w:tcBorders>
              <w:top w:val="single" w:sz="4" w:space="0" w:color="auto"/>
              <w:bottom w:val="single" w:sz="4" w:space="0" w:color="auto"/>
            </w:tcBorders>
            <w:tcMar>
              <w:top w:w="0" w:type="dxa"/>
              <w:left w:w="108" w:type="dxa"/>
              <w:bottom w:w="0" w:type="dxa"/>
              <w:right w:w="108" w:type="dxa"/>
            </w:tcMar>
            <w:hideMark/>
          </w:tcPr>
          <w:p w14:paraId="6F5D9DDF" w14:textId="77777777" w:rsidR="0066401D" w:rsidRPr="0066401D" w:rsidRDefault="0066401D" w:rsidP="009C2237">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b/>
                <w:bCs/>
                <w:sz w:val="22"/>
                <w:szCs w:val="22"/>
                <w:lang w:bidi="ar-SA"/>
              </w:rPr>
              <w:t>Suvorexant group</w:t>
            </w:r>
          </w:p>
          <w:p w14:paraId="757E5677" w14:textId="77777777" w:rsidR="0066401D" w:rsidRPr="0066401D" w:rsidRDefault="0066401D" w:rsidP="009C2237">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b/>
                <w:bCs/>
                <w:sz w:val="22"/>
                <w:szCs w:val="22"/>
                <w:lang w:bidi="ar-SA"/>
              </w:rPr>
              <w:t>(n=49)</w:t>
            </w:r>
          </w:p>
        </w:tc>
        <w:tc>
          <w:tcPr>
            <w:tcW w:w="2150" w:type="dxa"/>
            <w:tcBorders>
              <w:top w:val="single" w:sz="4" w:space="0" w:color="auto"/>
              <w:bottom w:val="single" w:sz="4" w:space="0" w:color="auto"/>
            </w:tcBorders>
            <w:tcMar>
              <w:top w:w="0" w:type="dxa"/>
              <w:left w:w="108" w:type="dxa"/>
              <w:bottom w:w="0" w:type="dxa"/>
              <w:right w:w="108" w:type="dxa"/>
            </w:tcMar>
            <w:hideMark/>
          </w:tcPr>
          <w:p w14:paraId="0AC80700" w14:textId="092EF37B" w:rsidR="0066401D" w:rsidRPr="0066401D" w:rsidRDefault="00552E77" w:rsidP="009C2237">
            <w:pPr>
              <w:tabs>
                <w:tab w:val="clear" w:pos="720"/>
              </w:tabs>
              <w:spacing w:before="0" w:beforeAutospacing="0" w:after="0" w:afterAutospacing="0"/>
              <w:jc w:val="center"/>
              <w:rPr>
                <w:rFonts w:asciiTheme="majorBidi" w:eastAsia="Times New Roman" w:hAnsiTheme="majorBidi" w:cstheme="majorBidi"/>
                <w:sz w:val="20"/>
                <w:szCs w:val="20"/>
                <w:lang w:bidi="ar-SA"/>
              </w:rPr>
            </w:pPr>
            <w:r>
              <w:rPr>
                <w:rFonts w:asciiTheme="majorBidi" w:eastAsia="Times New Roman" w:hAnsiTheme="majorBidi" w:cstheme="majorBidi"/>
                <w:b/>
                <w:bCs/>
                <w:sz w:val="22"/>
                <w:szCs w:val="22"/>
                <w:lang w:bidi="ar-SA"/>
              </w:rPr>
              <w:t>Placebo</w:t>
            </w:r>
            <w:r w:rsidRPr="0066401D">
              <w:rPr>
                <w:rFonts w:asciiTheme="majorBidi" w:eastAsia="Times New Roman" w:hAnsiTheme="majorBidi" w:cstheme="majorBidi"/>
                <w:b/>
                <w:bCs/>
                <w:sz w:val="22"/>
                <w:szCs w:val="22"/>
                <w:lang w:bidi="ar-SA"/>
              </w:rPr>
              <w:t xml:space="preserve"> </w:t>
            </w:r>
            <w:r w:rsidR="0066401D" w:rsidRPr="0066401D">
              <w:rPr>
                <w:rFonts w:asciiTheme="majorBidi" w:eastAsia="Times New Roman" w:hAnsiTheme="majorBidi" w:cstheme="majorBidi"/>
                <w:b/>
                <w:bCs/>
                <w:sz w:val="22"/>
                <w:szCs w:val="22"/>
                <w:lang w:bidi="ar-SA"/>
              </w:rPr>
              <w:t>group</w:t>
            </w:r>
          </w:p>
          <w:p w14:paraId="36C1308A" w14:textId="77777777" w:rsidR="0066401D" w:rsidRPr="0066401D" w:rsidRDefault="0066401D" w:rsidP="009C2237">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b/>
                <w:bCs/>
                <w:sz w:val="22"/>
                <w:szCs w:val="22"/>
                <w:lang w:bidi="ar-SA"/>
              </w:rPr>
              <w:t>(n=51)</w:t>
            </w:r>
          </w:p>
        </w:tc>
        <w:tc>
          <w:tcPr>
            <w:tcW w:w="1260" w:type="dxa"/>
            <w:tcBorders>
              <w:top w:val="single" w:sz="4" w:space="0" w:color="auto"/>
              <w:bottom w:val="single" w:sz="4" w:space="0" w:color="auto"/>
              <w:right w:val="single" w:sz="8" w:space="0" w:color="auto"/>
            </w:tcBorders>
            <w:tcMar>
              <w:top w:w="0" w:type="dxa"/>
              <w:left w:w="108" w:type="dxa"/>
              <w:bottom w:w="0" w:type="dxa"/>
              <w:right w:w="108" w:type="dxa"/>
            </w:tcMar>
            <w:hideMark/>
          </w:tcPr>
          <w:p w14:paraId="2C6FF80C" w14:textId="77777777" w:rsidR="0066401D" w:rsidRPr="0066401D" w:rsidRDefault="0066401D" w:rsidP="009C2237">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b/>
                <w:bCs/>
                <w:sz w:val="22"/>
                <w:szCs w:val="22"/>
                <w:lang w:bidi="ar-SA"/>
              </w:rPr>
              <w:t>p-value</w:t>
            </w:r>
          </w:p>
        </w:tc>
      </w:tr>
      <w:tr w:rsidR="009C2237" w:rsidRPr="0066401D" w14:paraId="37AE4FB8" w14:textId="77777777" w:rsidTr="00907E74">
        <w:tc>
          <w:tcPr>
            <w:tcW w:w="3330" w:type="dxa"/>
            <w:tcBorders>
              <w:top w:val="single" w:sz="4" w:space="0" w:color="auto"/>
              <w:left w:val="single" w:sz="8" w:space="0" w:color="auto"/>
            </w:tcBorders>
            <w:tcMar>
              <w:top w:w="0" w:type="dxa"/>
              <w:left w:w="108" w:type="dxa"/>
              <w:bottom w:w="0" w:type="dxa"/>
              <w:right w:w="108" w:type="dxa"/>
            </w:tcMar>
            <w:vAlign w:val="center"/>
            <w:hideMark/>
          </w:tcPr>
          <w:p w14:paraId="31DE7E45" w14:textId="77777777" w:rsidR="0066401D" w:rsidRPr="0066401D" w:rsidRDefault="0066401D" w:rsidP="00907E74">
            <w:pPr>
              <w:tabs>
                <w:tab w:val="clear" w:pos="720"/>
              </w:tabs>
              <w:spacing w:before="0" w:beforeAutospacing="0" w:after="0" w:afterAutospacing="0"/>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Somnolence</w:t>
            </w:r>
          </w:p>
        </w:tc>
        <w:tc>
          <w:tcPr>
            <w:tcW w:w="2610" w:type="dxa"/>
            <w:tcBorders>
              <w:top w:val="single" w:sz="4" w:space="0" w:color="auto"/>
            </w:tcBorders>
            <w:tcMar>
              <w:top w:w="0" w:type="dxa"/>
              <w:left w:w="108" w:type="dxa"/>
              <w:bottom w:w="0" w:type="dxa"/>
              <w:right w:w="108" w:type="dxa"/>
            </w:tcMar>
            <w:vAlign w:val="center"/>
            <w:hideMark/>
          </w:tcPr>
          <w:p w14:paraId="3F9EEBAB" w14:textId="77777777" w:rsidR="0066401D" w:rsidRPr="0066401D" w:rsidRDefault="0066401D" w:rsidP="00907E74">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1 (2%)</w:t>
            </w:r>
          </w:p>
        </w:tc>
        <w:tc>
          <w:tcPr>
            <w:tcW w:w="2150" w:type="dxa"/>
            <w:tcBorders>
              <w:top w:val="single" w:sz="4" w:space="0" w:color="auto"/>
            </w:tcBorders>
            <w:tcMar>
              <w:top w:w="0" w:type="dxa"/>
              <w:left w:w="108" w:type="dxa"/>
              <w:bottom w:w="0" w:type="dxa"/>
              <w:right w:w="108" w:type="dxa"/>
            </w:tcMar>
            <w:vAlign w:val="center"/>
            <w:hideMark/>
          </w:tcPr>
          <w:p w14:paraId="4EC3C75A" w14:textId="77777777" w:rsidR="0066401D" w:rsidRPr="0066401D" w:rsidRDefault="0066401D" w:rsidP="00907E74">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1 (2%)</w:t>
            </w:r>
          </w:p>
        </w:tc>
        <w:tc>
          <w:tcPr>
            <w:tcW w:w="1260" w:type="dxa"/>
            <w:tcBorders>
              <w:top w:val="single" w:sz="4" w:space="0" w:color="auto"/>
              <w:right w:val="single" w:sz="8" w:space="0" w:color="auto"/>
            </w:tcBorders>
            <w:tcMar>
              <w:top w:w="0" w:type="dxa"/>
              <w:left w:w="108" w:type="dxa"/>
              <w:bottom w:w="0" w:type="dxa"/>
              <w:right w:w="108" w:type="dxa"/>
            </w:tcMar>
            <w:vAlign w:val="center"/>
            <w:hideMark/>
          </w:tcPr>
          <w:p w14:paraId="47C3A56E" w14:textId="77777777" w:rsidR="0066401D" w:rsidRPr="0066401D" w:rsidRDefault="0066401D" w:rsidP="00907E74">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0.98</w:t>
            </w:r>
          </w:p>
        </w:tc>
      </w:tr>
      <w:tr w:rsidR="009C2237" w:rsidRPr="0066401D" w14:paraId="399126A8" w14:textId="77777777" w:rsidTr="00907E74">
        <w:tc>
          <w:tcPr>
            <w:tcW w:w="3330" w:type="dxa"/>
            <w:tcBorders>
              <w:left w:val="single" w:sz="8" w:space="0" w:color="auto"/>
            </w:tcBorders>
            <w:tcMar>
              <w:top w:w="0" w:type="dxa"/>
              <w:left w:w="108" w:type="dxa"/>
              <w:bottom w:w="0" w:type="dxa"/>
              <w:right w:w="108" w:type="dxa"/>
            </w:tcMar>
            <w:vAlign w:val="center"/>
            <w:hideMark/>
          </w:tcPr>
          <w:p w14:paraId="353508C1" w14:textId="77777777" w:rsidR="0066401D" w:rsidRPr="0066401D" w:rsidRDefault="0066401D" w:rsidP="00DA73DF">
            <w:pPr>
              <w:tabs>
                <w:tab w:val="clear" w:pos="720"/>
              </w:tabs>
              <w:spacing w:before="0" w:beforeAutospacing="0" w:after="0" w:afterAutospacing="0"/>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Fatigue</w:t>
            </w:r>
          </w:p>
        </w:tc>
        <w:tc>
          <w:tcPr>
            <w:tcW w:w="2610" w:type="dxa"/>
            <w:tcMar>
              <w:top w:w="0" w:type="dxa"/>
              <w:left w:w="108" w:type="dxa"/>
              <w:bottom w:w="0" w:type="dxa"/>
              <w:right w:w="108" w:type="dxa"/>
            </w:tcMar>
            <w:vAlign w:val="center"/>
            <w:hideMark/>
          </w:tcPr>
          <w:p w14:paraId="4E9DB5D2" w14:textId="77777777" w:rsidR="0066401D" w:rsidRPr="0066401D" w:rsidRDefault="0066401D" w:rsidP="00907E74">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1 (2%)</w:t>
            </w:r>
          </w:p>
        </w:tc>
        <w:tc>
          <w:tcPr>
            <w:tcW w:w="2150" w:type="dxa"/>
            <w:tcMar>
              <w:top w:w="0" w:type="dxa"/>
              <w:left w:w="108" w:type="dxa"/>
              <w:bottom w:w="0" w:type="dxa"/>
              <w:right w:w="108" w:type="dxa"/>
            </w:tcMar>
            <w:vAlign w:val="center"/>
            <w:hideMark/>
          </w:tcPr>
          <w:p w14:paraId="13550DBC" w14:textId="77777777" w:rsidR="0066401D" w:rsidRPr="0066401D" w:rsidRDefault="0066401D" w:rsidP="00907E74">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0 (0%)</w:t>
            </w:r>
          </w:p>
        </w:tc>
        <w:tc>
          <w:tcPr>
            <w:tcW w:w="1260" w:type="dxa"/>
            <w:tcBorders>
              <w:right w:val="single" w:sz="8" w:space="0" w:color="auto"/>
            </w:tcBorders>
            <w:tcMar>
              <w:top w:w="0" w:type="dxa"/>
              <w:left w:w="108" w:type="dxa"/>
              <w:bottom w:w="0" w:type="dxa"/>
              <w:right w:w="108" w:type="dxa"/>
            </w:tcMar>
            <w:vAlign w:val="center"/>
            <w:hideMark/>
          </w:tcPr>
          <w:p w14:paraId="40FCB3F9" w14:textId="77777777" w:rsidR="0066401D" w:rsidRPr="0066401D" w:rsidRDefault="0066401D" w:rsidP="00907E74">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0.31</w:t>
            </w:r>
          </w:p>
        </w:tc>
      </w:tr>
      <w:tr w:rsidR="009C2237" w:rsidRPr="0066401D" w14:paraId="6DE94BA6" w14:textId="77777777" w:rsidTr="00DA73DF">
        <w:tc>
          <w:tcPr>
            <w:tcW w:w="3330" w:type="dxa"/>
            <w:tcBorders>
              <w:left w:val="single" w:sz="8" w:space="0" w:color="auto"/>
              <w:bottom w:val="single" w:sz="8" w:space="0" w:color="auto"/>
            </w:tcBorders>
            <w:tcMar>
              <w:top w:w="0" w:type="dxa"/>
              <w:left w:w="108" w:type="dxa"/>
              <w:bottom w:w="0" w:type="dxa"/>
              <w:right w:w="108" w:type="dxa"/>
            </w:tcMar>
            <w:vAlign w:val="center"/>
            <w:hideMark/>
          </w:tcPr>
          <w:p w14:paraId="1084D4A6" w14:textId="77777777" w:rsidR="0066401D" w:rsidRPr="0066401D" w:rsidRDefault="0066401D" w:rsidP="00DA73DF">
            <w:pPr>
              <w:tabs>
                <w:tab w:val="clear" w:pos="720"/>
              </w:tabs>
              <w:spacing w:before="0" w:beforeAutospacing="0" w:after="0" w:afterAutospacing="0"/>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Abnormal thought/ hallucination</w:t>
            </w:r>
          </w:p>
        </w:tc>
        <w:tc>
          <w:tcPr>
            <w:tcW w:w="2610" w:type="dxa"/>
            <w:tcBorders>
              <w:bottom w:val="single" w:sz="8" w:space="0" w:color="auto"/>
            </w:tcBorders>
            <w:tcMar>
              <w:top w:w="0" w:type="dxa"/>
              <w:left w:w="108" w:type="dxa"/>
              <w:bottom w:w="0" w:type="dxa"/>
              <w:right w:w="108" w:type="dxa"/>
            </w:tcMar>
            <w:vAlign w:val="center"/>
            <w:hideMark/>
          </w:tcPr>
          <w:p w14:paraId="52DEA112" w14:textId="77777777" w:rsidR="0066401D" w:rsidRPr="0066401D" w:rsidRDefault="0066401D" w:rsidP="00DA73DF">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2 (4%)</w:t>
            </w:r>
          </w:p>
        </w:tc>
        <w:tc>
          <w:tcPr>
            <w:tcW w:w="2150" w:type="dxa"/>
            <w:tcBorders>
              <w:bottom w:val="single" w:sz="8" w:space="0" w:color="auto"/>
            </w:tcBorders>
            <w:tcMar>
              <w:top w:w="0" w:type="dxa"/>
              <w:left w:w="108" w:type="dxa"/>
              <w:bottom w:w="0" w:type="dxa"/>
              <w:right w:w="108" w:type="dxa"/>
            </w:tcMar>
            <w:vAlign w:val="center"/>
            <w:hideMark/>
          </w:tcPr>
          <w:p w14:paraId="41D6154B" w14:textId="77777777" w:rsidR="0066401D" w:rsidRPr="0066401D" w:rsidRDefault="0066401D" w:rsidP="00DA73DF">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0 (0%)</w:t>
            </w:r>
          </w:p>
        </w:tc>
        <w:tc>
          <w:tcPr>
            <w:tcW w:w="1260" w:type="dxa"/>
            <w:tcBorders>
              <w:bottom w:val="single" w:sz="8" w:space="0" w:color="auto"/>
              <w:right w:val="single" w:sz="8" w:space="0" w:color="auto"/>
            </w:tcBorders>
            <w:tcMar>
              <w:top w:w="0" w:type="dxa"/>
              <w:left w:w="108" w:type="dxa"/>
              <w:bottom w:w="0" w:type="dxa"/>
              <w:right w:w="108" w:type="dxa"/>
            </w:tcMar>
            <w:vAlign w:val="center"/>
            <w:hideMark/>
          </w:tcPr>
          <w:p w14:paraId="4CFBAB59" w14:textId="77777777" w:rsidR="0066401D" w:rsidRPr="0066401D" w:rsidRDefault="0066401D" w:rsidP="00DA73DF">
            <w:pPr>
              <w:tabs>
                <w:tab w:val="clear" w:pos="720"/>
              </w:tabs>
              <w:spacing w:before="0" w:beforeAutospacing="0" w:after="0" w:afterAutospacing="0"/>
              <w:jc w:val="center"/>
              <w:rPr>
                <w:rFonts w:asciiTheme="majorBidi" w:eastAsia="Times New Roman" w:hAnsiTheme="majorBidi" w:cstheme="majorBidi"/>
                <w:sz w:val="20"/>
                <w:szCs w:val="20"/>
                <w:lang w:bidi="ar-SA"/>
              </w:rPr>
            </w:pPr>
            <w:r w:rsidRPr="0066401D">
              <w:rPr>
                <w:rFonts w:asciiTheme="majorBidi" w:eastAsia="Times New Roman" w:hAnsiTheme="majorBidi" w:cstheme="majorBidi"/>
                <w:sz w:val="22"/>
                <w:szCs w:val="22"/>
                <w:lang w:bidi="ar-SA"/>
              </w:rPr>
              <w:t>014</w:t>
            </w:r>
          </w:p>
        </w:tc>
      </w:tr>
    </w:tbl>
    <w:p w14:paraId="2A0802BC" w14:textId="77777777" w:rsidR="0066401D" w:rsidRPr="0066401D" w:rsidRDefault="0066401D" w:rsidP="0066401D">
      <w:pPr>
        <w:tabs>
          <w:tab w:val="clear" w:pos="720"/>
        </w:tabs>
        <w:spacing w:before="0" w:beforeAutospacing="0" w:after="0" w:afterAutospacing="0" w:line="240" w:lineRule="auto"/>
        <w:rPr>
          <w:rFonts w:ascii="Aptos" w:eastAsia="Times New Roman" w:hAnsi="Aptos"/>
          <w:color w:val="212121"/>
          <w:sz w:val="20"/>
          <w:szCs w:val="20"/>
          <w:lang w:bidi="ar-SA"/>
        </w:rPr>
      </w:pPr>
      <w:r w:rsidRPr="0066401D">
        <w:rPr>
          <w:rFonts w:ascii="Aptos" w:eastAsia="Times New Roman" w:hAnsi="Aptos"/>
          <w:color w:val="212121"/>
          <w:sz w:val="22"/>
          <w:szCs w:val="22"/>
          <w:lang w:bidi="ar-SA"/>
        </w:rPr>
        <w:t> </w:t>
      </w:r>
    </w:p>
    <w:tbl>
      <w:tblPr>
        <w:tblW w:w="0" w:type="auto"/>
        <w:tblCellMar>
          <w:left w:w="0" w:type="dxa"/>
          <w:right w:w="0" w:type="dxa"/>
        </w:tblCellMar>
        <w:tblLook w:val="04A0" w:firstRow="1" w:lastRow="0" w:firstColumn="1" w:lastColumn="0" w:noHBand="0" w:noVBand="1"/>
      </w:tblPr>
      <w:tblGrid>
        <w:gridCol w:w="2970"/>
        <w:gridCol w:w="2700"/>
        <w:gridCol w:w="2700"/>
        <w:gridCol w:w="980"/>
      </w:tblGrid>
      <w:tr w:rsidR="00266687" w:rsidRPr="00DD796F" w14:paraId="135CA7D7" w14:textId="77777777" w:rsidTr="001C066C">
        <w:tc>
          <w:tcPr>
            <w:tcW w:w="9350" w:type="dxa"/>
            <w:gridSpan w:val="4"/>
            <w:tcBorders>
              <w:bottom w:val="single" w:sz="4" w:space="0" w:color="auto"/>
            </w:tcBorders>
            <w:tcMar>
              <w:top w:w="0" w:type="dxa"/>
              <w:left w:w="108" w:type="dxa"/>
              <w:bottom w:w="0" w:type="dxa"/>
              <w:right w:w="108" w:type="dxa"/>
            </w:tcMar>
          </w:tcPr>
          <w:p w14:paraId="30B46392" w14:textId="77777777" w:rsidR="00266687" w:rsidRPr="00DD796F" w:rsidRDefault="00266687" w:rsidP="00266687">
            <w:pPr>
              <w:keepNext/>
              <w:keepLines/>
              <w:tabs>
                <w:tab w:val="clear" w:pos="720"/>
              </w:tabs>
              <w:spacing w:before="160" w:beforeAutospacing="0" w:after="80" w:afterAutospacing="0" w:line="278" w:lineRule="auto"/>
              <w:outlineLvl w:val="1"/>
              <w:rPr>
                <w:rFonts w:eastAsia="Times New Roman"/>
                <w:kern w:val="2"/>
                <w:sz w:val="22"/>
                <w:szCs w:val="22"/>
                <w:lang w:bidi="ar-SA"/>
                <w14:ligatures w14:val="standardContextual"/>
              </w:rPr>
            </w:pPr>
            <w:bookmarkStart w:id="10" w:name="_Toc228451208"/>
            <w:proofErr w:type="spellStart"/>
            <w:r w:rsidRPr="00DD796F">
              <w:rPr>
                <w:rFonts w:eastAsia="Times New Roman"/>
                <w:kern w:val="2"/>
                <w:sz w:val="22"/>
                <w:szCs w:val="22"/>
                <w:lang w:bidi="ar-SA"/>
                <w14:ligatures w14:val="standardContextual"/>
              </w:rPr>
              <w:t>STable</w:t>
            </w:r>
            <w:proofErr w:type="spellEnd"/>
            <w:r w:rsidRPr="00DD796F">
              <w:rPr>
                <w:rFonts w:eastAsia="Times New Roman"/>
                <w:kern w:val="2"/>
                <w:sz w:val="22"/>
                <w:szCs w:val="22"/>
                <w:lang w:bidi="ar-SA"/>
                <w14:ligatures w14:val="standardContextual"/>
              </w:rPr>
              <w:t xml:space="preserve"> 2: Subjective sleep quality of the first night after extubation</w:t>
            </w:r>
            <w:bookmarkEnd w:id="10"/>
          </w:p>
        </w:tc>
      </w:tr>
      <w:tr w:rsidR="00266687" w:rsidRPr="00DD796F" w14:paraId="3ABAB03E" w14:textId="77777777" w:rsidTr="001C066C">
        <w:tc>
          <w:tcPr>
            <w:tcW w:w="2970" w:type="dxa"/>
            <w:tcBorders>
              <w:top w:val="single" w:sz="4" w:space="0" w:color="auto"/>
              <w:left w:val="single" w:sz="8" w:space="0" w:color="auto"/>
              <w:bottom w:val="single" w:sz="4" w:space="0" w:color="auto"/>
            </w:tcBorders>
            <w:tcMar>
              <w:top w:w="0" w:type="dxa"/>
              <w:left w:w="108" w:type="dxa"/>
              <w:bottom w:w="0" w:type="dxa"/>
              <w:right w:w="108" w:type="dxa"/>
            </w:tcMar>
            <w:hideMark/>
          </w:tcPr>
          <w:p w14:paraId="649FA7BD"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p>
        </w:tc>
        <w:tc>
          <w:tcPr>
            <w:tcW w:w="2700" w:type="dxa"/>
            <w:tcBorders>
              <w:top w:val="single" w:sz="4" w:space="0" w:color="auto"/>
              <w:bottom w:val="single" w:sz="4" w:space="0" w:color="auto"/>
            </w:tcBorders>
            <w:tcMar>
              <w:top w:w="0" w:type="dxa"/>
              <w:left w:w="108" w:type="dxa"/>
              <w:bottom w:w="0" w:type="dxa"/>
              <w:right w:w="108" w:type="dxa"/>
            </w:tcMar>
            <w:hideMark/>
          </w:tcPr>
          <w:p w14:paraId="5BF2E62F" w14:textId="77777777" w:rsidR="00266687" w:rsidRPr="00DD796F" w:rsidRDefault="00266687" w:rsidP="00266687">
            <w:pPr>
              <w:tabs>
                <w:tab w:val="clear" w:pos="720"/>
              </w:tabs>
              <w:spacing w:before="0" w:beforeAutospacing="0" w:after="0" w:afterAutospacing="0" w:line="279" w:lineRule="auto"/>
              <w:jc w:val="center"/>
              <w:rPr>
                <w:rFonts w:eastAsia="Times New Roman"/>
                <w:b/>
                <w:bCs/>
                <w:sz w:val="22"/>
                <w:szCs w:val="22"/>
                <w:lang w:eastAsia="ja-JP" w:bidi="ar-SA"/>
              </w:rPr>
            </w:pPr>
            <w:r w:rsidRPr="00DD796F">
              <w:rPr>
                <w:rFonts w:eastAsia="Times New Roman"/>
                <w:b/>
                <w:bCs/>
                <w:sz w:val="22"/>
                <w:szCs w:val="22"/>
                <w:lang w:eastAsia="ja-JP" w:bidi="ar-SA"/>
              </w:rPr>
              <w:t>Suvorexant group, n=41</w:t>
            </w:r>
          </w:p>
          <w:p w14:paraId="107581D4"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Median (IQR)</w:t>
            </w:r>
          </w:p>
        </w:tc>
        <w:tc>
          <w:tcPr>
            <w:tcW w:w="2700" w:type="dxa"/>
            <w:tcBorders>
              <w:top w:val="single" w:sz="4" w:space="0" w:color="auto"/>
              <w:bottom w:val="single" w:sz="4" w:space="0" w:color="auto"/>
            </w:tcBorders>
            <w:tcMar>
              <w:top w:w="0" w:type="dxa"/>
              <w:left w:w="108" w:type="dxa"/>
              <w:bottom w:w="0" w:type="dxa"/>
              <w:right w:w="108" w:type="dxa"/>
            </w:tcMar>
            <w:hideMark/>
          </w:tcPr>
          <w:p w14:paraId="070252F3" w14:textId="77777777" w:rsidR="00266687" w:rsidRPr="00DD796F" w:rsidRDefault="00266687" w:rsidP="00266687">
            <w:pPr>
              <w:tabs>
                <w:tab w:val="clear" w:pos="720"/>
              </w:tabs>
              <w:spacing w:before="0" w:beforeAutospacing="0" w:after="0" w:afterAutospacing="0" w:line="279" w:lineRule="auto"/>
              <w:jc w:val="center"/>
              <w:rPr>
                <w:rFonts w:eastAsia="Times New Roman"/>
                <w:b/>
                <w:bCs/>
                <w:sz w:val="22"/>
                <w:szCs w:val="22"/>
                <w:lang w:eastAsia="ja-JP" w:bidi="ar-SA"/>
              </w:rPr>
            </w:pPr>
            <w:r w:rsidRPr="00DD796F">
              <w:rPr>
                <w:rFonts w:eastAsia="Times New Roman"/>
                <w:b/>
                <w:bCs/>
                <w:sz w:val="22"/>
                <w:szCs w:val="22"/>
                <w:lang w:eastAsia="ja-JP" w:bidi="ar-SA"/>
              </w:rPr>
              <w:t>Controlled group, n=42</w:t>
            </w:r>
          </w:p>
          <w:p w14:paraId="7F34D8D7"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Median (IQR)</w:t>
            </w:r>
          </w:p>
        </w:tc>
        <w:tc>
          <w:tcPr>
            <w:tcW w:w="980" w:type="dxa"/>
            <w:tcBorders>
              <w:top w:val="single" w:sz="4" w:space="0" w:color="auto"/>
              <w:bottom w:val="single" w:sz="4" w:space="0" w:color="auto"/>
              <w:right w:val="single" w:sz="8" w:space="0" w:color="auto"/>
            </w:tcBorders>
            <w:tcMar>
              <w:top w:w="0" w:type="dxa"/>
              <w:left w:w="108" w:type="dxa"/>
              <w:bottom w:w="0" w:type="dxa"/>
              <w:right w:w="108" w:type="dxa"/>
            </w:tcMar>
            <w:hideMark/>
          </w:tcPr>
          <w:p w14:paraId="296FA286"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b/>
                <w:bCs/>
                <w:sz w:val="22"/>
                <w:szCs w:val="22"/>
                <w:lang w:eastAsia="ja-JP" w:bidi="ar-SA"/>
              </w:rPr>
              <w:t>p-value</w:t>
            </w:r>
          </w:p>
        </w:tc>
      </w:tr>
      <w:tr w:rsidR="00266687" w:rsidRPr="00DD796F" w14:paraId="55829672" w14:textId="77777777" w:rsidTr="001C066C">
        <w:tc>
          <w:tcPr>
            <w:tcW w:w="2970" w:type="dxa"/>
            <w:tcBorders>
              <w:top w:val="single" w:sz="4" w:space="0" w:color="auto"/>
              <w:left w:val="single" w:sz="8" w:space="0" w:color="auto"/>
            </w:tcBorders>
            <w:tcMar>
              <w:top w:w="0" w:type="dxa"/>
              <w:left w:w="108" w:type="dxa"/>
              <w:bottom w:w="0" w:type="dxa"/>
              <w:right w:w="108" w:type="dxa"/>
            </w:tcMar>
            <w:vAlign w:val="center"/>
            <w:hideMark/>
          </w:tcPr>
          <w:p w14:paraId="270811E4" w14:textId="77777777" w:rsidR="00266687" w:rsidRPr="00DD796F" w:rsidRDefault="00266687" w:rsidP="00266687">
            <w:pPr>
              <w:tabs>
                <w:tab w:val="clear" w:pos="720"/>
              </w:tabs>
              <w:spacing w:before="0" w:beforeAutospacing="0" w:after="0" w:afterAutospacing="0" w:line="279" w:lineRule="auto"/>
              <w:rPr>
                <w:rFonts w:eastAsia="Times New Roman"/>
                <w:sz w:val="22"/>
                <w:szCs w:val="22"/>
                <w:lang w:eastAsia="ja-JP" w:bidi="ar-SA"/>
              </w:rPr>
            </w:pPr>
            <w:r w:rsidRPr="00DD796F">
              <w:rPr>
                <w:rFonts w:eastAsia="Times New Roman"/>
                <w:sz w:val="22"/>
                <w:szCs w:val="22"/>
                <w:lang w:eastAsia="ja-JP" w:bidi="ar-SA"/>
              </w:rPr>
              <w:t>Total RCSQ*</w:t>
            </w:r>
          </w:p>
        </w:tc>
        <w:tc>
          <w:tcPr>
            <w:tcW w:w="2700" w:type="dxa"/>
            <w:tcBorders>
              <w:top w:val="single" w:sz="4" w:space="0" w:color="auto"/>
            </w:tcBorders>
            <w:tcMar>
              <w:top w:w="0" w:type="dxa"/>
              <w:left w:w="108" w:type="dxa"/>
              <w:bottom w:w="0" w:type="dxa"/>
              <w:right w:w="108" w:type="dxa"/>
            </w:tcMar>
            <w:vAlign w:val="center"/>
            <w:hideMark/>
          </w:tcPr>
          <w:p w14:paraId="7BA329B9" w14:textId="06676B83" w:rsidR="00266687" w:rsidRPr="00DD796F" w:rsidRDefault="001A369F" w:rsidP="00266687">
            <w:pPr>
              <w:tabs>
                <w:tab w:val="clear" w:pos="720"/>
              </w:tabs>
              <w:spacing w:before="0" w:beforeAutospacing="0" w:after="0" w:afterAutospacing="0" w:line="279" w:lineRule="auto"/>
              <w:jc w:val="center"/>
              <w:rPr>
                <w:rFonts w:eastAsia="Times New Roman"/>
                <w:sz w:val="22"/>
                <w:szCs w:val="22"/>
                <w:lang w:eastAsia="ja-JP" w:bidi="ar-SA"/>
              </w:rPr>
            </w:pPr>
            <w:r w:rsidRPr="001A369F">
              <w:rPr>
                <w:rFonts w:eastAsia="Times New Roman"/>
                <w:sz w:val="22"/>
                <w:szCs w:val="22"/>
                <w:lang w:eastAsia="ja-JP" w:bidi="ar-SA"/>
              </w:rPr>
              <w:t>34.7 (24.1, 45.4)</w:t>
            </w:r>
          </w:p>
        </w:tc>
        <w:tc>
          <w:tcPr>
            <w:tcW w:w="2700" w:type="dxa"/>
            <w:tcBorders>
              <w:top w:val="single" w:sz="4" w:space="0" w:color="auto"/>
            </w:tcBorders>
            <w:tcMar>
              <w:top w:w="0" w:type="dxa"/>
              <w:left w:w="108" w:type="dxa"/>
              <w:bottom w:w="0" w:type="dxa"/>
              <w:right w:w="108" w:type="dxa"/>
            </w:tcMar>
            <w:vAlign w:val="center"/>
            <w:hideMark/>
          </w:tcPr>
          <w:p w14:paraId="3D848C80" w14:textId="0CFFC2D7" w:rsidR="00266687" w:rsidRPr="00DD796F" w:rsidRDefault="001A369F" w:rsidP="00266687">
            <w:pPr>
              <w:tabs>
                <w:tab w:val="clear" w:pos="720"/>
              </w:tabs>
              <w:spacing w:before="0" w:beforeAutospacing="0" w:after="0" w:afterAutospacing="0" w:line="279" w:lineRule="auto"/>
              <w:jc w:val="center"/>
              <w:rPr>
                <w:rFonts w:eastAsia="Times New Roman"/>
                <w:sz w:val="22"/>
                <w:szCs w:val="22"/>
                <w:lang w:eastAsia="ja-JP" w:bidi="ar-SA"/>
              </w:rPr>
            </w:pPr>
            <w:r w:rsidRPr="001A369F">
              <w:rPr>
                <w:rFonts w:eastAsia="Times New Roman"/>
                <w:sz w:val="22"/>
                <w:szCs w:val="22"/>
                <w:lang w:eastAsia="ja-JP" w:bidi="ar-SA"/>
              </w:rPr>
              <w:t>33.3 (22.7, 43.8)</w:t>
            </w:r>
          </w:p>
        </w:tc>
        <w:tc>
          <w:tcPr>
            <w:tcW w:w="980" w:type="dxa"/>
            <w:tcBorders>
              <w:top w:val="single" w:sz="4" w:space="0" w:color="auto"/>
              <w:right w:val="single" w:sz="8" w:space="0" w:color="auto"/>
            </w:tcBorders>
            <w:tcMar>
              <w:top w:w="0" w:type="dxa"/>
              <w:left w:w="108" w:type="dxa"/>
              <w:bottom w:w="0" w:type="dxa"/>
              <w:right w:w="108" w:type="dxa"/>
            </w:tcMar>
            <w:vAlign w:val="center"/>
            <w:hideMark/>
          </w:tcPr>
          <w:p w14:paraId="210EF2BA" w14:textId="190A82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0.</w:t>
            </w:r>
            <w:r w:rsidR="001A369F">
              <w:rPr>
                <w:rFonts w:eastAsia="Times New Roman"/>
                <w:sz w:val="22"/>
                <w:szCs w:val="22"/>
                <w:lang w:eastAsia="ja-JP" w:bidi="ar-SA"/>
              </w:rPr>
              <w:t>85</w:t>
            </w:r>
          </w:p>
        </w:tc>
      </w:tr>
      <w:tr w:rsidR="00266687" w:rsidRPr="00DD796F" w14:paraId="44912266" w14:textId="77777777" w:rsidTr="001C066C">
        <w:tc>
          <w:tcPr>
            <w:tcW w:w="2970" w:type="dxa"/>
            <w:tcBorders>
              <w:left w:val="single" w:sz="8" w:space="0" w:color="auto"/>
            </w:tcBorders>
            <w:tcMar>
              <w:top w:w="0" w:type="dxa"/>
              <w:left w:w="108" w:type="dxa"/>
              <w:bottom w:w="0" w:type="dxa"/>
              <w:right w:w="108" w:type="dxa"/>
            </w:tcMar>
            <w:vAlign w:val="center"/>
            <w:hideMark/>
          </w:tcPr>
          <w:p w14:paraId="0DD27B31" w14:textId="77777777" w:rsidR="00266687" w:rsidRPr="00DD796F" w:rsidRDefault="00266687" w:rsidP="00266687">
            <w:pPr>
              <w:tabs>
                <w:tab w:val="clear" w:pos="720"/>
              </w:tabs>
              <w:spacing w:before="0" w:beforeAutospacing="0" w:after="0" w:afterAutospacing="0" w:line="279" w:lineRule="auto"/>
              <w:rPr>
                <w:rFonts w:eastAsia="Times New Roman"/>
                <w:sz w:val="22"/>
                <w:szCs w:val="22"/>
                <w:lang w:eastAsia="ja-JP" w:bidi="ar-SA"/>
              </w:rPr>
            </w:pPr>
            <w:r w:rsidRPr="00DD796F">
              <w:rPr>
                <w:rFonts w:eastAsia="Times New Roman"/>
                <w:sz w:val="22"/>
                <w:szCs w:val="22"/>
                <w:lang w:eastAsia="ja-JP" w:bidi="ar-SA"/>
              </w:rPr>
              <w:t>Subcomponent of RCSQ</w:t>
            </w:r>
          </w:p>
        </w:tc>
        <w:tc>
          <w:tcPr>
            <w:tcW w:w="2700" w:type="dxa"/>
            <w:tcMar>
              <w:top w:w="0" w:type="dxa"/>
              <w:left w:w="108" w:type="dxa"/>
              <w:bottom w:w="0" w:type="dxa"/>
              <w:right w:w="108" w:type="dxa"/>
            </w:tcMar>
            <w:vAlign w:val="center"/>
            <w:hideMark/>
          </w:tcPr>
          <w:p w14:paraId="5ECCD03B"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p>
        </w:tc>
        <w:tc>
          <w:tcPr>
            <w:tcW w:w="2700" w:type="dxa"/>
            <w:tcMar>
              <w:top w:w="0" w:type="dxa"/>
              <w:left w:w="108" w:type="dxa"/>
              <w:bottom w:w="0" w:type="dxa"/>
              <w:right w:w="108" w:type="dxa"/>
            </w:tcMar>
            <w:vAlign w:val="center"/>
            <w:hideMark/>
          </w:tcPr>
          <w:p w14:paraId="725D4192"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p>
        </w:tc>
        <w:tc>
          <w:tcPr>
            <w:tcW w:w="980" w:type="dxa"/>
            <w:tcBorders>
              <w:right w:val="single" w:sz="8" w:space="0" w:color="auto"/>
            </w:tcBorders>
            <w:tcMar>
              <w:top w:w="0" w:type="dxa"/>
              <w:left w:w="108" w:type="dxa"/>
              <w:bottom w:w="0" w:type="dxa"/>
              <w:right w:w="108" w:type="dxa"/>
            </w:tcMar>
            <w:vAlign w:val="center"/>
            <w:hideMark/>
          </w:tcPr>
          <w:p w14:paraId="7EA96B95"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p>
        </w:tc>
      </w:tr>
      <w:tr w:rsidR="00266687" w:rsidRPr="00DD796F" w14:paraId="504D1CAF" w14:textId="77777777" w:rsidTr="001C066C">
        <w:tc>
          <w:tcPr>
            <w:tcW w:w="2970" w:type="dxa"/>
            <w:tcBorders>
              <w:left w:val="single" w:sz="8" w:space="0" w:color="auto"/>
              <w:bottom w:val="single" w:sz="4" w:space="0" w:color="auto"/>
            </w:tcBorders>
            <w:tcMar>
              <w:top w:w="0" w:type="dxa"/>
              <w:left w:w="108" w:type="dxa"/>
              <w:bottom w:w="0" w:type="dxa"/>
              <w:right w:w="108" w:type="dxa"/>
            </w:tcMar>
            <w:vAlign w:val="center"/>
            <w:hideMark/>
          </w:tcPr>
          <w:p w14:paraId="0EE172DB" w14:textId="77777777" w:rsidR="00266687" w:rsidRPr="00DD796F" w:rsidRDefault="00266687" w:rsidP="00266687">
            <w:pPr>
              <w:tabs>
                <w:tab w:val="clear" w:pos="720"/>
              </w:tabs>
              <w:spacing w:before="0" w:beforeAutospacing="0" w:after="0" w:afterAutospacing="0" w:line="279" w:lineRule="auto"/>
              <w:rPr>
                <w:rFonts w:eastAsia="Times New Roman"/>
                <w:sz w:val="22"/>
                <w:szCs w:val="22"/>
                <w:lang w:eastAsia="ja-JP" w:bidi="ar-SA"/>
              </w:rPr>
            </w:pPr>
            <w:r w:rsidRPr="00DD796F">
              <w:rPr>
                <w:rFonts w:eastAsia="Times New Roman"/>
                <w:sz w:val="22"/>
                <w:szCs w:val="22"/>
                <w:lang w:eastAsia="ja-JP" w:bidi="ar-SA"/>
              </w:rPr>
              <w:t xml:space="preserve">   Sleep depth</w:t>
            </w:r>
          </w:p>
          <w:p w14:paraId="7A000031" w14:textId="77777777" w:rsidR="00266687" w:rsidRPr="00DD796F" w:rsidRDefault="00266687" w:rsidP="00266687">
            <w:pPr>
              <w:tabs>
                <w:tab w:val="clear" w:pos="720"/>
              </w:tabs>
              <w:spacing w:before="0" w:beforeAutospacing="0" w:after="0" w:afterAutospacing="0" w:line="279" w:lineRule="auto"/>
              <w:rPr>
                <w:rFonts w:eastAsia="Times New Roman"/>
                <w:sz w:val="22"/>
                <w:szCs w:val="22"/>
                <w:lang w:eastAsia="ja-JP" w:bidi="ar-SA"/>
              </w:rPr>
            </w:pPr>
            <w:r w:rsidRPr="00DD796F">
              <w:rPr>
                <w:rFonts w:eastAsia="Times New Roman"/>
                <w:sz w:val="22"/>
                <w:szCs w:val="22"/>
                <w:lang w:eastAsia="ja-JP" w:bidi="ar-SA"/>
              </w:rPr>
              <w:t xml:space="preserve">   Sleep latency</w:t>
            </w:r>
          </w:p>
          <w:p w14:paraId="6D144053" w14:textId="77777777" w:rsidR="00266687" w:rsidRPr="00DD796F" w:rsidRDefault="00266687" w:rsidP="00266687">
            <w:pPr>
              <w:tabs>
                <w:tab w:val="clear" w:pos="720"/>
              </w:tabs>
              <w:spacing w:before="0" w:beforeAutospacing="0" w:after="0" w:afterAutospacing="0" w:line="279" w:lineRule="auto"/>
              <w:rPr>
                <w:rFonts w:eastAsia="Times New Roman"/>
                <w:sz w:val="22"/>
                <w:szCs w:val="22"/>
                <w:lang w:eastAsia="ja-JP" w:bidi="ar-SA"/>
              </w:rPr>
            </w:pPr>
            <w:r w:rsidRPr="00DD796F">
              <w:rPr>
                <w:rFonts w:eastAsia="Times New Roman"/>
                <w:sz w:val="22"/>
                <w:szCs w:val="22"/>
                <w:lang w:eastAsia="ja-JP" w:bidi="ar-SA"/>
              </w:rPr>
              <w:t xml:space="preserve">   Awakenings</w:t>
            </w:r>
          </w:p>
          <w:p w14:paraId="3CF498FA" w14:textId="77777777" w:rsidR="00266687" w:rsidRPr="00DD796F" w:rsidRDefault="00266687" w:rsidP="00266687">
            <w:pPr>
              <w:tabs>
                <w:tab w:val="clear" w:pos="720"/>
              </w:tabs>
              <w:spacing w:before="0" w:beforeAutospacing="0" w:after="0" w:afterAutospacing="0" w:line="279" w:lineRule="auto"/>
              <w:rPr>
                <w:rFonts w:eastAsia="Times New Roman"/>
                <w:sz w:val="22"/>
                <w:szCs w:val="22"/>
                <w:lang w:eastAsia="ja-JP" w:bidi="ar-SA"/>
              </w:rPr>
            </w:pPr>
            <w:r w:rsidRPr="00DD796F">
              <w:rPr>
                <w:rFonts w:eastAsia="Times New Roman"/>
                <w:sz w:val="22"/>
                <w:szCs w:val="22"/>
                <w:lang w:eastAsia="ja-JP" w:bidi="ar-SA"/>
              </w:rPr>
              <w:t xml:space="preserve">   Returning to sleep</w:t>
            </w:r>
          </w:p>
          <w:p w14:paraId="0E9D8D29" w14:textId="77777777" w:rsidR="00266687" w:rsidRPr="00DD796F" w:rsidRDefault="00266687" w:rsidP="00266687">
            <w:pPr>
              <w:tabs>
                <w:tab w:val="clear" w:pos="720"/>
              </w:tabs>
              <w:spacing w:before="0" w:beforeAutospacing="0" w:after="0" w:afterAutospacing="0" w:line="279" w:lineRule="auto"/>
              <w:rPr>
                <w:rFonts w:eastAsia="Times New Roman"/>
                <w:sz w:val="22"/>
                <w:szCs w:val="22"/>
                <w:lang w:eastAsia="ja-JP" w:bidi="ar-SA"/>
              </w:rPr>
            </w:pPr>
            <w:r w:rsidRPr="00DD796F">
              <w:rPr>
                <w:rFonts w:eastAsia="Times New Roman"/>
                <w:sz w:val="22"/>
                <w:szCs w:val="22"/>
                <w:lang w:eastAsia="ja-JP" w:bidi="ar-SA"/>
              </w:rPr>
              <w:t xml:space="preserve">   Sleep quality</w:t>
            </w:r>
          </w:p>
        </w:tc>
        <w:tc>
          <w:tcPr>
            <w:tcW w:w="2700" w:type="dxa"/>
            <w:tcBorders>
              <w:bottom w:val="single" w:sz="4" w:space="0" w:color="auto"/>
            </w:tcBorders>
            <w:tcMar>
              <w:top w:w="0" w:type="dxa"/>
              <w:left w:w="108" w:type="dxa"/>
              <w:bottom w:w="0" w:type="dxa"/>
              <w:right w:w="108" w:type="dxa"/>
            </w:tcMar>
            <w:vAlign w:val="center"/>
            <w:hideMark/>
          </w:tcPr>
          <w:p w14:paraId="4D3D054E"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32.7 (21.8, 43.5)</w:t>
            </w:r>
          </w:p>
          <w:p w14:paraId="39017001"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37.2 (26.0, 48.3)</w:t>
            </w:r>
          </w:p>
          <w:p w14:paraId="0732BB12"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34.1 (23.5, 44.8)</w:t>
            </w:r>
          </w:p>
          <w:p w14:paraId="403F59CF"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36.9 (25.6, 48.2)</w:t>
            </w:r>
          </w:p>
          <w:p w14:paraId="596543D9"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32.8 (21.4, 44.3)</w:t>
            </w:r>
          </w:p>
        </w:tc>
        <w:tc>
          <w:tcPr>
            <w:tcW w:w="2700" w:type="dxa"/>
            <w:tcBorders>
              <w:bottom w:val="single" w:sz="4" w:space="0" w:color="auto"/>
            </w:tcBorders>
            <w:tcMar>
              <w:top w:w="0" w:type="dxa"/>
              <w:left w:w="108" w:type="dxa"/>
              <w:bottom w:w="0" w:type="dxa"/>
              <w:right w:w="108" w:type="dxa"/>
            </w:tcMar>
            <w:vAlign w:val="center"/>
            <w:hideMark/>
          </w:tcPr>
          <w:p w14:paraId="1CE8BA05"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31.4 (20.6, 42.1)</w:t>
            </w:r>
          </w:p>
          <w:p w14:paraId="273511A8"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33.9 (22.9, 44.9)</w:t>
            </w:r>
          </w:p>
          <w:p w14:paraId="39F32A94"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31.4 (20.9, 41.9)</w:t>
            </w:r>
          </w:p>
          <w:p w14:paraId="40B553B8"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35.5 (24.4, 46.6)</w:t>
            </w:r>
          </w:p>
          <w:p w14:paraId="07599F86"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34.3 (23.0, 45.6)</w:t>
            </w:r>
          </w:p>
        </w:tc>
        <w:tc>
          <w:tcPr>
            <w:tcW w:w="980" w:type="dxa"/>
            <w:tcBorders>
              <w:bottom w:val="single" w:sz="4" w:space="0" w:color="auto"/>
              <w:right w:val="single" w:sz="8" w:space="0" w:color="auto"/>
            </w:tcBorders>
            <w:tcMar>
              <w:top w:w="0" w:type="dxa"/>
              <w:left w:w="108" w:type="dxa"/>
              <w:bottom w:w="0" w:type="dxa"/>
              <w:right w:w="108" w:type="dxa"/>
            </w:tcMar>
            <w:vAlign w:val="center"/>
            <w:hideMark/>
          </w:tcPr>
          <w:p w14:paraId="14499DD1"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0.56</w:t>
            </w:r>
          </w:p>
          <w:p w14:paraId="67380F00"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0.89</w:t>
            </w:r>
          </w:p>
          <w:p w14:paraId="6CA4560E"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0.59</w:t>
            </w:r>
          </w:p>
          <w:p w14:paraId="778635DE"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0.63</w:t>
            </w:r>
          </w:p>
          <w:p w14:paraId="72CD7D4E" w14:textId="77777777" w:rsidR="00266687" w:rsidRPr="00DD796F" w:rsidRDefault="00266687" w:rsidP="00266687">
            <w:pPr>
              <w:tabs>
                <w:tab w:val="clear" w:pos="720"/>
              </w:tabs>
              <w:spacing w:before="0" w:beforeAutospacing="0" w:after="0" w:afterAutospacing="0" w:line="279" w:lineRule="auto"/>
              <w:jc w:val="center"/>
              <w:rPr>
                <w:rFonts w:eastAsia="Times New Roman"/>
                <w:sz w:val="22"/>
                <w:szCs w:val="22"/>
                <w:lang w:eastAsia="ja-JP" w:bidi="ar-SA"/>
              </w:rPr>
            </w:pPr>
            <w:r w:rsidRPr="00DD796F">
              <w:rPr>
                <w:rFonts w:eastAsia="Times New Roman"/>
                <w:sz w:val="22"/>
                <w:szCs w:val="22"/>
                <w:lang w:eastAsia="ja-JP" w:bidi="ar-SA"/>
              </w:rPr>
              <w:t>0.81</w:t>
            </w:r>
          </w:p>
        </w:tc>
      </w:tr>
      <w:tr w:rsidR="00266687" w:rsidRPr="001A369F" w14:paraId="212C1DB4" w14:textId="77777777" w:rsidTr="001C066C">
        <w:tc>
          <w:tcPr>
            <w:tcW w:w="9350" w:type="dxa"/>
            <w:gridSpan w:val="4"/>
            <w:tcBorders>
              <w:top w:val="single" w:sz="4" w:space="0" w:color="auto"/>
            </w:tcBorders>
            <w:tcMar>
              <w:top w:w="0" w:type="dxa"/>
              <w:left w:w="108" w:type="dxa"/>
              <w:bottom w:w="0" w:type="dxa"/>
              <w:right w:w="108" w:type="dxa"/>
            </w:tcMar>
            <w:vAlign w:val="center"/>
          </w:tcPr>
          <w:p w14:paraId="39524F73" w14:textId="118C5E2F" w:rsidR="00266687" w:rsidRPr="00DD796F" w:rsidRDefault="00266687" w:rsidP="00266687">
            <w:pPr>
              <w:tabs>
                <w:tab w:val="clear" w:pos="720"/>
              </w:tabs>
              <w:spacing w:before="0" w:beforeAutospacing="0" w:after="0" w:afterAutospacing="0" w:line="279" w:lineRule="auto"/>
              <w:rPr>
                <w:rFonts w:eastAsia="Times New Roman"/>
                <w:sz w:val="20"/>
                <w:szCs w:val="20"/>
                <w:lang w:eastAsia="ja-JP" w:bidi="ar-SA"/>
              </w:rPr>
            </w:pPr>
            <w:r w:rsidRPr="00DD796F">
              <w:rPr>
                <w:rFonts w:eastAsia="Times New Roman"/>
                <w:sz w:val="20"/>
                <w:szCs w:val="20"/>
                <w:lang w:eastAsia="ja-JP" w:bidi="ar-SA"/>
              </w:rPr>
              <w:t>* The me</w:t>
            </w:r>
            <w:r w:rsidR="001A369F">
              <w:rPr>
                <w:rFonts w:eastAsia="Times New Roman"/>
                <w:sz w:val="20"/>
                <w:szCs w:val="20"/>
                <w:lang w:eastAsia="ja-JP" w:bidi="ar-SA"/>
              </w:rPr>
              <w:t>an</w:t>
            </w:r>
            <w:r w:rsidRPr="00DD796F">
              <w:rPr>
                <w:rFonts w:eastAsia="Times New Roman"/>
                <w:sz w:val="20"/>
                <w:szCs w:val="20"/>
                <w:lang w:eastAsia="ja-JP" w:bidi="ar-SA"/>
              </w:rPr>
              <w:t xml:space="preserve"> of the five subcomponents</w:t>
            </w:r>
          </w:p>
          <w:p w14:paraId="25BEBB81" w14:textId="77777777" w:rsidR="00266687" w:rsidRPr="00DD796F" w:rsidRDefault="00266687" w:rsidP="00266687">
            <w:pPr>
              <w:tabs>
                <w:tab w:val="clear" w:pos="720"/>
              </w:tabs>
              <w:spacing w:before="0" w:beforeAutospacing="0" w:after="0" w:afterAutospacing="0" w:line="279" w:lineRule="auto"/>
              <w:rPr>
                <w:rFonts w:eastAsia="Times New Roman"/>
                <w:sz w:val="22"/>
                <w:szCs w:val="22"/>
                <w:lang w:val="fr-FR" w:eastAsia="ja-JP" w:bidi="ar-SA"/>
              </w:rPr>
            </w:pPr>
            <w:proofErr w:type="gramStart"/>
            <w:r w:rsidRPr="00DD796F">
              <w:rPr>
                <w:rFonts w:eastAsia="Times New Roman"/>
                <w:sz w:val="20"/>
                <w:szCs w:val="20"/>
                <w:lang w:val="fr-FR" w:eastAsia="ja-JP" w:bidi="ar-SA"/>
              </w:rPr>
              <w:t>RCSQ;</w:t>
            </w:r>
            <w:proofErr w:type="gramEnd"/>
            <w:r w:rsidRPr="00DD796F">
              <w:rPr>
                <w:rFonts w:eastAsia="Times New Roman"/>
                <w:sz w:val="20"/>
                <w:szCs w:val="20"/>
                <w:lang w:val="fr-FR" w:eastAsia="ja-JP" w:bidi="ar-SA"/>
              </w:rPr>
              <w:t xml:space="preserve"> Richards- Campbell Sleep Questionnaire, </w:t>
            </w:r>
            <w:proofErr w:type="gramStart"/>
            <w:r w:rsidRPr="00DD796F">
              <w:rPr>
                <w:rFonts w:eastAsia="Times New Roman"/>
                <w:sz w:val="20"/>
                <w:szCs w:val="20"/>
                <w:lang w:val="fr-FR" w:eastAsia="ja-JP" w:bidi="ar-SA"/>
              </w:rPr>
              <w:t>IQR;</w:t>
            </w:r>
            <w:proofErr w:type="gramEnd"/>
            <w:r w:rsidRPr="00DD796F">
              <w:rPr>
                <w:rFonts w:eastAsia="Times New Roman"/>
                <w:sz w:val="20"/>
                <w:szCs w:val="20"/>
                <w:lang w:val="fr-FR" w:eastAsia="ja-JP" w:bidi="ar-SA"/>
              </w:rPr>
              <w:t xml:space="preserve"> interquartile range</w:t>
            </w:r>
          </w:p>
        </w:tc>
      </w:tr>
    </w:tbl>
    <w:p w14:paraId="3772B8C7" w14:textId="77777777" w:rsidR="0066401D" w:rsidRPr="00DD796F" w:rsidRDefault="0066401D">
      <w:pPr>
        <w:tabs>
          <w:tab w:val="clear" w:pos="720"/>
        </w:tabs>
        <w:spacing w:before="0" w:beforeAutospacing="0" w:after="160" w:afterAutospacing="0" w:line="278" w:lineRule="auto"/>
        <w:rPr>
          <w:rFonts w:asciiTheme="majorBidi" w:eastAsia="Times New Roman" w:hAnsiTheme="majorBidi" w:cstheme="majorBidi"/>
          <w:b/>
          <w:bCs/>
          <w:lang w:val="fr-FR"/>
        </w:rPr>
      </w:pPr>
      <w:r w:rsidRPr="00DD796F">
        <w:rPr>
          <w:rFonts w:asciiTheme="majorBidi" w:eastAsia="Times New Roman" w:hAnsiTheme="majorBidi" w:cstheme="majorBidi"/>
          <w:b/>
          <w:bCs/>
          <w:lang w:val="fr-FR"/>
        </w:rPr>
        <w:br w:type="page"/>
      </w:r>
    </w:p>
    <w:p w14:paraId="51A8E229" w14:textId="0F1997BE" w:rsidR="0066401D" w:rsidRPr="0066401D" w:rsidRDefault="0066401D" w:rsidP="0066401D">
      <w:pPr>
        <w:pStyle w:val="Heading1"/>
        <w:rPr>
          <w:rFonts w:asciiTheme="majorBidi" w:hAnsiTheme="majorBidi"/>
          <w:sz w:val="32"/>
          <w:szCs w:val="32"/>
        </w:rPr>
      </w:pPr>
      <w:bookmarkStart w:id="11" w:name="_Toc228451209"/>
      <w:r w:rsidRPr="0066401D">
        <w:rPr>
          <w:rFonts w:asciiTheme="majorBidi" w:hAnsiTheme="majorBidi"/>
          <w:sz w:val="32"/>
          <w:szCs w:val="32"/>
        </w:rPr>
        <w:lastRenderedPageBreak/>
        <w:t>S7 Supplementary Figures</w:t>
      </w:r>
      <w:bookmarkEnd w:id="11"/>
    </w:p>
    <w:p w14:paraId="5EE40E4D" w14:textId="472781BC" w:rsidR="00163051" w:rsidRPr="0066401D" w:rsidRDefault="00E05E0F" w:rsidP="0066401D">
      <w:pPr>
        <w:pStyle w:val="Heading2"/>
        <w:rPr>
          <w:rFonts w:asciiTheme="majorBidi" w:hAnsiTheme="majorBidi"/>
          <w:sz w:val="24"/>
          <w:szCs w:val="24"/>
        </w:rPr>
      </w:pPr>
      <w:bookmarkStart w:id="12" w:name="_Toc228451210"/>
      <w:proofErr w:type="spellStart"/>
      <w:r w:rsidRPr="0066401D">
        <w:rPr>
          <w:rFonts w:asciiTheme="majorBidi" w:hAnsiTheme="majorBidi"/>
          <w:sz w:val="24"/>
          <w:szCs w:val="24"/>
        </w:rPr>
        <w:t>S</w:t>
      </w:r>
      <w:r w:rsidR="00163051" w:rsidRPr="0066401D">
        <w:rPr>
          <w:rFonts w:asciiTheme="majorBidi" w:hAnsiTheme="majorBidi"/>
          <w:sz w:val="24"/>
          <w:szCs w:val="24"/>
        </w:rPr>
        <w:t>Figure</w:t>
      </w:r>
      <w:proofErr w:type="spellEnd"/>
      <w:r w:rsidR="00163051" w:rsidRPr="0066401D">
        <w:rPr>
          <w:rFonts w:asciiTheme="majorBidi" w:hAnsiTheme="majorBidi"/>
          <w:sz w:val="24"/>
          <w:szCs w:val="24"/>
        </w:rPr>
        <w:t xml:space="preserve"> </w:t>
      </w:r>
      <w:r w:rsidRPr="0066401D">
        <w:rPr>
          <w:rFonts w:asciiTheme="majorBidi" w:hAnsiTheme="majorBidi"/>
          <w:sz w:val="24"/>
          <w:szCs w:val="24"/>
        </w:rPr>
        <w:t>1</w:t>
      </w:r>
      <w:r w:rsidR="00163051" w:rsidRPr="0066401D">
        <w:rPr>
          <w:rFonts w:asciiTheme="majorBidi" w:hAnsiTheme="majorBidi"/>
          <w:sz w:val="24"/>
          <w:szCs w:val="24"/>
        </w:rPr>
        <w:t xml:space="preserve">. </w:t>
      </w:r>
      <w:proofErr w:type="spellStart"/>
      <w:r w:rsidR="00163051" w:rsidRPr="0066401D">
        <w:rPr>
          <w:rFonts w:asciiTheme="majorBidi" w:hAnsiTheme="majorBidi"/>
          <w:sz w:val="24"/>
          <w:szCs w:val="24"/>
        </w:rPr>
        <w:t>Multitaper</w:t>
      </w:r>
      <w:proofErr w:type="spellEnd"/>
      <w:r w:rsidR="00163051" w:rsidRPr="0066401D">
        <w:rPr>
          <w:rFonts w:asciiTheme="majorBidi" w:hAnsiTheme="majorBidi"/>
          <w:sz w:val="24"/>
          <w:szCs w:val="24"/>
        </w:rPr>
        <w:t xml:space="preserve"> EEG spectrograms of a postoperative cardiac ICU patient during the first night of monitoring</w:t>
      </w:r>
      <w:bookmarkEnd w:id="12"/>
    </w:p>
    <w:p w14:paraId="6E058FC3" w14:textId="77777777" w:rsidR="00163051" w:rsidRPr="002C7D9E" w:rsidRDefault="00163051" w:rsidP="00163051">
      <w:pPr>
        <w:spacing w:after="240" w:line="240" w:lineRule="auto"/>
        <w:jc w:val="both"/>
        <w:rPr>
          <w:rFonts w:asciiTheme="majorBidi" w:eastAsia="Times New Roman" w:hAnsiTheme="majorBidi" w:cstheme="majorBidi"/>
        </w:rPr>
      </w:pPr>
      <w:r w:rsidRPr="00163051">
        <w:rPr>
          <w:rFonts w:asciiTheme="majorBidi" w:eastAsia="Times New Roman" w:hAnsiTheme="majorBidi" w:cstheme="majorBidi"/>
        </w:rPr>
        <w:t>Spectrogram from a predominantly sleeping patient shows attenuated high-</w:t>
      </w:r>
      <w:r w:rsidRPr="002C7D9E">
        <w:rPr>
          <w:rFonts w:asciiTheme="majorBidi" w:eastAsia="Times New Roman" w:hAnsiTheme="majorBidi" w:cstheme="majorBidi"/>
        </w:rPr>
        <w:t>frequency beta (13–30 Hz) activity with enhanced low-frequency delta (0.5–4 Hz) and theta (4–8 Hz) power, consistent with consolidated non-REM sleep epochs (sleep efficiency 72.2 %, WASO 122.8 min, TST 423 min (N1 17.6 %, N2 77.5 %, N3 0%, REM 4.8%).</w:t>
      </w:r>
    </w:p>
    <w:p w14:paraId="544E00BE" w14:textId="60DD7622" w:rsidR="00D661A1" w:rsidRDefault="00163051" w:rsidP="00163051">
      <w:pPr>
        <w:spacing w:after="240" w:line="240" w:lineRule="auto"/>
        <w:jc w:val="both"/>
        <w:rPr>
          <w:rFonts w:asciiTheme="majorBidi" w:hAnsiTheme="majorBidi" w:cstheme="majorBidi"/>
        </w:rPr>
      </w:pPr>
      <w:r w:rsidRPr="00163051">
        <w:rPr>
          <w:rFonts w:asciiTheme="majorBidi" w:hAnsiTheme="majorBidi" w:cstheme="majorBidi"/>
          <w:noProof/>
        </w:rPr>
        <w:drawing>
          <wp:inline distT="0" distB="0" distL="0" distR="0" wp14:anchorId="287A4A70" wp14:editId="3CFC119B">
            <wp:extent cx="5942756" cy="3657600"/>
            <wp:effectExtent l="0" t="0" r="1270" b="0"/>
            <wp:docPr id="805722727" name="drawing" descr="A close-up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722727" name="drawing" descr="A close-up of a screen&#10;&#10;AI-generated content may be incorrect."/>
                    <pic:cNvPicPr/>
                  </pic:nvPicPr>
                  <pic:blipFill rotWithShape="1">
                    <a:blip r:embed="rId13">
                      <a:extLst>
                        <a:ext uri="{28A0092B-C50C-407E-A947-70E740481C1C}">
                          <a14:useLocalDpi xmlns:a14="http://schemas.microsoft.com/office/drawing/2010/main" val="0"/>
                        </a:ext>
                      </a:extLst>
                    </a:blip>
                    <a:srcRect r="49846" b="11981"/>
                    <a:stretch>
                      <a:fillRect/>
                    </a:stretch>
                  </pic:blipFill>
                  <pic:spPr bwMode="auto">
                    <a:xfrm>
                      <a:off x="0" y="0"/>
                      <a:ext cx="5943600" cy="3658119"/>
                    </a:xfrm>
                    <a:prstGeom prst="rect">
                      <a:avLst/>
                    </a:prstGeom>
                    <a:ln>
                      <a:noFill/>
                    </a:ln>
                    <a:extLst>
                      <a:ext uri="{53640926-AAD7-44D8-BBD7-CCE9431645EC}">
                        <a14:shadowObscured xmlns:a14="http://schemas.microsoft.com/office/drawing/2010/main"/>
                      </a:ext>
                    </a:extLst>
                  </pic:spPr>
                </pic:pic>
              </a:graphicData>
            </a:graphic>
          </wp:inline>
        </w:drawing>
      </w:r>
    </w:p>
    <w:p w14:paraId="2B09E120" w14:textId="77777777" w:rsidR="00D661A1" w:rsidRDefault="00D661A1">
      <w:pPr>
        <w:tabs>
          <w:tab w:val="clear" w:pos="720"/>
        </w:tabs>
        <w:spacing w:before="0" w:beforeAutospacing="0" w:after="160" w:afterAutospacing="0" w:line="278" w:lineRule="auto"/>
        <w:rPr>
          <w:rFonts w:asciiTheme="majorBidi" w:hAnsiTheme="majorBidi" w:cstheme="majorBidi"/>
        </w:rPr>
      </w:pPr>
      <w:r>
        <w:rPr>
          <w:rFonts w:asciiTheme="majorBidi" w:hAnsiTheme="majorBidi" w:cstheme="majorBidi"/>
        </w:rPr>
        <w:br w:type="page"/>
      </w:r>
    </w:p>
    <w:p w14:paraId="3D3E6488" w14:textId="531B41F3" w:rsidR="001F2F7F" w:rsidRPr="0066401D" w:rsidRDefault="001F2F7F" w:rsidP="001F2F7F">
      <w:pPr>
        <w:pStyle w:val="Heading2"/>
        <w:rPr>
          <w:rFonts w:asciiTheme="majorBidi" w:hAnsiTheme="majorBidi"/>
          <w:sz w:val="24"/>
          <w:szCs w:val="24"/>
        </w:rPr>
      </w:pPr>
      <w:bookmarkStart w:id="13" w:name="_Toc228451211"/>
      <w:r w:rsidRPr="0066401D">
        <w:rPr>
          <w:rFonts w:asciiTheme="majorBidi" w:hAnsiTheme="majorBidi"/>
          <w:sz w:val="24"/>
          <w:szCs w:val="24"/>
        </w:rPr>
        <w:lastRenderedPageBreak/>
        <w:t>S</w:t>
      </w:r>
      <w:r>
        <w:rPr>
          <w:rFonts w:asciiTheme="majorBidi" w:hAnsiTheme="majorBidi"/>
          <w:sz w:val="24"/>
          <w:szCs w:val="24"/>
        </w:rPr>
        <w:t>F</w:t>
      </w:r>
      <w:r w:rsidRPr="0066401D">
        <w:rPr>
          <w:rFonts w:asciiTheme="majorBidi" w:hAnsiTheme="majorBidi"/>
          <w:sz w:val="24"/>
          <w:szCs w:val="24"/>
        </w:rPr>
        <w:t xml:space="preserve">igure2 </w:t>
      </w:r>
      <w:r w:rsidR="00DD796F" w:rsidRPr="00DD796F">
        <w:rPr>
          <w:rFonts w:asciiTheme="majorBidi" w:hAnsiTheme="majorBidi"/>
          <w:sz w:val="24"/>
          <w:szCs w:val="24"/>
        </w:rPr>
        <w:t>Sample hypnograms of patients receiving A-suvorexant and B-placebo</w:t>
      </w:r>
      <w:bookmarkEnd w:id="13"/>
    </w:p>
    <w:p w14:paraId="022DF8E7" w14:textId="77777777" w:rsidR="001F2F7F" w:rsidRDefault="001F2F7F" w:rsidP="001F2F7F">
      <w:pPr>
        <w:tabs>
          <w:tab w:val="clear" w:pos="720"/>
        </w:tabs>
        <w:spacing w:before="0" w:beforeAutospacing="0" w:after="0" w:afterAutospacing="0" w:line="240" w:lineRule="auto"/>
        <w:rPr>
          <w:rFonts w:asciiTheme="majorBidi" w:eastAsia="Times New Roman" w:hAnsiTheme="majorBidi" w:cstheme="majorBidi"/>
          <w:lang w:val="en-GB" w:eastAsia="en-GB"/>
        </w:rPr>
      </w:pPr>
      <w:r>
        <w:rPr>
          <w:rFonts w:asciiTheme="majorBidi" w:eastAsia="Times New Roman" w:hAnsiTheme="majorBidi" w:cstheme="majorBidi"/>
          <w:lang w:val="en-GB" w:eastAsia="en-GB"/>
        </w:rPr>
        <w:t>Both patients slept for 65% of total monitoring period, predominantly in stage 2 NREM sleep (light blue). Slow wave sleep (stage 3 NREM - dark blue) was observed in patient who received suvorexant (A) but not in the patient who received placebo (B).</w:t>
      </w:r>
    </w:p>
    <w:p w14:paraId="24F27683" w14:textId="77777777" w:rsidR="001F2F7F" w:rsidRDefault="001F2F7F" w:rsidP="001F2F7F">
      <w:pPr>
        <w:tabs>
          <w:tab w:val="clear" w:pos="720"/>
        </w:tabs>
        <w:spacing w:before="0" w:beforeAutospacing="0" w:after="0" w:afterAutospacing="0" w:line="240" w:lineRule="auto"/>
        <w:rPr>
          <w:rFonts w:asciiTheme="majorBidi" w:eastAsia="Times New Roman" w:hAnsiTheme="majorBidi" w:cstheme="majorBidi"/>
          <w:lang w:val="en-GB" w:eastAsia="en-GB"/>
        </w:rPr>
      </w:pPr>
    </w:p>
    <w:p w14:paraId="40D5E47F" w14:textId="500A25B9" w:rsidR="001F2F7F" w:rsidRDefault="001F2F7F" w:rsidP="001F2F7F">
      <w:pPr>
        <w:tabs>
          <w:tab w:val="clear" w:pos="720"/>
        </w:tabs>
        <w:spacing w:before="0" w:beforeAutospacing="0" w:after="0" w:afterAutospacing="0" w:line="240" w:lineRule="auto"/>
        <w:rPr>
          <w:rFonts w:asciiTheme="majorBidi" w:eastAsia="Times New Roman" w:hAnsiTheme="majorBidi" w:cstheme="majorBidi"/>
          <w:lang w:val="en-GB" w:eastAsia="en-GB"/>
        </w:rPr>
      </w:pPr>
      <w:r>
        <w:rPr>
          <w:rFonts w:asciiTheme="majorBidi" w:eastAsia="Times New Roman" w:hAnsiTheme="majorBidi" w:cstheme="majorBidi"/>
          <w:b/>
          <w:bCs/>
          <w:noProof/>
          <w:lang w:val="en-GB" w:eastAsia="en-GB"/>
        </w:rPr>
        <w:drawing>
          <wp:inline distT="0" distB="0" distL="0" distR="0" wp14:anchorId="5363C12E" wp14:editId="34F6DE9F">
            <wp:extent cx="5943600" cy="1541145"/>
            <wp:effectExtent l="0" t="0" r="0" b="0"/>
            <wp:docPr id="1333134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34081" name="Picture 1333134081"/>
                    <pic:cNvPicPr/>
                  </pic:nvPicPr>
                  <pic:blipFill>
                    <a:blip r:embed="rId14"/>
                    <a:stretch>
                      <a:fillRect/>
                    </a:stretch>
                  </pic:blipFill>
                  <pic:spPr>
                    <a:xfrm>
                      <a:off x="0" y="0"/>
                      <a:ext cx="5943600" cy="1541145"/>
                    </a:xfrm>
                    <a:prstGeom prst="rect">
                      <a:avLst/>
                    </a:prstGeom>
                  </pic:spPr>
                </pic:pic>
              </a:graphicData>
            </a:graphic>
          </wp:inline>
        </w:drawing>
      </w:r>
    </w:p>
    <w:p w14:paraId="2F718E38" w14:textId="0BCE1029" w:rsidR="001F2F7F" w:rsidRPr="00DD796F" w:rsidRDefault="001F2F7F" w:rsidP="001F2F7F">
      <w:pPr>
        <w:tabs>
          <w:tab w:val="clear" w:pos="720"/>
        </w:tabs>
        <w:spacing w:before="0" w:beforeAutospacing="0" w:after="160" w:afterAutospacing="0" w:line="278" w:lineRule="auto"/>
        <w:rPr>
          <w:rFonts w:asciiTheme="majorBidi" w:eastAsia="Times New Roman" w:hAnsiTheme="majorBidi" w:cstheme="majorBidi"/>
          <w:lang w:val="en-GB" w:eastAsia="en-GB"/>
        </w:rPr>
      </w:pPr>
      <w:r>
        <w:rPr>
          <w:rFonts w:asciiTheme="majorBidi" w:eastAsia="Times New Roman" w:hAnsiTheme="majorBidi" w:cstheme="majorBidi"/>
          <w:lang w:val="en-GB" w:eastAsia="en-GB"/>
        </w:rPr>
        <w:br w:type="page"/>
      </w:r>
    </w:p>
    <w:p w14:paraId="569B1B1E" w14:textId="337E37B2" w:rsidR="00D661A1" w:rsidRPr="0066401D" w:rsidRDefault="00D908E2" w:rsidP="0066401D">
      <w:pPr>
        <w:pStyle w:val="Heading2"/>
        <w:rPr>
          <w:rFonts w:asciiTheme="majorBidi" w:hAnsiTheme="majorBidi"/>
          <w:sz w:val="24"/>
          <w:szCs w:val="24"/>
        </w:rPr>
      </w:pPr>
      <w:bookmarkStart w:id="14" w:name="_Toc228451212"/>
      <w:r w:rsidRPr="0066401D">
        <w:rPr>
          <w:rFonts w:asciiTheme="majorBidi" w:hAnsiTheme="majorBidi"/>
          <w:sz w:val="24"/>
          <w:szCs w:val="24"/>
        </w:rPr>
        <w:lastRenderedPageBreak/>
        <w:t>S</w:t>
      </w:r>
      <w:r>
        <w:rPr>
          <w:rFonts w:asciiTheme="majorBidi" w:hAnsiTheme="majorBidi"/>
          <w:sz w:val="24"/>
          <w:szCs w:val="24"/>
        </w:rPr>
        <w:t>F</w:t>
      </w:r>
      <w:r w:rsidRPr="0066401D">
        <w:rPr>
          <w:rFonts w:asciiTheme="majorBidi" w:hAnsiTheme="majorBidi"/>
          <w:sz w:val="24"/>
          <w:szCs w:val="24"/>
        </w:rPr>
        <w:t>igure</w:t>
      </w:r>
      <w:r w:rsidR="001F2F7F">
        <w:rPr>
          <w:rFonts w:asciiTheme="majorBidi" w:hAnsiTheme="majorBidi"/>
          <w:sz w:val="24"/>
          <w:szCs w:val="24"/>
        </w:rPr>
        <w:t>3</w:t>
      </w:r>
      <w:r w:rsidRPr="0066401D">
        <w:rPr>
          <w:rFonts w:asciiTheme="majorBidi" w:hAnsiTheme="majorBidi"/>
          <w:sz w:val="24"/>
          <w:szCs w:val="24"/>
        </w:rPr>
        <w:t xml:space="preserve"> </w:t>
      </w:r>
      <w:r w:rsidR="00D661A1" w:rsidRPr="0066401D">
        <w:rPr>
          <w:rFonts w:asciiTheme="majorBidi" w:hAnsiTheme="majorBidi"/>
          <w:sz w:val="24"/>
          <w:szCs w:val="24"/>
        </w:rPr>
        <w:t>Association of actigraphy and EEG-based sleep scoring</w:t>
      </w:r>
      <w:bookmarkEnd w:id="14"/>
    </w:p>
    <w:p w14:paraId="176C3035" w14:textId="01BCB982" w:rsidR="00D661A1" w:rsidRPr="00D661A1" w:rsidRDefault="00D661A1" w:rsidP="00E05E0F">
      <w:pPr>
        <w:tabs>
          <w:tab w:val="clear" w:pos="720"/>
        </w:tabs>
        <w:spacing w:before="0" w:beforeAutospacing="0" w:after="160" w:afterAutospacing="0" w:line="278" w:lineRule="auto"/>
        <w:jc w:val="both"/>
        <w:rPr>
          <w:rFonts w:asciiTheme="majorBidi" w:hAnsiTheme="majorBidi" w:cstheme="majorBidi"/>
        </w:rPr>
      </w:pPr>
      <w:r w:rsidRPr="00D661A1">
        <w:rPr>
          <w:rFonts w:asciiTheme="majorBidi" w:hAnsiTheme="majorBidi" w:cstheme="majorBidi"/>
        </w:rPr>
        <w:t xml:space="preserve">Scatter plot demonstrating the relationship between wrist actigraphy activity counts and EEG defined sleep stages (N1, N2, N3, REM, and Wake) in postcardiac surgery patients undergoing simultaneous polysomnographic and </w:t>
      </w:r>
      <w:proofErr w:type="spellStart"/>
      <w:r w:rsidRPr="00D661A1">
        <w:rPr>
          <w:rFonts w:asciiTheme="majorBidi" w:hAnsiTheme="majorBidi" w:cstheme="majorBidi"/>
        </w:rPr>
        <w:t>actigraphic</w:t>
      </w:r>
      <w:proofErr w:type="spellEnd"/>
      <w:r w:rsidRPr="00D661A1">
        <w:rPr>
          <w:rFonts w:asciiTheme="majorBidi" w:hAnsiTheme="majorBidi" w:cstheme="majorBidi"/>
        </w:rPr>
        <w:t xml:space="preserve"> monitoring on POD0. The </w:t>
      </w:r>
      <w:r w:rsidR="00E05E0F">
        <w:rPr>
          <w:rFonts w:asciiTheme="majorBidi" w:hAnsiTheme="majorBidi" w:cstheme="majorBidi"/>
        </w:rPr>
        <w:t>Y</w:t>
      </w:r>
      <w:r w:rsidRPr="00D661A1">
        <w:rPr>
          <w:rFonts w:asciiTheme="majorBidi" w:hAnsiTheme="majorBidi" w:cstheme="majorBidi"/>
        </w:rPr>
        <w:t xml:space="preserve"> axis shows activity counts from the </w:t>
      </w:r>
      <w:proofErr w:type="spellStart"/>
      <w:r w:rsidRPr="00D661A1">
        <w:rPr>
          <w:rFonts w:asciiTheme="majorBidi" w:hAnsiTheme="majorBidi" w:cstheme="majorBidi"/>
        </w:rPr>
        <w:t>actiwatch</w:t>
      </w:r>
      <w:proofErr w:type="spellEnd"/>
      <w:r w:rsidRPr="00D661A1">
        <w:rPr>
          <w:rFonts w:asciiTheme="majorBidi" w:hAnsiTheme="majorBidi" w:cstheme="majorBidi"/>
        </w:rPr>
        <w:t xml:space="preserve"> accelerometer, (30-second epoch) reflecting movement intensity, and the </w:t>
      </w:r>
      <w:r w:rsidR="00E05E0F">
        <w:rPr>
          <w:rFonts w:asciiTheme="majorBidi" w:hAnsiTheme="majorBidi" w:cstheme="majorBidi"/>
        </w:rPr>
        <w:t xml:space="preserve">X </w:t>
      </w:r>
      <w:r w:rsidRPr="00D661A1">
        <w:rPr>
          <w:rFonts w:asciiTheme="majorBidi" w:hAnsiTheme="majorBidi" w:cstheme="majorBidi"/>
        </w:rPr>
        <w:t xml:space="preserve">axis indicates the corresponding EEG sleep stage classification. </w:t>
      </w:r>
      <w:r w:rsidR="00E05E0F" w:rsidRPr="00B06AE5">
        <w:rPr>
          <w:rFonts w:asciiTheme="majorBidi" w:hAnsiTheme="majorBidi" w:cstheme="majorBidi"/>
        </w:rPr>
        <w:t>The activity level was zero in 80.9% (5331</w:t>
      </w:r>
      <w:r w:rsidR="00F42FD6" w:rsidRPr="00B06AE5">
        <w:rPr>
          <w:rFonts w:asciiTheme="majorBidi" w:hAnsiTheme="majorBidi" w:cstheme="majorBidi"/>
        </w:rPr>
        <w:t>/6592</w:t>
      </w:r>
      <w:r w:rsidR="00E05E0F" w:rsidRPr="00B06AE5">
        <w:rPr>
          <w:rFonts w:asciiTheme="majorBidi" w:hAnsiTheme="majorBidi" w:cstheme="majorBidi"/>
        </w:rPr>
        <w:t>) of epochs.</w:t>
      </w:r>
      <w:r w:rsidR="00E05E0F" w:rsidRPr="00D661A1">
        <w:rPr>
          <w:rFonts w:asciiTheme="majorBidi" w:hAnsiTheme="majorBidi" w:cstheme="majorBidi"/>
        </w:rPr>
        <w:t xml:space="preserve"> </w:t>
      </w:r>
    </w:p>
    <w:p w14:paraId="20DBE29F" w14:textId="1973033B" w:rsidR="00D661A1" w:rsidRDefault="00D661A1" w:rsidP="00E05E0F">
      <w:pPr>
        <w:tabs>
          <w:tab w:val="clear" w:pos="720"/>
        </w:tabs>
        <w:spacing w:before="0" w:beforeAutospacing="0" w:after="160" w:afterAutospacing="0" w:line="278" w:lineRule="auto"/>
        <w:jc w:val="both"/>
        <w:rPr>
          <w:rFonts w:asciiTheme="majorBidi" w:hAnsiTheme="majorBidi" w:cstheme="majorBidi"/>
        </w:rPr>
      </w:pPr>
      <w:r w:rsidRPr="00D661A1">
        <w:rPr>
          <w:rFonts w:asciiTheme="majorBidi" w:hAnsiTheme="majorBidi" w:cstheme="majorBidi"/>
        </w:rPr>
        <w:t>Activity levels were lowest during REM sleep, consistent with physiologic motor suppression in these stages, and progressively higher across lighter non-REM stages (N1,</w:t>
      </w:r>
      <w:r w:rsidR="00E05E0F">
        <w:rPr>
          <w:rFonts w:asciiTheme="majorBidi" w:hAnsiTheme="majorBidi" w:cstheme="majorBidi"/>
        </w:rPr>
        <w:t xml:space="preserve"> </w:t>
      </w:r>
      <w:r w:rsidRPr="00D661A1">
        <w:rPr>
          <w:rFonts w:asciiTheme="majorBidi" w:hAnsiTheme="majorBidi" w:cstheme="majorBidi"/>
        </w:rPr>
        <w:t>N2), peaking during wakefulness. The distribution shows the expected inverse relationship between sleep depth and motor activity</w:t>
      </w:r>
      <w:r w:rsidR="00E05E0F">
        <w:rPr>
          <w:rFonts w:asciiTheme="majorBidi" w:hAnsiTheme="majorBidi" w:cstheme="majorBidi"/>
        </w:rPr>
        <w:t xml:space="preserve"> (coefficient -1.09, 95% confidence interval -1.51 to -0.66</w:t>
      </w:r>
      <w:r w:rsidR="00E05E0F" w:rsidRPr="00D65F17">
        <w:rPr>
          <w:rFonts w:asciiTheme="majorBidi" w:hAnsiTheme="majorBidi" w:cstheme="majorBidi"/>
        </w:rPr>
        <w:t>, p&lt;0.00</w:t>
      </w:r>
      <w:r w:rsidR="00E05E0F">
        <w:rPr>
          <w:rFonts w:asciiTheme="majorBidi" w:hAnsiTheme="majorBidi" w:cstheme="majorBidi"/>
        </w:rPr>
        <w:t>1)</w:t>
      </w:r>
      <w:r w:rsidRPr="00D661A1">
        <w:rPr>
          <w:rFonts w:asciiTheme="majorBidi" w:hAnsiTheme="majorBidi" w:cstheme="majorBidi"/>
        </w:rPr>
        <w:t>. However, there is considerable overlap between low-activity wake epochs and lighter sleep stages. This overlap illustrates a known limitation of actigraphy, particularly in postoperative patients who may remain immobile while awake due to pain, sedation, or restricted movement. Conversely, sporadic bursts of activity during N2 or N3 likely reflect arousals, postoperative restlessness, or nursing-related disturbances.</w:t>
      </w:r>
    </w:p>
    <w:p w14:paraId="7735AA91" w14:textId="54F50FFC" w:rsidR="00327E6D" w:rsidRDefault="00D661A1" w:rsidP="00E05E0F">
      <w:pPr>
        <w:spacing w:after="240" w:line="240" w:lineRule="auto"/>
        <w:jc w:val="center"/>
        <w:rPr>
          <w:rFonts w:asciiTheme="majorBidi" w:hAnsiTheme="majorBidi" w:cstheme="majorBidi"/>
        </w:rPr>
      </w:pPr>
      <w:r w:rsidRPr="00D661A1">
        <w:rPr>
          <w:rFonts w:asciiTheme="majorBidi" w:hAnsiTheme="majorBidi" w:cstheme="majorBidi"/>
          <w:noProof/>
        </w:rPr>
        <w:drawing>
          <wp:inline distT="0" distB="0" distL="0" distR="0" wp14:anchorId="204DDE54" wp14:editId="42A924DC">
            <wp:extent cx="5577506" cy="4040372"/>
            <wp:effectExtent l="0" t="0" r="0" b="0"/>
            <wp:docPr id="395834352" name="Picture 1" descr="A graph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34352" name="Picture 1" descr="A graph with blue dots&#10;&#10;AI-generated content may be incorrect."/>
                    <pic:cNvPicPr/>
                  </pic:nvPicPr>
                  <pic:blipFill>
                    <a:blip r:embed="rId15"/>
                    <a:stretch>
                      <a:fillRect/>
                    </a:stretch>
                  </pic:blipFill>
                  <pic:spPr>
                    <a:xfrm>
                      <a:off x="0" y="0"/>
                      <a:ext cx="5618898" cy="4070357"/>
                    </a:xfrm>
                    <a:prstGeom prst="rect">
                      <a:avLst/>
                    </a:prstGeom>
                  </pic:spPr>
                </pic:pic>
              </a:graphicData>
            </a:graphic>
          </wp:inline>
        </w:drawing>
      </w:r>
    </w:p>
    <w:p w14:paraId="5873140E" w14:textId="77777777" w:rsidR="00327E6D" w:rsidRDefault="00327E6D">
      <w:pPr>
        <w:tabs>
          <w:tab w:val="clear" w:pos="720"/>
        </w:tabs>
        <w:spacing w:before="0" w:beforeAutospacing="0" w:after="160" w:afterAutospacing="0" w:line="278" w:lineRule="auto"/>
        <w:rPr>
          <w:rFonts w:asciiTheme="majorBidi" w:hAnsiTheme="majorBidi" w:cstheme="majorBidi"/>
        </w:rPr>
      </w:pPr>
      <w:r>
        <w:rPr>
          <w:rFonts w:asciiTheme="majorBidi" w:hAnsiTheme="majorBidi" w:cstheme="majorBidi"/>
        </w:rPr>
        <w:br w:type="page"/>
      </w:r>
    </w:p>
    <w:p w14:paraId="2B6175E8" w14:textId="0FFA29AA" w:rsidR="00D46F6C" w:rsidRPr="0066401D" w:rsidRDefault="0066401D" w:rsidP="0066401D">
      <w:pPr>
        <w:pStyle w:val="Heading1"/>
        <w:rPr>
          <w:rFonts w:asciiTheme="majorBidi" w:hAnsiTheme="majorBidi"/>
          <w:sz w:val="32"/>
          <w:szCs w:val="32"/>
        </w:rPr>
      </w:pPr>
      <w:bookmarkStart w:id="15" w:name="_Toc228451213"/>
      <w:r w:rsidRPr="0066401D">
        <w:rPr>
          <w:rFonts w:asciiTheme="majorBidi" w:hAnsiTheme="majorBidi"/>
          <w:sz w:val="32"/>
          <w:szCs w:val="32"/>
        </w:rPr>
        <w:lastRenderedPageBreak/>
        <w:t xml:space="preserve">S8 </w:t>
      </w:r>
      <w:r w:rsidR="00327E6D" w:rsidRPr="0066401D">
        <w:rPr>
          <w:rFonts w:asciiTheme="majorBidi" w:hAnsiTheme="majorBidi"/>
          <w:sz w:val="32"/>
          <w:szCs w:val="32"/>
        </w:rPr>
        <w:t>Reference:</w:t>
      </w:r>
      <w:bookmarkEnd w:id="15"/>
    </w:p>
    <w:p w14:paraId="5D16CBD2" w14:textId="2BAA2B6C" w:rsidR="00470BA2" w:rsidRPr="00470BA2" w:rsidRDefault="00327E6D" w:rsidP="00470BA2">
      <w:pPr>
        <w:widowControl w:val="0"/>
        <w:autoSpaceDE w:val="0"/>
        <w:autoSpaceDN w:val="0"/>
        <w:adjustRightInd w:val="0"/>
        <w:spacing w:after="240" w:line="240" w:lineRule="auto"/>
        <w:ind w:left="640" w:hanging="640"/>
        <w:rPr>
          <w:noProof/>
        </w:rPr>
      </w:pPr>
      <w:r>
        <w:rPr>
          <w:rFonts w:asciiTheme="majorBidi" w:hAnsiTheme="majorBidi" w:cstheme="majorBidi"/>
        </w:rPr>
        <w:fldChar w:fldCharType="begin" w:fldLock="1"/>
      </w:r>
      <w:r>
        <w:rPr>
          <w:rFonts w:asciiTheme="majorBidi" w:hAnsiTheme="majorBidi" w:cstheme="majorBidi"/>
        </w:rPr>
        <w:instrText xml:space="preserve">ADDIN Mendeley Bibliography CSL_BIBLIOGRAPHY </w:instrText>
      </w:r>
      <w:r>
        <w:rPr>
          <w:rFonts w:asciiTheme="majorBidi" w:hAnsiTheme="majorBidi" w:cstheme="majorBidi"/>
        </w:rPr>
        <w:fldChar w:fldCharType="separate"/>
      </w:r>
      <w:r w:rsidR="00470BA2" w:rsidRPr="00470BA2">
        <w:rPr>
          <w:noProof/>
        </w:rPr>
        <w:t>1.</w:t>
      </w:r>
      <w:r w:rsidR="00470BA2" w:rsidRPr="00470BA2">
        <w:rPr>
          <w:noProof/>
        </w:rPr>
        <w:tab/>
        <w:t xml:space="preserve">Azimaraghi O, Hammer M, Santer P, Platzbecker K, Althoff FC, Patrocinio M, </w:t>
      </w:r>
      <w:r w:rsidR="00470BA2" w:rsidRPr="00470BA2">
        <w:rPr>
          <w:i/>
          <w:iCs/>
          <w:noProof/>
        </w:rPr>
        <w:t>et al.</w:t>
      </w:r>
      <w:r w:rsidR="00470BA2" w:rsidRPr="00470BA2">
        <w:rPr>
          <w:noProof/>
        </w:rPr>
        <w:t xml:space="preserve"> Study protocol for a randomised controlled trial evaluating the effects of the orexin receptor antagonist suvorexant on sleep architecture and delirium in the intensive care unit. </w:t>
      </w:r>
      <w:r w:rsidR="00470BA2" w:rsidRPr="00470BA2">
        <w:rPr>
          <w:i/>
          <w:iCs/>
          <w:noProof/>
        </w:rPr>
        <w:t>BMJ Open</w:t>
      </w:r>
      <w:r w:rsidR="00470BA2" w:rsidRPr="00470BA2">
        <w:rPr>
          <w:noProof/>
        </w:rPr>
        <w:t xml:space="preserve"> 2020;10:e038474.</w:t>
      </w:r>
    </w:p>
    <w:p w14:paraId="4E963146" w14:textId="77777777" w:rsidR="00470BA2" w:rsidRPr="00470BA2" w:rsidRDefault="00470BA2" w:rsidP="00470BA2">
      <w:pPr>
        <w:widowControl w:val="0"/>
        <w:autoSpaceDE w:val="0"/>
        <w:autoSpaceDN w:val="0"/>
        <w:adjustRightInd w:val="0"/>
        <w:spacing w:after="240" w:line="240" w:lineRule="auto"/>
        <w:ind w:left="640" w:hanging="640"/>
        <w:rPr>
          <w:noProof/>
        </w:rPr>
      </w:pPr>
      <w:r w:rsidRPr="00470BA2">
        <w:rPr>
          <w:noProof/>
        </w:rPr>
        <w:t>2.</w:t>
      </w:r>
      <w:r w:rsidRPr="00470BA2">
        <w:rPr>
          <w:noProof/>
        </w:rPr>
        <w:tab/>
        <w:t xml:space="preserve">Prerau MJ, Brown RE, Bianchi MT, Ellenbogen JM, Purdon PL. Sleep neurophysiological dynamics through the lens of multitaper spectral analysis. </w:t>
      </w:r>
      <w:r w:rsidRPr="00470BA2">
        <w:rPr>
          <w:i/>
          <w:iCs/>
          <w:noProof/>
        </w:rPr>
        <w:t>Physiology</w:t>
      </w:r>
      <w:r w:rsidRPr="00470BA2">
        <w:rPr>
          <w:noProof/>
        </w:rPr>
        <w:t xml:space="preserve"> 2017;32:60–92.</w:t>
      </w:r>
    </w:p>
    <w:p w14:paraId="72ED192D" w14:textId="77777777" w:rsidR="00470BA2" w:rsidRPr="00470BA2" w:rsidRDefault="00470BA2" w:rsidP="00470BA2">
      <w:pPr>
        <w:widowControl w:val="0"/>
        <w:autoSpaceDE w:val="0"/>
        <w:autoSpaceDN w:val="0"/>
        <w:adjustRightInd w:val="0"/>
        <w:spacing w:after="240" w:line="240" w:lineRule="auto"/>
        <w:ind w:left="640" w:hanging="640"/>
        <w:rPr>
          <w:noProof/>
        </w:rPr>
      </w:pPr>
      <w:r w:rsidRPr="00470BA2">
        <w:rPr>
          <w:noProof/>
        </w:rPr>
        <w:t>3.</w:t>
      </w:r>
      <w:r w:rsidRPr="00470BA2">
        <w:rPr>
          <w:noProof/>
        </w:rPr>
        <w:tab/>
        <w:t xml:space="preserve">Purdon PL, Sampson A, Pavone KJ, Brown EN. Clinical Electroencephalography for Anesthesiologists: Part I: Background and Basic Signatures. </w:t>
      </w:r>
      <w:r w:rsidRPr="00470BA2">
        <w:rPr>
          <w:i/>
          <w:iCs/>
          <w:noProof/>
        </w:rPr>
        <w:t>Anesthesiology</w:t>
      </w:r>
      <w:r w:rsidRPr="00470BA2">
        <w:rPr>
          <w:noProof/>
        </w:rPr>
        <w:t xml:space="preserve"> 2015;123:937–960.</w:t>
      </w:r>
    </w:p>
    <w:p w14:paraId="0CEBCFE2" w14:textId="77777777" w:rsidR="00470BA2" w:rsidRPr="00470BA2" w:rsidRDefault="00470BA2" w:rsidP="00470BA2">
      <w:pPr>
        <w:widowControl w:val="0"/>
        <w:autoSpaceDE w:val="0"/>
        <w:autoSpaceDN w:val="0"/>
        <w:adjustRightInd w:val="0"/>
        <w:spacing w:after="240" w:line="240" w:lineRule="auto"/>
        <w:ind w:left="640" w:hanging="640"/>
        <w:rPr>
          <w:noProof/>
        </w:rPr>
      </w:pPr>
      <w:r w:rsidRPr="00470BA2">
        <w:rPr>
          <w:noProof/>
        </w:rPr>
        <w:t>4.</w:t>
      </w:r>
      <w:r w:rsidRPr="00470BA2">
        <w:rPr>
          <w:noProof/>
        </w:rPr>
        <w:tab/>
        <w:t xml:space="preserve">Bourne RS, Minelli C, Mills GH, Kandler R. Clinical review: Sleep measurement in critical care patients: Research and clinical implications. </w:t>
      </w:r>
      <w:r w:rsidRPr="00470BA2">
        <w:rPr>
          <w:i/>
          <w:iCs/>
          <w:noProof/>
        </w:rPr>
        <w:t>Crit Care</w:t>
      </w:r>
      <w:r w:rsidRPr="00470BA2">
        <w:rPr>
          <w:noProof/>
        </w:rPr>
        <w:t xml:space="preserve"> 2007;</w:t>
      </w:r>
    </w:p>
    <w:p w14:paraId="4D92C03B" w14:textId="77777777" w:rsidR="00470BA2" w:rsidRPr="00470BA2" w:rsidRDefault="00470BA2" w:rsidP="00470BA2">
      <w:pPr>
        <w:widowControl w:val="0"/>
        <w:autoSpaceDE w:val="0"/>
        <w:autoSpaceDN w:val="0"/>
        <w:adjustRightInd w:val="0"/>
        <w:spacing w:after="240" w:line="240" w:lineRule="auto"/>
        <w:ind w:left="640" w:hanging="640"/>
        <w:rPr>
          <w:noProof/>
        </w:rPr>
      </w:pPr>
      <w:r w:rsidRPr="00470BA2">
        <w:rPr>
          <w:noProof/>
        </w:rPr>
        <w:t>5.</w:t>
      </w:r>
      <w:r w:rsidRPr="00470BA2">
        <w:rPr>
          <w:noProof/>
        </w:rPr>
        <w:tab/>
        <w:t xml:space="preserve">Elliott R, Axelin A, Richards KC, Vahlberg T, Ritmala-Castren M. Sensitivity and specificity of proposed Richards-Campbell Sleep Questionnaire cut-off scores for good quality sleep during an ICU stay. </w:t>
      </w:r>
      <w:r w:rsidRPr="00470BA2">
        <w:rPr>
          <w:i/>
          <w:iCs/>
          <w:noProof/>
        </w:rPr>
        <w:t>J Clin Nurs</w:t>
      </w:r>
      <w:r w:rsidRPr="00470BA2">
        <w:rPr>
          <w:noProof/>
        </w:rPr>
        <w:t xml:space="preserve"> 2023;32:2700–2708.</w:t>
      </w:r>
    </w:p>
    <w:p w14:paraId="2C5FA3B7" w14:textId="11E57AF1" w:rsidR="00327E6D" w:rsidRPr="00163051" w:rsidRDefault="00327E6D" w:rsidP="00470BA2">
      <w:pPr>
        <w:widowControl w:val="0"/>
        <w:autoSpaceDE w:val="0"/>
        <w:autoSpaceDN w:val="0"/>
        <w:adjustRightInd w:val="0"/>
        <w:spacing w:after="240" w:line="240" w:lineRule="auto"/>
        <w:ind w:left="640" w:hanging="640"/>
        <w:rPr>
          <w:rFonts w:asciiTheme="majorBidi" w:hAnsiTheme="majorBidi" w:cstheme="majorBidi"/>
        </w:rPr>
      </w:pPr>
      <w:r>
        <w:rPr>
          <w:rFonts w:asciiTheme="majorBidi" w:hAnsiTheme="majorBidi" w:cstheme="majorBidi"/>
        </w:rPr>
        <w:fldChar w:fldCharType="end"/>
      </w:r>
    </w:p>
    <w:sectPr w:rsidR="00327E6D" w:rsidRPr="00163051" w:rsidSect="00163051">
      <w:footerReference w:type="even" r:id="rId16"/>
      <w:footerReference w:type="default" r:id="rId1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DBDBC" w14:textId="77777777" w:rsidR="008A38C2" w:rsidRDefault="008A38C2" w:rsidP="00AC2EE0">
      <w:pPr>
        <w:spacing w:before="0" w:after="0" w:line="240" w:lineRule="auto"/>
      </w:pPr>
      <w:r>
        <w:separator/>
      </w:r>
    </w:p>
  </w:endnote>
  <w:endnote w:type="continuationSeparator" w:id="0">
    <w:p w14:paraId="3545A372" w14:textId="77777777" w:rsidR="008A38C2" w:rsidRDefault="008A38C2" w:rsidP="00AC2EE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ACF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73554026"/>
      <w:docPartObj>
        <w:docPartGallery w:val="Page Numbers (Bottom of Page)"/>
        <w:docPartUnique/>
      </w:docPartObj>
    </w:sdtPr>
    <w:sdtContent>
      <w:p w14:paraId="5D02B50B" w14:textId="27B0278E" w:rsidR="00AC2EE0" w:rsidRDefault="00AC2EE0" w:rsidP="002439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6D824A5" w14:textId="77777777" w:rsidR="00AC2EE0" w:rsidRDefault="00AC2EE0" w:rsidP="00AC2E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0601643"/>
      <w:docPartObj>
        <w:docPartGallery w:val="Page Numbers (Bottom of Page)"/>
        <w:docPartUnique/>
      </w:docPartObj>
    </w:sdtPr>
    <w:sdtContent>
      <w:p w14:paraId="1EC53834" w14:textId="6DE88A20" w:rsidR="00AC2EE0" w:rsidRDefault="00AC2EE0" w:rsidP="002439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DA8C61E" w14:textId="77777777" w:rsidR="00AC2EE0" w:rsidRDefault="00AC2EE0" w:rsidP="00AC2EE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5E63B" w14:textId="77777777" w:rsidR="008A38C2" w:rsidRDefault="008A38C2" w:rsidP="00AC2EE0">
      <w:pPr>
        <w:spacing w:before="0" w:after="0" w:line="240" w:lineRule="auto"/>
      </w:pPr>
      <w:r>
        <w:separator/>
      </w:r>
    </w:p>
  </w:footnote>
  <w:footnote w:type="continuationSeparator" w:id="0">
    <w:p w14:paraId="440F0BA7" w14:textId="77777777" w:rsidR="008A38C2" w:rsidRDefault="008A38C2" w:rsidP="00AC2EE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4E85"/>
    <w:multiLevelType w:val="hybridMultilevel"/>
    <w:tmpl w:val="BBBE13EC"/>
    <w:lvl w:ilvl="0" w:tplc="3412FAD8">
      <w:start w:val="1"/>
      <w:numFmt w:val="upp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5677B"/>
    <w:multiLevelType w:val="hybridMultilevel"/>
    <w:tmpl w:val="1CC89F8C"/>
    <w:lvl w:ilvl="0" w:tplc="C798C3E8">
      <w:start w:val="20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6B0"/>
    <w:multiLevelType w:val="hybridMultilevel"/>
    <w:tmpl w:val="5DCCDD8E"/>
    <w:lvl w:ilvl="0" w:tplc="3C002C1C">
      <w:start w:val="1"/>
      <w:numFmt w:val="decimal"/>
      <w:lvlText w:val="%1-"/>
      <w:lvlJc w:val="left"/>
      <w:pPr>
        <w:ind w:left="720" w:hanging="360"/>
      </w:pPr>
    </w:lvl>
    <w:lvl w:ilvl="1" w:tplc="9D9624BE">
      <w:start w:val="1"/>
      <w:numFmt w:val="lowerLetter"/>
      <w:lvlText w:val="%2."/>
      <w:lvlJc w:val="left"/>
      <w:pPr>
        <w:ind w:left="1440" w:hanging="360"/>
      </w:pPr>
    </w:lvl>
    <w:lvl w:ilvl="2" w:tplc="F6F604D6">
      <w:start w:val="1"/>
      <w:numFmt w:val="lowerRoman"/>
      <w:lvlText w:val="%3."/>
      <w:lvlJc w:val="right"/>
      <w:pPr>
        <w:ind w:left="2160" w:hanging="180"/>
      </w:pPr>
    </w:lvl>
    <w:lvl w:ilvl="3" w:tplc="DDE2DB9A">
      <w:start w:val="1"/>
      <w:numFmt w:val="decimal"/>
      <w:lvlText w:val="%4."/>
      <w:lvlJc w:val="left"/>
      <w:pPr>
        <w:ind w:left="2880" w:hanging="360"/>
      </w:pPr>
    </w:lvl>
    <w:lvl w:ilvl="4" w:tplc="41362C62">
      <w:start w:val="1"/>
      <w:numFmt w:val="lowerLetter"/>
      <w:lvlText w:val="%5."/>
      <w:lvlJc w:val="left"/>
      <w:pPr>
        <w:ind w:left="3600" w:hanging="360"/>
      </w:pPr>
    </w:lvl>
    <w:lvl w:ilvl="5" w:tplc="16AC0872">
      <w:start w:val="1"/>
      <w:numFmt w:val="lowerRoman"/>
      <w:lvlText w:val="%6."/>
      <w:lvlJc w:val="right"/>
      <w:pPr>
        <w:ind w:left="4320" w:hanging="180"/>
      </w:pPr>
    </w:lvl>
    <w:lvl w:ilvl="6" w:tplc="5456C08A">
      <w:start w:val="1"/>
      <w:numFmt w:val="decimal"/>
      <w:lvlText w:val="%7."/>
      <w:lvlJc w:val="left"/>
      <w:pPr>
        <w:ind w:left="5040" w:hanging="360"/>
      </w:pPr>
    </w:lvl>
    <w:lvl w:ilvl="7" w:tplc="F3FEFD5A">
      <w:start w:val="1"/>
      <w:numFmt w:val="lowerLetter"/>
      <w:lvlText w:val="%8."/>
      <w:lvlJc w:val="left"/>
      <w:pPr>
        <w:ind w:left="5760" w:hanging="360"/>
      </w:pPr>
    </w:lvl>
    <w:lvl w:ilvl="8" w:tplc="FE3030A2">
      <w:start w:val="1"/>
      <w:numFmt w:val="lowerRoman"/>
      <w:lvlText w:val="%9."/>
      <w:lvlJc w:val="right"/>
      <w:pPr>
        <w:ind w:left="6480" w:hanging="180"/>
      </w:pPr>
    </w:lvl>
  </w:abstractNum>
  <w:abstractNum w:abstractNumId="3" w15:restartNumberingAfterBreak="0">
    <w:nsid w:val="64892A07"/>
    <w:multiLevelType w:val="hybridMultilevel"/>
    <w:tmpl w:val="4B5CA084"/>
    <w:lvl w:ilvl="0" w:tplc="73B0B1EC">
      <w:start w:val="1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3223289">
    <w:abstractNumId w:val="2"/>
  </w:num>
  <w:num w:numId="2" w16cid:durableId="239600632">
    <w:abstractNumId w:val="1"/>
  </w:num>
  <w:num w:numId="3" w16cid:durableId="5326069">
    <w:abstractNumId w:val="3"/>
  </w:num>
  <w:num w:numId="4" w16cid:durableId="1280988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F32"/>
    <w:rsid w:val="0000225F"/>
    <w:rsid w:val="000B64BD"/>
    <w:rsid w:val="000F3E18"/>
    <w:rsid w:val="00145C88"/>
    <w:rsid w:val="00163051"/>
    <w:rsid w:val="001A369F"/>
    <w:rsid w:val="001B18F6"/>
    <w:rsid w:val="001D04E4"/>
    <w:rsid w:val="001F2F7F"/>
    <w:rsid w:val="00221D62"/>
    <w:rsid w:val="00266687"/>
    <w:rsid w:val="00291FB8"/>
    <w:rsid w:val="002C7D9E"/>
    <w:rsid w:val="00327E6D"/>
    <w:rsid w:val="0035329B"/>
    <w:rsid w:val="003D5CDB"/>
    <w:rsid w:val="003E232A"/>
    <w:rsid w:val="003F0837"/>
    <w:rsid w:val="00470A02"/>
    <w:rsid w:val="00470BA2"/>
    <w:rsid w:val="004B0B3D"/>
    <w:rsid w:val="004B3F69"/>
    <w:rsid w:val="004C2804"/>
    <w:rsid w:val="00552E77"/>
    <w:rsid w:val="005D4762"/>
    <w:rsid w:val="005F6A35"/>
    <w:rsid w:val="00620118"/>
    <w:rsid w:val="0066401D"/>
    <w:rsid w:val="006A09A5"/>
    <w:rsid w:val="006F5C7A"/>
    <w:rsid w:val="00737836"/>
    <w:rsid w:val="007426E7"/>
    <w:rsid w:val="00765F32"/>
    <w:rsid w:val="007850A8"/>
    <w:rsid w:val="007A5EA2"/>
    <w:rsid w:val="007E1D58"/>
    <w:rsid w:val="007E2307"/>
    <w:rsid w:val="00806843"/>
    <w:rsid w:val="00831AE3"/>
    <w:rsid w:val="00881358"/>
    <w:rsid w:val="008A38C2"/>
    <w:rsid w:val="008E2D86"/>
    <w:rsid w:val="00907E74"/>
    <w:rsid w:val="009218E2"/>
    <w:rsid w:val="00946AB0"/>
    <w:rsid w:val="00984D60"/>
    <w:rsid w:val="009C2237"/>
    <w:rsid w:val="009D7649"/>
    <w:rsid w:val="00A74801"/>
    <w:rsid w:val="00A86CA2"/>
    <w:rsid w:val="00AC2EE0"/>
    <w:rsid w:val="00B06AE5"/>
    <w:rsid w:val="00B26843"/>
    <w:rsid w:val="00B3240E"/>
    <w:rsid w:val="00B32BCD"/>
    <w:rsid w:val="00B46BC2"/>
    <w:rsid w:val="00B6305F"/>
    <w:rsid w:val="00B9271B"/>
    <w:rsid w:val="00BB41BD"/>
    <w:rsid w:val="00BC2A77"/>
    <w:rsid w:val="00BC3EBB"/>
    <w:rsid w:val="00BD545C"/>
    <w:rsid w:val="00C92D7E"/>
    <w:rsid w:val="00CA597D"/>
    <w:rsid w:val="00D01F61"/>
    <w:rsid w:val="00D20145"/>
    <w:rsid w:val="00D450BF"/>
    <w:rsid w:val="00D46F6C"/>
    <w:rsid w:val="00D52A3F"/>
    <w:rsid w:val="00D661A1"/>
    <w:rsid w:val="00D908E2"/>
    <w:rsid w:val="00DA73DF"/>
    <w:rsid w:val="00DB382A"/>
    <w:rsid w:val="00DD796F"/>
    <w:rsid w:val="00E037C7"/>
    <w:rsid w:val="00E05E0F"/>
    <w:rsid w:val="00E85B02"/>
    <w:rsid w:val="00F02E9F"/>
    <w:rsid w:val="00F0412F"/>
    <w:rsid w:val="00F2037E"/>
    <w:rsid w:val="00F315E2"/>
    <w:rsid w:val="00F40637"/>
    <w:rsid w:val="00F42FD6"/>
    <w:rsid w:val="00F65E38"/>
    <w:rsid w:val="00F93692"/>
    <w:rsid w:val="04DD6C9C"/>
    <w:rsid w:val="08107CE3"/>
    <w:rsid w:val="085C49B3"/>
    <w:rsid w:val="0ACE98B9"/>
    <w:rsid w:val="13E8A7ED"/>
    <w:rsid w:val="143027CE"/>
    <w:rsid w:val="23F69532"/>
    <w:rsid w:val="25981AEA"/>
    <w:rsid w:val="2AB23D0C"/>
    <w:rsid w:val="2E41AA37"/>
    <w:rsid w:val="30022EBC"/>
    <w:rsid w:val="339BCBAA"/>
    <w:rsid w:val="366E5431"/>
    <w:rsid w:val="36B6CF3E"/>
    <w:rsid w:val="3D196BBE"/>
    <w:rsid w:val="45822F2E"/>
    <w:rsid w:val="493FD40D"/>
    <w:rsid w:val="4990200E"/>
    <w:rsid w:val="4B07F07E"/>
    <w:rsid w:val="4DE9F4C0"/>
    <w:rsid w:val="55075EC2"/>
    <w:rsid w:val="564E5B4A"/>
    <w:rsid w:val="5827ABC7"/>
    <w:rsid w:val="60022EB6"/>
    <w:rsid w:val="663B352B"/>
    <w:rsid w:val="6A61DC17"/>
    <w:rsid w:val="706418D0"/>
    <w:rsid w:val="75C6CA83"/>
    <w:rsid w:val="78CEEF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07A88"/>
  <w15:chartTrackingRefBased/>
  <w15:docId w15:val="{A31C0958-53E1-47F1-BA83-E9A0CEF1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F32"/>
    <w:pPr>
      <w:tabs>
        <w:tab w:val="left" w:pos="720"/>
      </w:tabs>
      <w:spacing w:before="100" w:beforeAutospacing="1" w:after="100" w:afterAutospacing="1" w:line="480" w:lineRule="auto"/>
    </w:pPr>
    <w:rPr>
      <w:rFonts w:ascii="Times New Roman" w:hAnsi="Times New Roman" w:cs="Times New Roman"/>
      <w:color w:val="000000" w:themeColor="text1"/>
      <w:kern w:val="0"/>
      <w:lang w:bidi="th-TH"/>
      <w14:ligatures w14:val="none"/>
    </w:rPr>
  </w:style>
  <w:style w:type="paragraph" w:styleId="Heading1">
    <w:name w:val="heading 1"/>
    <w:basedOn w:val="Normal"/>
    <w:next w:val="Normal"/>
    <w:link w:val="Heading1Char"/>
    <w:uiPriority w:val="9"/>
    <w:qFormat/>
    <w:rsid w:val="00765F32"/>
    <w:pPr>
      <w:keepNext/>
      <w:keepLines/>
      <w:tabs>
        <w:tab w:val="clear" w:pos="720"/>
      </w:tabs>
      <w:spacing w:before="360" w:beforeAutospacing="0" w:after="80" w:afterAutospacing="0" w:line="278" w:lineRule="auto"/>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unhideWhenUsed/>
    <w:qFormat/>
    <w:rsid w:val="00765F32"/>
    <w:pPr>
      <w:keepNext/>
      <w:keepLines/>
      <w:tabs>
        <w:tab w:val="clear" w:pos="720"/>
      </w:tabs>
      <w:spacing w:before="160" w:beforeAutospacing="0" w:after="80" w:afterAutospacing="0" w:line="278" w:lineRule="auto"/>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765F32"/>
    <w:pPr>
      <w:keepNext/>
      <w:keepLines/>
      <w:tabs>
        <w:tab w:val="clear" w:pos="720"/>
      </w:tabs>
      <w:spacing w:before="160" w:beforeAutospacing="0" w:after="80" w:afterAutospacing="0" w:line="278" w:lineRule="auto"/>
      <w:outlineLvl w:val="2"/>
    </w:pPr>
    <w:rPr>
      <w:rFonts w:asciiTheme="minorHAnsi" w:eastAsiaTheme="majorEastAsia" w:hAnsiTheme="minorHAnsi" w:cstheme="majorBidi"/>
      <w:color w:val="0F4761" w:themeColor="accent1" w:themeShade="BF"/>
      <w:kern w:val="2"/>
      <w:sz w:val="28"/>
      <w:szCs w:val="28"/>
      <w:lang w:bidi="ar-SA"/>
      <w14:ligatures w14:val="standardContextual"/>
    </w:rPr>
  </w:style>
  <w:style w:type="paragraph" w:styleId="Heading4">
    <w:name w:val="heading 4"/>
    <w:basedOn w:val="Normal"/>
    <w:next w:val="Normal"/>
    <w:link w:val="Heading4Char"/>
    <w:uiPriority w:val="9"/>
    <w:semiHidden/>
    <w:unhideWhenUsed/>
    <w:qFormat/>
    <w:rsid w:val="00765F32"/>
    <w:pPr>
      <w:keepNext/>
      <w:keepLines/>
      <w:tabs>
        <w:tab w:val="clear" w:pos="720"/>
      </w:tabs>
      <w:spacing w:before="80" w:beforeAutospacing="0" w:after="40" w:afterAutospacing="0" w:line="278" w:lineRule="auto"/>
      <w:outlineLvl w:val="3"/>
    </w:pPr>
    <w:rPr>
      <w:rFonts w:asciiTheme="minorHAnsi" w:eastAsiaTheme="majorEastAsia" w:hAnsiTheme="minorHAnsi" w:cstheme="majorBidi"/>
      <w:i/>
      <w:iCs/>
      <w:color w:val="0F4761" w:themeColor="accent1" w:themeShade="BF"/>
      <w:kern w:val="2"/>
      <w:lang w:bidi="ar-SA"/>
      <w14:ligatures w14:val="standardContextual"/>
    </w:rPr>
  </w:style>
  <w:style w:type="paragraph" w:styleId="Heading5">
    <w:name w:val="heading 5"/>
    <w:basedOn w:val="Normal"/>
    <w:next w:val="Normal"/>
    <w:link w:val="Heading5Char"/>
    <w:uiPriority w:val="9"/>
    <w:semiHidden/>
    <w:unhideWhenUsed/>
    <w:qFormat/>
    <w:rsid w:val="00765F32"/>
    <w:pPr>
      <w:keepNext/>
      <w:keepLines/>
      <w:tabs>
        <w:tab w:val="clear" w:pos="720"/>
      </w:tabs>
      <w:spacing w:before="80" w:beforeAutospacing="0" w:after="40" w:afterAutospacing="0" w:line="278" w:lineRule="auto"/>
      <w:outlineLvl w:val="4"/>
    </w:pPr>
    <w:rPr>
      <w:rFonts w:asciiTheme="minorHAnsi" w:eastAsiaTheme="majorEastAsia" w:hAnsiTheme="minorHAnsi" w:cstheme="majorBidi"/>
      <w:color w:val="0F4761" w:themeColor="accent1" w:themeShade="BF"/>
      <w:kern w:val="2"/>
      <w:lang w:bidi="ar-SA"/>
      <w14:ligatures w14:val="standardContextual"/>
    </w:rPr>
  </w:style>
  <w:style w:type="paragraph" w:styleId="Heading6">
    <w:name w:val="heading 6"/>
    <w:basedOn w:val="Normal"/>
    <w:next w:val="Normal"/>
    <w:link w:val="Heading6Char"/>
    <w:uiPriority w:val="9"/>
    <w:semiHidden/>
    <w:unhideWhenUsed/>
    <w:qFormat/>
    <w:rsid w:val="00765F32"/>
    <w:pPr>
      <w:keepNext/>
      <w:keepLines/>
      <w:tabs>
        <w:tab w:val="clear" w:pos="720"/>
      </w:tabs>
      <w:spacing w:before="40" w:beforeAutospacing="0" w:after="0" w:afterAutospacing="0" w:line="278" w:lineRule="auto"/>
      <w:outlineLvl w:val="5"/>
    </w:pPr>
    <w:rPr>
      <w:rFonts w:asciiTheme="minorHAnsi" w:eastAsiaTheme="majorEastAsia" w:hAnsiTheme="minorHAnsi" w:cstheme="majorBidi"/>
      <w:i/>
      <w:iCs/>
      <w:color w:val="595959" w:themeColor="text1" w:themeTint="A6"/>
      <w:kern w:val="2"/>
      <w:lang w:bidi="ar-SA"/>
      <w14:ligatures w14:val="standardContextual"/>
    </w:rPr>
  </w:style>
  <w:style w:type="paragraph" w:styleId="Heading7">
    <w:name w:val="heading 7"/>
    <w:basedOn w:val="Normal"/>
    <w:next w:val="Normal"/>
    <w:link w:val="Heading7Char"/>
    <w:uiPriority w:val="9"/>
    <w:semiHidden/>
    <w:unhideWhenUsed/>
    <w:qFormat/>
    <w:rsid w:val="00765F32"/>
    <w:pPr>
      <w:keepNext/>
      <w:keepLines/>
      <w:tabs>
        <w:tab w:val="clear" w:pos="720"/>
      </w:tabs>
      <w:spacing w:before="40" w:beforeAutospacing="0" w:after="0" w:afterAutospacing="0" w:line="278" w:lineRule="auto"/>
      <w:outlineLvl w:val="6"/>
    </w:pPr>
    <w:rPr>
      <w:rFonts w:asciiTheme="minorHAnsi" w:eastAsiaTheme="majorEastAsia" w:hAnsiTheme="minorHAnsi" w:cstheme="majorBidi"/>
      <w:color w:val="595959" w:themeColor="text1" w:themeTint="A6"/>
      <w:kern w:val="2"/>
      <w:lang w:bidi="ar-SA"/>
      <w14:ligatures w14:val="standardContextual"/>
    </w:rPr>
  </w:style>
  <w:style w:type="paragraph" w:styleId="Heading8">
    <w:name w:val="heading 8"/>
    <w:basedOn w:val="Normal"/>
    <w:next w:val="Normal"/>
    <w:link w:val="Heading8Char"/>
    <w:uiPriority w:val="9"/>
    <w:semiHidden/>
    <w:unhideWhenUsed/>
    <w:qFormat/>
    <w:rsid w:val="00765F32"/>
    <w:pPr>
      <w:keepNext/>
      <w:keepLines/>
      <w:tabs>
        <w:tab w:val="clear" w:pos="720"/>
      </w:tabs>
      <w:spacing w:before="0" w:beforeAutospacing="0" w:after="0" w:afterAutospacing="0" w:line="278" w:lineRule="auto"/>
      <w:outlineLvl w:val="7"/>
    </w:pPr>
    <w:rPr>
      <w:rFonts w:asciiTheme="minorHAnsi" w:eastAsiaTheme="majorEastAsia" w:hAnsiTheme="minorHAnsi" w:cstheme="majorBidi"/>
      <w:i/>
      <w:iCs/>
      <w:color w:val="272727" w:themeColor="text1" w:themeTint="D8"/>
      <w:kern w:val="2"/>
      <w:lang w:bidi="ar-SA"/>
      <w14:ligatures w14:val="standardContextual"/>
    </w:rPr>
  </w:style>
  <w:style w:type="paragraph" w:styleId="Heading9">
    <w:name w:val="heading 9"/>
    <w:basedOn w:val="Normal"/>
    <w:next w:val="Normal"/>
    <w:link w:val="Heading9Char"/>
    <w:uiPriority w:val="9"/>
    <w:semiHidden/>
    <w:unhideWhenUsed/>
    <w:qFormat/>
    <w:rsid w:val="00765F32"/>
    <w:pPr>
      <w:keepNext/>
      <w:keepLines/>
      <w:tabs>
        <w:tab w:val="clear" w:pos="720"/>
      </w:tabs>
      <w:spacing w:before="0" w:beforeAutospacing="0" w:after="0" w:afterAutospacing="0" w:line="278" w:lineRule="auto"/>
      <w:outlineLvl w:val="8"/>
    </w:pPr>
    <w:rPr>
      <w:rFonts w:asciiTheme="minorHAnsi" w:eastAsiaTheme="majorEastAsia" w:hAnsiTheme="minorHAnsi" w:cstheme="majorBidi"/>
      <w:color w:val="272727" w:themeColor="text1" w:themeTint="D8"/>
      <w:kern w:val="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F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5F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F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F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F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F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F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F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F32"/>
    <w:rPr>
      <w:rFonts w:eastAsiaTheme="majorEastAsia" w:cstheme="majorBidi"/>
      <w:color w:val="272727" w:themeColor="text1" w:themeTint="D8"/>
    </w:rPr>
  </w:style>
  <w:style w:type="paragraph" w:styleId="Title">
    <w:name w:val="Title"/>
    <w:basedOn w:val="Normal"/>
    <w:next w:val="Normal"/>
    <w:link w:val="TitleChar"/>
    <w:uiPriority w:val="10"/>
    <w:qFormat/>
    <w:rsid w:val="00765F32"/>
    <w:pPr>
      <w:tabs>
        <w:tab w:val="clear" w:pos="720"/>
      </w:tabs>
      <w:spacing w:before="0" w:beforeAutospacing="0" w:after="80" w:afterAutospacing="0" w:line="240" w:lineRule="auto"/>
      <w:contextualSpacing/>
    </w:pPr>
    <w:rPr>
      <w:rFonts w:asciiTheme="majorHAnsi" w:eastAsiaTheme="majorEastAsia" w:hAnsiTheme="majorHAnsi" w:cstheme="majorBidi"/>
      <w:color w:val="auto"/>
      <w:spacing w:val="-10"/>
      <w:kern w:val="28"/>
      <w:sz w:val="56"/>
      <w:szCs w:val="56"/>
      <w:lang w:bidi="ar-SA"/>
      <w14:ligatures w14:val="standardContextual"/>
    </w:rPr>
  </w:style>
  <w:style w:type="character" w:customStyle="1" w:styleId="TitleChar">
    <w:name w:val="Title Char"/>
    <w:basedOn w:val="DefaultParagraphFont"/>
    <w:link w:val="Title"/>
    <w:uiPriority w:val="10"/>
    <w:rsid w:val="00765F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F32"/>
    <w:pPr>
      <w:numPr>
        <w:ilvl w:val="1"/>
      </w:numPr>
      <w:tabs>
        <w:tab w:val="clear" w:pos="720"/>
      </w:tabs>
      <w:spacing w:before="0" w:beforeAutospacing="0" w:after="160" w:afterAutospacing="0" w:line="278" w:lineRule="auto"/>
    </w:pPr>
    <w:rPr>
      <w:rFonts w:asciiTheme="minorHAnsi" w:eastAsiaTheme="majorEastAsia" w:hAnsiTheme="minorHAnsi" w:cstheme="majorBidi"/>
      <w:color w:val="59595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765F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F32"/>
    <w:pPr>
      <w:tabs>
        <w:tab w:val="clear" w:pos="720"/>
      </w:tabs>
      <w:spacing w:before="160" w:beforeAutospacing="0" w:after="160" w:afterAutospacing="0" w:line="278" w:lineRule="auto"/>
      <w:jc w:val="center"/>
    </w:pPr>
    <w:rPr>
      <w:rFonts w:asciiTheme="minorHAnsi" w:hAnsiTheme="minorHAnsi" w:cstheme="minorBidi"/>
      <w:i/>
      <w:iCs/>
      <w:color w:val="404040" w:themeColor="text1" w:themeTint="BF"/>
      <w:kern w:val="2"/>
      <w:lang w:bidi="ar-SA"/>
      <w14:ligatures w14:val="standardContextual"/>
    </w:rPr>
  </w:style>
  <w:style w:type="character" w:customStyle="1" w:styleId="QuoteChar">
    <w:name w:val="Quote Char"/>
    <w:basedOn w:val="DefaultParagraphFont"/>
    <w:link w:val="Quote"/>
    <w:uiPriority w:val="29"/>
    <w:rsid w:val="00765F32"/>
    <w:rPr>
      <w:i/>
      <w:iCs/>
      <w:color w:val="404040" w:themeColor="text1" w:themeTint="BF"/>
    </w:rPr>
  </w:style>
  <w:style w:type="paragraph" w:styleId="ListParagraph">
    <w:name w:val="List Paragraph"/>
    <w:basedOn w:val="Normal"/>
    <w:uiPriority w:val="34"/>
    <w:qFormat/>
    <w:rsid w:val="00765F32"/>
    <w:pPr>
      <w:tabs>
        <w:tab w:val="clear" w:pos="720"/>
      </w:tabs>
      <w:spacing w:before="0" w:beforeAutospacing="0" w:after="160" w:afterAutospacing="0" w:line="278" w:lineRule="auto"/>
      <w:ind w:left="720"/>
      <w:contextualSpacing/>
    </w:pPr>
    <w:rPr>
      <w:rFonts w:asciiTheme="minorHAnsi" w:hAnsiTheme="minorHAnsi" w:cstheme="minorBidi"/>
      <w:color w:val="auto"/>
      <w:kern w:val="2"/>
      <w:lang w:bidi="ar-SA"/>
      <w14:ligatures w14:val="standardContextual"/>
    </w:rPr>
  </w:style>
  <w:style w:type="character" w:styleId="IntenseEmphasis">
    <w:name w:val="Intense Emphasis"/>
    <w:basedOn w:val="DefaultParagraphFont"/>
    <w:uiPriority w:val="21"/>
    <w:qFormat/>
    <w:rsid w:val="00765F32"/>
    <w:rPr>
      <w:i/>
      <w:iCs/>
      <w:color w:val="0F4761" w:themeColor="accent1" w:themeShade="BF"/>
    </w:rPr>
  </w:style>
  <w:style w:type="paragraph" w:styleId="IntenseQuote">
    <w:name w:val="Intense Quote"/>
    <w:basedOn w:val="Normal"/>
    <w:next w:val="Normal"/>
    <w:link w:val="IntenseQuoteChar"/>
    <w:uiPriority w:val="30"/>
    <w:qFormat/>
    <w:rsid w:val="00765F32"/>
    <w:pPr>
      <w:pBdr>
        <w:top w:val="single" w:sz="4" w:space="10" w:color="0F4761" w:themeColor="accent1" w:themeShade="BF"/>
        <w:bottom w:val="single" w:sz="4" w:space="10" w:color="0F4761" w:themeColor="accent1" w:themeShade="BF"/>
      </w:pBdr>
      <w:tabs>
        <w:tab w:val="clear" w:pos="720"/>
      </w:tabs>
      <w:spacing w:before="360" w:beforeAutospacing="0" w:after="360" w:afterAutospacing="0" w:line="278" w:lineRule="auto"/>
      <w:ind w:left="864" w:right="864"/>
      <w:jc w:val="center"/>
    </w:pPr>
    <w:rPr>
      <w:rFonts w:asciiTheme="minorHAnsi" w:hAnsiTheme="minorHAnsi" w:cstheme="minorBidi"/>
      <w:i/>
      <w:iCs/>
      <w:color w:val="0F4761" w:themeColor="accent1" w:themeShade="BF"/>
      <w:kern w:val="2"/>
      <w:lang w:bidi="ar-SA"/>
      <w14:ligatures w14:val="standardContextual"/>
    </w:rPr>
  </w:style>
  <w:style w:type="character" w:customStyle="1" w:styleId="IntenseQuoteChar">
    <w:name w:val="Intense Quote Char"/>
    <w:basedOn w:val="DefaultParagraphFont"/>
    <w:link w:val="IntenseQuote"/>
    <w:uiPriority w:val="30"/>
    <w:rsid w:val="00765F32"/>
    <w:rPr>
      <w:i/>
      <w:iCs/>
      <w:color w:val="0F4761" w:themeColor="accent1" w:themeShade="BF"/>
    </w:rPr>
  </w:style>
  <w:style w:type="character" w:styleId="IntenseReference">
    <w:name w:val="Intense Reference"/>
    <w:basedOn w:val="DefaultParagraphFont"/>
    <w:uiPriority w:val="32"/>
    <w:qFormat/>
    <w:rsid w:val="00765F32"/>
    <w:rPr>
      <w:b/>
      <w:bCs/>
      <w:smallCaps/>
      <w:color w:val="0F4761" w:themeColor="accent1" w:themeShade="BF"/>
      <w:spacing w:val="5"/>
    </w:rPr>
  </w:style>
  <w:style w:type="character" w:styleId="CommentReference">
    <w:name w:val="annotation reference"/>
    <w:basedOn w:val="DefaultParagraphFont"/>
    <w:uiPriority w:val="99"/>
    <w:semiHidden/>
    <w:unhideWhenUsed/>
    <w:rsid w:val="00D46F6C"/>
    <w:rPr>
      <w:sz w:val="16"/>
      <w:szCs w:val="16"/>
    </w:rPr>
  </w:style>
  <w:style w:type="paragraph" w:styleId="CommentText">
    <w:name w:val="annotation text"/>
    <w:basedOn w:val="Normal"/>
    <w:link w:val="CommentTextChar"/>
    <w:uiPriority w:val="99"/>
    <w:unhideWhenUsed/>
    <w:rsid w:val="00D46F6C"/>
    <w:pPr>
      <w:spacing w:line="240" w:lineRule="auto"/>
    </w:pPr>
    <w:rPr>
      <w:rFonts w:cs="Angsana New"/>
      <w:sz w:val="20"/>
      <w:szCs w:val="25"/>
    </w:rPr>
  </w:style>
  <w:style w:type="character" w:customStyle="1" w:styleId="CommentTextChar">
    <w:name w:val="Comment Text Char"/>
    <w:basedOn w:val="DefaultParagraphFont"/>
    <w:link w:val="CommentText"/>
    <w:uiPriority w:val="99"/>
    <w:rsid w:val="00D46F6C"/>
    <w:rPr>
      <w:rFonts w:ascii="Times New Roman" w:hAnsi="Times New Roman" w:cs="Angsana New"/>
      <w:color w:val="000000" w:themeColor="text1"/>
      <w:kern w:val="0"/>
      <w:sz w:val="20"/>
      <w:szCs w:val="25"/>
      <w:lang w:bidi="th-TH"/>
      <w14:ligatures w14:val="none"/>
    </w:rPr>
  </w:style>
  <w:style w:type="paragraph" w:styleId="CommentSubject">
    <w:name w:val="annotation subject"/>
    <w:basedOn w:val="CommentText"/>
    <w:next w:val="CommentText"/>
    <w:link w:val="CommentSubjectChar"/>
    <w:uiPriority w:val="99"/>
    <w:semiHidden/>
    <w:unhideWhenUsed/>
    <w:rsid w:val="00A86CA2"/>
    <w:rPr>
      <w:b/>
      <w:bCs/>
    </w:rPr>
  </w:style>
  <w:style w:type="character" w:customStyle="1" w:styleId="CommentSubjectChar">
    <w:name w:val="Comment Subject Char"/>
    <w:basedOn w:val="CommentTextChar"/>
    <w:link w:val="CommentSubject"/>
    <w:uiPriority w:val="99"/>
    <w:semiHidden/>
    <w:rsid w:val="00A86CA2"/>
    <w:rPr>
      <w:rFonts w:ascii="Times New Roman" w:hAnsi="Times New Roman" w:cs="Angsana New"/>
      <w:b/>
      <w:bCs/>
      <w:color w:val="000000" w:themeColor="text1"/>
      <w:kern w:val="0"/>
      <w:sz w:val="20"/>
      <w:szCs w:val="25"/>
      <w:lang w:bidi="th-TH"/>
      <w14:ligatures w14:val="none"/>
    </w:rPr>
  </w:style>
  <w:style w:type="paragraph" w:styleId="Revision">
    <w:name w:val="Revision"/>
    <w:hidden/>
    <w:uiPriority w:val="99"/>
    <w:semiHidden/>
    <w:rsid w:val="00806843"/>
    <w:pPr>
      <w:spacing w:after="0" w:line="240" w:lineRule="auto"/>
    </w:pPr>
    <w:rPr>
      <w:rFonts w:ascii="Times New Roman" w:hAnsi="Times New Roman" w:cs="Angsana New"/>
      <w:color w:val="000000" w:themeColor="text1"/>
      <w:kern w:val="0"/>
      <w:szCs w:val="30"/>
      <w:lang w:bidi="th-TH"/>
      <w14:ligatures w14:val="none"/>
    </w:rPr>
  </w:style>
  <w:style w:type="paragraph" w:styleId="TOCHeading">
    <w:name w:val="TOC Heading"/>
    <w:basedOn w:val="Heading1"/>
    <w:next w:val="Normal"/>
    <w:uiPriority w:val="39"/>
    <w:unhideWhenUsed/>
    <w:qFormat/>
    <w:rsid w:val="00291FB8"/>
    <w:pPr>
      <w:spacing w:before="480" w:after="0" w:line="276" w:lineRule="auto"/>
      <w:outlineLvl w:val="9"/>
    </w:pPr>
    <w:rPr>
      <w:b/>
      <w:bCs/>
      <w:kern w:val="0"/>
      <w:sz w:val="28"/>
      <w:szCs w:val="28"/>
      <w14:ligatures w14:val="none"/>
    </w:rPr>
  </w:style>
  <w:style w:type="paragraph" w:styleId="TOC2">
    <w:name w:val="toc 2"/>
    <w:basedOn w:val="Normal"/>
    <w:next w:val="Normal"/>
    <w:autoRedefine/>
    <w:uiPriority w:val="39"/>
    <w:unhideWhenUsed/>
    <w:rsid w:val="00291FB8"/>
    <w:pPr>
      <w:tabs>
        <w:tab w:val="clear" w:pos="720"/>
      </w:tabs>
      <w:spacing w:before="120" w:after="0"/>
      <w:ind w:left="240"/>
    </w:pPr>
    <w:rPr>
      <w:rFonts w:asciiTheme="minorHAnsi" w:hAnsiTheme="minorHAnsi" w:cs="Angsana New"/>
      <w:i/>
      <w:iCs/>
      <w:sz w:val="20"/>
      <w:szCs w:val="23"/>
    </w:rPr>
  </w:style>
  <w:style w:type="paragraph" w:styleId="TOC1">
    <w:name w:val="toc 1"/>
    <w:basedOn w:val="Normal"/>
    <w:next w:val="Normal"/>
    <w:autoRedefine/>
    <w:uiPriority w:val="39"/>
    <w:unhideWhenUsed/>
    <w:rsid w:val="00291FB8"/>
    <w:pPr>
      <w:tabs>
        <w:tab w:val="clear" w:pos="720"/>
      </w:tabs>
      <w:spacing w:before="240" w:after="120"/>
    </w:pPr>
    <w:rPr>
      <w:rFonts w:asciiTheme="minorHAnsi" w:hAnsiTheme="minorHAnsi" w:cs="Angsana New"/>
      <w:b/>
      <w:bCs/>
      <w:sz w:val="20"/>
      <w:szCs w:val="23"/>
    </w:rPr>
  </w:style>
  <w:style w:type="paragraph" w:styleId="TOC3">
    <w:name w:val="toc 3"/>
    <w:basedOn w:val="Normal"/>
    <w:next w:val="Normal"/>
    <w:autoRedefine/>
    <w:uiPriority w:val="39"/>
    <w:unhideWhenUsed/>
    <w:rsid w:val="00291FB8"/>
    <w:pPr>
      <w:tabs>
        <w:tab w:val="clear" w:pos="720"/>
      </w:tabs>
      <w:spacing w:before="0" w:after="0"/>
      <w:ind w:left="480"/>
    </w:pPr>
    <w:rPr>
      <w:rFonts w:asciiTheme="minorHAnsi" w:hAnsiTheme="minorHAnsi" w:cs="Angsana New"/>
      <w:sz w:val="20"/>
      <w:szCs w:val="23"/>
    </w:rPr>
  </w:style>
  <w:style w:type="paragraph" w:styleId="TOC4">
    <w:name w:val="toc 4"/>
    <w:basedOn w:val="Normal"/>
    <w:next w:val="Normal"/>
    <w:autoRedefine/>
    <w:uiPriority w:val="39"/>
    <w:semiHidden/>
    <w:unhideWhenUsed/>
    <w:rsid w:val="00291FB8"/>
    <w:pPr>
      <w:tabs>
        <w:tab w:val="clear" w:pos="720"/>
      </w:tabs>
      <w:spacing w:before="0" w:after="0"/>
      <w:ind w:left="720"/>
    </w:pPr>
    <w:rPr>
      <w:rFonts w:asciiTheme="minorHAnsi" w:hAnsiTheme="minorHAnsi" w:cs="Angsana New"/>
      <w:sz w:val="20"/>
      <w:szCs w:val="23"/>
    </w:rPr>
  </w:style>
  <w:style w:type="paragraph" w:styleId="TOC5">
    <w:name w:val="toc 5"/>
    <w:basedOn w:val="Normal"/>
    <w:next w:val="Normal"/>
    <w:autoRedefine/>
    <w:uiPriority w:val="39"/>
    <w:semiHidden/>
    <w:unhideWhenUsed/>
    <w:rsid w:val="00291FB8"/>
    <w:pPr>
      <w:tabs>
        <w:tab w:val="clear" w:pos="720"/>
      </w:tabs>
      <w:spacing w:before="0" w:after="0"/>
      <w:ind w:left="960"/>
    </w:pPr>
    <w:rPr>
      <w:rFonts w:asciiTheme="minorHAnsi" w:hAnsiTheme="minorHAnsi" w:cs="Angsana New"/>
      <w:sz w:val="20"/>
      <w:szCs w:val="23"/>
    </w:rPr>
  </w:style>
  <w:style w:type="paragraph" w:styleId="TOC6">
    <w:name w:val="toc 6"/>
    <w:basedOn w:val="Normal"/>
    <w:next w:val="Normal"/>
    <w:autoRedefine/>
    <w:uiPriority w:val="39"/>
    <w:semiHidden/>
    <w:unhideWhenUsed/>
    <w:rsid w:val="00291FB8"/>
    <w:pPr>
      <w:tabs>
        <w:tab w:val="clear" w:pos="720"/>
      </w:tabs>
      <w:spacing w:before="0" w:after="0"/>
      <w:ind w:left="1200"/>
    </w:pPr>
    <w:rPr>
      <w:rFonts w:asciiTheme="minorHAnsi" w:hAnsiTheme="minorHAnsi" w:cs="Angsana New"/>
      <w:sz w:val="20"/>
      <w:szCs w:val="23"/>
    </w:rPr>
  </w:style>
  <w:style w:type="paragraph" w:styleId="TOC7">
    <w:name w:val="toc 7"/>
    <w:basedOn w:val="Normal"/>
    <w:next w:val="Normal"/>
    <w:autoRedefine/>
    <w:uiPriority w:val="39"/>
    <w:semiHidden/>
    <w:unhideWhenUsed/>
    <w:rsid w:val="00291FB8"/>
    <w:pPr>
      <w:tabs>
        <w:tab w:val="clear" w:pos="720"/>
      </w:tabs>
      <w:spacing w:before="0" w:after="0"/>
      <w:ind w:left="1440"/>
    </w:pPr>
    <w:rPr>
      <w:rFonts w:asciiTheme="minorHAnsi" w:hAnsiTheme="minorHAnsi" w:cs="Angsana New"/>
      <w:sz w:val="20"/>
      <w:szCs w:val="23"/>
    </w:rPr>
  </w:style>
  <w:style w:type="paragraph" w:styleId="TOC8">
    <w:name w:val="toc 8"/>
    <w:basedOn w:val="Normal"/>
    <w:next w:val="Normal"/>
    <w:autoRedefine/>
    <w:uiPriority w:val="39"/>
    <w:semiHidden/>
    <w:unhideWhenUsed/>
    <w:rsid w:val="00291FB8"/>
    <w:pPr>
      <w:tabs>
        <w:tab w:val="clear" w:pos="720"/>
      </w:tabs>
      <w:spacing w:before="0" w:after="0"/>
      <w:ind w:left="1680"/>
    </w:pPr>
    <w:rPr>
      <w:rFonts w:asciiTheme="minorHAnsi" w:hAnsiTheme="minorHAnsi" w:cs="Angsana New"/>
      <w:sz w:val="20"/>
      <w:szCs w:val="23"/>
    </w:rPr>
  </w:style>
  <w:style w:type="paragraph" w:styleId="TOC9">
    <w:name w:val="toc 9"/>
    <w:basedOn w:val="Normal"/>
    <w:next w:val="Normal"/>
    <w:autoRedefine/>
    <w:uiPriority w:val="39"/>
    <w:semiHidden/>
    <w:unhideWhenUsed/>
    <w:rsid w:val="00291FB8"/>
    <w:pPr>
      <w:tabs>
        <w:tab w:val="clear" w:pos="720"/>
      </w:tabs>
      <w:spacing w:before="0" w:after="0"/>
      <w:ind w:left="1920"/>
    </w:pPr>
    <w:rPr>
      <w:rFonts w:asciiTheme="minorHAnsi" w:hAnsiTheme="minorHAnsi" w:cs="Angsana New"/>
      <w:sz w:val="20"/>
      <w:szCs w:val="23"/>
    </w:rPr>
  </w:style>
  <w:style w:type="character" w:styleId="Hyperlink">
    <w:name w:val="Hyperlink"/>
    <w:basedOn w:val="DefaultParagraphFont"/>
    <w:uiPriority w:val="99"/>
    <w:unhideWhenUsed/>
    <w:rsid w:val="00291FB8"/>
    <w:rPr>
      <w:color w:val="467886" w:themeColor="hyperlink"/>
      <w:u w:val="single"/>
    </w:rPr>
  </w:style>
  <w:style w:type="character" w:styleId="FollowedHyperlink">
    <w:name w:val="FollowedHyperlink"/>
    <w:basedOn w:val="DefaultParagraphFont"/>
    <w:uiPriority w:val="99"/>
    <w:semiHidden/>
    <w:unhideWhenUsed/>
    <w:rsid w:val="003E232A"/>
    <w:rPr>
      <w:color w:val="96607D" w:themeColor="followedHyperlink"/>
      <w:u w:val="single"/>
    </w:rPr>
  </w:style>
  <w:style w:type="paragraph" w:styleId="Footer">
    <w:name w:val="footer"/>
    <w:basedOn w:val="Normal"/>
    <w:link w:val="FooterChar"/>
    <w:uiPriority w:val="99"/>
    <w:unhideWhenUsed/>
    <w:rsid w:val="00AC2EE0"/>
    <w:pPr>
      <w:tabs>
        <w:tab w:val="clear" w:pos="720"/>
        <w:tab w:val="center" w:pos="4680"/>
        <w:tab w:val="right" w:pos="9360"/>
      </w:tabs>
      <w:spacing w:before="0" w:after="0" w:line="240" w:lineRule="auto"/>
    </w:pPr>
    <w:rPr>
      <w:rFonts w:cs="Angsana New"/>
      <w:szCs w:val="30"/>
    </w:rPr>
  </w:style>
  <w:style w:type="character" w:customStyle="1" w:styleId="FooterChar">
    <w:name w:val="Footer Char"/>
    <w:basedOn w:val="DefaultParagraphFont"/>
    <w:link w:val="Footer"/>
    <w:uiPriority w:val="99"/>
    <w:rsid w:val="00AC2EE0"/>
    <w:rPr>
      <w:rFonts w:ascii="Times New Roman" w:hAnsi="Times New Roman" w:cs="Angsana New"/>
      <w:color w:val="000000" w:themeColor="text1"/>
      <w:kern w:val="0"/>
      <w:szCs w:val="30"/>
      <w:lang w:bidi="th-TH"/>
      <w14:ligatures w14:val="none"/>
    </w:rPr>
  </w:style>
  <w:style w:type="character" w:styleId="PageNumber">
    <w:name w:val="page number"/>
    <w:basedOn w:val="DefaultParagraphFont"/>
    <w:uiPriority w:val="99"/>
    <w:semiHidden/>
    <w:unhideWhenUsed/>
    <w:rsid w:val="00AC2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sort=date&amp;term=Thomas-Rueddel+DO"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med.ncbi.nlm.nih.gov/?sort=date&amp;term=Rojanapithayakorn+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sort=date&amp;term=Ramishvili+T"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pubmed.ncbi.nlm.nih.gov/?sort=date&amp;term=Kumar+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ubmed.ncbi.nlm.nih.gov/?sort=date&amp;term=Hopstein+N"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4109B-725F-274E-B078-8CC319EDE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4477</Words>
  <Characters>26236</Characters>
  <Application>Microsoft Office Word</Application>
  <DocSecurity>0</DocSecurity>
  <Lines>558</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Karuna Wongtangman</dc:creator>
  <cp:keywords/>
  <dc:description/>
  <cp:lastModifiedBy>Rafi Khandaker</cp:lastModifiedBy>
  <cp:revision>8</cp:revision>
  <dcterms:created xsi:type="dcterms:W3CDTF">2026-05-27T00:50:00Z</dcterms:created>
  <dcterms:modified xsi:type="dcterms:W3CDTF">2026-05-27T01:38:00Z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http://www.zotero.org/styles/american-journal-of-respiratory-and-critical-care-medicine</vt:lpwstr>
  </property>
  <property fmtid="{D5CDD505-2E9C-101B-9397-08002B2CF9AE}" pid="3" name="Mendeley Recent Style Name 0_1">
    <vt:lpwstr>American Journal of Respiratory and Critical Care Medicine</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http://www.zotero.org/styles/anesthesia-and-analgesia</vt:lpwstr>
  </property>
  <property fmtid="{D5CDD505-2E9C-101B-9397-08002B2CF9AE}" pid="7" name="Mendeley Recent Style Name 2_1">
    <vt:lpwstr>Anesthesia and Analgesia</vt:lpwstr>
  </property>
  <property fmtid="{D5CDD505-2E9C-101B-9397-08002B2CF9AE}" pid="8" name="Mendeley Recent Style Id 3_1">
    <vt:lpwstr>http://www.zotero.org/styles/annals-of-internal-medicine</vt:lpwstr>
  </property>
  <property fmtid="{D5CDD505-2E9C-101B-9397-08002B2CF9AE}" pid="9" name="Mendeley Recent Style Name 3_1">
    <vt:lpwstr>Annals of Internal Medicine</vt:lpwstr>
  </property>
  <property fmtid="{D5CDD505-2E9C-101B-9397-08002B2CF9AE}" pid="10" name="Mendeley Recent Style Id 4_1">
    <vt:lpwstr>http://www.zotero.org/styles/annals-of-surgery</vt:lpwstr>
  </property>
  <property fmtid="{D5CDD505-2E9C-101B-9397-08002B2CF9AE}" pid="11" name="Mendeley Recent Style Name 4_1">
    <vt:lpwstr>Annals of Surgery</vt:lpwstr>
  </property>
  <property fmtid="{D5CDD505-2E9C-101B-9397-08002B2CF9AE}" pid="12" name="Mendeley Recent Style Id 5_1">
    <vt:lpwstr>http://www.zotero.org/styles/british-journal-of-anaesthesia</vt:lpwstr>
  </property>
  <property fmtid="{D5CDD505-2E9C-101B-9397-08002B2CF9AE}" pid="13" name="Mendeley Recent Style Name 5_1">
    <vt:lpwstr>British Journal of Anaesthesia</vt:lpwstr>
  </property>
  <property fmtid="{D5CDD505-2E9C-101B-9397-08002B2CF9AE}" pid="14" name="Mendeley Recent Style Id 6_1">
    <vt:lpwstr>http://www.zotero.org/styles/canadian-journal-of-anesthesia</vt:lpwstr>
  </property>
  <property fmtid="{D5CDD505-2E9C-101B-9397-08002B2CF9AE}" pid="15" name="Mendeley Recent Style Name 6_1">
    <vt:lpwstr>Canadian Journal of Anesthesia/Journal canadien d'anesthésie</vt:lpwstr>
  </property>
  <property fmtid="{D5CDD505-2E9C-101B-9397-08002B2CF9AE}" pid="16" name="Mendeley Recent Style Id 7_1">
    <vt:lpwstr>http://www.zotero.org/styles/the-lancet</vt:lpwstr>
  </property>
  <property fmtid="{D5CDD505-2E9C-101B-9397-08002B2CF9AE}" pid="17" name="Mendeley Recent Style Name 7_1">
    <vt:lpwstr>The Lancet</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eabd26cf-7c62-3425-beaf-f3aa2e2d1927</vt:lpwstr>
  </property>
  <property fmtid="{D5CDD505-2E9C-101B-9397-08002B2CF9AE}" pid="24" name="Mendeley Citation Style_1">
    <vt:lpwstr>http://www.zotero.org/styles/american-journal-of-respiratory-and-critical-care-medicine</vt:lpwstr>
  </property>
</Properties>
</file>