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CB3EF" w14:textId="0BD7BA14" w:rsidR="006A100A" w:rsidRDefault="006A100A" w:rsidP="006A100A">
      <w:pPr>
        <w:pStyle w:val="Caption"/>
        <w:keepNext/>
      </w:pPr>
      <w:r>
        <w:t xml:space="preserve">Table S3 </w:t>
      </w:r>
      <w:r w:rsidRPr="00FA374D">
        <w:t>Sensitivity analysis to compare the marker profiles of WLST-excluded patients with the two outcome subgroups of the analyzed cohort</w:t>
      </w: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960"/>
        <w:gridCol w:w="1960"/>
        <w:gridCol w:w="1960"/>
        <w:gridCol w:w="1080"/>
        <w:gridCol w:w="1200"/>
        <w:gridCol w:w="1200"/>
        <w:gridCol w:w="1200"/>
      </w:tblGrid>
      <w:tr w:rsidR="0005753B" w:rsidRPr="006A100A" w14:paraId="67B92A8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82B811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</w:rPr>
              <w:t>Variable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EBA82F" w14:textId="77777777" w:rsidR="00A17186" w:rsidRDefault="0000000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A100A">
              <w:rPr>
                <w:rFonts w:ascii="Calibri" w:hAnsi="Calibri" w:cs="Calibri"/>
                <w:b/>
                <w:bCs/>
              </w:rPr>
              <w:t>WLST</w:t>
            </w:r>
          </w:p>
          <w:p w14:paraId="00DC2F2F" w14:textId="676918DC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</w:rPr>
              <w:t>(n=39)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807FB7" w14:textId="77777777" w:rsidR="00A17186" w:rsidRDefault="0000000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A100A">
              <w:rPr>
                <w:rFonts w:ascii="Calibri" w:hAnsi="Calibri" w:cs="Calibri"/>
                <w:b/>
                <w:bCs/>
              </w:rPr>
              <w:t>Poor outcome</w:t>
            </w:r>
          </w:p>
          <w:p w14:paraId="1A0ACABC" w14:textId="369CE16A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</w:rPr>
              <w:t>(n=68)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104BAA" w14:textId="25F7CC13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</w:rPr>
              <w:t>Good outcome (n=33)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33950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</w:rPr>
              <w:t>Omnibus p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E9350C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</w:rPr>
              <w:t>WLST vs.</w:t>
            </w:r>
          </w:p>
          <w:p w14:paraId="31A50D73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</w:rPr>
              <w:t>Poor (pᵇᶠ)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01CF3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</w:rPr>
              <w:t>WLST vs.</w:t>
            </w:r>
          </w:p>
          <w:p w14:paraId="7477540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</w:rPr>
              <w:t>Good (pᵇᶠ)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DFBC0E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</w:rPr>
              <w:t>Poor vs.</w:t>
            </w:r>
          </w:p>
          <w:p w14:paraId="423E3662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</w:rPr>
              <w:t>Good (pᵇᶠ)</w:t>
            </w:r>
          </w:p>
        </w:tc>
      </w:tr>
      <w:tr w:rsidR="0005753B" w:rsidRPr="006A100A" w14:paraId="43E8E71D" w14:textId="77777777">
        <w:tblPrEx>
          <w:tblCellMar>
            <w:top w:w="0" w:type="dxa"/>
            <w:bottom w:w="0" w:type="dxa"/>
          </w:tblCellMar>
        </w:tblPrEx>
        <w:tc>
          <w:tcPr>
            <w:tcW w:w="1296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A0C66C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  <w:i/>
                <w:iCs/>
              </w:rPr>
              <w:t>Baseline characteristics</w:t>
            </w:r>
          </w:p>
        </w:tc>
      </w:tr>
      <w:tr w:rsidR="0005753B" w:rsidRPr="006A100A" w14:paraId="7E0E6FF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F7211F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Age at cardiac arrest (years)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BE7715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68.0 (55.0–73.0) [n=39]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EB2BC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65.5 (55.8–75.0) [n=68]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FB789C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60.0 (50.0–71.0) [n=33]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EFA86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0.257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EDB84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C34E36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9C665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0.302</w:t>
            </w:r>
          </w:p>
        </w:tc>
      </w:tr>
      <w:tr w:rsidR="0005753B" w:rsidRPr="006A100A" w14:paraId="6687B3D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EA5391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Sex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948650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 xml:space="preserve">7 (17.9%) </w:t>
            </w:r>
            <w:proofErr w:type="gramStart"/>
            <w:r w:rsidRPr="006A100A">
              <w:rPr>
                <w:rFonts w:ascii="Calibri" w:hAnsi="Calibri" w:cs="Calibri"/>
              </w:rPr>
              <w:t>female</w:t>
            </w:r>
            <w:proofErr w:type="gramEnd"/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F1A473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 xml:space="preserve">23 (33.8%) </w:t>
            </w:r>
            <w:proofErr w:type="gramStart"/>
            <w:r w:rsidRPr="006A100A">
              <w:rPr>
                <w:rFonts w:ascii="Calibri" w:hAnsi="Calibri" w:cs="Calibri"/>
              </w:rPr>
              <w:t>female</w:t>
            </w:r>
            <w:proofErr w:type="gramEnd"/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3E8D2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 xml:space="preserve">6 (18.2%) </w:t>
            </w:r>
            <w:proofErr w:type="gramStart"/>
            <w:r w:rsidRPr="006A100A">
              <w:rPr>
                <w:rFonts w:ascii="Calibri" w:hAnsi="Calibri" w:cs="Calibri"/>
              </w:rPr>
              <w:t>female</w:t>
            </w:r>
            <w:proofErr w:type="gramEnd"/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B99536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0.126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9E317B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0.350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DCEEA3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BBAA7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0.476</w:t>
            </w:r>
          </w:p>
        </w:tc>
      </w:tr>
      <w:tr w:rsidR="0005753B" w:rsidRPr="006A100A" w14:paraId="22A9E60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0ABDFA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Cardiac arrest location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272A96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27 (77.1%) OHCA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99A59E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43 (71.7%) OHCA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73722B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22 (73.3%) OHCA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EFB84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0.840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7E7CA0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7FDC5E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35DE9B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</w:tr>
      <w:tr w:rsidR="0005753B" w:rsidRPr="006A100A" w14:paraId="21289D7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EB89C4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Cause of cardiac arrest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110682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cardiac: 22 (66.7%); hypoxic: 3 (9.1%); other: 3 (9.1%); unknown: 5 (15.2%)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338F0E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cardiac: 38 (64.4%); hypoxic: 14 (23.7%); other: 5 (8.5%); traumatic: 1 (1.7%); unknown: 1 (1.7%)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03E02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cardiac: 25 (83.3%); hypoxic: 1 (3.3%); other: 2 (6.7%); traumatic: 1 (3.3%); unknown: 1 (3.3%)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BB30BB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0.032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49335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0.153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44C19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0.889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C498D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0.204</w:t>
            </w:r>
          </w:p>
        </w:tc>
      </w:tr>
      <w:tr w:rsidR="0005753B" w:rsidRPr="006A100A" w14:paraId="7DEE95C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2EAA64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GCS at admission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4B79F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3.0 (3.0–4.0) [n=34]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930F6A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3.0 (3.0–6.0) [n=67]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C313B3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3.0 (3.0–4.0) [n=30]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D78ABA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0.068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F1CD1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0.101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561585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845645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0.459</w:t>
            </w:r>
          </w:p>
        </w:tc>
      </w:tr>
      <w:tr w:rsidR="0005753B" w:rsidRPr="006A100A" w14:paraId="5507739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F568D5" w14:textId="77777777" w:rsidR="0005753B" w:rsidRPr="006A100A" w:rsidRDefault="00000000">
            <w:pPr>
              <w:rPr>
                <w:rFonts w:ascii="Calibri" w:hAnsi="Calibri" w:cs="Calibri"/>
              </w:rPr>
            </w:pPr>
            <w:proofErr w:type="spellStart"/>
            <w:r w:rsidRPr="006A100A">
              <w:rPr>
                <w:rFonts w:ascii="Calibri" w:hAnsi="Calibri" w:cs="Calibri"/>
              </w:rPr>
              <w:t>mCIRS</w:t>
            </w:r>
            <w:proofErr w:type="spellEnd"/>
            <w:r w:rsidRPr="006A100A">
              <w:rPr>
                <w:rFonts w:ascii="Calibri" w:hAnsi="Calibri" w:cs="Calibri"/>
              </w:rPr>
              <w:t xml:space="preserve"> score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C3965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9.0 (5.0–14.0) [n=37]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6C1F3E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8.0 (4.0–11.5) [n=67]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F73C81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4.5 (2.0–6.2) [n=32]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D8F66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0.003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72C46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E6B46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0.004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A4E58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0.012</w:t>
            </w:r>
          </w:p>
        </w:tc>
      </w:tr>
      <w:tr w:rsidR="0005753B" w:rsidRPr="006A100A" w14:paraId="09733CC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EB57FB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Targeted temperature management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9AFB0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16 (76.2%)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9CC98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32 (59.3%)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ED253A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19 (76.0%)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B9F76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0.211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55731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0.579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2C8A61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C562F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0.621</w:t>
            </w:r>
          </w:p>
        </w:tc>
      </w:tr>
      <w:tr w:rsidR="0005753B" w:rsidRPr="006A100A" w14:paraId="4095AA3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EF9954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Shockable initial rhythm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D9E8BC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10 (33.3%)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C23722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23 (45.1%)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C9EE16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16 (66.7%)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BFC0EB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0.049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58EC0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63E7F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0.082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C7C322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0.272</w:t>
            </w:r>
          </w:p>
        </w:tc>
      </w:tr>
      <w:tr w:rsidR="0005753B" w:rsidRPr="006A100A" w14:paraId="3FF8C94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B103E2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CPR duration (min)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EEDC81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20.0 (15.0–25.0) [n=14]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8E0DD0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21.5 (10.8–35.8) [n=32]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B4D34E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12.0 (9.0–23.0) [n=17]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1B4303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0.213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E67E3E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5D42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0.845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29E9BE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0.282</w:t>
            </w:r>
          </w:p>
        </w:tc>
      </w:tr>
      <w:tr w:rsidR="0005753B" w:rsidRPr="006A100A" w14:paraId="3EB97AF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4DBB66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Time CA to ROSC (min)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1B15DE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25.0 (19.5–31.2) [n=16]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22A902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30.0 (23.5–41.0) [n=26]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BA96E0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30.5 (15.5–45.0) [n=14]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3B17D3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0.413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0DA44A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0.456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646BEC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8D09A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</w:tr>
      <w:tr w:rsidR="0005753B" w:rsidRPr="006A100A" w14:paraId="0983E9B3" w14:textId="77777777">
        <w:tblPrEx>
          <w:tblCellMar>
            <w:top w:w="0" w:type="dxa"/>
            <w:bottom w:w="0" w:type="dxa"/>
          </w:tblCellMar>
        </w:tblPrEx>
        <w:tc>
          <w:tcPr>
            <w:tcW w:w="1296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AED08F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  <w:i/>
                <w:iCs/>
              </w:rPr>
              <w:t>Prognostic markers</w:t>
            </w:r>
          </w:p>
        </w:tc>
      </w:tr>
      <w:tr w:rsidR="0005753B" w:rsidRPr="006A100A" w14:paraId="304CD82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A93326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Unfavorable PLR/CR ≤ 7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1BF85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16 (57.1%)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132301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19 (35.2%)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32D1C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5 (17.2%)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A789A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0.006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589FF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0.194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FD877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0.007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42DE0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0.382</w:t>
            </w:r>
          </w:p>
        </w:tc>
      </w:tr>
      <w:tr w:rsidR="0005753B" w:rsidRPr="006A100A" w14:paraId="3FFDD81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0C7A87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Unfavorable PLR/CR ≤ 14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C54F4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19 (50.0%)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7F4682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16 (24.6%)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C0E2D5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 (3.0%)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CAFE0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7FA3D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0.032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BE28E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341B0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0.028</w:t>
            </w:r>
          </w:p>
        </w:tc>
      </w:tr>
      <w:tr w:rsidR="0005753B" w:rsidRPr="006A100A" w14:paraId="153B35D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572666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Unfavorable SEP ≤ 7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68D433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7 (43.8%)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A16465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 (6.9%)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95558C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 (0%)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FDA6B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0.002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6AE66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0.017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15EBB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0.020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008D5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</w:tr>
      <w:tr w:rsidR="0005753B" w:rsidRPr="006A100A" w14:paraId="14A0FDB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8D873F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lastRenderedPageBreak/>
              <w:t>Unfavorable SEP ≤ 14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8A4552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10 (47.6%)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920E91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3 (7.3%)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4597DB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 (0%)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DF9BD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69E3D0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0.002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558D90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248F7A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</w:tr>
      <w:tr w:rsidR="0005753B" w:rsidRPr="006A100A" w14:paraId="761C00E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31E00B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Unfavorable EEG ≤ 7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6CF74A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15 (65.2%)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579DE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16 (40.0%)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52C1A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 (10.5%)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DCDA40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AD78E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0.209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0423D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DFB47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0.099</w:t>
            </w:r>
          </w:p>
        </w:tc>
      </w:tr>
      <w:tr w:rsidR="0005753B" w:rsidRPr="006A100A" w14:paraId="2518817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5B10BB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Unfavorable EEG ≤ 14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9DB0F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21 (67.7%)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9B0E8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24 (43.6%)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895B96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 (0%)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8B5DB6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96EF3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0.130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6545C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34150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</w:tr>
      <w:tr w:rsidR="0005753B" w:rsidRPr="006A100A" w14:paraId="180B901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2C9CA9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Unfavorable NSE ≤ 7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82C9BA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19 (55.9%)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819F3E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11 (16.9%)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C6C99E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 (0%)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317FCC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00A74C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1F07EB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7F9F36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0.043</w:t>
            </w:r>
          </w:p>
        </w:tc>
      </w:tr>
      <w:tr w:rsidR="0005753B" w:rsidRPr="006A100A" w14:paraId="7B70D86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A49CE7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Unfavorable NSE ≤ 14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240C4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17 (45.9%)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F773B1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7 (10.4%)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1E2D82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 (0%)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C4B6C2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A404DA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5AC08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994173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0.276</w:t>
            </w:r>
          </w:p>
        </w:tc>
      </w:tr>
      <w:tr w:rsidR="0005753B" w:rsidRPr="006A100A" w14:paraId="2D5DBA5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29E7F7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NSE value ≤ 7 days (µg/L)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B4C9C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102.5 (58.0–185.2) [n=34]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AD58A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40.9 (24.4–69.1) [n=65]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2E6FC2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24.2 (17.4–41.2) [n=32]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8239B3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EC41C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A50AAC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974C7B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0.002</w:t>
            </w:r>
          </w:p>
        </w:tc>
      </w:tr>
      <w:tr w:rsidR="0005753B" w:rsidRPr="006A100A" w14:paraId="4485CA7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C26329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NSE value ≤ 14 days (µg/L)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6307A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81.6 (32.3–132.0) [n=37]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29000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29.6 (21.1–54.2) [n=67]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F4255A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20.3 (17.2–25.8) [n=33]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49C8BB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A6A260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AFFAB1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312C85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0.010</w:t>
            </w:r>
          </w:p>
        </w:tc>
      </w:tr>
      <w:tr w:rsidR="0005753B" w:rsidRPr="006A100A" w14:paraId="359FD719" w14:textId="77777777">
        <w:tblPrEx>
          <w:tblCellMar>
            <w:top w:w="0" w:type="dxa"/>
            <w:bottom w:w="0" w:type="dxa"/>
          </w:tblCellMar>
        </w:tblPrEx>
        <w:tc>
          <w:tcPr>
            <w:tcW w:w="1296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B47957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  <w:b/>
                <w:bCs/>
                <w:i/>
                <w:iCs/>
              </w:rPr>
              <w:t>CRS-R scores</w:t>
            </w:r>
          </w:p>
        </w:tc>
      </w:tr>
      <w:tr w:rsidR="0005753B" w:rsidRPr="006A100A" w14:paraId="44A053C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0BA16A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CRS-R, first ≤ 14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3C365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1.0 (0.0–1.8) [n=38]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FDE22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1.0 (0.0–3.5) [n=67]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DABD21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1.0 (0.0–3.0) [n=33]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965A3A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0.136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10489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0.127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BDF42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4BEBC2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&gt;0.999</w:t>
            </w:r>
          </w:p>
        </w:tc>
      </w:tr>
      <w:tr w:rsidR="0005753B" w:rsidRPr="006A100A" w14:paraId="663DBB4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BB057C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CRS-R, best ≤ 14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CE3A1F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1.0 (0.0–2.0) [n=38]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98631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4.0 (1.0–6.0) [n=67]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1E738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17.0 (5.0–23.0) [n=33]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42CA6C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5C7CE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30AACB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1517C6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</w:tr>
      <w:tr w:rsidR="0005753B" w:rsidRPr="006A100A" w14:paraId="67B5AF2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4777E6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CRS-R, last ≤ 14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CFA73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1.0 (0.0–2.0) [n=38]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4EE211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4.0 (1.0–6.0) [n=67]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436E0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17.0 (5.0–23.0) [n=33]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E10A2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4FBE41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0.002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42AB04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A7856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</w:tr>
      <w:tr w:rsidR="0005753B" w:rsidRPr="006A100A" w14:paraId="3E43AF8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0DA391" w14:textId="77777777" w:rsidR="0005753B" w:rsidRPr="006A100A" w:rsidRDefault="00000000">
            <w:pPr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CRS-R, median ≤ 14 days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8CC30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1.0 (0.0–2.0) [n=38]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CE3777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2.0 (1.0–5.8) [n=67]</w:t>
            </w: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32848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9.5 (3.5–13.0) [n=33]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132701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CC23C9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85A85D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8E988" w14:textId="77777777" w:rsidR="0005753B" w:rsidRPr="006A100A" w:rsidRDefault="00000000">
            <w:pPr>
              <w:jc w:val="center"/>
              <w:rPr>
                <w:rFonts w:ascii="Calibri" w:hAnsi="Calibri" w:cs="Calibri"/>
              </w:rPr>
            </w:pPr>
            <w:r w:rsidRPr="006A100A">
              <w:rPr>
                <w:rFonts w:ascii="Calibri" w:hAnsi="Calibri" w:cs="Calibri"/>
              </w:rPr>
              <w:t>&lt;0.001</w:t>
            </w:r>
          </w:p>
        </w:tc>
      </w:tr>
    </w:tbl>
    <w:p w14:paraId="60E64468" w14:textId="5B942C2B" w:rsidR="0005753B" w:rsidRPr="006A100A" w:rsidRDefault="006A100A">
      <w:pPr>
        <w:jc w:val="both"/>
        <w:rPr>
          <w:rFonts w:ascii="Calibri" w:hAnsi="Calibri" w:cs="Calibri"/>
        </w:rPr>
      </w:pPr>
      <w:r w:rsidRPr="006A100A">
        <w:rPr>
          <w:rFonts w:ascii="Calibri" w:hAnsi="Calibri" w:cs="Calibri"/>
          <w:b/>
          <w:bCs/>
        </w:rPr>
        <w:t xml:space="preserve">Note. </w:t>
      </w:r>
      <w:r w:rsidR="00000000" w:rsidRPr="006A100A">
        <w:rPr>
          <w:rFonts w:ascii="Calibri" w:hAnsi="Calibri" w:cs="Calibri"/>
        </w:rPr>
        <w:t xml:space="preserve">Continuous variables are reported as median (IQR) [n]; categorical variables as n (%). For binary prognostic markers and dichotomous baseline variables (sex, cardiac arrest location, TTM, shockable rhythm), only the unfavorable/yes category is shown for brevity; the complementary category is implicit. Omnibus tests across the three groups: Kruskal–Wallis for continuous variables and Fisher exact (or chi-square) for categorical variables. Pairwise comparisons used the corresponding two-group tests (Mann–Whitney U or Fisher exact). </w:t>
      </w:r>
      <w:proofErr w:type="spellStart"/>
      <w:r w:rsidR="00000000" w:rsidRPr="006A100A">
        <w:rPr>
          <w:rFonts w:ascii="Calibri" w:hAnsi="Calibri" w:cs="Calibri"/>
        </w:rPr>
        <w:t>p</w:t>
      </w:r>
      <w:r w:rsidR="00000000" w:rsidRPr="006A100A">
        <w:rPr>
          <w:rFonts w:ascii="Calibri" w:hAnsi="Calibri" w:cs="Calibri"/>
          <w:vertAlign w:val="superscript"/>
        </w:rPr>
        <w:t>bf</w:t>
      </w:r>
      <w:proofErr w:type="spellEnd"/>
      <w:r w:rsidR="00000000" w:rsidRPr="006A100A">
        <w:rPr>
          <w:rFonts w:ascii="Calibri" w:hAnsi="Calibri" w:cs="Calibri"/>
        </w:rPr>
        <w:t xml:space="preserve"> denotes Bonferroni-corrected p-values across the three pairwise comparisons per variable; values are capped at 1.000 and reported as “&gt;0.999”. Sample sizes per variable may differ from the maximum group n owing to missing data and are given in square brackets for continuous variables. WLST = withdrawal of life-sustaining therapy; PLR = pupillary light reflex; CR = corneal reflex; SEP = somatosensory evoked potential; EEG = electroencephalography; NSE = neuron-specific enolase; CRS-R = Coma Recovery Scale–Revised; </w:t>
      </w:r>
      <w:proofErr w:type="spellStart"/>
      <w:r w:rsidR="00000000" w:rsidRPr="006A100A">
        <w:rPr>
          <w:rFonts w:ascii="Calibri" w:hAnsi="Calibri" w:cs="Calibri"/>
        </w:rPr>
        <w:t>mCIRS</w:t>
      </w:r>
      <w:proofErr w:type="spellEnd"/>
      <w:r w:rsidR="00000000" w:rsidRPr="006A100A">
        <w:rPr>
          <w:rFonts w:ascii="Calibri" w:hAnsi="Calibri" w:cs="Calibri"/>
        </w:rPr>
        <w:t xml:space="preserve"> = modified Cumulative Illness Rating Scale; GCS = Glasgow Coma Scale; CA = cardiac arrest; ROSC = return of spontaneous circulation; OHCA = out-of-hospital cardiac arrest; IHCA = in-hospital cardiac arrest; TTM = targeted temperature management.</w:t>
      </w:r>
    </w:p>
    <w:sectPr w:rsidR="0005753B" w:rsidRPr="006A100A">
      <w:pgSz w:w="15840" w:h="12240" w:orient="landscape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17738"/>
    <w:multiLevelType w:val="hybridMultilevel"/>
    <w:tmpl w:val="CF080F30"/>
    <w:lvl w:ilvl="0" w:tplc="FB22CC84">
      <w:start w:val="1"/>
      <w:numFmt w:val="bullet"/>
      <w:lvlText w:val="●"/>
      <w:lvlJc w:val="left"/>
      <w:pPr>
        <w:ind w:left="720" w:hanging="360"/>
      </w:pPr>
    </w:lvl>
    <w:lvl w:ilvl="1" w:tplc="6EF64D04">
      <w:start w:val="1"/>
      <w:numFmt w:val="bullet"/>
      <w:lvlText w:val="○"/>
      <w:lvlJc w:val="left"/>
      <w:pPr>
        <w:ind w:left="1440" w:hanging="360"/>
      </w:pPr>
    </w:lvl>
    <w:lvl w:ilvl="2" w:tplc="0044A292">
      <w:start w:val="1"/>
      <w:numFmt w:val="bullet"/>
      <w:lvlText w:val="■"/>
      <w:lvlJc w:val="left"/>
      <w:pPr>
        <w:ind w:left="2160" w:hanging="360"/>
      </w:pPr>
    </w:lvl>
    <w:lvl w:ilvl="3" w:tplc="2684FFAC">
      <w:start w:val="1"/>
      <w:numFmt w:val="bullet"/>
      <w:lvlText w:val="●"/>
      <w:lvlJc w:val="left"/>
      <w:pPr>
        <w:ind w:left="2880" w:hanging="360"/>
      </w:pPr>
    </w:lvl>
    <w:lvl w:ilvl="4" w:tplc="26700A68">
      <w:start w:val="1"/>
      <w:numFmt w:val="bullet"/>
      <w:lvlText w:val="○"/>
      <w:lvlJc w:val="left"/>
      <w:pPr>
        <w:ind w:left="3600" w:hanging="360"/>
      </w:pPr>
    </w:lvl>
    <w:lvl w:ilvl="5" w:tplc="ACEE9798">
      <w:start w:val="1"/>
      <w:numFmt w:val="bullet"/>
      <w:lvlText w:val="■"/>
      <w:lvlJc w:val="left"/>
      <w:pPr>
        <w:ind w:left="4320" w:hanging="360"/>
      </w:pPr>
    </w:lvl>
    <w:lvl w:ilvl="6" w:tplc="087A729C">
      <w:start w:val="1"/>
      <w:numFmt w:val="bullet"/>
      <w:lvlText w:val="●"/>
      <w:lvlJc w:val="left"/>
      <w:pPr>
        <w:ind w:left="5040" w:hanging="360"/>
      </w:pPr>
    </w:lvl>
    <w:lvl w:ilvl="7" w:tplc="5B2E788C">
      <w:start w:val="1"/>
      <w:numFmt w:val="bullet"/>
      <w:lvlText w:val="●"/>
      <w:lvlJc w:val="left"/>
      <w:pPr>
        <w:ind w:left="5760" w:hanging="360"/>
      </w:pPr>
    </w:lvl>
    <w:lvl w:ilvl="8" w:tplc="28C44D64">
      <w:start w:val="1"/>
      <w:numFmt w:val="bullet"/>
      <w:lvlText w:val="●"/>
      <w:lvlJc w:val="left"/>
      <w:pPr>
        <w:ind w:left="6480" w:hanging="360"/>
      </w:pPr>
    </w:lvl>
  </w:abstractNum>
  <w:num w:numId="1" w16cid:durableId="14406404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53B"/>
    <w:rsid w:val="0005753B"/>
    <w:rsid w:val="001A60C9"/>
    <w:rsid w:val="006A100A"/>
    <w:rsid w:val="006E1CE6"/>
    <w:rsid w:val="00A1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B519F3"/>
  <w15:docId w15:val="{69C22AF6-60EF-4F4C-BBB1-600A2ED93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6A100A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638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Danae Goetze</cp:lastModifiedBy>
  <cp:revision>3</cp:revision>
  <dcterms:created xsi:type="dcterms:W3CDTF">2026-05-29T10:16:00Z</dcterms:created>
  <dcterms:modified xsi:type="dcterms:W3CDTF">2026-05-29T10:17:00Z</dcterms:modified>
</cp:coreProperties>
</file>