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8610C" w14:textId="5E40B623" w:rsidR="00555501" w:rsidRDefault="00555501" w:rsidP="00555501">
      <w:pPr>
        <w:pStyle w:val="Caption"/>
        <w:keepNext/>
      </w:pPr>
      <w:r>
        <w:t>Table S4 S</w:t>
      </w:r>
      <w:r w:rsidRPr="00082C44">
        <w:t xml:space="preserve">ensitivity </w:t>
      </w:r>
      <w:r>
        <w:t>analysis</w:t>
      </w:r>
      <w:r w:rsidRPr="00082C44">
        <w:t xml:space="preserve"> varying the CRS-R measurement window (best score within 7 days vs. within 14 days) and the survival restriction (full analyzed cohort vs. patients surviving at least 14 days post-CA)</w:t>
      </w:r>
    </w:p>
    <w:tbl>
      <w:tblPr>
        <w:tblW w:w="12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3520"/>
        <w:gridCol w:w="3520"/>
        <w:gridCol w:w="3520"/>
      </w:tblGrid>
      <w:tr w:rsidR="00AA21FA" w:rsidRPr="00555501" w14:paraId="5C8E8A9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FFD590" w14:textId="77777777" w:rsidR="00AA21FA" w:rsidRPr="00555501" w:rsidRDefault="00000000">
            <w:pPr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  <w:b/>
                <w:bCs/>
              </w:rPr>
              <w:t>Predictor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6B0B5C0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  <w:b/>
                <w:bCs/>
              </w:rPr>
              <w:t>Observed (primary)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3968AE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  <w:b/>
                <w:bCs/>
              </w:rPr>
              <w:t>Best case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971C490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  <w:b/>
                <w:bCs/>
              </w:rPr>
              <w:t>Worst case</w:t>
            </w:r>
          </w:p>
        </w:tc>
      </w:tr>
      <w:tr w:rsidR="00AA21FA" w:rsidRPr="00555501" w14:paraId="4B43C6D4" w14:textId="77777777">
        <w:tblPrEx>
          <w:tblCellMar>
            <w:top w:w="0" w:type="dxa"/>
            <w:bottom w:w="0" w:type="dxa"/>
          </w:tblCellMar>
        </w:tblPrEx>
        <w:tc>
          <w:tcPr>
            <w:tcW w:w="1296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68EC72" w14:textId="77777777" w:rsidR="00AA21FA" w:rsidRPr="00555501" w:rsidRDefault="00000000">
            <w:pPr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  <w:b/>
                <w:bCs/>
                <w:i/>
                <w:iCs/>
              </w:rPr>
              <w:t>≤ 7-day window</w:t>
            </w:r>
          </w:p>
        </w:tc>
      </w:tr>
      <w:tr w:rsidR="00AA21FA" w:rsidRPr="00555501" w14:paraId="3A63022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2F7EB3" w14:textId="77777777" w:rsidR="00AA21FA" w:rsidRPr="00555501" w:rsidRDefault="00000000">
            <w:pPr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  <w:i/>
                <w:iCs/>
              </w:rPr>
              <w:t>Sample size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1C37AC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  <w:i/>
                <w:iCs/>
              </w:rPr>
              <w:t>n = 86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90A67E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  <w:i/>
                <w:iCs/>
              </w:rPr>
              <w:t>n = 94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4FF47B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  <w:i/>
                <w:iCs/>
              </w:rPr>
              <w:t>n = 94</w:t>
            </w:r>
          </w:p>
        </w:tc>
      </w:tr>
      <w:tr w:rsidR="00AA21FA" w:rsidRPr="00555501" w14:paraId="018E6A2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575CFB" w14:textId="77777777" w:rsidR="00AA21FA" w:rsidRPr="00555501" w:rsidRDefault="00000000">
            <w:pPr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1 unfavorable marker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996BA7C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2.12 (0.71–7.11)</w:t>
            </w:r>
          </w:p>
          <w:p w14:paraId="367D14D1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p = 0.184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79473BC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1.89 (0.69–5.50)</w:t>
            </w:r>
          </w:p>
          <w:p w14:paraId="1528DD06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p = 0.220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B3EE0B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2.00 (0.69–6.54)</w:t>
            </w:r>
          </w:p>
          <w:p w14:paraId="20C0050C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p = 0.209</w:t>
            </w:r>
          </w:p>
        </w:tc>
      </w:tr>
      <w:tr w:rsidR="00AA21FA" w:rsidRPr="00555501" w14:paraId="5F31F94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8B87B4" w14:textId="77777777" w:rsidR="00AA21FA" w:rsidRPr="00555501" w:rsidRDefault="00000000">
            <w:pPr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≥2 unfavorable markers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6E1D1F2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7.18 (1.57–68.96)</w:t>
            </w:r>
          </w:p>
          <w:p w14:paraId="103FEFC8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p = 0.009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FDE8E57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9.19 (2.04–87.64)</w:t>
            </w:r>
          </w:p>
          <w:p w14:paraId="180792C6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p = 0.002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967072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5.98 (1.31–57.25)</w:t>
            </w:r>
          </w:p>
          <w:p w14:paraId="2764C04C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p = 0.018</w:t>
            </w:r>
          </w:p>
        </w:tc>
      </w:tr>
      <w:tr w:rsidR="00AA21FA" w:rsidRPr="00555501" w14:paraId="2FFCED1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33FDB2" w14:textId="77777777" w:rsidR="00AA21FA" w:rsidRPr="00555501" w:rsidRDefault="00000000">
            <w:pPr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Age (per year)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98494A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1.03 (0.99–1.06)</w:t>
            </w:r>
          </w:p>
          <w:p w14:paraId="51407B7E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p = 0.165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1CE61EC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1.02 (0.98–1.05)</w:t>
            </w:r>
          </w:p>
          <w:p w14:paraId="558F69B5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p = 0.284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D72FD3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1.03 (0.99–1.06)</w:t>
            </w:r>
          </w:p>
          <w:p w14:paraId="4F52A125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p = 0.145</w:t>
            </w:r>
          </w:p>
        </w:tc>
      </w:tr>
      <w:tr w:rsidR="00AA21FA" w:rsidRPr="00555501" w14:paraId="79C4EFA8" w14:textId="77777777">
        <w:tblPrEx>
          <w:tblCellMar>
            <w:top w:w="0" w:type="dxa"/>
            <w:bottom w:w="0" w:type="dxa"/>
          </w:tblCellMar>
        </w:tblPrEx>
        <w:tc>
          <w:tcPr>
            <w:tcW w:w="1296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1FA335" w14:textId="77777777" w:rsidR="00AA21FA" w:rsidRPr="00555501" w:rsidRDefault="00000000">
            <w:pPr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  <w:b/>
                <w:bCs/>
                <w:i/>
                <w:iCs/>
              </w:rPr>
              <w:t>≤ 14-day window</w:t>
            </w:r>
          </w:p>
        </w:tc>
      </w:tr>
      <w:tr w:rsidR="00AA21FA" w:rsidRPr="00555501" w14:paraId="38543A3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2B0435" w14:textId="77777777" w:rsidR="00AA21FA" w:rsidRPr="00555501" w:rsidRDefault="00000000">
            <w:pPr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  <w:i/>
                <w:iCs/>
              </w:rPr>
              <w:t>Sample size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4D289D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  <w:i/>
                <w:iCs/>
              </w:rPr>
              <w:t>n = 99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1BF430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  <w:i/>
                <w:iCs/>
              </w:rPr>
              <w:t>n = 108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73B784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  <w:i/>
                <w:iCs/>
              </w:rPr>
              <w:t>n = 108</w:t>
            </w:r>
          </w:p>
        </w:tc>
      </w:tr>
      <w:tr w:rsidR="00AA21FA" w:rsidRPr="00555501" w14:paraId="516BEEA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4B1699" w14:textId="77777777" w:rsidR="00AA21FA" w:rsidRPr="00555501" w:rsidRDefault="00000000">
            <w:pPr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1 unfavorable marker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AE964A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15.37 (3.19–154.4)</w:t>
            </w:r>
          </w:p>
          <w:p w14:paraId="75C88340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p &lt; 0.001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601D72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10.37 (2.73–58.54)</w:t>
            </w:r>
          </w:p>
          <w:p w14:paraId="0A56672C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p &lt; 0.001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C0C4C6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11.84 (2.58–115.2)</w:t>
            </w:r>
          </w:p>
          <w:p w14:paraId="1149A5D7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p &lt; 0.001</w:t>
            </w:r>
          </w:p>
        </w:tc>
      </w:tr>
      <w:tr w:rsidR="00AA21FA" w:rsidRPr="00555501" w14:paraId="4F3F8B7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AED2A2" w14:textId="77777777" w:rsidR="00AA21FA" w:rsidRPr="00555501" w:rsidRDefault="00000000">
            <w:pPr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≥2 unfavorable markers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1D36E83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34.71 (4.11–4578)</w:t>
            </w:r>
          </w:p>
          <w:p w14:paraId="17437361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p &lt; 0.001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AE1746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41.12 (5.01–5376)</w:t>
            </w:r>
          </w:p>
          <w:p w14:paraId="5EBF9366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p &lt; 0.001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868804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26.27 (3.21–3429)</w:t>
            </w:r>
          </w:p>
          <w:p w14:paraId="221D0B19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p &lt; 0.001</w:t>
            </w:r>
          </w:p>
        </w:tc>
      </w:tr>
      <w:tr w:rsidR="00AA21FA" w:rsidRPr="00555501" w14:paraId="06076D6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D6DFE0" w14:textId="77777777" w:rsidR="00AA21FA" w:rsidRPr="00555501" w:rsidRDefault="00000000">
            <w:pPr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Age (per year)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576751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1.05 (1.01–1.10)</w:t>
            </w:r>
          </w:p>
          <w:p w14:paraId="3523918D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p = 0.012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93A31E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1.04 (1.01–1.08)</w:t>
            </w:r>
          </w:p>
          <w:p w14:paraId="2AE58805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p = 0.021</w:t>
            </w:r>
          </w:p>
        </w:tc>
        <w:tc>
          <w:tcPr>
            <w:tcW w:w="3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A004A7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1.04 (1.01–1.08)</w:t>
            </w:r>
          </w:p>
          <w:p w14:paraId="0FDF5689" w14:textId="77777777" w:rsidR="00AA21FA" w:rsidRPr="00555501" w:rsidRDefault="00000000">
            <w:pPr>
              <w:jc w:val="center"/>
              <w:rPr>
                <w:rFonts w:ascii="Calibri" w:hAnsi="Calibri" w:cs="Calibri"/>
              </w:rPr>
            </w:pPr>
            <w:r w:rsidRPr="00555501">
              <w:rPr>
                <w:rFonts w:ascii="Calibri" w:hAnsi="Calibri" w:cs="Calibri"/>
              </w:rPr>
              <w:t>p = 0.021</w:t>
            </w:r>
          </w:p>
        </w:tc>
      </w:tr>
    </w:tbl>
    <w:p w14:paraId="37C1E79D" w14:textId="77777777" w:rsidR="00AA21FA" w:rsidRPr="00555501" w:rsidRDefault="00000000">
      <w:pPr>
        <w:jc w:val="both"/>
        <w:rPr>
          <w:rFonts w:ascii="Calibri" w:hAnsi="Calibri" w:cs="Calibri"/>
        </w:rPr>
      </w:pPr>
      <w:r w:rsidRPr="00555501">
        <w:rPr>
          <w:rFonts w:ascii="Calibri" w:hAnsi="Calibri" w:cs="Calibri"/>
          <w:b/>
          <w:bCs/>
        </w:rPr>
        <w:t xml:space="preserve">Notes. </w:t>
      </w:r>
      <w:r w:rsidRPr="00555501">
        <w:rPr>
          <w:rFonts w:ascii="Calibri" w:hAnsi="Calibri" w:cs="Calibri"/>
        </w:rPr>
        <w:t xml:space="preserve">Values shown are odds ratios with 95% confidence intervals (OR [95% CI]) and the corresponding p-value, from age-adjusted Firth-penalized logistic regression models. Confidence intervals are profile penalized likelihood-based and p-values are derived from the penalized likelihood ratio test, as appropriate for sparse-data and (quasi-)separation settings (Firth 1993; Heinze &amp; Schemper 2002). The reference category for marker burden is 0 unfavorable markers. Wide upper confidence bounds, particularly in the ≤ 14-day ≥2-marker stratum, reflect quasi-complete separation of outcome by exposure (no good-outcome patients in this stratum); the small p-values indicate strong evidence against the null of no association, while the wide upper bounds reflect limited information to constrain the magnitude of the effect. Scenario definitions: </w:t>
      </w:r>
      <w:r w:rsidRPr="00555501">
        <w:rPr>
          <w:rFonts w:ascii="Calibri" w:hAnsi="Calibri" w:cs="Calibri"/>
          <w:i/>
          <w:iCs/>
        </w:rPr>
        <w:t>Observed</w:t>
      </w:r>
      <w:r w:rsidRPr="00555501">
        <w:rPr>
          <w:rFonts w:ascii="Calibri" w:hAnsi="Calibri" w:cs="Calibri"/>
        </w:rPr>
        <w:t xml:space="preserve"> — primary analysis on patients meeting the inclusion criteria (≥2 measured markers within the respective window); </w:t>
      </w:r>
      <w:r w:rsidRPr="00555501">
        <w:rPr>
          <w:rFonts w:ascii="Calibri" w:hAnsi="Calibri" w:cs="Calibri"/>
          <w:i/>
          <w:iCs/>
        </w:rPr>
        <w:t>Best case</w:t>
      </w:r>
      <w:r w:rsidRPr="00555501">
        <w:rPr>
          <w:rFonts w:ascii="Calibri" w:hAnsi="Calibri" w:cs="Calibri"/>
        </w:rPr>
        <w:t xml:space="preserve"> / </w:t>
      </w:r>
      <w:r w:rsidRPr="00555501">
        <w:rPr>
          <w:rFonts w:ascii="Calibri" w:hAnsi="Calibri" w:cs="Calibri"/>
          <w:i/>
          <w:iCs/>
        </w:rPr>
        <w:t>Worst case</w:t>
      </w:r>
      <w:r w:rsidRPr="00555501">
        <w:rPr>
          <w:rFonts w:ascii="Calibri" w:hAnsi="Calibri" w:cs="Calibri"/>
        </w:rPr>
        <w:t xml:space="preserve"> — sensitivity analyses incorporating early-WLST patients under alternative outcome assumptions [add specific definitions]. OR = odds ratio; CI = confidence interval; WLST = withdrawal of life-sustaining therapy.</w:t>
      </w:r>
    </w:p>
    <w:sectPr w:rsidR="00AA21FA" w:rsidRPr="00555501">
      <w:pgSz w:w="15840" w:h="12240" w:orient="landscape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2170E"/>
    <w:multiLevelType w:val="hybridMultilevel"/>
    <w:tmpl w:val="40661674"/>
    <w:lvl w:ilvl="0" w:tplc="9FF27FFA">
      <w:start w:val="1"/>
      <w:numFmt w:val="bullet"/>
      <w:lvlText w:val="●"/>
      <w:lvlJc w:val="left"/>
      <w:pPr>
        <w:ind w:left="720" w:hanging="360"/>
      </w:pPr>
    </w:lvl>
    <w:lvl w:ilvl="1" w:tplc="0CF09B44">
      <w:start w:val="1"/>
      <w:numFmt w:val="bullet"/>
      <w:lvlText w:val="○"/>
      <w:lvlJc w:val="left"/>
      <w:pPr>
        <w:ind w:left="1440" w:hanging="360"/>
      </w:pPr>
    </w:lvl>
    <w:lvl w:ilvl="2" w:tplc="1A4C5F18">
      <w:start w:val="1"/>
      <w:numFmt w:val="bullet"/>
      <w:lvlText w:val="■"/>
      <w:lvlJc w:val="left"/>
      <w:pPr>
        <w:ind w:left="2160" w:hanging="360"/>
      </w:pPr>
    </w:lvl>
    <w:lvl w:ilvl="3" w:tplc="A8D6A4CA">
      <w:start w:val="1"/>
      <w:numFmt w:val="bullet"/>
      <w:lvlText w:val="●"/>
      <w:lvlJc w:val="left"/>
      <w:pPr>
        <w:ind w:left="2880" w:hanging="360"/>
      </w:pPr>
    </w:lvl>
    <w:lvl w:ilvl="4" w:tplc="6ADCDAFE">
      <w:start w:val="1"/>
      <w:numFmt w:val="bullet"/>
      <w:lvlText w:val="○"/>
      <w:lvlJc w:val="left"/>
      <w:pPr>
        <w:ind w:left="3600" w:hanging="360"/>
      </w:pPr>
    </w:lvl>
    <w:lvl w:ilvl="5" w:tplc="00EEE5AE">
      <w:start w:val="1"/>
      <w:numFmt w:val="bullet"/>
      <w:lvlText w:val="■"/>
      <w:lvlJc w:val="left"/>
      <w:pPr>
        <w:ind w:left="4320" w:hanging="360"/>
      </w:pPr>
    </w:lvl>
    <w:lvl w:ilvl="6" w:tplc="C33A4040">
      <w:start w:val="1"/>
      <w:numFmt w:val="bullet"/>
      <w:lvlText w:val="●"/>
      <w:lvlJc w:val="left"/>
      <w:pPr>
        <w:ind w:left="5040" w:hanging="360"/>
      </w:pPr>
    </w:lvl>
    <w:lvl w:ilvl="7" w:tplc="51D01B70">
      <w:start w:val="1"/>
      <w:numFmt w:val="bullet"/>
      <w:lvlText w:val="●"/>
      <w:lvlJc w:val="left"/>
      <w:pPr>
        <w:ind w:left="5760" w:hanging="360"/>
      </w:pPr>
    </w:lvl>
    <w:lvl w:ilvl="8" w:tplc="E9B2DE60">
      <w:start w:val="1"/>
      <w:numFmt w:val="bullet"/>
      <w:lvlText w:val="●"/>
      <w:lvlJc w:val="left"/>
      <w:pPr>
        <w:ind w:left="6480" w:hanging="360"/>
      </w:pPr>
    </w:lvl>
  </w:abstractNum>
  <w:num w:numId="1" w16cid:durableId="14285796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1FA"/>
    <w:rsid w:val="00555501"/>
    <w:rsid w:val="006E1CE6"/>
    <w:rsid w:val="00AA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FD76FF"/>
  <w15:docId w15:val="{69C22AF6-60EF-4F4C-BBB1-600A2ED93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555501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Danae Goetze</cp:lastModifiedBy>
  <cp:revision>2</cp:revision>
  <dcterms:created xsi:type="dcterms:W3CDTF">2026-05-29T10:48:00Z</dcterms:created>
  <dcterms:modified xsi:type="dcterms:W3CDTF">2026-05-29T10:48:00Z</dcterms:modified>
</cp:coreProperties>
</file>