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481" w:tblpY="16"/>
        <w:tblW w:w="14737" w:type="dxa"/>
        <w:tblLayout w:type="fixed"/>
        <w:tblLook w:val="0000" w:firstRow="0" w:lastRow="0" w:firstColumn="0" w:lastColumn="0" w:noHBand="0" w:noVBand="0"/>
      </w:tblPr>
      <w:tblGrid>
        <w:gridCol w:w="447"/>
        <w:gridCol w:w="434"/>
        <w:gridCol w:w="957"/>
        <w:gridCol w:w="14"/>
        <w:gridCol w:w="7"/>
        <w:gridCol w:w="3381"/>
        <w:gridCol w:w="284"/>
        <w:gridCol w:w="83"/>
        <w:gridCol w:w="342"/>
        <w:gridCol w:w="4819"/>
        <w:gridCol w:w="1985"/>
        <w:gridCol w:w="1984"/>
      </w:tblGrid>
      <w:tr w:rsidR="00920F25" w:rsidRPr="00F21684" w14:paraId="3A40C92F" w14:textId="77777777" w:rsidTr="007A7349">
        <w:trPr>
          <w:trHeight w:val="170"/>
        </w:trPr>
        <w:tc>
          <w:tcPr>
            <w:tcW w:w="1852" w:type="dxa"/>
            <w:gridSpan w:val="4"/>
            <w:tcBorders>
              <w:top w:val="single" w:sz="12" w:space="0" w:color="auto"/>
              <w:left w:val="single" w:sz="4" w:space="0" w:color="auto"/>
              <w:bottom w:val="single" w:sz="24" w:space="0" w:color="auto"/>
            </w:tcBorders>
            <w:shd w:val="clear" w:color="auto" w:fill="C6BCDC"/>
            <w:vAlign w:val="center"/>
          </w:tcPr>
          <w:p w14:paraId="7B352F46" w14:textId="77777777" w:rsidR="00920F25" w:rsidRPr="00F21684" w:rsidRDefault="00920F25" w:rsidP="007A7349">
            <w:pPr>
              <w:pStyle w:val="TableHeader"/>
              <w:spacing w:beforeLines="20" w:before="48" w:afterLines="20" w:after="48" w:line="276" w:lineRule="auto"/>
              <w:rPr>
                <w:rFonts w:ascii="Helvetica Neue" w:hAnsi="Helvetica Neue" w:cs="Calibri"/>
                <w:sz w:val="20"/>
              </w:rPr>
            </w:pPr>
            <w:r w:rsidRPr="00F21684">
              <w:rPr>
                <w:rFonts w:ascii="Helvetica Neue" w:hAnsi="Helvetica Neue" w:cs="Calibri"/>
                <w:sz w:val="20"/>
              </w:rPr>
              <w:t xml:space="preserve">Item </w:t>
            </w:r>
            <w:r>
              <w:rPr>
                <w:rFonts w:ascii="Helvetica Neue" w:hAnsi="Helvetica Neue" w:cs="Calibri"/>
                <w:sz w:val="20"/>
              </w:rPr>
              <w:t>n</w:t>
            </w:r>
            <w:r w:rsidRPr="00F21684">
              <w:rPr>
                <w:rFonts w:ascii="Helvetica Neue" w:hAnsi="Helvetica Neue" w:cs="Calibri"/>
                <w:sz w:val="20"/>
              </w:rPr>
              <w:t>o.</w:t>
            </w:r>
          </w:p>
        </w:tc>
        <w:tc>
          <w:tcPr>
            <w:tcW w:w="8916" w:type="dxa"/>
            <w:gridSpan w:val="6"/>
            <w:tcBorders>
              <w:top w:val="single" w:sz="12" w:space="0" w:color="auto"/>
              <w:bottom w:val="single" w:sz="24" w:space="0" w:color="auto"/>
            </w:tcBorders>
            <w:shd w:val="clear" w:color="auto" w:fill="C6BCDC"/>
            <w:vAlign w:val="center"/>
          </w:tcPr>
          <w:p w14:paraId="42638372" w14:textId="77777777" w:rsidR="00920F25" w:rsidRPr="00F21684" w:rsidRDefault="00920F25" w:rsidP="007A7349">
            <w:pPr>
              <w:pStyle w:val="TableHeader"/>
              <w:spacing w:beforeLines="20" w:before="48" w:afterLines="20" w:after="48" w:line="276" w:lineRule="auto"/>
              <w:rPr>
                <w:rFonts w:ascii="Helvetica Neue" w:hAnsi="Helvetica Neue" w:cs="Calibri"/>
                <w:sz w:val="20"/>
              </w:rPr>
            </w:pPr>
            <w:r w:rsidRPr="00F21684">
              <w:rPr>
                <w:rFonts w:ascii="Helvetica Neue" w:hAnsi="Helvetica Neue" w:cs="Calibri"/>
                <w:sz w:val="20"/>
              </w:rPr>
              <w:t>Checklist item</w:t>
            </w:r>
          </w:p>
        </w:tc>
        <w:tc>
          <w:tcPr>
            <w:tcW w:w="3969" w:type="dxa"/>
            <w:gridSpan w:val="2"/>
            <w:tcBorders>
              <w:top w:val="single" w:sz="12" w:space="0" w:color="auto"/>
              <w:bottom w:val="single" w:sz="24" w:space="0" w:color="auto"/>
              <w:right w:val="single" w:sz="12" w:space="0" w:color="auto"/>
            </w:tcBorders>
            <w:shd w:val="clear" w:color="auto" w:fill="C6BCDC"/>
            <w:vAlign w:val="center"/>
          </w:tcPr>
          <w:p w14:paraId="7EB67F5B" w14:textId="77777777" w:rsidR="00920F25" w:rsidRPr="00F21684" w:rsidRDefault="00920F25" w:rsidP="007A7349">
            <w:pPr>
              <w:pStyle w:val="TableHeader"/>
              <w:spacing w:beforeLines="20" w:before="48" w:afterLines="20" w:after="48" w:line="276" w:lineRule="auto"/>
              <w:rPr>
                <w:rFonts w:ascii="Helvetica Neue" w:hAnsi="Helvetica Neue" w:cs="Calibri"/>
                <w:sz w:val="20"/>
              </w:rPr>
            </w:pPr>
            <w:r>
              <w:rPr>
                <w:rFonts w:ascii="Helvetica Neue" w:hAnsi="Helvetica Neue" w:cs="Calibri"/>
                <w:sz w:val="20"/>
              </w:rPr>
              <w:t>Location reported</w:t>
            </w:r>
          </w:p>
        </w:tc>
      </w:tr>
      <w:tr w:rsidR="001B0E65" w:rsidRPr="00F21684" w14:paraId="6CCC8FF4" w14:textId="77777777" w:rsidTr="007A7349">
        <w:tc>
          <w:tcPr>
            <w:tcW w:w="14737" w:type="dxa"/>
            <w:gridSpan w:val="12"/>
            <w:tcBorders>
              <w:top w:val="single" w:sz="24" w:space="0" w:color="auto"/>
              <w:left w:val="single" w:sz="4" w:space="0" w:color="auto"/>
              <w:bottom w:val="single" w:sz="24" w:space="0" w:color="auto"/>
              <w:right w:val="single" w:sz="12" w:space="0" w:color="auto"/>
            </w:tcBorders>
            <w:shd w:val="clear" w:color="auto" w:fill="CAEDFB" w:themeFill="accent4" w:themeFillTint="33"/>
            <w:vAlign w:val="center"/>
          </w:tcPr>
          <w:p w14:paraId="6272E51E" w14:textId="77777777" w:rsidR="001B0E65" w:rsidRPr="00F21684" w:rsidRDefault="001B0E65" w:rsidP="007A7349">
            <w:pPr>
              <w:pStyle w:val="TableHeader"/>
              <w:spacing w:beforeLines="20" w:before="48" w:afterLines="20" w:after="48" w:line="276" w:lineRule="auto"/>
              <w:rPr>
                <w:rFonts w:ascii="Helvetica Neue" w:hAnsi="Helvetica Neue" w:cs="Calibri"/>
                <w:sz w:val="20"/>
              </w:rPr>
            </w:pPr>
            <w:r w:rsidRPr="00F21684">
              <w:rPr>
                <w:rFonts w:ascii="Helvetica Neue" w:hAnsi="Helvetica Neue" w:cs="Calibri"/>
                <w:sz w:val="20"/>
              </w:rPr>
              <w:t>Abstract</w:t>
            </w:r>
          </w:p>
        </w:tc>
      </w:tr>
      <w:tr w:rsidR="00920F25" w:rsidRPr="00F21684" w14:paraId="5211902D" w14:textId="77777777" w:rsidTr="007A7349">
        <w:tc>
          <w:tcPr>
            <w:tcW w:w="447" w:type="dxa"/>
            <w:vMerge w:val="restart"/>
            <w:tcBorders>
              <w:top w:val="single" w:sz="24" w:space="0" w:color="auto"/>
              <w:left w:val="single" w:sz="4" w:space="0" w:color="auto"/>
            </w:tcBorders>
          </w:tcPr>
          <w:p w14:paraId="7EBB7E98" w14:textId="77777777" w:rsidR="00920F25" w:rsidRPr="00F21684" w:rsidRDefault="00920F25" w:rsidP="007A7349">
            <w:pPr>
              <w:pStyle w:val="TableHeader"/>
              <w:spacing w:beforeLines="20" w:before="48" w:afterLines="20" w:after="48" w:line="276" w:lineRule="auto"/>
              <w:rPr>
                <w:rFonts w:ascii="Helvetica Neue" w:hAnsi="Helvetica Neue" w:cs="Calibri"/>
                <w:sz w:val="20"/>
              </w:rPr>
            </w:pPr>
            <w:r w:rsidRPr="00F21684">
              <w:rPr>
                <w:rFonts w:ascii="Helvetica Neue" w:hAnsi="Helvetica Neue" w:cs="Calibri"/>
                <w:sz w:val="20"/>
              </w:rPr>
              <w:t>1</w:t>
            </w:r>
          </w:p>
        </w:tc>
        <w:tc>
          <w:tcPr>
            <w:tcW w:w="1412" w:type="dxa"/>
            <w:gridSpan w:val="4"/>
            <w:tcBorders>
              <w:top w:val="single" w:sz="24" w:space="0" w:color="auto"/>
              <w:bottom w:val="single" w:sz="12" w:space="0" w:color="auto"/>
            </w:tcBorders>
            <w:vAlign w:val="center"/>
          </w:tcPr>
          <w:p w14:paraId="79F49044"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a</w:t>
            </w:r>
          </w:p>
        </w:tc>
        <w:tc>
          <w:tcPr>
            <w:tcW w:w="8909" w:type="dxa"/>
            <w:gridSpan w:val="5"/>
            <w:tcBorders>
              <w:top w:val="single" w:sz="24" w:space="0" w:color="auto"/>
              <w:bottom w:val="single" w:sz="12" w:space="0" w:color="auto"/>
              <w:right w:val="single" w:sz="12" w:space="0" w:color="auto"/>
            </w:tcBorders>
            <w:vAlign w:val="center"/>
          </w:tcPr>
          <w:p w14:paraId="364F7511"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 xml:space="preserve">Identify that the study attempts to emulate a target trial using observational data. State the </w:t>
            </w:r>
            <w:r>
              <w:rPr>
                <w:rFonts w:ascii="Helvetica Neue" w:hAnsi="Helvetica Neue" w:cs="Calibri"/>
                <w:b w:val="0"/>
                <w:bCs/>
                <w:sz w:val="20"/>
              </w:rPr>
              <w:t xml:space="preserve">study </w:t>
            </w:r>
            <w:r w:rsidRPr="00F21684">
              <w:rPr>
                <w:rFonts w:ascii="Helvetica Neue" w:hAnsi="Helvetica Neue" w:cs="Calibri"/>
                <w:b w:val="0"/>
                <w:bCs/>
                <w:sz w:val="20"/>
              </w:rPr>
              <w:t>objectives and briefly summarize the specified target trial.</w:t>
            </w:r>
          </w:p>
        </w:tc>
        <w:tc>
          <w:tcPr>
            <w:tcW w:w="3969" w:type="dxa"/>
            <w:gridSpan w:val="2"/>
            <w:tcBorders>
              <w:top w:val="single" w:sz="24" w:space="0" w:color="auto"/>
              <w:bottom w:val="single" w:sz="12" w:space="0" w:color="auto"/>
              <w:right w:val="single" w:sz="12" w:space="0" w:color="auto"/>
            </w:tcBorders>
            <w:vAlign w:val="center"/>
          </w:tcPr>
          <w:p w14:paraId="214AEA77" w14:textId="77777777" w:rsidR="00EC2BBE" w:rsidRDefault="00000000">
            <w:r>
              <w:t>This study aimed to estimate the causal effect of early albumin administration on mortality in critically ill children with severe hypoalbuminemia, using a target trial emulation framework. The Pediatric Intensive Care (PIC) database was used as the data source. Key findings: early albumin use (within 24h) in children with albumin &lt;30 g/L was associated with reduced 7-day mortality (HR 0.42; 95%CI 0.24-0.74; P = 0.003).</w:t>
            </w:r>
          </w:p>
        </w:tc>
      </w:tr>
      <w:tr w:rsidR="00920F25" w:rsidRPr="00F21684" w14:paraId="1AA55EBE" w14:textId="77777777" w:rsidTr="007A7349">
        <w:tc>
          <w:tcPr>
            <w:tcW w:w="447" w:type="dxa"/>
            <w:vMerge/>
            <w:tcBorders>
              <w:left w:val="single" w:sz="4" w:space="0" w:color="auto"/>
              <w:bottom w:val="single" w:sz="24" w:space="0" w:color="auto"/>
            </w:tcBorders>
            <w:vAlign w:val="center"/>
          </w:tcPr>
          <w:p w14:paraId="06D4E9FD" w14:textId="77777777" w:rsidR="00920F25" w:rsidRPr="00F21684" w:rsidRDefault="00920F25" w:rsidP="007A7349">
            <w:pPr>
              <w:pStyle w:val="TableHeader"/>
              <w:spacing w:beforeLines="20" w:before="48" w:afterLines="20" w:after="48" w:line="276" w:lineRule="auto"/>
              <w:rPr>
                <w:rFonts w:ascii="Helvetica Neue" w:hAnsi="Helvetica Neue" w:cs="Calibri"/>
                <w:sz w:val="20"/>
              </w:rPr>
            </w:pPr>
          </w:p>
        </w:tc>
        <w:tc>
          <w:tcPr>
            <w:tcW w:w="1412" w:type="dxa"/>
            <w:gridSpan w:val="4"/>
            <w:tcBorders>
              <w:top w:val="single" w:sz="12" w:space="0" w:color="auto"/>
              <w:bottom w:val="single" w:sz="6" w:space="0" w:color="auto"/>
            </w:tcBorders>
            <w:vAlign w:val="center"/>
          </w:tcPr>
          <w:p w14:paraId="31214802"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b</w:t>
            </w:r>
          </w:p>
        </w:tc>
        <w:tc>
          <w:tcPr>
            <w:tcW w:w="8909" w:type="dxa"/>
            <w:gridSpan w:val="5"/>
            <w:tcBorders>
              <w:top w:val="single" w:sz="12" w:space="0" w:color="auto"/>
              <w:bottom w:val="single" w:sz="6" w:space="0" w:color="auto"/>
              <w:right w:val="single" w:sz="12" w:space="0" w:color="auto"/>
            </w:tcBorders>
            <w:vAlign w:val="center"/>
          </w:tcPr>
          <w:p w14:paraId="64D437EF"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Report the data source</w:t>
            </w:r>
            <w:r w:rsidR="006A6A61">
              <w:rPr>
                <w:rFonts w:ascii="Helvetica Neue" w:hAnsi="Helvetica Neue" w:cs="Calibri"/>
                <w:b w:val="0"/>
                <w:bCs/>
                <w:sz w:val="20"/>
              </w:rPr>
              <w:t>s</w:t>
            </w:r>
            <w:r w:rsidRPr="00F21684">
              <w:rPr>
                <w:rFonts w:ascii="Helvetica Neue" w:hAnsi="Helvetica Neue" w:cs="Calibri"/>
                <w:b w:val="0"/>
                <w:bCs/>
                <w:sz w:val="20"/>
              </w:rPr>
              <w:t xml:space="preserve"> used for emulation.</w:t>
            </w:r>
          </w:p>
        </w:tc>
        <w:tc>
          <w:tcPr>
            <w:tcW w:w="3969" w:type="dxa"/>
            <w:gridSpan w:val="2"/>
            <w:tcBorders>
              <w:top w:val="single" w:sz="12" w:space="0" w:color="auto"/>
              <w:bottom w:val="single" w:sz="6" w:space="0" w:color="auto"/>
              <w:right w:val="single" w:sz="12" w:space="0" w:color="auto"/>
            </w:tcBorders>
            <w:vAlign w:val="center"/>
          </w:tcPr>
          <w:p w14:paraId="3C72C968" w14:textId="77777777" w:rsidR="00920F25" w:rsidRPr="00F21684" w:rsidRDefault="006266C0" w:rsidP="007A7349">
            <w:pPr>
              <w:pStyle w:val="TableHeader"/>
              <w:spacing w:beforeLines="20" w:before="48" w:afterLines="20" w:after="48" w:line="276" w:lineRule="auto"/>
              <w:rPr>
                <w:rFonts w:ascii="Helvetica Neue" w:hAnsi="Helvetica Neue" w:cs="Calibri"/>
                <w:b w:val="0"/>
                <w:bCs/>
                <w:sz w:val="20"/>
              </w:rPr>
            </w:pPr>
            <w:r>
              <w:rPr>
                <w:sz w:val="16"/>
              </w:rPr>
              <w:t>The study utilized the Pediatric Intensive Care (PIC) database, a large single-center database from the Children's Hospital of Zhejiang University School of Medicine (2010-2019).</w:t>
            </w:r>
          </w:p>
        </w:tc>
      </w:tr>
      <w:tr w:rsidR="00920F25" w:rsidRPr="00F21684" w14:paraId="189B5F9A" w14:textId="77777777" w:rsidTr="007A7349">
        <w:tc>
          <w:tcPr>
            <w:tcW w:w="447" w:type="dxa"/>
            <w:vMerge/>
            <w:tcBorders>
              <w:left w:val="single" w:sz="4" w:space="0" w:color="auto"/>
              <w:bottom w:val="single" w:sz="24" w:space="0" w:color="auto"/>
            </w:tcBorders>
            <w:vAlign w:val="center"/>
          </w:tcPr>
          <w:p w14:paraId="55306F32" w14:textId="77777777" w:rsidR="00920F25" w:rsidRPr="00F21684" w:rsidRDefault="00920F25" w:rsidP="007A7349">
            <w:pPr>
              <w:pStyle w:val="TableHeader"/>
              <w:spacing w:beforeLines="20" w:before="48" w:afterLines="20" w:after="48" w:line="276" w:lineRule="auto"/>
              <w:rPr>
                <w:rFonts w:ascii="Helvetica Neue" w:hAnsi="Helvetica Neue" w:cs="Calibri"/>
                <w:sz w:val="20"/>
              </w:rPr>
            </w:pPr>
          </w:p>
        </w:tc>
        <w:tc>
          <w:tcPr>
            <w:tcW w:w="1412" w:type="dxa"/>
            <w:gridSpan w:val="4"/>
            <w:tcBorders>
              <w:top w:val="single" w:sz="12" w:space="0" w:color="auto"/>
              <w:bottom w:val="single" w:sz="6" w:space="0" w:color="auto"/>
            </w:tcBorders>
            <w:vAlign w:val="center"/>
          </w:tcPr>
          <w:p w14:paraId="3E26B8A4"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c</w:t>
            </w:r>
          </w:p>
        </w:tc>
        <w:tc>
          <w:tcPr>
            <w:tcW w:w="8909" w:type="dxa"/>
            <w:gridSpan w:val="5"/>
            <w:tcBorders>
              <w:top w:val="single" w:sz="12" w:space="0" w:color="auto"/>
              <w:bottom w:val="single" w:sz="6" w:space="0" w:color="auto"/>
              <w:right w:val="single" w:sz="12" w:space="0" w:color="auto"/>
            </w:tcBorders>
            <w:vAlign w:val="center"/>
          </w:tcPr>
          <w:p w14:paraId="6E863F7F"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Summari</w:t>
            </w:r>
            <w:r>
              <w:rPr>
                <w:rFonts w:ascii="Helvetica Neue" w:hAnsi="Helvetica Neue" w:cs="Calibri"/>
                <w:b w:val="0"/>
                <w:bCs/>
                <w:sz w:val="20"/>
              </w:rPr>
              <w:t>z</w:t>
            </w:r>
            <w:r w:rsidRPr="00F21684">
              <w:rPr>
                <w:rFonts w:ascii="Helvetica Neue" w:hAnsi="Helvetica Neue" w:cs="Calibri"/>
                <w:b w:val="0"/>
                <w:bCs/>
                <w:sz w:val="20"/>
              </w:rPr>
              <w:t>e key assumptions, statistical methods, findings and conclusions.</w:t>
            </w:r>
          </w:p>
        </w:tc>
        <w:tc>
          <w:tcPr>
            <w:tcW w:w="3969" w:type="dxa"/>
            <w:gridSpan w:val="2"/>
            <w:tcBorders>
              <w:top w:val="single" w:sz="12" w:space="0" w:color="auto"/>
              <w:bottom w:val="single" w:sz="6" w:space="0" w:color="auto"/>
              <w:right w:val="single" w:sz="12" w:space="0" w:color="auto"/>
            </w:tcBorders>
            <w:vAlign w:val="center"/>
          </w:tcPr>
          <w:p w14:paraId="2F3ED5C3" w14:textId="77777777" w:rsidR="00EC2BBE" w:rsidRDefault="00000000">
            <w:r>
              <w:t>Key assumptions: (1) no unmeasured confounding after adjustment (E-value = 4.21); (2) correct model specification; (3) positivity with stabilized and truncated IPTW weights. Statistical methods included inverse probability of treatment weighting (IPTW), doubly robust (DR) estimation, Cox models for mortality, logistic regression for new-onset sepsis, and quantile regression for ICU LOS. Sensitivity analyses used alternative albumin thresholds (&lt;35 g/L) and treatment windows (48h).</w:t>
            </w:r>
          </w:p>
        </w:tc>
      </w:tr>
      <w:tr w:rsidR="001B0E65" w:rsidRPr="00F21684" w14:paraId="2F64FBCB" w14:textId="77777777" w:rsidTr="007A7349">
        <w:tc>
          <w:tcPr>
            <w:tcW w:w="14737" w:type="dxa"/>
            <w:gridSpan w:val="12"/>
            <w:tcBorders>
              <w:top w:val="single" w:sz="24" w:space="0" w:color="auto"/>
              <w:left w:val="single" w:sz="4" w:space="0" w:color="auto"/>
              <w:bottom w:val="single" w:sz="24" w:space="0" w:color="auto"/>
              <w:right w:val="single" w:sz="12" w:space="0" w:color="auto"/>
            </w:tcBorders>
            <w:shd w:val="clear" w:color="auto" w:fill="CAEDFB" w:themeFill="accent4" w:themeFillTint="33"/>
            <w:vAlign w:val="center"/>
          </w:tcPr>
          <w:p w14:paraId="1BAF4E8B" w14:textId="77777777" w:rsidR="001B0E65" w:rsidRPr="00F21684" w:rsidRDefault="001B0E65" w:rsidP="007A7349">
            <w:pPr>
              <w:pStyle w:val="TableHeader"/>
              <w:spacing w:beforeLines="20" w:before="48" w:afterLines="20" w:after="48" w:line="276" w:lineRule="auto"/>
              <w:rPr>
                <w:rFonts w:ascii="Helvetica Neue" w:hAnsi="Helvetica Neue" w:cs="Calibri"/>
                <w:sz w:val="20"/>
              </w:rPr>
            </w:pPr>
            <w:r w:rsidRPr="00F21684">
              <w:rPr>
                <w:rFonts w:ascii="Helvetica Neue" w:hAnsi="Helvetica Neue" w:cs="Calibri"/>
                <w:sz w:val="20"/>
              </w:rPr>
              <w:lastRenderedPageBreak/>
              <w:t>Introduction</w:t>
            </w:r>
          </w:p>
        </w:tc>
      </w:tr>
      <w:tr w:rsidR="00920F25" w:rsidRPr="00F21684" w14:paraId="78001507" w14:textId="77777777" w:rsidTr="007A7349">
        <w:tc>
          <w:tcPr>
            <w:tcW w:w="447" w:type="dxa"/>
            <w:tcBorders>
              <w:left w:val="single" w:sz="4" w:space="0" w:color="auto"/>
            </w:tcBorders>
            <w:vAlign w:val="center"/>
          </w:tcPr>
          <w:p w14:paraId="501C77A8" w14:textId="77777777" w:rsidR="00920F25" w:rsidRPr="00233EE5" w:rsidRDefault="00920F25" w:rsidP="007A7349">
            <w:pPr>
              <w:pStyle w:val="TableHeader"/>
              <w:spacing w:beforeLines="20" w:before="48" w:afterLines="20" w:after="48" w:line="276" w:lineRule="auto"/>
              <w:rPr>
                <w:rFonts w:ascii="Helvetica Neue" w:hAnsi="Helvetica Neue" w:cs="Calibri"/>
                <w:sz w:val="20"/>
              </w:rPr>
            </w:pPr>
            <w:r w:rsidRPr="00233EE5">
              <w:rPr>
                <w:rFonts w:ascii="Helvetica Neue" w:hAnsi="Helvetica Neue" w:cs="Calibri"/>
                <w:sz w:val="20"/>
              </w:rPr>
              <w:t>2</w:t>
            </w:r>
          </w:p>
        </w:tc>
        <w:tc>
          <w:tcPr>
            <w:tcW w:w="1412" w:type="dxa"/>
            <w:gridSpan w:val="4"/>
            <w:tcBorders>
              <w:top w:val="single" w:sz="12" w:space="0" w:color="auto"/>
              <w:bottom w:val="single" w:sz="12" w:space="0" w:color="auto"/>
            </w:tcBorders>
            <w:vAlign w:val="center"/>
          </w:tcPr>
          <w:p w14:paraId="6F274ADC"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Background</w:t>
            </w:r>
            <w:r w:rsidRPr="00F21684" w:rsidDel="00A1702E">
              <w:rPr>
                <w:rFonts w:ascii="Helvetica Neue" w:hAnsi="Helvetica Neue" w:cs="Calibri"/>
                <w:b w:val="0"/>
                <w:bCs/>
                <w:sz w:val="20"/>
              </w:rPr>
              <w:t xml:space="preserve"> </w:t>
            </w:r>
          </w:p>
        </w:tc>
        <w:tc>
          <w:tcPr>
            <w:tcW w:w="8909" w:type="dxa"/>
            <w:gridSpan w:val="5"/>
            <w:tcBorders>
              <w:top w:val="single" w:sz="12" w:space="0" w:color="auto"/>
              <w:bottom w:val="single" w:sz="12" w:space="0" w:color="auto"/>
              <w:right w:val="single" w:sz="12" w:space="0" w:color="auto"/>
            </w:tcBorders>
            <w:vAlign w:val="center"/>
          </w:tcPr>
          <w:p w14:paraId="516FCA2A"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Describe the scientific background of the study and the gap in knowledge.</w:t>
            </w:r>
          </w:p>
        </w:tc>
        <w:tc>
          <w:tcPr>
            <w:tcW w:w="3969" w:type="dxa"/>
            <w:gridSpan w:val="2"/>
            <w:tcBorders>
              <w:top w:val="single" w:sz="12" w:space="0" w:color="auto"/>
              <w:bottom w:val="single" w:sz="12" w:space="0" w:color="auto"/>
              <w:right w:val="single" w:sz="12" w:space="0" w:color="auto"/>
            </w:tcBorders>
            <w:vAlign w:val="center"/>
          </w:tcPr>
          <w:p w14:paraId="48AB8AFE" w14:textId="77777777" w:rsidR="00EC2BBE" w:rsidRDefault="00000000">
            <w:r>
              <w:t>Hypoalbuminemia is highly prevalent in critically ill children and has been widely established as an independent predictor of mortality across multiple international cohorts. However, whether albumin supplementation can improve survival remains unclear, as adult randomized trials (SAFE, ALBIOS) primarily evaluated albumin as a fluid resuscitation strategy rather than hypoalbuminemia correction. Pediatric evidence is even more limited. The 2020 SSC pediatric sepsis guidelines and the 2024 ICTMG albumin guidelines identify albumin correction in children with hypoalbuminemia as a critical evidence gap.</w:t>
            </w:r>
          </w:p>
        </w:tc>
      </w:tr>
      <w:tr w:rsidR="00920F25" w:rsidRPr="00647087" w14:paraId="41D7E1EC" w14:textId="77777777" w:rsidTr="007A7349">
        <w:tc>
          <w:tcPr>
            <w:tcW w:w="447" w:type="dxa"/>
            <w:tcBorders>
              <w:left w:val="single" w:sz="4" w:space="0" w:color="auto"/>
            </w:tcBorders>
            <w:vAlign w:val="center"/>
          </w:tcPr>
          <w:p w14:paraId="363396D1" w14:textId="77777777" w:rsidR="00920F25" w:rsidRPr="00233EE5" w:rsidRDefault="00920F25" w:rsidP="007A7349">
            <w:pPr>
              <w:pStyle w:val="TableHeader"/>
              <w:spacing w:beforeLines="20" w:before="48" w:afterLines="20" w:after="48" w:line="276" w:lineRule="auto"/>
              <w:rPr>
                <w:rFonts w:ascii="Helvetica Neue" w:hAnsi="Helvetica Neue" w:cs="Calibri"/>
                <w:sz w:val="20"/>
              </w:rPr>
            </w:pPr>
            <w:r w:rsidRPr="00233EE5">
              <w:rPr>
                <w:rFonts w:ascii="Helvetica Neue" w:hAnsi="Helvetica Neue" w:cs="Calibri"/>
                <w:sz w:val="20"/>
              </w:rPr>
              <w:t>3</w:t>
            </w:r>
          </w:p>
        </w:tc>
        <w:tc>
          <w:tcPr>
            <w:tcW w:w="1412" w:type="dxa"/>
            <w:gridSpan w:val="4"/>
            <w:tcBorders>
              <w:top w:val="single" w:sz="12" w:space="0" w:color="auto"/>
              <w:bottom w:val="single" w:sz="12" w:space="0" w:color="auto"/>
            </w:tcBorders>
            <w:vAlign w:val="center"/>
          </w:tcPr>
          <w:p w14:paraId="742DB1B4"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Causal question</w:t>
            </w:r>
          </w:p>
        </w:tc>
        <w:tc>
          <w:tcPr>
            <w:tcW w:w="8909" w:type="dxa"/>
            <w:gridSpan w:val="5"/>
            <w:tcBorders>
              <w:top w:val="single" w:sz="12" w:space="0" w:color="auto"/>
              <w:bottom w:val="single" w:sz="12" w:space="0" w:color="auto"/>
              <w:right w:val="single" w:sz="12" w:space="0" w:color="auto"/>
            </w:tcBorders>
            <w:vAlign w:val="center"/>
          </w:tcPr>
          <w:p w14:paraId="1807482B" w14:textId="77777777" w:rsidR="00920F25" w:rsidRPr="00647087" w:rsidRDefault="00920F25" w:rsidP="007A7349">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Summarize</w:t>
            </w:r>
            <w:r w:rsidRPr="00BC3145">
              <w:rPr>
                <w:rFonts w:ascii="Helvetica Neue" w:hAnsi="Helvetica Neue" w:cs="Calibri"/>
                <w:b w:val="0"/>
                <w:bCs/>
                <w:sz w:val="20"/>
              </w:rPr>
              <w:t xml:space="preserve"> the causal question</w:t>
            </w:r>
            <w:r>
              <w:rPr>
                <w:rFonts w:ascii="Helvetica Neue" w:hAnsi="Helvetica Neue" w:cs="Calibri"/>
                <w:b w:val="0"/>
                <w:bCs/>
                <w:sz w:val="20"/>
              </w:rPr>
              <w:t>.</w:t>
            </w:r>
          </w:p>
        </w:tc>
        <w:tc>
          <w:tcPr>
            <w:tcW w:w="3969" w:type="dxa"/>
            <w:gridSpan w:val="2"/>
            <w:tcBorders>
              <w:top w:val="single" w:sz="12" w:space="0" w:color="auto"/>
              <w:bottom w:val="single" w:sz="12" w:space="0" w:color="auto"/>
              <w:right w:val="single" w:sz="12" w:space="0" w:color="auto"/>
            </w:tcBorders>
            <w:vAlign w:val="center"/>
          </w:tcPr>
          <w:p w14:paraId="6A68642C" w14:textId="43882D86" w:rsidR="00920F25" w:rsidRPr="0013474F" w:rsidRDefault="006266C0" w:rsidP="007A7349">
            <w:pPr>
              <w:pStyle w:val="TableHeader"/>
              <w:spacing w:beforeLines="20" w:before="48" w:afterLines="20" w:after="48" w:line="276" w:lineRule="auto"/>
              <w:rPr>
                <w:rFonts w:ascii="Helvetica Neue" w:hAnsi="Helvetica Neue" w:cs="Calibri"/>
                <w:b w:val="0"/>
                <w:bCs/>
                <w:szCs w:val="24"/>
              </w:rPr>
            </w:pPr>
            <w:r w:rsidRPr="0013474F">
              <w:rPr>
                <w:b w:val="0"/>
                <w:bCs/>
                <w:szCs w:val="24"/>
              </w:rPr>
              <w:t xml:space="preserve">Among critically ill children with severe hypoalbuminemia (albumin &lt;30 g/L) admitted to the PICU, does early albumin administration within 24 hours reduce </w:t>
            </w:r>
            <w:r w:rsidR="002B1139" w:rsidRPr="0013474F">
              <w:rPr>
                <w:b w:val="0"/>
                <w:bCs/>
                <w:szCs w:val="24"/>
              </w:rPr>
              <w:t>Short-term</w:t>
            </w:r>
            <w:r w:rsidRPr="0013474F">
              <w:rPr>
                <w:b w:val="0"/>
                <w:bCs/>
                <w:szCs w:val="24"/>
              </w:rPr>
              <w:t xml:space="preserve"> all-cause mortality compared with no early albumin administration?</w:t>
            </w:r>
          </w:p>
        </w:tc>
      </w:tr>
      <w:tr w:rsidR="00920F25" w:rsidRPr="005F15B2" w14:paraId="5D9B0F68" w14:textId="77777777" w:rsidTr="007A7349">
        <w:tc>
          <w:tcPr>
            <w:tcW w:w="447" w:type="dxa"/>
            <w:tcBorders>
              <w:left w:val="single" w:sz="4" w:space="0" w:color="auto"/>
            </w:tcBorders>
            <w:vAlign w:val="center"/>
          </w:tcPr>
          <w:p w14:paraId="1202F0D5" w14:textId="77777777" w:rsidR="00920F25" w:rsidRPr="00233EE5" w:rsidRDefault="00920F25" w:rsidP="007A7349">
            <w:pPr>
              <w:pStyle w:val="TableHeader"/>
              <w:spacing w:beforeLines="20" w:before="48" w:afterLines="20" w:after="48" w:line="276" w:lineRule="auto"/>
              <w:rPr>
                <w:rFonts w:ascii="Helvetica Neue" w:hAnsi="Helvetica Neue" w:cs="Calibri"/>
                <w:sz w:val="20"/>
              </w:rPr>
            </w:pPr>
            <w:r w:rsidRPr="00233EE5">
              <w:rPr>
                <w:rFonts w:ascii="Helvetica Neue" w:hAnsi="Helvetica Neue" w:cs="Calibri"/>
                <w:sz w:val="20"/>
              </w:rPr>
              <w:t>4</w:t>
            </w:r>
          </w:p>
        </w:tc>
        <w:tc>
          <w:tcPr>
            <w:tcW w:w="1412" w:type="dxa"/>
            <w:gridSpan w:val="4"/>
            <w:tcBorders>
              <w:top w:val="single" w:sz="12" w:space="0" w:color="auto"/>
              <w:bottom w:val="single" w:sz="12" w:space="0" w:color="auto"/>
            </w:tcBorders>
            <w:vAlign w:val="center"/>
          </w:tcPr>
          <w:p w14:paraId="15DDC38B" w14:textId="77777777" w:rsidR="00920F25" w:rsidRPr="00F21684" w:rsidRDefault="00920F25" w:rsidP="007A7349">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Rationale</w:t>
            </w:r>
          </w:p>
        </w:tc>
        <w:tc>
          <w:tcPr>
            <w:tcW w:w="8909" w:type="dxa"/>
            <w:gridSpan w:val="5"/>
            <w:tcBorders>
              <w:top w:val="single" w:sz="12" w:space="0" w:color="auto"/>
              <w:bottom w:val="single" w:sz="12" w:space="0" w:color="auto"/>
              <w:right w:val="single" w:sz="12" w:space="0" w:color="auto"/>
            </w:tcBorders>
            <w:vAlign w:val="center"/>
          </w:tcPr>
          <w:p w14:paraId="77A36CC1" w14:textId="77777777" w:rsidR="00920F25" w:rsidRPr="005F15B2" w:rsidRDefault="00920F25" w:rsidP="007A7349">
            <w:pPr>
              <w:pStyle w:val="TableHeader"/>
              <w:spacing w:beforeLines="20" w:before="48" w:afterLines="20" w:after="48" w:line="276" w:lineRule="auto"/>
              <w:rPr>
                <w:rFonts w:ascii="Helvetica Neue" w:hAnsi="Helvetica Neue" w:cs="Calibri"/>
                <w:b w:val="0"/>
                <w:sz w:val="20"/>
              </w:rPr>
            </w:pPr>
            <w:r w:rsidRPr="005F15B2">
              <w:rPr>
                <w:rFonts w:ascii="Helvetica Neue" w:hAnsi="Helvetica Neue" w:cs="Calibri"/>
                <w:b w:val="0"/>
                <w:sz w:val="20"/>
              </w:rPr>
              <w:t xml:space="preserve">Describe the rationale for </w:t>
            </w:r>
            <w:r>
              <w:rPr>
                <w:rFonts w:ascii="Helvetica Neue" w:hAnsi="Helvetica Neue" w:cs="Calibri"/>
                <w:b w:val="0"/>
                <w:sz w:val="20"/>
              </w:rPr>
              <w:t>emulating</w:t>
            </w:r>
            <w:r w:rsidRPr="005F15B2">
              <w:rPr>
                <w:rFonts w:ascii="Helvetica Neue" w:hAnsi="Helvetica Neue" w:cs="Calibri"/>
                <w:b w:val="0"/>
                <w:sz w:val="20"/>
              </w:rPr>
              <w:t xml:space="preserve"> </w:t>
            </w:r>
            <w:r>
              <w:rPr>
                <w:rFonts w:ascii="Helvetica Neue" w:hAnsi="Helvetica Neue" w:cs="Calibri"/>
                <w:b w:val="0"/>
                <w:sz w:val="20"/>
              </w:rPr>
              <w:t xml:space="preserve">a </w:t>
            </w:r>
            <w:r w:rsidRPr="005F15B2">
              <w:rPr>
                <w:rFonts w:ascii="Helvetica Neue" w:hAnsi="Helvetica Neue" w:cs="Calibri"/>
                <w:b w:val="0"/>
                <w:sz w:val="20"/>
              </w:rPr>
              <w:t>target trial with the available data. Cite randomized trials informing the design of the target trial if applicable.</w:t>
            </w:r>
          </w:p>
        </w:tc>
        <w:tc>
          <w:tcPr>
            <w:tcW w:w="3969" w:type="dxa"/>
            <w:gridSpan w:val="2"/>
            <w:tcBorders>
              <w:top w:val="single" w:sz="12" w:space="0" w:color="auto"/>
              <w:bottom w:val="single" w:sz="12" w:space="0" w:color="auto"/>
              <w:right w:val="single" w:sz="12" w:space="0" w:color="auto"/>
            </w:tcBorders>
            <w:vAlign w:val="center"/>
          </w:tcPr>
          <w:p w14:paraId="53903055" w14:textId="77777777" w:rsidR="00EC2BBE" w:rsidRDefault="00000000">
            <w:r>
              <w:t xml:space="preserve">Randomized trials evaluating albumin therapy in critically ill children are lacking. Existing adult RCTs (SAFE, ALBIOS) primarily evaluated albumin as a fluid resuscitation strategy rather than hypoalbuminemia correction, and did not conduct subgroup analyses </w:t>
            </w:r>
            <w:r>
              <w:lastRenderedPageBreak/>
              <w:t>among patients with hypoalbuminemia. Pediatric observational studies consistently identify low albumin as an independent mortality predictor but do not assess treatment effects. Target trial emulation provides a framework to estimate causal effects from observational data where RCTs are absent or infeasible.</w:t>
            </w:r>
          </w:p>
        </w:tc>
      </w:tr>
      <w:tr w:rsidR="001B0E65" w:rsidRPr="00F21684" w14:paraId="5BB2A6A8" w14:textId="77777777" w:rsidTr="007A7349">
        <w:tc>
          <w:tcPr>
            <w:tcW w:w="14737" w:type="dxa"/>
            <w:gridSpan w:val="12"/>
            <w:tcBorders>
              <w:top w:val="single" w:sz="24" w:space="0" w:color="auto"/>
              <w:left w:val="single" w:sz="4" w:space="0" w:color="auto"/>
              <w:bottom w:val="single" w:sz="24" w:space="0" w:color="auto"/>
              <w:right w:val="single" w:sz="12" w:space="0" w:color="auto"/>
            </w:tcBorders>
            <w:shd w:val="clear" w:color="auto" w:fill="CAEDFB" w:themeFill="accent4" w:themeFillTint="33"/>
            <w:vAlign w:val="center"/>
          </w:tcPr>
          <w:p w14:paraId="20AB0384" w14:textId="77777777" w:rsidR="001B0E65" w:rsidRPr="00F21684" w:rsidRDefault="001B0E65" w:rsidP="007A7349">
            <w:pPr>
              <w:spacing w:beforeLines="20" w:before="48" w:afterLines="20" w:after="48" w:line="276" w:lineRule="auto"/>
              <w:rPr>
                <w:rFonts w:ascii="Helvetica Neue" w:hAnsi="Helvetica Neue" w:cs="Calibri"/>
                <w:b/>
                <w:bCs/>
                <w:sz w:val="20"/>
                <w:szCs w:val="20"/>
              </w:rPr>
            </w:pPr>
            <w:r w:rsidRPr="00F21684">
              <w:rPr>
                <w:rFonts w:ascii="Helvetica Neue" w:hAnsi="Helvetica Neue" w:cs="Calibri"/>
                <w:b/>
                <w:bCs/>
                <w:sz w:val="20"/>
                <w:szCs w:val="20"/>
              </w:rPr>
              <w:lastRenderedPageBreak/>
              <w:t>Methods</w:t>
            </w:r>
          </w:p>
        </w:tc>
      </w:tr>
      <w:tr w:rsidR="00920F25" w:rsidRPr="00F21684" w14:paraId="241B479F" w14:textId="77777777" w:rsidTr="007A7349">
        <w:tc>
          <w:tcPr>
            <w:tcW w:w="447" w:type="dxa"/>
            <w:tcBorders>
              <w:left w:val="single" w:sz="4" w:space="0" w:color="auto"/>
            </w:tcBorders>
            <w:vAlign w:val="center"/>
          </w:tcPr>
          <w:p w14:paraId="6FB074B6" w14:textId="77777777" w:rsidR="00920F25" w:rsidRPr="00122C09" w:rsidRDefault="00920F25" w:rsidP="007A7349">
            <w:pPr>
              <w:pStyle w:val="TableHeader"/>
              <w:spacing w:beforeLines="20" w:before="48" w:afterLines="20" w:after="48" w:line="276" w:lineRule="auto"/>
              <w:rPr>
                <w:rFonts w:ascii="Helvetica Neue" w:hAnsi="Helvetica Neue" w:cs="Calibri"/>
                <w:sz w:val="20"/>
              </w:rPr>
            </w:pPr>
            <w:r>
              <w:rPr>
                <w:rFonts w:ascii="Helvetica Neue" w:hAnsi="Helvetica Neue" w:cs="Calibri"/>
                <w:sz w:val="20"/>
              </w:rPr>
              <w:t>5</w:t>
            </w:r>
          </w:p>
        </w:tc>
        <w:tc>
          <w:tcPr>
            <w:tcW w:w="1391" w:type="dxa"/>
            <w:gridSpan w:val="2"/>
            <w:tcBorders>
              <w:top w:val="single" w:sz="4" w:space="0" w:color="auto"/>
              <w:bottom w:val="single" w:sz="12" w:space="0" w:color="auto"/>
            </w:tcBorders>
            <w:vAlign w:val="center"/>
          </w:tcPr>
          <w:p w14:paraId="5F7A69B8" w14:textId="77777777" w:rsidR="00920F25" w:rsidRPr="00F21684" w:rsidRDefault="00920F25" w:rsidP="007A7349">
            <w:pPr>
              <w:spacing w:beforeLines="20" w:before="48" w:afterLines="20" w:after="48" w:line="276" w:lineRule="auto"/>
              <w:ind w:right="-111"/>
              <w:rPr>
                <w:rFonts w:ascii="Helvetica Neue" w:hAnsi="Helvetica Neue" w:cs="Calibri"/>
                <w:b/>
                <w:sz w:val="22"/>
                <w:szCs w:val="22"/>
              </w:rPr>
            </w:pPr>
            <w:r w:rsidRPr="00F21684">
              <w:rPr>
                <w:rFonts w:ascii="Helvetica Neue" w:hAnsi="Helvetica Neue" w:cs="Calibri"/>
                <w:bCs/>
                <w:sz w:val="20"/>
              </w:rPr>
              <w:t>Data source</w:t>
            </w:r>
            <w:r w:rsidR="006A6A61">
              <w:rPr>
                <w:rFonts w:ascii="Helvetica Neue" w:hAnsi="Helvetica Neue" w:cs="Calibri"/>
                <w:bCs/>
                <w:sz w:val="20"/>
              </w:rPr>
              <w:t>s</w:t>
            </w:r>
          </w:p>
        </w:tc>
        <w:tc>
          <w:tcPr>
            <w:tcW w:w="8930" w:type="dxa"/>
            <w:gridSpan w:val="7"/>
            <w:tcBorders>
              <w:top w:val="single" w:sz="4" w:space="0" w:color="auto"/>
              <w:bottom w:val="single" w:sz="12" w:space="0" w:color="auto"/>
              <w:right w:val="single" w:sz="12" w:space="0" w:color="auto"/>
            </w:tcBorders>
            <w:vAlign w:val="center"/>
          </w:tcPr>
          <w:p w14:paraId="76369E91" w14:textId="77777777" w:rsidR="00920F25" w:rsidRPr="00F21684" w:rsidRDefault="00920F25" w:rsidP="007A7349">
            <w:pPr>
              <w:spacing w:beforeLines="20" w:before="48" w:afterLines="20" w:after="48" w:line="276" w:lineRule="auto"/>
              <w:rPr>
                <w:rFonts w:ascii="Helvetica Neue" w:hAnsi="Helvetica Neue" w:cs="Calibri"/>
                <w:b/>
                <w:sz w:val="22"/>
                <w:szCs w:val="22"/>
              </w:rPr>
            </w:pPr>
            <w:r w:rsidRPr="00F21684">
              <w:rPr>
                <w:rFonts w:ascii="Helvetica Neue" w:hAnsi="Helvetica Neue" w:cs="Calibri"/>
                <w:bCs/>
                <w:sz w:val="20"/>
                <w:szCs w:val="20"/>
              </w:rPr>
              <w:t>Cite the data source</w:t>
            </w:r>
            <w:r w:rsidR="006A6A61">
              <w:rPr>
                <w:rFonts w:ascii="Helvetica Neue" w:hAnsi="Helvetica Neue" w:cs="Calibri"/>
                <w:bCs/>
                <w:sz w:val="20"/>
                <w:szCs w:val="20"/>
              </w:rPr>
              <w:t>s</w:t>
            </w:r>
            <w:r w:rsidRPr="00F21684">
              <w:rPr>
                <w:rFonts w:ascii="Helvetica Neue" w:hAnsi="Helvetica Neue" w:cs="Calibri"/>
                <w:bCs/>
                <w:sz w:val="20"/>
                <w:szCs w:val="20"/>
              </w:rPr>
              <w:t xml:space="preserve"> contributing to the analyses and for each one describe the following: original purpose, type, the geographic location</w:t>
            </w:r>
            <w:r w:rsidR="006A6A61">
              <w:rPr>
                <w:rFonts w:ascii="Helvetica Neue" w:hAnsi="Helvetica Neue" w:cs="Calibri"/>
                <w:bCs/>
                <w:sz w:val="20"/>
                <w:szCs w:val="20"/>
              </w:rPr>
              <w:t>s</w:t>
            </w:r>
            <w:r w:rsidRPr="00F21684">
              <w:rPr>
                <w:rFonts w:ascii="Helvetica Neue" w:hAnsi="Helvetica Neue" w:cs="Calibri"/>
                <w:bCs/>
                <w:sz w:val="20"/>
                <w:szCs w:val="20"/>
              </w:rPr>
              <w:t>, setting and time-period. If relevant, describe how the data were linked or pooled.</w:t>
            </w:r>
          </w:p>
        </w:tc>
        <w:tc>
          <w:tcPr>
            <w:tcW w:w="3969" w:type="dxa"/>
            <w:gridSpan w:val="2"/>
            <w:tcBorders>
              <w:top w:val="single" w:sz="24" w:space="0" w:color="auto"/>
              <w:left w:val="single" w:sz="12" w:space="0" w:color="auto"/>
              <w:bottom w:val="single" w:sz="12" w:space="0" w:color="auto"/>
              <w:right w:val="single" w:sz="12" w:space="0" w:color="auto"/>
            </w:tcBorders>
            <w:vAlign w:val="center"/>
          </w:tcPr>
          <w:p w14:paraId="286E2201" w14:textId="188F6820" w:rsidR="00EC2BBE" w:rsidRDefault="00000000">
            <w:r>
              <w:t>PIC (</w:t>
            </w:r>
            <w:proofErr w:type="spellStart"/>
            <w:r>
              <w:t>Pediatric</w:t>
            </w:r>
            <w:proofErr w:type="spellEnd"/>
            <w:r>
              <w:t xml:space="preserve"> Intensive Care) database, version 1.1.0. Single-center database from the Children's Hospital of Zhejiang University School of Medicine (2010-2019), comprising de-identified clinical data including demographics, diagnoses, laboratory tests, medications, and survival outcomes.</w:t>
            </w:r>
          </w:p>
        </w:tc>
      </w:tr>
      <w:tr w:rsidR="008D28A2" w:rsidRPr="00F21684" w14:paraId="5C40D36F" w14:textId="77777777" w:rsidTr="007A7349">
        <w:tc>
          <w:tcPr>
            <w:tcW w:w="447" w:type="dxa"/>
            <w:tcBorders>
              <w:left w:val="single" w:sz="4" w:space="0" w:color="auto"/>
            </w:tcBorders>
            <w:vAlign w:val="center"/>
          </w:tcPr>
          <w:p w14:paraId="45976EA3" w14:textId="77777777" w:rsidR="008D28A2" w:rsidRPr="00741D7A" w:rsidRDefault="008D28A2" w:rsidP="007A7349">
            <w:pPr>
              <w:pStyle w:val="TableHeader"/>
              <w:spacing w:beforeLines="20" w:before="48" w:afterLines="20" w:after="48" w:line="276" w:lineRule="auto"/>
              <w:rPr>
                <w:rFonts w:ascii="Helvetica Neue" w:hAnsi="Helvetica Neue" w:cs="Calibri"/>
                <w:sz w:val="20"/>
              </w:rPr>
            </w:pPr>
            <w:r>
              <w:rPr>
                <w:rFonts w:ascii="Helvetica Neue" w:hAnsi="Helvetica Neue" w:cs="Calibri"/>
                <w:sz w:val="20"/>
              </w:rPr>
              <w:t>6</w:t>
            </w:r>
          </w:p>
        </w:tc>
        <w:tc>
          <w:tcPr>
            <w:tcW w:w="4793" w:type="dxa"/>
            <w:gridSpan w:val="5"/>
            <w:tcBorders>
              <w:top w:val="single" w:sz="12" w:space="0" w:color="auto"/>
              <w:bottom w:val="single" w:sz="12" w:space="0" w:color="auto"/>
            </w:tcBorders>
          </w:tcPr>
          <w:p w14:paraId="5D7C2ED1" w14:textId="77777777" w:rsidR="008D28A2" w:rsidRPr="00F21684" w:rsidRDefault="008D28A2" w:rsidP="007A7349">
            <w:pPr>
              <w:pStyle w:val="TableHeader"/>
              <w:spacing w:beforeLines="20" w:before="48" w:afterLines="20" w:after="48" w:line="276" w:lineRule="auto"/>
              <w:ind w:right="-113"/>
              <w:rPr>
                <w:rFonts w:ascii="Helvetica Neue" w:hAnsi="Helvetica Neue" w:cs="Calibri"/>
                <w:sz w:val="22"/>
                <w:szCs w:val="22"/>
              </w:rPr>
            </w:pPr>
            <w:r w:rsidRPr="00F21684">
              <w:rPr>
                <w:rFonts w:ascii="Helvetica Neue" w:hAnsi="Helvetica Neue" w:cs="Calibri"/>
                <w:sz w:val="22"/>
                <w:szCs w:val="22"/>
              </w:rPr>
              <w:t>Target trial specification</w:t>
            </w:r>
          </w:p>
          <w:p w14:paraId="001CEC55" w14:textId="77777777" w:rsidR="008D28A2" w:rsidRPr="00F21684" w:rsidRDefault="008D28A2" w:rsidP="007A7349">
            <w:pPr>
              <w:pStyle w:val="TableHeader"/>
              <w:spacing w:beforeLines="20" w:before="48" w:afterLines="20" w:after="48" w:line="276" w:lineRule="auto"/>
              <w:ind w:right="-113"/>
              <w:rPr>
                <w:rFonts w:ascii="Helvetica Neue" w:hAnsi="Helvetica Neue" w:cs="Calibri"/>
                <w:sz w:val="22"/>
                <w:szCs w:val="22"/>
              </w:rPr>
            </w:pPr>
            <w:r w:rsidRPr="00F21684">
              <w:rPr>
                <w:rFonts w:ascii="Helvetica Neue" w:hAnsi="Helvetica Neue" w:cs="Calibri"/>
                <w:b w:val="0"/>
                <w:bCs/>
                <w:color w:val="000000"/>
                <w:sz w:val="20"/>
              </w:rPr>
              <w:t xml:space="preserve">Specify the components of the target trial </w:t>
            </w:r>
            <w:r>
              <w:rPr>
                <w:rFonts w:ascii="Helvetica Neue" w:hAnsi="Helvetica Neue" w:cs="Calibri"/>
                <w:b w:val="0"/>
                <w:bCs/>
                <w:color w:val="000000"/>
                <w:sz w:val="20"/>
              </w:rPr>
              <w:t xml:space="preserve">protocol </w:t>
            </w:r>
            <w:r w:rsidRPr="00F21684">
              <w:rPr>
                <w:rFonts w:ascii="Helvetica Neue" w:hAnsi="Helvetica Neue" w:cs="Calibri"/>
                <w:b w:val="0"/>
                <w:bCs/>
                <w:color w:val="000000"/>
                <w:sz w:val="20"/>
              </w:rPr>
              <w:t>that would answer the causal question.</w:t>
            </w:r>
          </w:p>
        </w:tc>
        <w:tc>
          <w:tcPr>
            <w:tcW w:w="284" w:type="dxa"/>
            <w:tcBorders>
              <w:top w:val="single" w:sz="12" w:space="0" w:color="auto"/>
              <w:bottom w:val="single" w:sz="12" w:space="0" w:color="auto"/>
            </w:tcBorders>
          </w:tcPr>
          <w:p w14:paraId="70A33BA3" w14:textId="77777777" w:rsidR="008D28A2" w:rsidRDefault="008D28A2" w:rsidP="007A7349">
            <w:pPr>
              <w:pStyle w:val="TableHeader"/>
              <w:spacing w:beforeLines="20" w:before="48" w:afterLines="20" w:after="48" w:line="276" w:lineRule="auto"/>
              <w:rPr>
                <w:rFonts w:ascii="Helvetica Neue" w:hAnsi="Helvetica Neue" w:cs="Calibri"/>
                <w:sz w:val="22"/>
                <w:szCs w:val="22"/>
              </w:rPr>
            </w:pPr>
          </w:p>
          <w:p w14:paraId="4133D65A" w14:textId="77777777" w:rsidR="008D28A2" w:rsidRPr="00741D7A" w:rsidRDefault="008D28A2" w:rsidP="007A7349">
            <w:pPr>
              <w:pStyle w:val="TableHeader"/>
              <w:spacing w:beforeLines="20" w:before="48" w:afterLines="20" w:after="48" w:line="276" w:lineRule="auto"/>
              <w:rPr>
                <w:rFonts w:ascii="Helvetica Neue" w:hAnsi="Helvetica Neue" w:cs="Calibri"/>
                <w:sz w:val="22"/>
                <w:szCs w:val="22"/>
              </w:rPr>
            </w:pPr>
            <w:r>
              <w:rPr>
                <w:rFonts w:ascii="Helvetica Neue" w:hAnsi="Helvetica Neue" w:cs="Calibri"/>
                <w:sz w:val="20"/>
              </w:rPr>
              <w:t>7</w:t>
            </w:r>
          </w:p>
        </w:tc>
        <w:tc>
          <w:tcPr>
            <w:tcW w:w="5244" w:type="dxa"/>
            <w:gridSpan w:val="3"/>
            <w:tcBorders>
              <w:top w:val="single" w:sz="12" w:space="0" w:color="auto"/>
              <w:bottom w:val="single" w:sz="12" w:space="0" w:color="auto"/>
              <w:right w:val="single" w:sz="12" w:space="0" w:color="auto"/>
            </w:tcBorders>
          </w:tcPr>
          <w:p w14:paraId="7CB2FF67" w14:textId="77777777" w:rsidR="008D28A2" w:rsidRPr="00F21684" w:rsidRDefault="008D28A2" w:rsidP="007A7349">
            <w:pPr>
              <w:spacing w:beforeLines="20" w:before="48" w:afterLines="20" w:after="48" w:line="276" w:lineRule="auto"/>
              <w:ind w:right="-111"/>
              <w:rPr>
                <w:rFonts w:ascii="Helvetica Neue" w:hAnsi="Helvetica Neue" w:cs="Calibri"/>
                <w:b/>
                <w:sz w:val="22"/>
                <w:szCs w:val="22"/>
              </w:rPr>
            </w:pPr>
            <w:r w:rsidRPr="00F21684">
              <w:rPr>
                <w:rFonts w:ascii="Helvetica Neue" w:hAnsi="Helvetica Neue" w:cs="Calibri"/>
                <w:b/>
                <w:sz w:val="22"/>
                <w:szCs w:val="22"/>
              </w:rPr>
              <w:t>Target trial emulation</w:t>
            </w:r>
          </w:p>
          <w:p w14:paraId="79FD01E8" w14:textId="77777777" w:rsidR="008D28A2" w:rsidRPr="00F21684" w:rsidRDefault="008D28A2" w:rsidP="007A7349">
            <w:pPr>
              <w:spacing w:beforeLines="20" w:before="48" w:afterLines="20" w:after="48" w:line="276" w:lineRule="auto"/>
              <w:ind w:right="-111"/>
              <w:rPr>
                <w:rFonts w:ascii="Helvetica Neue" w:hAnsi="Helvetica Neue" w:cs="Calibri"/>
                <w:bCs/>
                <w:sz w:val="20"/>
                <w:szCs w:val="20"/>
              </w:rPr>
            </w:pPr>
            <w:r w:rsidRPr="00F21684">
              <w:rPr>
                <w:rFonts w:ascii="Helvetica Neue" w:hAnsi="Helvetica Neue" w:cs="Calibri"/>
                <w:bCs/>
                <w:sz w:val="20"/>
                <w:szCs w:val="20"/>
              </w:rPr>
              <w:t xml:space="preserve">Describe how the components of the target trial </w:t>
            </w:r>
            <w:r>
              <w:rPr>
                <w:rFonts w:ascii="Helvetica Neue" w:hAnsi="Helvetica Neue" w:cs="Calibri"/>
                <w:bCs/>
                <w:sz w:val="20"/>
                <w:szCs w:val="20"/>
              </w:rPr>
              <w:t xml:space="preserve">protocol </w:t>
            </w:r>
            <w:r w:rsidRPr="00F21684">
              <w:rPr>
                <w:rFonts w:ascii="Helvetica Neue" w:hAnsi="Helvetica Neue" w:cs="Calibri"/>
                <w:bCs/>
                <w:sz w:val="20"/>
                <w:szCs w:val="20"/>
              </w:rPr>
              <w:t xml:space="preserve">were emulated with the observational data, including how all variables were measured or ascertained. </w:t>
            </w:r>
          </w:p>
        </w:tc>
        <w:tc>
          <w:tcPr>
            <w:tcW w:w="1985" w:type="dxa"/>
            <w:tcBorders>
              <w:top w:val="single" w:sz="12" w:space="0" w:color="auto"/>
              <w:bottom w:val="single" w:sz="12" w:space="0" w:color="auto"/>
              <w:right w:val="single" w:sz="12" w:space="0" w:color="auto"/>
            </w:tcBorders>
          </w:tcPr>
          <w:p w14:paraId="7A3F2C45" w14:textId="77777777" w:rsidR="008D28A2" w:rsidRPr="002149CA" w:rsidRDefault="008D28A2" w:rsidP="007A7349">
            <w:pPr>
              <w:spacing w:line="276" w:lineRule="auto"/>
              <w:ind w:right="-113"/>
              <w:rPr>
                <w:rFonts w:ascii="Helvetica Neue" w:hAnsi="Helvetica Neue" w:cs="Calibri"/>
                <w:b/>
                <w:sz w:val="20"/>
                <w:szCs w:val="20"/>
              </w:rPr>
            </w:pPr>
            <w:r w:rsidRPr="002149CA">
              <w:rPr>
                <w:rFonts w:ascii="Helvetica Neue" w:hAnsi="Helvetica Neue" w:cs="Calibri"/>
                <w:b/>
                <w:sz w:val="20"/>
                <w:szCs w:val="20"/>
              </w:rPr>
              <w:t xml:space="preserve">Location </w:t>
            </w:r>
            <w:r w:rsidR="00A523C1">
              <w:rPr>
                <w:rFonts w:ascii="Helvetica Neue" w:hAnsi="Helvetica Neue" w:cs="Calibri"/>
                <w:b/>
                <w:sz w:val="20"/>
                <w:szCs w:val="20"/>
              </w:rPr>
              <w:t>i</w:t>
            </w:r>
            <w:r w:rsidR="002149CA" w:rsidRPr="002149CA">
              <w:rPr>
                <w:rFonts w:ascii="Helvetica Neue" w:hAnsi="Helvetica Neue" w:cs="Calibri"/>
                <w:b/>
                <w:sz w:val="20"/>
                <w:szCs w:val="20"/>
              </w:rPr>
              <w:t>tem</w:t>
            </w:r>
            <w:r w:rsidR="00B1234B">
              <w:rPr>
                <w:rFonts w:ascii="Helvetica Neue" w:hAnsi="Helvetica Neue" w:cs="Calibri"/>
                <w:b/>
                <w:sz w:val="20"/>
                <w:szCs w:val="20"/>
              </w:rPr>
              <w:t xml:space="preserve"> </w:t>
            </w:r>
            <w:r w:rsidRPr="002149CA">
              <w:rPr>
                <w:rFonts w:ascii="Helvetica Neue" w:hAnsi="Helvetica Neue" w:cs="Calibri"/>
                <w:b/>
                <w:sz w:val="20"/>
                <w:szCs w:val="20"/>
              </w:rPr>
              <w:t>6</w:t>
            </w:r>
            <w:r w:rsidR="002149CA" w:rsidRPr="002149CA">
              <w:rPr>
                <w:rFonts w:ascii="Helvetica Neue" w:hAnsi="Helvetica Neue" w:cs="Calibri"/>
                <w:b/>
                <w:sz w:val="20"/>
                <w:szCs w:val="20"/>
              </w:rPr>
              <w:t xml:space="preserve"> (specification) reported</w:t>
            </w:r>
          </w:p>
        </w:tc>
        <w:tc>
          <w:tcPr>
            <w:tcW w:w="1984" w:type="dxa"/>
            <w:tcBorders>
              <w:top w:val="single" w:sz="12" w:space="0" w:color="auto"/>
              <w:bottom w:val="single" w:sz="12" w:space="0" w:color="auto"/>
              <w:right w:val="single" w:sz="12" w:space="0" w:color="auto"/>
            </w:tcBorders>
          </w:tcPr>
          <w:p w14:paraId="6492512B" w14:textId="77777777" w:rsidR="008D28A2" w:rsidRPr="002149CA" w:rsidRDefault="002149CA" w:rsidP="007A7349">
            <w:pPr>
              <w:spacing w:line="276" w:lineRule="auto"/>
              <w:ind w:right="-111"/>
              <w:rPr>
                <w:rFonts w:ascii="Helvetica Neue" w:hAnsi="Helvetica Neue" w:cs="Calibri"/>
                <w:b/>
                <w:sz w:val="20"/>
                <w:szCs w:val="20"/>
              </w:rPr>
            </w:pPr>
            <w:r w:rsidRPr="002149CA">
              <w:rPr>
                <w:rFonts w:ascii="Helvetica Neue" w:hAnsi="Helvetica Neue" w:cs="Calibri"/>
                <w:b/>
                <w:sz w:val="20"/>
                <w:szCs w:val="20"/>
              </w:rPr>
              <w:t>Location item</w:t>
            </w:r>
            <w:r>
              <w:rPr>
                <w:rFonts w:ascii="Helvetica Neue" w:hAnsi="Helvetica Neue" w:cs="Calibri"/>
                <w:b/>
                <w:sz w:val="20"/>
                <w:szCs w:val="20"/>
              </w:rPr>
              <w:t xml:space="preserve"> </w:t>
            </w:r>
            <w:r w:rsidRPr="002149CA">
              <w:rPr>
                <w:rFonts w:ascii="Helvetica Neue" w:hAnsi="Helvetica Neue" w:cs="Calibri"/>
                <w:b/>
                <w:sz w:val="20"/>
                <w:szCs w:val="20"/>
              </w:rPr>
              <w:t>7</w:t>
            </w:r>
            <w:r w:rsidR="00B1234B">
              <w:rPr>
                <w:rFonts w:ascii="Helvetica Neue" w:hAnsi="Helvetica Neue" w:cs="Calibri"/>
                <w:b/>
                <w:sz w:val="20"/>
                <w:szCs w:val="20"/>
              </w:rPr>
              <w:t xml:space="preserve"> </w:t>
            </w:r>
            <w:r w:rsidRPr="002149CA">
              <w:rPr>
                <w:rFonts w:ascii="Helvetica Neue" w:hAnsi="Helvetica Neue" w:cs="Calibri"/>
                <w:b/>
                <w:sz w:val="20"/>
                <w:szCs w:val="20"/>
              </w:rPr>
              <w:t>(emulation) reported</w:t>
            </w:r>
          </w:p>
        </w:tc>
      </w:tr>
      <w:tr w:rsidR="00F81AEA" w:rsidRPr="00F21684" w14:paraId="1336E57B" w14:textId="77777777" w:rsidTr="00AC1C81">
        <w:trPr>
          <w:trHeight w:val="172"/>
        </w:trPr>
        <w:tc>
          <w:tcPr>
            <w:tcW w:w="447" w:type="dxa"/>
            <w:tcBorders>
              <w:left w:val="single" w:sz="4" w:space="0" w:color="auto"/>
            </w:tcBorders>
            <w:vAlign w:val="center"/>
          </w:tcPr>
          <w:p w14:paraId="3DFC29FB" w14:textId="77777777" w:rsidR="00F81AEA" w:rsidRPr="00F21684" w:rsidRDefault="00F81AEA" w:rsidP="007A7349">
            <w:pPr>
              <w:pStyle w:val="TableHeader"/>
              <w:spacing w:beforeLines="20" w:before="48" w:afterLines="20" w:after="48" w:line="276" w:lineRule="auto"/>
              <w:rPr>
                <w:rFonts w:ascii="Helvetica Neue" w:hAnsi="Helvetica Neue" w:cs="Calibri"/>
                <w:sz w:val="20"/>
              </w:rPr>
            </w:pPr>
          </w:p>
        </w:tc>
        <w:tc>
          <w:tcPr>
            <w:tcW w:w="5160" w:type="dxa"/>
            <w:gridSpan w:val="7"/>
            <w:tcBorders>
              <w:top w:val="single" w:sz="12" w:space="0" w:color="auto"/>
              <w:bottom w:val="single" w:sz="8" w:space="0" w:color="auto"/>
              <w:right w:val="single" w:sz="12" w:space="0" w:color="auto"/>
            </w:tcBorders>
            <w:vAlign w:val="center"/>
          </w:tcPr>
          <w:p w14:paraId="69439F70" w14:textId="77777777" w:rsidR="00F81AEA" w:rsidRPr="00F81AEA" w:rsidRDefault="00F81AEA" w:rsidP="00F81AEA">
            <w:pPr>
              <w:pStyle w:val="TableHeader"/>
              <w:spacing w:beforeLines="20" w:before="48" w:afterLines="20" w:after="48" w:line="276" w:lineRule="auto"/>
              <w:rPr>
                <w:rFonts w:ascii="Helvetica Neue" w:eastAsiaTheme="minorEastAsia" w:hAnsi="Helvetica Neue" w:cs="Calibri"/>
                <w:sz w:val="20"/>
                <w:lang w:eastAsia="zh-CN"/>
              </w:rPr>
            </w:pPr>
            <w:r w:rsidRPr="00F21684">
              <w:rPr>
                <w:rFonts w:ascii="Helvetica Neue" w:hAnsi="Helvetica Neue" w:cs="Calibri"/>
                <w:sz w:val="20"/>
              </w:rPr>
              <w:t xml:space="preserve">Eligibility </w:t>
            </w:r>
            <w:r>
              <w:rPr>
                <w:rFonts w:ascii="Helvetica Neue" w:hAnsi="Helvetica Neue" w:cs="Calibri"/>
                <w:sz w:val="20"/>
              </w:rPr>
              <w:t>c</w:t>
            </w:r>
            <w:r w:rsidRPr="00F21684">
              <w:rPr>
                <w:rFonts w:ascii="Helvetica Neue" w:hAnsi="Helvetica Neue" w:cs="Calibri"/>
                <w:sz w:val="20"/>
              </w:rPr>
              <w:t>riteria</w:t>
            </w:r>
            <w:r>
              <w:rPr>
                <w:rFonts w:ascii="Helvetica Neue" w:eastAsiaTheme="minorEastAsia" w:hAnsi="Helvetica Neue" w:cs="Calibri" w:hint="eastAsia"/>
                <w:sz w:val="20"/>
                <w:lang w:eastAsia="zh-CN"/>
              </w:rPr>
              <w:t xml:space="preserve">          </w:t>
            </w:r>
          </w:p>
        </w:tc>
        <w:tc>
          <w:tcPr>
            <w:tcW w:w="5161" w:type="dxa"/>
            <w:gridSpan w:val="2"/>
            <w:tcBorders>
              <w:top w:val="single" w:sz="12" w:space="0" w:color="auto"/>
              <w:bottom w:val="single" w:sz="8" w:space="0" w:color="auto"/>
              <w:right w:val="single" w:sz="12" w:space="0" w:color="auto"/>
            </w:tcBorders>
            <w:vAlign w:val="center"/>
          </w:tcPr>
          <w:p w14:paraId="27513DE0" w14:textId="1311C82D" w:rsidR="00F81AEA" w:rsidRPr="00F81AEA" w:rsidRDefault="00F81AEA" w:rsidP="00F81AEA">
            <w:pPr>
              <w:pStyle w:val="TableHeader"/>
              <w:spacing w:beforeLines="20" w:before="48" w:afterLines="20" w:after="48" w:line="276" w:lineRule="auto"/>
              <w:rPr>
                <w:rFonts w:ascii="Helvetica Neue" w:eastAsiaTheme="minorEastAsia" w:hAnsi="Helvetica Neue" w:cs="Calibri"/>
                <w:sz w:val="20"/>
                <w:lang w:eastAsia="zh-CN"/>
              </w:rPr>
            </w:pPr>
            <w:r w:rsidRPr="00F21684">
              <w:rPr>
                <w:rFonts w:ascii="Helvetica Neue" w:hAnsi="Helvetica Neue" w:cs="Calibri"/>
                <w:sz w:val="20"/>
              </w:rPr>
              <w:t xml:space="preserve">Eligibility </w:t>
            </w:r>
            <w:r>
              <w:rPr>
                <w:rFonts w:ascii="Helvetica Neue" w:hAnsi="Helvetica Neue" w:cs="Calibri"/>
                <w:sz w:val="20"/>
              </w:rPr>
              <w:t>c</w:t>
            </w:r>
            <w:r w:rsidRPr="00F21684">
              <w:rPr>
                <w:rFonts w:ascii="Helvetica Neue" w:hAnsi="Helvetica Neue" w:cs="Calibri"/>
                <w:sz w:val="20"/>
              </w:rPr>
              <w:t>riteria</w:t>
            </w:r>
            <w:r>
              <w:rPr>
                <w:rFonts w:ascii="Helvetica Neue" w:eastAsiaTheme="minorEastAsia" w:hAnsi="Helvetica Neue" w:cs="Calibri" w:hint="eastAsia"/>
                <w:sz w:val="20"/>
                <w:lang w:eastAsia="zh-CN"/>
              </w:rPr>
              <w:t xml:space="preserve">  </w:t>
            </w:r>
          </w:p>
        </w:tc>
        <w:tc>
          <w:tcPr>
            <w:tcW w:w="1985" w:type="dxa"/>
            <w:vMerge w:val="restart"/>
            <w:tcBorders>
              <w:top w:val="single" w:sz="12" w:space="0" w:color="auto"/>
              <w:left w:val="nil"/>
              <w:right w:val="single" w:sz="12" w:space="0" w:color="auto"/>
            </w:tcBorders>
            <w:vAlign w:val="center"/>
          </w:tcPr>
          <w:p w14:paraId="72BF7890" w14:textId="509A54D0" w:rsidR="00F81AEA" w:rsidRDefault="00F81AEA">
            <w:r>
              <w:t xml:space="preserve">Inclusion: age &lt;18 years; first albumin &lt;30 g/L within 24 h of PICU admission. Time zero = first qualifying albumin measurement. </w:t>
            </w:r>
            <w:r>
              <w:lastRenderedPageBreak/>
              <w:t>Exclusion: albumin before time zero; no follow-up; indeterminate treatment/death timing; missing all baseline labs. Primary analysis uses a 24 h landmark design: only patients alive and under observation through the 24 h treatment assignment window are included.</w:t>
            </w:r>
          </w:p>
        </w:tc>
        <w:tc>
          <w:tcPr>
            <w:tcW w:w="1984" w:type="dxa"/>
            <w:vMerge w:val="restart"/>
            <w:tcBorders>
              <w:top w:val="single" w:sz="12" w:space="0" w:color="auto"/>
              <w:left w:val="nil"/>
              <w:right w:val="single" w:sz="12" w:space="0" w:color="auto"/>
            </w:tcBorders>
            <w:vAlign w:val="center"/>
          </w:tcPr>
          <w:p w14:paraId="36812360" w14:textId="4BB48A73" w:rsidR="00F81AEA" w:rsidRDefault="00F81AEA">
            <w:r>
              <w:lastRenderedPageBreak/>
              <w:t xml:space="preserve">Emulation mirrors target trial eligibility. Primary analysis uses 24 h landmark design: only patients alive and under observation at 24 </w:t>
            </w:r>
            <w:r>
              <w:lastRenderedPageBreak/>
              <w:t>h after time zero are included, because complete observation of the 24 h treatment assignment window is required for exposure classification. Time zero = first qualifying albumin measurement (not PICU admission).</w:t>
            </w:r>
          </w:p>
        </w:tc>
      </w:tr>
      <w:tr w:rsidR="00F81AEA" w:rsidRPr="00F21684" w14:paraId="14A33AB5" w14:textId="77777777" w:rsidTr="007A7349">
        <w:tc>
          <w:tcPr>
            <w:tcW w:w="447" w:type="dxa"/>
            <w:tcBorders>
              <w:left w:val="single" w:sz="4" w:space="0" w:color="auto"/>
            </w:tcBorders>
            <w:vAlign w:val="center"/>
          </w:tcPr>
          <w:p w14:paraId="3C0E5DBA"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34" w:type="dxa"/>
            <w:tcBorders>
              <w:top w:val="single" w:sz="12" w:space="0" w:color="auto"/>
              <w:bottom w:val="single" w:sz="12" w:space="0" w:color="auto"/>
            </w:tcBorders>
            <w:vAlign w:val="center"/>
          </w:tcPr>
          <w:p w14:paraId="0E2E6B56"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 xml:space="preserve">a </w:t>
            </w:r>
          </w:p>
        </w:tc>
        <w:tc>
          <w:tcPr>
            <w:tcW w:w="4359" w:type="dxa"/>
            <w:gridSpan w:val="4"/>
            <w:tcBorders>
              <w:top w:val="single" w:sz="12" w:space="0" w:color="auto"/>
              <w:bottom w:val="single" w:sz="12" w:space="0" w:color="auto"/>
            </w:tcBorders>
            <w:vAlign w:val="center"/>
          </w:tcPr>
          <w:p w14:paraId="25D86FA7"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color w:val="000000"/>
                <w:sz w:val="20"/>
              </w:rPr>
              <w:t>Describe the eligibility criteria.</w:t>
            </w:r>
          </w:p>
        </w:tc>
        <w:tc>
          <w:tcPr>
            <w:tcW w:w="284" w:type="dxa"/>
            <w:tcBorders>
              <w:top w:val="single" w:sz="12" w:space="0" w:color="auto"/>
              <w:bottom w:val="single" w:sz="12" w:space="0" w:color="auto"/>
              <w:right w:val="nil"/>
            </w:tcBorders>
            <w:vAlign w:val="center"/>
          </w:tcPr>
          <w:p w14:paraId="7B400FFD"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p>
        </w:tc>
        <w:tc>
          <w:tcPr>
            <w:tcW w:w="425" w:type="dxa"/>
            <w:gridSpan w:val="2"/>
            <w:tcBorders>
              <w:top w:val="single" w:sz="12" w:space="0" w:color="auto"/>
              <w:left w:val="nil"/>
              <w:bottom w:val="single" w:sz="12" w:space="0" w:color="auto"/>
            </w:tcBorders>
            <w:vAlign w:val="center"/>
          </w:tcPr>
          <w:p w14:paraId="63B25132"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a</w:t>
            </w:r>
          </w:p>
        </w:tc>
        <w:tc>
          <w:tcPr>
            <w:tcW w:w="4819" w:type="dxa"/>
            <w:tcBorders>
              <w:top w:val="single" w:sz="12" w:space="0" w:color="auto"/>
              <w:bottom w:val="single" w:sz="12" w:space="0" w:color="auto"/>
              <w:right w:val="single" w:sz="12" w:space="0" w:color="auto"/>
            </w:tcBorders>
            <w:vAlign w:val="center"/>
          </w:tcPr>
          <w:p w14:paraId="4AE1E7C5" w14:textId="1CA956EB" w:rsidR="00F81AEA" w:rsidRDefault="00F81AEA" w:rsidP="00F81AEA">
            <w:r w:rsidRPr="00F21684">
              <w:rPr>
                <w:rFonts w:ascii="Helvetica Neue" w:hAnsi="Helvetica Neue" w:cs="Calibri"/>
                <w:bCs/>
                <w:sz w:val="20"/>
                <w:szCs w:val="20"/>
              </w:rPr>
              <w:t>Describe how the eligibility criteria were operationalized with the data.</w:t>
            </w:r>
          </w:p>
        </w:tc>
        <w:tc>
          <w:tcPr>
            <w:tcW w:w="1985" w:type="dxa"/>
            <w:vMerge/>
            <w:tcBorders>
              <w:bottom w:val="single" w:sz="12" w:space="0" w:color="auto"/>
              <w:right w:val="single" w:sz="12" w:space="0" w:color="auto"/>
            </w:tcBorders>
            <w:vAlign w:val="center"/>
          </w:tcPr>
          <w:p w14:paraId="57854D07" w14:textId="77777777" w:rsidR="00F81AEA" w:rsidRPr="00F21684" w:rsidRDefault="00F81AEA" w:rsidP="00F81AEA">
            <w:pPr>
              <w:spacing w:beforeLines="20" w:before="48" w:afterLines="20" w:after="48" w:line="276" w:lineRule="auto"/>
              <w:rPr>
                <w:rFonts w:ascii="Helvetica Neue" w:hAnsi="Helvetica Neue" w:cs="Calibri"/>
                <w:bCs/>
                <w:sz w:val="20"/>
                <w:szCs w:val="20"/>
              </w:rPr>
            </w:pPr>
          </w:p>
        </w:tc>
        <w:tc>
          <w:tcPr>
            <w:tcW w:w="1984" w:type="dxa"/>
            <w:vMerge/>
            <w:tcBorders>
              <w:bottom w:val="single" w:sz="12" w:space="0" w:color="auto"/>
              <w:right w:val="single" w:sz="12" w:space="0" w:color="auto"/>
            </w:tcBorders>
            <w:vAlign w:val="center"/>
          </w:tcPr>
          <w:p w14:paraId="2FE8E4EE" w14:textId="77777777" w:rsidR="00F81AEA" w:rsidRPr="00F21684" w:rsidRDefault="00F81AEA" w:rsidP="00F81AEA">
            <w:pPr>
              <w:spacing w:beforeLines="20" w:before="48" w:afterLines="20" w:after="48" w:line="276" w:lineRule="auto"/>
              <w:rPr>
                <w:rFonts w:ascii="Helvetica Neue" w:hAnsi="Helvetica Neue" w:cs="Calibri"/>
                <w:bCs/>
                <w:sz w:val="20"/>
                <w:szCs w:val="20"/>
              </w:rPr>
            </w:pPr>
          </w:p>
        </w:tc>
      </w:tr>
      <w:tr w:rsidR="002149CA" w:rsidRPr="00F21684" w14:paraId="1DE65E19" w14:textId="77777777" w:rsidTr="007A7349">
        <w:trPr>
          <w:trHeight w:val="283"/>
        </w:trPr>
        <w:tc>
          <w:tcPr>
            <w:tcW w:w="447" w:type="dxa"/>
            <w:tcBorders>
              <w:left w:val="single" w:sz="4" w:space="0" w:color="auto"/>
            </w:tcBorders>
            <w:vAlign w:val="center"/>
          </w:tcPr>
          <w:p w14:paraId="550FE6BA" w14:textId="77777777" w:rsidR="002149CA" w:rsidRPr="00F21684" w:rsidRDefault="002149CA" w:rsidP="007A7349">
            <w:pPr>
              <w:pStyle w:val="TableHeader"/>
              <w:spacing w:beforeLines="20" w:before="48" w:afterLines="20" w:after="48" w:line="276" w:lineRule="auto"/>
              <w:rPr>
                <w:rFonts w:ascii="Helvetica Neue" w:hAnsi="Helvetica Neue" w:cs="Calibri"/>
                <w:sz w:val="20"/>
              </w:rPr>
            </w:pPr>
          </w:p>
        </w:tc>
        <w:tc>
          <w:tcPr>
            <w:tcW w:w="4793" w:type="dxa"/>
            <w:gridSpan w:val="5"/>
            <w:tcBorders>
              <w:top w:val="single" w:sz="12" w:space="0" w:color="auto"/>
              <w:bottom w:val="single" w:sz="12" w:space="0" w:color="auto"/>
            </w:tcBorders>
            <w:vAlign w:val="center"/>
          </w:tcPr>
          <w:p w14:paraId="5E135784" w14:textId="77777777" w:rsidR="002149CA" w:rsidRPr="00F21684" w:rsidRDefault="002149CA" w:rsidP="007A7349">
            <w:pPr>
              <w:spacing w:beforeLines="20" w:before="48" w:afterLines="20" w:after="48" w:line="276" w:lineRule="auto"/>
              <w:rPr>
                <w:rFonts w:ascii="Helvetica Neue" w:hAnsi="Helvetica Neue" w:cs="Calibri"/>
                <w:b/>
                <w:bCs/>
                <w:sz w:val="20"/>
                <w:szCs w:val="20"/>
              </w:rPr>
            </w:pPr>
            <w:r w:rsidRPr="00F21684">
              <w:rPr>
                <w:rFonts w:ascii="Helvetica Neue" w:hAnsi="Helvetica Neue" w:cs="Calibri"/>
                <w:b/>
                <w:bCs/>
                <w:sz w:val="20"/>
                <w:szCs w:val="20"/>
              </w:rPr>
              <w:t xml:space="preserve">Treatment </w:t>
            </w:r>
            <w:r>
              <w:rPr>
                <w:rFonts w:ascii="Helvetica Neue" w:hAnsi="Helvetica Neue" w:cs="Calibri"/>
                <w:b/>
                <w:bCs/>
                <w:sz w:val="20"/>
                <w:szCs w:val="20"/>
              </w:rPr>
              <w:t>s</w:t>
            </w:r>
            <w:r w:rsidRPr="00F21684">
              <w:rPr>
                <w:rFonts w:ascii="Helvetica Neue" w:hAnsi="Helvetica Neue" w:cs="Calibri"/>
                <w:b/>
                <w:bCs/>
                <w:sz w:val="20"/>
                <w:szCs w:val="20"/>
              </w:rPr>
              <w:t>trategies</w:t>
            </w:r>
          </w:p>
        </w:tc>
        <w:tc>
          <w:tcPr>
            <w:tcW w:w="284" w:type="dxa"/>
            <w:tcBorders>
              <w:top w:val="single" w:sz="12" w:space="0" w:color="auto"/>
              <w:bottom w:val="single" w:sz="12" w:space="0" w:color="auto"/>
            </w:tcBorders>
            <w:vAlign w:val="center"/>
          </w:tcPr>
          <w:p w14:paraId="27115D03" w14:textId="77777777" w:rsidR="002149CA" w:rsidRPr="00F21684" w:rsidRDefault="002149CA" w:rsidP="007A7349">
            <w:pPr>
              <w:spacing w:beforeLines="20" w:before="48" w:afterLines="20" w:after="48" w:line="276" w:lineRule="auto"/>
              <w:rPr>
                <w:rFonts w:ascii="Helvetica Neue" w:hAnsi="Helvetica Neue" w:cs="Calibri"/>
                <w:b/>
                <w:bCs/>
                <w:sz w:val="20"/>
                <w:szCs w:val="20"/>
              </w:rPr>
            </w:pPr>
          </w:p>
        </w:tc>
        <w:tc>
          <w:tcPr>
            <w:tcW w:w="5244" w:type="dxa"/>
            <w:gridSpan w:val="3"/>
            <w:tcBorders>
              <w:top w:val="single" w:sz="12" w:space="0" w:color="auto"/>
              <w:bottom w:val="single" w:sz="12" w:space="0" w:color="auto"/>
              <w:right w:val="single" w:sz="12" w:space="0" w:color="auto"/>
            </w:tcBorders>
            <w:vAlign w:val="center"/>
          </w:tcPr>
          <w:p w14:paraId="602A11CE" w14:textId="6AF9EC5D" w:rsidR="00EC2BBE" w:rsidRDefault="00F81AEA">
            <w:r w:rsidRPr="00F21684">
              <w:rPr>
                <w:rFonts w:ascii="Helvetica Neue" w:hAnsi="Helvetica Neue" w:cs="Calibri"/>
                <w:b/>
                <w:bCs/>
                <w:sz w:val="20"/>
                <w:szCs w:val="20"/>
              </w:rPr>
              <w:t xml:space="preserve">Treatment </w:t>
            </w:r>
            <w:r>
              <w:rPr>
                <w:rFonts w:ascii="Helvetica Neue" w:hAnsi="Helvetica Neue" w:cs="Calibri"/>
                <w:b/>
                <w:bCs/>
                <w:sz w:val="20"/>
                <w:szCs w:val="20"/>
              </w:rPr>
              <w:t>s</w:t>
            </w:r>
            <w:r w:rsidRPr="00F21684">
              <w:rPr>
                <w:rFonts w:ascii="Helvetica Neue" w:hAnsi="Helvetica Neue" w:cs="Calibri"/>
                <w:b/>
                <w:bCs/>
                <w:sz w:val="20"/>
                <w:szCs w:val="20"/>
              </w:rPr>
              <w:t>trategies</w:t>
            </w:r>
          </w:p>
        </w:tc>
        <w:tc>
          <w:tcPr>
            <w:tcW w:w="1985" w:type="dxa"/>
            <w:vMerge w:val="restart"/>
            <w:tcBorders>
              <w:top w:val="single" w:sz="12" w:space="0" w:color="auto"/>
              <w:right w:val="single" w:sz="12" w:space="0" w:color="auto"/>
            </w:tcBorders>
            <w:vAlign w:val="center"/>
          </w:tcPr>
          <w:p w14:paraId="48FA043F" w14:textId="68304447" w:rsidR="00EC2BBE" w:rsidRDefault="00000000">
            <w:r>
              <w:t>Strategy 1: albumin &gt;=1 dose within 24 h of time zero. Strategy 2: no albumin within 24 h of time zero.</w:t>
            </w:r>
          </w:p>
        </w:tc>
        <w:tc>
          <w:tcPr>
            <w:tcW w:w="1984" w:type="dxa"/>
            <w:vMerge w:val="restart"/>
            <w:tcBorders>
              <w:top w:val="single" w:sz="12" w:space="0" w:color="auto"/>
              <w:right w:val="single" w:sz="12" w:space="0" w:color="auto"/>
            </w:tcBorders>
            <w:vAlign w:val="center"/>
          </w:tcPr>
          <w:p w14:paraId="3A81BAC1" w14:textId="1EB84437" w:rsidR="00EC2BBE" w:rsidRDefault="00000000">
            <w:r>
              <w:t>Strategy 1: albumin &gt;=1 dose within 24h of time zero. Strategy 2: no albumin within 24h of time zero.</w:t>
            </w:r>
          </w:p>
        </w:tc>
      </w:tr>
      <w:tr w:rsidR="002149CA" w:rsidRPr="00F21684" w14:paraId="1AB3A5E1" w14:textId="77777777" w:rsidTr="007A7349">
        <w:tc>
          <w:tcPr>
            <w:tcW w:w="447" w:type="dxa"/>
            <w:tcBorders>
              <w:left w:val="single" w:sz="4" w:space="0" w:color="auto"/>
            </w:tcBorders>
            <w:vAlign w:val="center"/>
          </w:tcPr>
          <w:p w14:paraId="29B4B2B6" w14:textId="77777777" w:rsidR="002149CA" w:rsidRPr="00F21684" w:rsidRDefault="002149CA" w:rsidP="007A7349">
            <w:pPr>
              <w:pStyle w:val="TableHeader"/>
              <w:spacing w:beforeLines="20" w:before="48" w:afterLines="20" w:after="48" w:line="276" w:lineRule="auto"/>
              <w:rPr>
                <w:rFonts w:ascii="Helvetica Neue" w:hAnsi="Helvetica Neue" w:cs="Calibri"/>
                <w:sz w:val="20"/>
              </w:rPr>
            </w:pPr>
          </w:p>
        </w:tc>
        <w:tc>
          <w:tcPr>
            <w:tcW w:w="434" w:type="dxa"/>
            <w:tcBorders>
              <w:top w:val="single" w:sz="12" w:space="0" w:color="auto"/>
              <w:bottom w:val="single" w:sz="12" w:space="0" w:color="auto"/>
            </w:tcBorders>
            <w:vAlign w:val="center"/>
          </w:tcPr>
          <w:p w14:paraId="1438AA7D" w14:textId="77777777" w:rsidR="002149CA" w:rsidRPr="00F21684" w:rsidRDefault="002149CA" w:rsidP="007A7349">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b</w:t>
            </w:r>
          </w:p>
        </w:tc>
        <w:tc>
          <w:tcPr>
            <w:tcW w:w="4359" w:type="dxa"/>
            <w:gridSpan w:val="4"/>
            <w:tcBorders>
              <w:top w:val="single" w:sz="12" w:space="0" w:color="auto"/>
              <w:bottom w:val="single" w:sz="12" w:space="0" w:color="auto"/>
            </w:tcBorders>
            <w:vAlign w:val="center"/>
          </w:tcPr>
          <w:p w14:paraId="5CF143FE" w14:textId="77777777" w:rsidR="001C32C8" w:rsidRPr="001C32C8" w:rsidRDefault="002149CA" w:rsidP="007A7349">
            <w:pPr>
              <w:pStyle w:val="TableHeader"/>
              <w:spacing w:beforeLines="20" w:before="48" w:afterLines="20" w:after="48" w:line="276" w:lineRule="auto"/>
              <w:rPr>
                <w:rFonts w:ascii="Helvetica Neue" w:hAnsi="Helvetica Neue" w:cs="Calibri"/>
                <w:b w:val="0"/>
                <w:bCs/>
                <w:color w:val="000000"/>
                <w:sz w:val="20"/>
              </w:rPr>
            </w:pPr>
            <w:r w:rsidRPr="00F21684">
              <w:rPr>
                <w:rFonts w:ascii="Helvetica Neue" w:hAnsi="Helvetica Neue" w:cs="Calibri"/>
                <w:b w:val="0"/>
                <w:bCs/>
                <w:color w:val="000000"/>
                <w:sz w:val="20"/>
              </w:rPr>
              <w:t>Describe the treatment strategies that would be compared.</w:t>
            </w:r>
          </w:p>
        </w:tc>
        <w:tc>
          <w:tcPr>
            <w:tcW w:w="284" w:type="dxa"/>
            <w:tcBorders>
              <w:top w:val="single" w:sz="12" w:space="0" w:color="auto"/>
              <w:bottom w:val="single" w:sz="12" w:space="0" w:color="auto"/>
              <w:right w:val="nil"/>
            </w:tcBorders>
            <w:vAlign w:val="center"/>
          </w:tcPr>
          <w:p w14:paraId="2ECA4529" w14:textId="77777777" w:rsidR="002149CA" w:rsidRPr="00F21684" w:rsidRDefault="002149CA" w:rsidP="007A7349">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left w:val="nil"/>
              <w:bottom w:val="single" w:sz="12" w:space="0" w:color="auto"/>
            </w:tcBorders>
            <w:vAlign w:val="center"/>
          </w:tcPr>
          <w:p w14:paraId="20CC003A" w14:textId="77777777" w:rsidR="002149CA" w:rsidRPr="00F21684" w:rsidRDefault="002149CA" w:rsidP="007A7349">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b</w:t>
            </w:r>
          </w:p>
        </w:tc>
        <w:tc>
          <w:tcPr>
            <w:tcW w:w="4819" w:type="dxa"/>
            <w:tcBorders>
              <w:top w:val="single" w:sz="12" w:space="0" w:color="auto"/>
              <w:bottom w:val="single" w:sz="12" w:space="0" w:color="auto"/>
              <w:right w:val="single" w:sz="12" w:space="0" w:color="auto"/>
            </w:tcBorders>
            <w:vAlign w:val="center"/>
          </w:tcPr>
          <w:p w14:paraId="4D316BBD" w14:textId="3E176047" w:rsidR="00EC2BBE" w:rsidRDefault="00F81AEA">
            <w:r w:rsidRPr="00F21684">
              <w:rPr>
                <w:rFonts w:ascii="Helvetica Neue" w:hAnsi="Helvetica Neue" w:cs="Calibri"/>
                <w:bCs/>
                <w:sz w:val="20"/>
                <w:szCs w:val="20"/>
              </w:rPr>
              <w:t>Describe how the treatment strategies were operationalized with the data.</w:t>
            </w:r>
          </w:p>
        </w:tc>
        <w:tc>
          <w:tcPr>
            <w:tcW w:w="1985" w:type="dxa"/>
            <w:vMerge/>
            <w:tcBorders>
              <w:bottom w:val="single" w:sz="12" w:space="0" w:color="auto"/>
              <w:right w:val="single" w:sz="12" w:space="0" w:color="auto"/>
            </w:tcBorders>
            <w:vAlign w:val="center"/>
          </w:tcPr>
          <w:p w14:paraId="7BFF141D" w14:textId="77777777" w:rsidR="002149CA" w:rsidRPr="00F21684" w:rsidRDefault="002149CA" w:rsidP="007A7349">
            <w:pPr>
              <w:spacing w:beforeLines="20" w:before="48" w:afterLines="20" w:after="48" w:line="276" w:lineRule="auto"/>
              <w:ind w:right="-103"/>
              <w:rPr>
                <w:rFonts w:ascii="Helvetica Neue" w:hAnsi="Helvetica Neue" w:cs="Calibri"/>
                <w:bCs/>
                <w:sz w:val="20"/>
                <w:szCs w:val="20"/>
              </w:rPr>
            </w:pPr>
          </w:p>
        </w:tc>
        <w:tc>
          <w:tcPr>
            <w:tcW w:w="1984" w:type="dxa"/>
            <w:vMerge/>
            <w:tcBorders>
              <w:bottom w:val="single" w:sz="12" w:space="0" w:color="auto"/>
              <w:right w:val="single" w:sz="12" w:space="0" w:color="auto"/>
            </w:tcBorders>
            <w:vAlign w:val="center"/>
          </w:tcPr>
          <w:p w14:paraId="03B3904E" w14:textId="77777777" w:rsidR="002149CA" w:rsidRPr="00F21684" w:rsidRDefault="002149CA" w:rsidP="007A7349">
            <w:pPr>
              <w:spacing w:beforeLines="20" w:before="48" w:afterLines="20" w:after="48" w:line="276" w:lineRule="auto"/>
              <w:ind w:right="-103"/>
              <w:rPr>
                <w:rFonts w:ascii="Helvetica Neue" w:hAnsi="Helvetica Neue" w:cs="Calibri"/>
                <w:bCs/>
                <w:sz w:val="20"/>
                <w:szCs w:val="20"/>
              </w:rPr>
            </w:pPr>
          </w:p>
        </w:tc>
      </w:tr>
      <w:tr w:rsidR="002149CA" w:rsidRPr="00F21684" w14:paraId="34685124" w14:textId="77777777" w:rsidTr="007A7349">
        <w:trPr>
          <w:trHeight w:val="273"/>
        </w:trPr>
        <w:tc>
          <w:tcPr>
            <w:tcW w:w="447" w:type="dxa"/>
            <w:tcBorders>
              <w:left w:val="single" w:sz="4" w:space="0" w:color="auto"/>
            </w:tcBorders>
            <w:vAlign w:val="center"/>
          </w:tcPr>
          <w:p w14:paraId="78EF5C49" w14:textId="77777777" w:rsidR="002149CA" w:rsidRPr="00F21684" w:rsidRDefault="002149CA" w:rsidP="007A7349">
            <w:pPr>
              <w:pStyle w:val="TableHeader"/>
              <w:spacing w:beforeLines="20" w:before="48" w:afterLines="20" w:after="48" w:line="276" w:lineRule="auto"/>
              <w:rPr>
                <w:rFonts w:ascii="Helvetica Neue" w:hAnsi="Helvetica Neue" w:cs="Calibri"/>
                <w:sz w:val="20"/>
              </w:rPr>
            </w:pPr>
          </w:p>
        </w:tc>
        <w:tc>
          <w:tcPr>
            <w:tcW w:w="4793" w:type="dxa"/>
            <w:gridSpan w:val="5"/>
            <w:tcBorders>
              <w:top w:val="single" w:sz="12" w:space="0" w:color="auto"/>
              <w:bottom w:val="single" w:sz="12" w:space="0" w:color="auto"/>
            </w:tcBorders>
            <w:vAlign w:val="center"/>
          </w:tcPr>
          <w:p w14:paraId="11B45B87" w14:textId="77777777" w:rsidR="00D64567" w:rsidRPr="001867A6" w:rsidRDefault="002149CA" w:rsidP="007A7349">
            <w:pPr>
              <w:spacing w:beforeLines="20" w:before="48" w:afterLines="20" w:after="48" w:line="276" w:lineRule="auto"/>
              <w:rPr>
                <w:rFonts w:ascii="Helvetica Neue" w:hAnsi="Helvetica Neue" w:cs="Calibri"/>
                <w:b/>
                <w:bCs/>
                <w:sz w:val="20"/>
                <w:szCs w:val="20"/>
              </w:rPr>
            </w:pPr>
            <w:r w:rsidRPr="00F21684">
              <w:rPr>
                <w:rFonts w:ascii="Helvetica Neue" w:hAnsi="Helvetica Neue" w:cs="Calibri"/>
                <w:b/>
                <w:bCs/>
                <w:sz w:val="20"/>
                <w:szCs w:val="20"/>
              </w:rPr>
              <w:t xml:space="preserve">Assignment </w:t>
            </w:r>
            <w:r>
              <w:rPr>
                <w:rFonts w:ascii="Helvetica Neue" w:hAnsi="Helvetica Neue" w:cs="Calibri"/>
                <w:b/>
                <w:bCs/>
                <w:sz w:val="20"/>
                <w:szCs w:val="20"/>
              </w:rPr>
              <w:t>p</w:t>
            </w:r>
            <w:r w:rsidRPr="00F21684">
              <w:rPr>
                <w:rFonts w:ascii="Helvetica Neue" w:hAnsi="Helvetica Neue" w:cs="Calibri"/>
                <w:b/>
                <w:bCs/>
                <w:sz w:val="20"/>
                <w:szCs w:val="20"/>
              </w:rPr>
              <w:t>rocedures</w:t>
            </w:r>
          </w:p>
        </w:tc>
        <w:tc>
          <w:tcPr>
            <w:tcW w:w="284" w:type="dxa"/>
            <w:tcBorders>
              <w:top w:val="single" w:sz="12" w:space="0" w:color="auto"/>
              <w:bottom w:val="single" w:sz="12" w:space="0" w:color="auto"/>
            </w:tcBorders>
            <w:vAlign w:val="center"/>
          </w:tcPr>
          <w:p w14:paraId="4F27F906" w14:textId="77777777" w:rsidR="002149CA" w:rsidRPr="00F21684" w:rsidRDefault="002149CA" w:rsidP="007A7349">
            <w:pPr>
              <w:spacing w:beforeLines="20" w:before="48" w:afterLines="20" w:after="48" w:line="276" w:lineRule="auto"/>
              <w:rPr>
                <w:rFonts w:ascii="Helvetica Neue" w:hAnsi="Helvetica Neue" w:cs="Calibri"/>
                <w:b/>
                <w:sz w:val="20"/>
                <w:szCs w:val="20"/>
              </w:rPr>
            </w:pPr>
          </w:p>
        </w:tc>
        <w:tc>
          <w:tcPr>
            <w:tcW w:w="5244" w:type="dxa"/>
            <w:gridSpan w:val="3"/>
            <w:tcBorders>
              <w:top w:val="single" w:sz="12" w:space="0" w:color="auto"/>
              <w:bottom w:val="single" w:sz="12" w:space="0" w:color="auto"/>
              <w:right w:val="single" w:sz="12" w:space="0" w:color="auto"/>
            </w:tcBorders>
            <w:vAlign w:val="center"/>
          </w:tcPr>
          <w:p w14:paraId="4B8930BF" w14:textId="31F47196" w:rsidR="00EC2BBE" w:rsidRDefault="00F81AEA">
            <w:r w:rsidRPr="00F21684">
              <w:rPr>
                <w:rFonts w:ascii="Helvetica Neue" w:hAnsi="Helvetica Neue" w:cs="Calibri"/>
                <w:b/>
                <w:bCs/>
                <w:sz w:val="20"/>
                <w:szCs w:val="20"/>
              </w:rPr>
              <w:t xml:space="preserve">Assignment </w:t>
            </w:r>
            <w:r>
              <w:rPr>
                <w:rFonts w:ascii="Helvetica Neue" w:hAnsi="Helvetica Neue" w:cs="Calibri"/>
                <w:b/>
                <w:bCs/>
                <w:sz w:val="20"/>
                <w:szCs w:val="20"/>
              </w:rPr>
              <w:t>p</w:t>
            </w:r>
            <w:r w:rsidRPr="00F21684">
              <w:rPr>
                <w:rFonts w:ascii="Helvetica Neue" w:hAnsi="Helvetica Neue" w:cs="Calibri"/>
                <w:b/>
                <w:bCs/>
                <w:sz w:val="20"/>
                <w:szCs w:val="20"/>
              </w:rPr>
              <w:t>rocedures</w:t>
            </w:r>
          </w:p>
        </w:tc>
        <w:tc>
          <w:tcPr>
            <w:tcW w:w="1985" w:type="dxa"/>
            <w:vMerge w:val="restart"/>
            <w:tcBorders>
              <w:top w:val="single" w:sz="12" w:space="0" w:color="auto"/>
              <w:right w:val="single" w:sz="12" w:space="0" w:color="auto"/>
            </w:tcBorders>
            <w:vAlign w:val="center"/>
          </w:tcPr>
          <w:p w14:paraId="691FF9DC" w14:textId="77777777" w:rsidR="00EC2BBE" w:rsidRDefault="00000000">
            <w:r>
              <w:t>Target trial: randomly assigned at time zero, open-label, mortality as objective outcome.</w:t>
            </w:r>
          </w:p>
        </w:tc>
        <w:tc>
          <w:tcPr>
            <w:tcW w:w="1984" w:type="dxa"/>
            <w:vMerge w:val="restart"/>
            <w:tcBorders>
              <w:top w:val="single" w:sz="12" w:space="0" w:color="auto"/>
              <w:right w:val="single" w:sz="12" w:space="0" w:color="auto"/>
            </w:tcBorders>
            <w:vAlign w:val="center"/>
          </w:tcPr>
          <w:p w14:paraId="0AC14B09" w14:textId="77777777" w:rsidR="00EC2BBE" w:rsidRDefault="00000000">
            <w:r>
              <w:t xml:space="preserve">Measured confounding adjusted via propensity score methods: logistic regression PS estimation, stabilized IPTW (truncated at </w:t>
            </w:r>
            <w:r>
              <w:lastRenderedPageBreak/>
              <w:t>1st/99th percentile). Main analysis: doubly robust estimator (IPTW + outcome-model adjustment for covariates with residual SMD &gt;0.1). PSM reserved for balance assessment and supplementary analyses.</w:t>
            </w:r>
          </w:p>
        </w:tc>
      </w:tr>
      <w:tr w:rsidR="00F81AEA" w:rsidRPr="00F21684" w14:paraId="65E3DB92" w14:textId="77777777" w:rsidTr="007A7349">
        <w:tc>
          <w:tcPr>
            <w:tcW w:w="447" w:type="dxa"/>
            <w:tcBorders>
              <w:left w:val="single" w:sz="4" w:space="0" w:color="auto"/>
            </w:tcBorders>
            <w:vAlign w:val="center"/>
          </w:tcPr>
          <w:p w14:paraId="20FDA6C0"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34" w:type="dxa"/>
            <w:tcBorders>
              <w:top w:val="single" w:sz="12" w:space="0" w:color="auto"/>
              <w:bottom w:val="single" w:sz="12" w:space="0" w:color="auto"/>
            </w:tcBorders>
            <w:vAlign w:val="center"/>
          </w:tcPr>
          <w:p w14:paraId="3DF2D0F8"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c</w:t>
            </w:r>
          </w:p>
        </w:tc>
        <w:tc>
          <w:tcPr>
            <w:tcW w:w="4359" w:type="dxa"/>
            <w:gridSpan w:val="4"/>
            <w:tcBorders>
              <w:top w:val="single" w:sz="12" w:space="0" w:color="auto"/>
              <w:bottom w:val="single" w:sz="12" w:space="0" w:color="auto"/>
            </w:tcBorders>
            <w:vAlign w:val="center"/>
          </w:tcPr>
          <w:p w14:paraId="27477CEE"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Report</w:t>
            </w:r>
            <w:r w:rsidRPr="00F21684">
              <w:rPr>
                <w:rFonts w:ascii="Helvetica Neue" w:hAnsi="Helvetica Neue" w:cs="Calibri"/>
                <w:b w:val="0"/>
                <w:bCs/>
                <w:color w:val="000000"/>
                <w:sz w:val="20"/>
              </w:rPr>
              <w:t xml:space="preserve"> that eligible individuals would be randomly assigned to treatment strategies and may be aware of their treatment allocation.</w:t>
            </w:r>
          </w:p>
        </w:tc>
        <w:tc>
          <w:tcPr>
            <w:tcW w:w="284" w:type="dxa"/>
            <w:tcBorders>
              <w:top w:val="single" w:sz="12" w:space="0" w:color="auto"/>
              <w:bottom w:val="single" w:sz="12" w:space="0" w:color="auto"/>
              <w:right w:val="nil"/>
            </w:tcBorders>
            <w:vAlign w:val="center"/>
          </w:tcPr>
          <w:p w14:paraId="7C909132"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left w:val="nil"/>
              <w:bottom w:val="single" w:sz="12" w:space="0" w:color="auto"/>
            </w:tcBorders>
            <w:vAlign w:val="center"/>
          </w:tcPr>
          <w:p w14:paraId="511F2A18"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c</w:t>
            </w:r>
          </w:p>
        </w:tc>
        <w:tc>
          <w:tcPr>
            <w:tcW w:w="4819" w:type="dxa"/>
            <w:tcBorders>
              <w:top w:val="single" w:sz="12" w:space="0" w:color="auto"/>
              <w:bottom w:val="single" w:sz="12" w:space="0" w:color="auto"/>
              <w:right w:val="single" w:sz="12" w:space="0" w:color="auto"/>
            </w:tcBorders>
            <w:vAlign w:val="center"/>
          </w:tcPr>
          <w:p w14:paraId="339EA92B" w14:textId="7902CB06" w:rsidR="00F81AEA" w:rsidRDefault="00F81AEA" w:rsidP="00F81AEA">
            <w:r w:rsidRPr="00F21684">
              <w:rPr>
                <w:rFonts w:ascii="Helvetica Neue" w:hAnsi="Helvetica Neue" w:cs="Calibri"/>
                <w:bCs/>
                <w:sz w:val="20"/>
                <w:szCs w:val="20"/>
              </w:rPr>
              <w:t>Describe how assignment to treatment strategies was operationalized with the data.</w:t>
            </w:r>
          </w:p>
        </w:tc>
        <w:tc>
          <w:tcPr>
            <w:tcW w:w="1985" w:type="dxa"/>
            <w:vMerge/>
            <w:tcBorders>
              <w:bottom w:val="single" w:sz="12" w:space="0" w:color="auto"/>
              <w:right w:val="single" w:sz="12" w:space="0" w:color="auto"/>
            </w:tcBorders>
            <w:vAlign w:val="center"/>
          </w:tcPr>
          <w:p w14:paraId="68CCB747" w14:textId="77777777" w:rsidR="00F81AEA" w:rsidRPr="00F21684" w:rsidRDefault="00F81AEA" w:rsidP="00F81AEA">
            <w:pPr>
              <w:spacing w:beforeLines="20" w:before="48" w:afterLines="20" w:after="48" w:line="276" w:lineRule="auto"/>
              <w:rPr>
                <w:rFonts w:ascii="Helvetica Neue" w:hAnsi="Helvetica Neue" w:cs="Calibri"/>
                <w:bCs/>
                <w:sz w:val="20"/>
                <w:szCs w:val="20"/>
              </w:rPr>
            </w:pPr>
          </w:p>
        </w:tc>
        <w:tc>
          <w:tcPr>
            <w:tcW w:w="1984" w:type="dxa"/>
            <w:vMerge/>
            <w:tcBorders>
              <w:bottom w:val="single" w:sz="12" w:space="0" w:color="auto"/>
              <w:right w:val="single" w:sz="12" w:space="0" w:color="auto"/>
            </w:tcBorders>
            <w:vAlign w:val="center"/>
          </w:tcPr>
          <w:p w14:paraId="10A004C6" w14:textId="77777777" w:rsidR="00F81AEA" w:rsidRPr="00F21684" w:rsidRDefault="00F81AEA" w:rsidP="00F81AEA">
            <w:pPr>
              <w:spacing w:beforeLines="20" w:before="48" w:afterLines="20" w:after="48" w:line="276" w:lineRule="auto"/>
              <w:rPr>
                <w:rFonts w:ascii="Helvetica Neue" w:hAnsi="Helvetica Neue" w:cs="Calibri"/>
                <w:bCs/>
                <w:sz w:val="20"/>
                <w:szCs w:val="20"/>
              </w:rPr>
            </w:pPr>
          </w:p>
        </w:tc>
      </w:tr>
      <w:tr w:rsidR="00F81AEA" w:rsidRPr="00F21684" w14:paraId="62CBEC4B" w14:textId="77777777" w:rsidTr="007A7349">
        <w:tc>
          <w:tcPr>
            <w:tcW w:w="447" w:type="dxa"/>
            <w:tcBorders>
              <w:left w:val="single" w:sz="4" w:space="0" w:color="auto"/>
            </w:tcBorders>
            <w:vAlign w:val="center"/>
          </w:tcPr>
          <w:p w14:paraId="716B605B"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bookmarkStart w:id="0" w:name="_Hlk230889113"/>
          </w:p>
        </w:tc>
        <w:tc>
          <w:tcPr>
            <w:tcW w:w="4793" w:type="dxa"/>
            <w:gridSpan w:val="5"/>
            <w:tcBorders>
              <w:top w:val="single" w:sz="12" w:space="0" w:color="auto"/>
              <w:bottom w:val="single" w:sz="12" w:space="0" w:color="auto"/>
            </w:tcBorders>
            <w:vAlign w:val="center"/>
          </w:tcPr>
          <w:p w14:paraId="3F5C679D" w14:textId="77777777" w:rsidR="00F81AEA" w:rsidRPr="00F21684" w:rsidRDefault="00F81AEA" w:rsidP="00F81AEA">
            <w:pPr>
              <w:spacing w:beforeLines="20" w:before="48" w:afterLines="20" w:after="48" w:line="276" w:lineRule="auto"/>
              <w:rPr>
                <w:rFonts w:ascii="Helvetica Neue" w:hAnsi="Helvetica Neue" w:cs="Calibri"/>
                <w:b/>
                <w:bCs/>
                <w:sz w:val="20"/>
                <w:szCs w:val="20"/>
              </w:rPr>
            </w:pPr>
            <w:r w:rsidRPr="00F21684">
              <w:rPr>
                <w:rFonts w:ascii="Helvetica Neue" w:hAnsi="Helvetica Neue" w:cs="Calibri"/>
                <w:b/>
                <w:bCs/>
                <w:sz w:val="20"/>
                <w:szCs w:val="20"/>
              </w:rPr>
              <w:t>Follow-up</w:t>
            </w:r>
          </w:p>
        </w:tc>
        <w:tc>
          <w:tcPr>
            <w:tcW w:w="284" w:type="dxa"/>
            <w:tcBorders>
              <w:top w:val="single" w:sz="12" w:space="0" w:color="auto"/>
              <w:bottom w:val="single" w:sz="12" w:space="0" w:color="auto"/>
            </w:tcBorders>
            <w:vAlign w:val="center"/>
          </w:tcPr>
          <w:p w14:paraId="56FFC2E2" w14:textId="77777777" w:rsidR="00F81AEA" w:rsidRPr="00F21684" w:rsidRDefault="00F81AEA" w:rsidP="00F81AEA">
            <w:pPr>
              <w:spacing w:beforeLines="20" w:before="48" w:afterLines="20" w:after="48" w:line="276" w:lineRule="auto"/>
              <w:rPr>
                <w:rFonts w:ascii="Helvetica Neue" w:hAnsi="Helvetica Neue" w:cs="Calibri"/>
                <w:b/>
                <w:bCs/>
                <w:sz w:val="20"/>
                <w:szCs w:val="20"/>
              </w:rPr>
            </w:pPr>
          </w:p>
        </w:tc>
        <w:tc>
          <w:tcPr>
            <w:tcW w:w="5244" w:type="dxa"/>
            <w:gridSpan w:val="3"/>
            <w:tcBorders>
              <w:top w:val="single" w:sz="12" w:space="0" w:color="auto"/>
              <w:bottom w:val="single" w:sz="12" w:space="0" w:color="auto"/>
              <w:right w:val="single" w:sz="12" w:space="0" w:color="auto"/>
            </w:tcBorders>
            <w:vAlign w:val="center"/>
          </w:tcPr>
          <w:p w14:paraId="2CE43191" w14:textId="412B1577" w:rsidR="00F81AEA" w:rsidRDefault="00F81AEA" w:rsidP="00F81AEA">
            <w:r w:rsidRPr="00F21684">
              <w:rPr>
                <w:rFonts w:ascii="Helvetica Neue" w:hAnsi="Helvetica Neue" w:cs="Calibri"/>
                <w:b/>
                <w:bCs/>
                <w:sz w:val="20"/>
                <w:szCs w:val="20"/>
              </w:rPr>
              <w:t>Follow-up</w:t>
            </w:r>
          </w:p>
        </w:tc>
        <w:tc>
          <w:tcPr>
            <w:tcW w:w="1985" w:type="dxa"/>
            <w:vMerge w:val="restart"/>
            <w:tcBorders>
              <w:top w:val="single" w:sz="12" w:space="0" w:color="auto"/>
              <w:right w:val="single" w:sz="12" w:space="0" w:color="auto"/>
            </w:tcBorders>
            <w:vAlign w:val="center"/>
          </w:tcPr>
          <w:p w14:paraId="494E5CDE" w14:textId="1E1DC574" w:rsidR="00F81AEA" w:rsidRDefault="00F81AEA" w:rsidP="00F81AEA">
            <w:r>
              <w:t>Follow-up start = time zero (first albumin &lt;30 g/L). Follow-up end = earliest of death, discharge, or 28 days after time zero.</w:t>
            </w:r>
          </w:p>
        </w:tc>
        <w:tc>
          <w:tcPr>
            <w:tcW w:w="1984" w:type="dxa"/>
            <w:vMerge w:val="restart"/>
            <w:tcBorders>
              <w:top w:val="single" w:sz="12" w:space="0" w:color="auto"/>
              <w:right w:val="single" w:sz="12" w:space="0" w:color="auto"/>
            </w:tcBorders>
            <w:vAlign w:val="center"/>
          </w:tcPr>
          <w:p w14:paraId="5E4D9EA4" w14:textId="772CB3F3" w:rsidR="00F81AEA" w:rsidRDefault="00F81AEA" w:rsidP="00F81AEA">
            <w:r>
              <w:t>Emulation follow-up mirrors target trial: starts at time zero (NOT PICU admission). Ends at death, discharge, or 28 days post-time-zero.</w:t>
            </w:r>
          </w:p>
        </w:tc>
      </w:tr>
      <w:bookmarkEnd w:id="0"/>
      <w:tr w:rsidR="00F81AEA" w:rsidRPr="00F21684" w14:paraId="6B1245C2" w14:textId="77777777" w:rsidTr="007A7349">
        <w:tc>
          <w:tcPr>
            <w:tcW w:w="447" w:type="dxa"/>
            <w:tcBorders>
              <w:left w:val="single" w:sz="4" w:space="0" w:color="auto"/>
            </w:tcBorders>
            <w:vAlign w:val="center"/>
          </w:tcPr>
          <w:p w14:paraId="4434D69B"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34" w:type="dxa"/>
            <w:tcBorders>
              <w:top w:val="single" w:sz="12" w:space="0" w:color="auto"/>
              <w:bottom w:val="single" w:sz="12" w:space="0" w:color="auto"/>
            </w:tcBorders>
            <w:vAlign w:val="center"/>
          </w:tcPr>
          <w:p w14:paraId="3A19DE96"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d</w:t>
            </w:r>
          </w:p>
        </w:tc>
        <w:tc>
          <w:tcPr>
            <w:tcW w:w="4359" w:type="dxa"/>
            <w:gridSpan w:val="4"/>
            <w:tcBorders>
              <w:top w:val="single" w:sz="12" w:space="0" w:color="auto"/>
              <w:bottom w:val="single" w:sz="12" w:space="0" w:color="auto"/>
            </w:tcBorders>
            <w:vAlign w:val="center"/>
          </w:tcPr>
          <w:p w14:paraId="0D7CF803"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color w:val="000000"/>
                <w:sz w:val="20"/>
              </w:rPr>
              <w:t xml:space="preserve">Clarify that follow-up would start at </w:t>
            </w:r>
            <w:r>
              <w:rPr>
                <w:rFonts w:ascii="Helvetica Neue" w:hAnsi="Helvetica Neue" w:cs="Calibri"/>
                <w:b w:val="0"/>
                <w:bCs/>
                <w:color w:val="000000"/>
                <w:sz w:val="20"/>
              </w:rPr>
              <w:t xml:space="preserve">time of </w:t>
            </w:r>
            <w:r w:rsidRPr="00F21684">
              <w:rPr>
                <w:rFonts w:ascii="Helvetica Neue" w:hAnsi="Helvetica Neue" w:cs="Calibri"/>
                <w:b w:val="0"/>
                <w:bCs/>
                <w:color w:val="000000"/>
                <w:sz w:val="20"/>
              </w:rPr>
              <w:t>assignment to the treatment strategies. Specify when follow-up would end.</w:t>
            </w:r>
          </w:p>
        </w:tc>
        <w:tc>
          <w:tcPr>
            <w:tcW w:w="284" w:type="dxa"/>
            <w:tcBorders>
              <w:top w:val="single" w:sz="12" w:space="0" w:color="auto"/>
              <w:bottom w:val="single" w:sz="12" w:space="0" w:color="auto"/>
              <w:right w:val="nil"/>
            </w:tcBorders>
            <w:vAlign w:val="center"/>
          </w:tcPr>
          <w:p w14:paraId="0E434490"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left w:val="nil"/>
              <w:bottom w:val="single" w:sz="12" w:space="0" w:color="auto"/>
            </w:tcBorders>
            <w:vAlign w:val="center"/>
          </w:tcPr>
          <w:p w14:paraId="45AA0800" w14:textId="77777777" w:rsidR="00F81AEA" w:rsidRPr="00F21684" w:rsidRDefault="00F81AEA" w:rsidP="00F81AEA">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d</w:t>
            </w:r>
          </w:p>
        </w:tc>
        <w:tc>
          <w:tcPr>
            <w:tcW w:w="4819" w:type="dxa"/>
            <w:tcBorders>
              <w:top w:val="single" w:sz="12" w:space="0" w:color="auto"/>
              <w:bottom w:val="single" w:sz="12" w:space="0" w:color="auto"/>
              <w:right w:val="single" w:sz="12" w:space="0" w:color="auto"/>
            </w:tcBorders>
            <w:vAlign w:val="center"/>
          </w:tcPr>
          <w:p w14:paraId="2701D0FA" w14:textId="36E796DA" w:rsidR="00F81AEA" w:rsidRDefault="00F81AEA" w:rsidP="00F81AEA">
            <w:r w:rsidRPr="00F21684">
              <w:rPr>
                <w:rFonts w:ascii="Helvetica Neue" w:hAnsi="Helvetica Neue" w:cs="Calibri"/>
                <w:bCs/>
                <w:sz w:val="20"/>
                <w:szCs w:val="20"/>
                <w:lang w:val="en-GB"/>
              </w:rPr>
              <w:t>Clarify that follow-up start</w:t>
            </w:r>
            <w:r>
              <w:rPr>
                <w:rFonts w:ascii="Helvetica Neue" w:hAnsi="Helvetica Neue" w:cs="Calibri"/>
                <w:bCs/>
                <w:sz w:val="20"/>
                <w:szCs w:val="20"/>
                <w:lang w:val="en-GB"/>
              </w:rPr>
              <w:t>s</w:t>
            </w:r>
            <w:r w:rsidRPr="00F21684">
              <w:rPr>
                <w:rFonts w:ascii="Helvetica Neue" w:hAnsi="Helvetica Neue" w:cs="Calibri"/>
                <w:bCs/>
                <w:sz w:val="20"/>
                <w:szCs w:val="20"/>
                <w:lang w:val="en-GB"/>
              </w:rPr>
              <w:t xml:space="preserve"> at </w:t>
            </w:r>
            <w:r>
              <w:rPr>
                <w:rFonts w:ascii="Helvetica Neue" w:hAnsi="Helvetica Neue" w:cs="Calibri"/>
                <w:bCs/>
                <w:sz w:val="20"/>
                <w:szCs w:val="20"/>
                <w:lang w:val="en-GB"/>
              </w:rPr>
              <w:t xml:space="preserve">the time individuals were </w:t>
            </w:r>
            <w:r w:rsidRPr="00F21684">
              <w:rPr>
                <w:rFonts w:ascii="Helvetica Neue" w:hAnsi="Helvetica Neue" w:cs="Calibri"/>
                <w:bCs/>
                <w:sz w:val="20"/>
                <w:szCs w:val="20"/>
                <w:lang w:val="en-GB"/>
              </w:rPr>
              <w:t>assign</w:t>
            </w:r>
            <w:r>
              <w:rPr>
                <w:rFonts w:ascii="Helvetica Neue" w:hAnsi="Helvetica Neue" w:cs="Calibri"/>
                <w:bCs/>
                <w:sz w:val="20"/>
                <w:szCs w:val="20"/>
                <w:lang w:val="en-GB"/>
              </w:rPr>
              <w:t>ed</w:t>
            </w:r>
            <w:r w:rsidRPr="00F21684">
              <w:rPr>
                <w:rFonts w:ascii="Helvetica Neue" w:hAnsi="Helvetica Neue" w:cs="Calibri"/>
                <w:bCs/>
                <w:sz w:val="20"/>
                <w:szCs w:val="20"/>
                <w:lang w:val="en-GB"/>
              </w:rPr>
              <w:t xml:space="preserve"> to the treatment strategies. </w:t>
            </w:r>
            <w:r w:rsidRPr="00F21684">
              <w:rPr>
                <w:rFonts w:ascii="Helvetica Neue" w:hAnsi="Helvetica Neue" w:cs="Calibri"/>
                <w:bCs/>
                <w:sz w:val="20"/>
                <w:szCs w:val="20"/>
              </w:rPr>
              <w:t>Describe how the end of follow-up was operationalized with the data.</w:t>
            </w:r>
          </w:p>
        </w:tc>
        <w:tc>
          <w:tcPr>
            <w:tcW w:w="1985" w:type="dxa"/>
            <w:vMerge/>
            <w:tcBorders>
              <w:bottom w:val="single" w:sz="12" w:space="0" w:color="auto"/>
              <w:right w:val="single" w:sz="12" w:space="0" w:color="auto"/>
            </w:tcBorders>
            <w:vAlign w:val="center"/>
          </w:tcPr>
          <w:p w14:paraId="0BBACCA8" w14:textId="77777777" w:rsidR="00F81AEA" w:rsidRPr="00F21684" w:rsidRDefault="00F81AEA" w:rsidP="00F81AEA">
            <w:pPr>
              <w:spacing w:beforeLines="20" w:before="48" w:afterLines="20" w:after="48" w:line="276" w:lineRule="auto"/>
              <w:rPr>
                <w:rFonts w:ascii="Helvetica Neue" w:hAnsi="Helvetica Neue" w:cs="Calibri"/>
                <w:bCs/>
                <w:sz w:val="20"/>
                <w:szCs w:val="20"/>
                <w:lang w:val="en-GB"/>
              </w:rPr>
            </w:pPr>
          </w:p>
        </w:tc>
        <w:tc>
          <w:tcPr>
            <w:tcW w:w="1984" w:type="dxa"/>
            <w:vMerge/>
            <w:tcBorders>
              <w:bottom w:val="single" w:sz="12" w:space="0" w:color="auto"/>
              <w:right w:val="single" w:sz="12" w:space="0" w:color="auto"/>
            </w:tcBorders>
            <w:vAlign w:val="center"/>
          </w:tcPr>
          <w:p w14:paraId="184A0799" w14:textId="77777777" w:rsidR="00F81AEA" w:rsidRPr="00F21684" w:rsidRDefault="00F81AEA" w:rsidP="00F81AEA">
            <w:pPr>
              <w:spacing w:beforeLines="20" w:before="48" w:afterLines="20" w:after="48" w:line="276" w:lineRule="auto"/>
              <w:rPr>
                <w:rFonts w:ascii="Helvetica Neue" w:hAnsi="Helvetica Neue" w:cs="Calibri"/>
                <w:bCs/>
                <w:sz w:val="20"/>
                <w:szCs w:val="20"/>
                <w:lang w:val="en-GB"/>
              </w:rPr>
            </w:pPr>
          </w:p>
        </w:tc>
      </w:tr>
      <w:tr w:rsidR="00F81AEA" w:rsidRPr="00F21684" w14:paraId="06ED5F2C" w14:textId="77777777" w:rsidTr="007A7349">
        <w:trPr>
          <w:trHeight w:val="217"/>
        </w:trPr>
        <w:tc>
          <w:tcPr>
            <w:tcW w:w="447" w:type="dxa"/>
            <w:tcBorders>
              <w:left w:val="single" w:sz="4" w:space="0" w:color="auto"/>
            </w:tcBorders>
            <w:vAlign w:val="center"/>
          </w:tcPr>
          <w:p w14:paraId="370B00C3"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793" w:type="dxa"/>
            <w:gridSpan w:val="5"/>
            <w:tcBorders>
              <w:top w:val="single" w:sz="12" w:space="0" w:color="auto"/>
              <w:bottom w:val="single" w:sz="12" w:space="0" w:color="auto"/>
            </w:tcBorders>
            <w:vAlign w:val="center"/>
          </w:tcPr>
          <w:p w14:paraId="3C291839" w14:textId="77777777" w:rsidR="00F81AEA" w:rsidRPr="00F21684" w:rsidRDefault="00F81AEA" w:rsidP="00F81AEA">
            <w:pPr>
              <w:spacing w:beforeLines="20" w:before="48" w:afterLines="20" w:after="48" w:line="276" w:lineRule="auto"/>
              <w:rPr>
                <w:rFonts w:ascii="Helvetica Neue" w:hAnsi="Helvetica Neue" w:cs="Calibri"/>
                <w:b/>
                <w:sz w:val="20"/>
                <w:szCs w:val="20"/>
              </w:rPr>
            </w:pPr>
            <w:r w:rsidRPr="00F21684">
              <w:rPr>
                <w:rFonts w:ascii="Helvetica Neue" w:hAnsi="Helvetica Neue" w:cs="Calibri"/>
                <w:b/>
                <w:bCs/>
                <w:sz w:val="20"/>
                <w:szCs w:val="20"/>
              </w:rPr>
              <w:t>Outcome</w:t>
            </w:r>
            <w:r>
              <w:rPr>
                <w:rFonts w:ascii="Helvetica Neue" w:hAnsi="Helvetica Neue" w:cs="Calibri"/>
                <w:b/>
                <w:bCs/>
                <w:sz w:val="20"/>
                <w:szCs w:val="20"/>
              </w:rPr>
              <w:t>s</w:t>
            </w:r>
          </w:p>
        </w:tc>
        <w:tc>
          <w:tcPr>
            <w:tcW w:w="284" w:type="dxa"/>
            <w:tcBorders>
              <w:top w:val="single" w:sz="12" w:space="0" w:color="auto"/>
              <w:bottom w:val="single" w:sz="12" w:space="0" w:color="auto"/>
            </w:tcBorders>
            <w:vAlign w:val="center"/>
          </w:tcPr>
          <w:p w14:paraId="0F932551" w14:textId="77777777" w:rsidR="00F81AEA" w:rsidRPr="00F21684" w:rsidRDefault="00F81AEA" w:rsidP="00F81AEA">
            <w:pPr>
              <w:spacing w:beforeLines="20" w:before="48" w:afterLines="20" w:after="48" w:line="276" w:lineRule="auto"/>
              <w:rPr>
                <w:rFonts w:ascii="Helvetica Neue" w:hAnsi="Helvetica Neue" w:cs="Calibri"/>
                <w:b/>
                <w:sz w:val="20"/>
                <w:szCs w:val="20"/>
              </w:rPr>
            </w:pPr>
          </w:p>
        </w:tc>
        <w:tc>
          <w:tcPr>
            <w:tcW w:w="5244" w:type="dxa"/>
            <w:gridSpan w:val="3"/>
            <w:tcBorders>
              <w:top w:val="single" w:sz="12" w:space="0" w:color="auto"/>
              <w:bottom w:val="single" w:sz="12" w:space="0" w:color="auto"/>
              <w:right w:val="single" w:sz="12" w:space="0" w:color="auto"/>
            </w:tcBorders>
            <w:vAlign w:val="center"/>
          </w:tcPr>
          <w:p w14:paraId="1B0B4967" w14:textId="3C4EE601" w:rsidR="00F81AEA" w:rsidRDefault="00AD6EB0" w:rsidP="00F81AEA">
            <w:r w:rsidRPr="00F21684">
              <w:rPr>
                <w:rFonts w:ascii="Helvetica Neue" w:hAnsi="Helvetica Neue" w:cs="Calibri"/>
                <w:b/>
                <w:bCs/>
                <w:sz w:val="20"/>
                <w:szCs w:val="20"/>
              </w:rPr>
              <w:t>Outcome</w:t>
            </w:r>
            <w:r>
              <w:rPr>
                <w:rFonts w:ascii="Helvetica Neue" w:hAnsi="Helvetica Neue" w:cs="Calibri"/>
                <w:b/>
                <w:bCs/>
                <w:sz w:val="20"/>
                <w:szCs w:val="20"/>
              </w:rPr>
              <w:t>s</w:t>
            </w:r>
          </w:p>
        </w:tc>
        <w:tc>
          <w:tcPr>
            <w:tcW w:w="1985" w:type="dxa"/>
            <w:vMerge w:val="restart"/>
            <w:tcBorders>
              <w:top w:val="single" w:sz="12" w:space="0" w:color="auto"/>
              <w:right w:val="single" w:sz="12" w:space="0" w:color="auto"/>
            </w:tcBorders>
            <w:vAlign w:val="center"/>
          </w:tcPr>
          <w:p w14:paraId="1B0BB802" w14:textId="0900760E" w:rsidR="00F81AEA" w:rsidRDefault="00F81AEA" w:rsidP="00F81AEA">
            <w:r>
              <w:t>Primary: 7-day and 28-day all-cause mortality. Secondary: new-onset sepsis (after time zero); ICU LOS among survivors (death as competing event).</w:t>
            </w:r>
          </w:p>
        </w:tc>
        <w:tc>
          <w:tcPr>
            <w:tcW w:w="1984" w:type="dxa"/>
            <w:vMerge w:val="restart"/>
            <w:tcBorders>
              <w:top w:val="single" w:sz="12" w:space="0" w:color="auto"/>
              <w:right w:val="single" w:sz="12" w:space="0" w:color="auto"/>
            </w:tcBorders>
            <w:vAlign w:val="center"/>
          </w:tcPr>
          <w:p w14:paraId="2B9ED20F" w14:textId="71BDA577" w:rsidR="00F81AEA" w:rsidRDefault="00F81AEA" w:rsidP="00F81AEA">
            <w:r>
              <w:t>Primary: 7-day and 28-day all-cause mortality. Secondary: new-onset sepsis (after time zero); ICU LOS (survivors only).</w:t>
            </w:r>
          </w:p>
        </w:tc>
      </w:tr>
      <w:tr w:rsidR="00AD6EB0" w:rsidRPr="00F21684" w14:paraId="0470D1AA" w14:textId="77777777" w:rsidTr="007A7349">
        <w:tc>
          <w:tcPr>
            <w:tcW w:w="447" w:type="dxa"/>
            <w:tcBorders>
              <w:left w:val="single" w:sz="4" w:space="0" w:color="auto"/>
            </w:tcBorders>
            <w:vAlign w:val="center"/>
          </w:tcPr>
          <w:p w14:paraId="5B68C6AB" w14:textId="77777777" w:rsidR="00AD6EB0" w:rsidRPr="00F21684" w:rsidRDefault="00AD6EB0" w:rsidP="00AD6EB0">
            <w:pPr>
              <w:pStyle w:val="TableHeader"/>
              <w:spacing w:beforeLines="20" w:before="48" w:afterLines="20" w:after="48" w:line="276" w:lineRule="auto"/>
              <w:rPr>
                <w:rFonts w:ascii="Helvetica Neue" w:hAnsi="Helvetica Neue" w:cs="Calibri"/>
                <w:sz w:val="20"/>
              </w:rPr>
            </w:pPr>
          </w:p>
        </w:tc>
        <w:tc>
          <w:tcPr>
            <w:tcW w:w="434" w:type="dxa"/>
            <w:tcBorders>
              <w:top w:val="single" w:sz="12" w:space="0" w:color="auto"/>
              <w:bottom w:val="single" w:sz="12" w:space="0" w:color="auto"/>
            </w:tcBorders>
            <w:vAlign w:val="center"/>
          </w:tcPr>
          <w:p w14:paraId="5D9A63FD"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e</w:t>
            </w:r>
          </w:p>
        </w:tc>
        <w:tc>
          <w:tcPr>
            <w:tcW w:w="4359" w:type="dxa"/>
            <w:gridSpan w:val="4"/>
            <w:tcBorders>
              <w:top w:val="single" w:sz="12" w:space="0" w:color="auto"/>
              <w:bottom w:val="single" w:sz="12" w:space="0" w:color="auto"/>
            </w:tcBorders>
            <w:vAlign w:val="center"/>
          </w:tcPr>
          <w:p w14:paraId="06FAC0E6"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sz w:val="20"/>
              </w:rPr>
              <w:t>Describe the outcome</w:t>
            </w:r>
            <w:r>
              <w:rPr>
                <w:rFonts w:ascii="Helvetica Neue" w:hAnsi="Helvetica Neue" w:cs="Calibri"/>
                <w:b w:val="0"/>
                <w:sz w:val="20"/>
              </w:rPr>
              <w:t>s</w:t>
            </w:r>
            <w:r w:rsidRPr="00F21684">
              <w:rPr>
                <w:rFonts w:ascii="Helvetica Neue" w:hAnsi="Helvetica Neue" w:cs="Calibri"/>
                <w:b w:val="0"/>
                <w:sz w:val="20"/>
              </w:rPr>
              <w:t>.</w:t>
            </w:r>
          </w:p>
        </w:tc>
        <w:tc>
          <w:tcPr>
            <w:tcW w:w="284" w:type="dxa"/>
            <w:tcBorders>
              <w:top w:val="single" w:sz="12" w:space="0" w:color="auto"/>
              <w:bottom w:val="single" w:sz="12" w:space="0" w:color="auto"/>
              <w:right w:val="nil"/>
            </w:tcBorders>
            <w:vAlign w:val="center"/>
          </w:tcPr>
          <w:p w14:paraId="5CC6DED1" w14:textId="77777777" w:rsidR="00AD6EB0" w:rsidRPr="00F21684" w:rsidRDefault="00AD6EB0" w:rsidP="00AD6EB0">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left w:val="nil"/>
              <w:bottom w:val="single" w:sz="12" w:space="0" w:color="auto"/>
            </w:tcBorders>
            <w:vAlign w:val="center"/>
          </w:tcPr>
          <w:p w14:paraId="545ED8A8"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e</w:t>
            </w:r>
          </w:p>
        </w:tc>
        <w:tc>
          <w:tcPr>
            <w:tcW w:w="4819" w:type="dxa"/>
            <w:tcBorders>
              <w:top w:val="single" w:sz="12" w:space="0" w:color="auto"/>
              <w:bottom w:val="single" w:sz="12" w:space="0" w:color="auto"/>
              <w:right w:val="single" w:sz="12" w:space="0" w:color="auto"/>
            </w:tcBorders>
            <w:vAlign w:val="center"/>
          </w:tcPr>
          <w:p w14:paraId="55AA91FA" w14:textId="4B95A300" w:rsidR="00AD6EB0" w:rsidRDefault="00AD6EB0" w:rsidP="00AD6EB0">
            <w:r w:rsidRPr="00F21684">
              <w:rPr>
                <w:rFonts w:ascii="Helvetica Neue" w:hAnsi="Helvetica Neue" w:cs="Calibri"/>
                <w:bCs/>
                <w:sz w:val="20"/>
                <w:szCs w:val="20"/>
              </w:rPr>
              <w:t>Describe how the outcome</w:t>
            </w:r>
            <w:r>
              <w:rPr>
                <w:rFonts w:ascii="Helvetica Neue" w:hAnsi="Helvetica Neue" w:cs="Calibri"/>
                <w:bCs/>
                <w:sz w:val="20"/>
                <w:szCs w:val="20"/>
              </w:rPr>
              <w:t>s</w:t>
            </w:r>
            <w:r w:rsidRPr="00F21684">
              <w:rPr>
                <w:rFonts w:ascii="Helvetica Neue" w:hAnsi="Helvetica Neue" w:cs="Calibri"/>
                <w:bCs/>
                <w:sz w:val="20"/>
                <w:szCs w:val="20"/>
              </w:rPr>
              <w:t xml:space="preserve"> were operationalized with the data.</w:t>
            </w:r>
          </w:p>
        </w:tc>
        <w:tc>
          <w:tcPr>
            <w:tcW w:w="1985" w:type="dxa"/>
            <w:vMerge/>
            <w:tcBorders>
              <w:bottom w:val="single" w:sz="12" w:space="0" w:color="auto"/>
              <w:right w:val="single" w:sz="12" w:space="0" w:color="auto"/>
            </w:tcBorders>
            <w:vAlign w:val="center"/>
          </w:tcPr>
          <w:p w14:paraId="0BAF01B5" w14:textId="77777777" w:rsidR="00AD6EB0" w:rsidRPr="00F21684" w:rsidRDefault="00AD6EB0" w:rsidP="00AD6EB0">
            <w:pPr>
              <w:spacing w:beforeLines="20" w:before="48" w:afterLines="20" w:after="48" w:line="276" w:lineRule="auto"/>
              <w:rPr>
                <w:rFonts w:ascii="Helvetica Neue" w:hAnsi="Helvetica Neue" w:cs="Calibri"/>
                <w:bCs/>
                <w:sz w:val="20"/>
                <w:szCs w:val="20"/>
              </w:rPr>
            </w:pPr>
          </w:p>
        </w:tc>
        <w:tc>
          <w:tcPr>
            <w:tcW w:w="1984" w:type="dxa"/>
            <w:vMerge/>
            <w:tcBorders>
              <w:bottom w:val="single" w:sz="12" w:space="0" w:color="auto"/>
              <w:right w:val="single" w:sz="12" w:space="0" w:color="auto"/>
            </w:tcBorders>
            <w:vAlign w:val="center"/>
          </w:tcPr>
          <w:p w14:paraId="53E14715" w14:textId="77777777" w:rsidR="00AD6EB0" w:rsidRPr="00F21684" w:rsidRDefault="00AD6EB0" w:rsidP="00AD6EB0">
            <w:pPr>
              <w:spacing w:beforeLines="20" w:before="48" w:afterLines="20" w:after="48" w:line="276" w:lineRule="auto"/>
              <w:rPr>
                <w:rFonts w:ascii="Helvetica Neue" w:hAnsi="Helvetica Neue" w:cs="Calibri"/>
                <w:bCs/>
                <w:sz w:val="20"/>
                <w:szCs w:val="20"/>
              </w:rPr>
            </w:pPr>
          </w:p>
        </w:tc>
      </w:tr>
      <w:tr w:rsidR="00F81AEA" w:rsidRPr="006E0081" w14:paraId="262D8163" w14:textId="77777777" w:rsidTr="007A7349">
        <w:tc>
          <w:tcPr>
            <w:tcW w:w="447" w:type="dxa"/>
            <w:tcBorders>
              <w:left w:val="single" w:sz="4" w:space="0" w:color="auto"/>
            </w:tcBorders>
            <w:vAlign w:val="center"/>
          </w:tcPr>
          <w:p w14:paraId="772822D9" w14:textId="77777777" w:rsidR="00F81AEA" w:rsidRPr="00F21684" w:rsidRDefault="00F81AEA" w:rsidP="00F81AEA">
            <w:pPr>
              <w:pStyle w:val="TableHeader"/>
              <w:spacing w:beforeLines="20" w:before="48" w:afterLines="20" w:after="48" w:line="276" w:lineRule="auto"/>
              <w:rPr>
                <w:rFonts w:ascii="Helvetica Neue" w:hAnsi="Helvetica Neue" w:cs="Calibri"/>
                <w:sz w:val="20"/>
              </w:rPr>
            </w:pPr>
          </w:p>
        </w:tc>
        <w:tc>
          <w:tcPr>
            <w:tcW w:w="4793" w:type="dxa"/>
            <w:gridSpan w:val="5"/>
            <w:tcBorders>
              <w:top w:val="single" w:sz="12" w:space="0" w:color="auto"/>
              <w:bottom w:val="single" w:sz="12" w:space="0" w:color="auto"/>
            </w:tcBorders>
            <w:vAlign w:val="center"/>
          </w:tcPr>
          <w:p w14:paraId="59CDD298" w14:textId="77777777" w:rsidR="00F81AEA" w:rsidRPr="006E0081" w:rsidRDefault="00F81AEA" w:rsidP="00F81AEA">
            <w:pPr>
              <w:pStyle w:val="TableHeader"/>
              <w:spacing w:beforeLines="20" w:before="48" w:afterLines="20" w:after="48" w:line="276" w:lineRule="auto"/>
              <w:rPr>
                <w:rFonts w:ascii="Helvetica Neue" w:hAnsi="Helvetica Neue" w:cs="Calibri"/>
                <w:bCs/>
                <w:sz w:val="20"/>
              </w:rPr>
            </w:pPr>
            <w:r w:rsidRPr="00F21684">
              <w:rPr>
                <w:rFonts w:ascii="Helvetica Neue" w:hAnsi="Helvetica Neue" w:cs="Calibri"/>
                <w:bCs/>
                <w:sz w:val="20"/>
              </w:rPr>
              <w:t>Causal contrast</w:t>
            </w:r>
            <w:r>
              <w:rPr>
                <w:rFonts w:ascii="Helvetica Neue" w:hAnsi="Helvetica Neue" w:cs="Calibri"/>
                <w:bCs/>
                <w:sz w:val="20"/>
              </w:rPr>
              <w:t>s</w:t>
            </w:r>
          </w:p>
        </w:tc>
        <w:tc>
          <w:tcPr>
            <w:tcW w:w="284" w:type="dxa"/>
            <w:tcBorders>
              <w:top w:val="single" w:sz="12" w:space="0" w:color="auto"/>
              <w:bottom w:val="single" w:sz="12" w:space="0" w:color="auto"/>
            </w:tcBorders>
            <w:vAlign w:val="center"/>
          </w:tcPr>
          <w:p w14:paraId="4815037C" w14:textId="77777777" w:rsidR="00F81AEA" w:rsidRPr="00F21684" w:rsidRDefault="00F81AEA" w:rsidP="00F81AEA">
            <w:pPr>
              <w:spacing w:beforeLines="20" w:before="48" w:afterLines="20" w:after="48" w:line="276" w:lineRule="auto"/>
              <w:rPr>
                <w:rFonts w:ascii="Helvetica Neue" w:hAnsi="Helvetica Neue" w:cs="Calibri"/>
                <w:b/>
                <w:sz w:val="20"/>
                <w:szCs w:val="20"/>
              </w:rPr>
            </w:pPr>
          </w:p>
        </w:tc>
        <w:tc>
          <w:tcPr>
            <w:tcW w:w="5244" w:type="dxa"/>
            <w:gridSpan w:val="3"/>
            <w:tcBorders>
              <w:top w:val="single" w:sz="12" w:space="0" w:color="auto"/>
              <w:bottom w:val="single" w:sz="12" w:space="0" w:color="auto"/>
              <w:right w:val="single" w:sz="12" w:space="0" w:color="auto"/>
            </w:tcBorders>
            <w:vAlign w:val="center"/>
          </w:tcPr>
          <w:p w14:paraId="693385F5" w14:textId="4EC349ED" w:rsidR="00F81AEA" w:rsidRDefault="00AD6EB0" w:rsidP="00F81AEA">
            <w:r w:rsidRPr="00F21684">
              <w:rPr>
                <w:rFonts w:ascii="Helvetica Neue" w:hAnsi="Helvetica Neue" w:cs="Calibri"/>
                <w:bCs/>
                <w:sz w:val="20"/>
              </w:rPr>
              <w:t>Causal contrast</w:t>
            </w:r>
            <w:r>
              <w:rPr>
                <w:rFonts w:ascii="Helvetica Neue" w:hAnsi="Helvetica Neue" w:cs="Calibri"/>
                <w:bCs/>
                <w:sz w:val="20"/>
              </w:rPr>
              <w:t>s</w:t>
            </w:r>
          </w:p>
        </w:tc>
        <w:tc>
          <w:tcPr>
            <w:tcW w:w="1985" w:type="dxa"/>
            <w:vMerge w:val="restart"/>
            <w:tcBorders>
              <w:top w:val="single" w:sz="12" w:space="0" w:color="auto"/>
              <w:right w:val="single" w:sz="12" w:space="0" w:color="auto"/>
            </w:tcBorders>
            <w:vAlign w:val="center"/>
          </w:tcPr>
          <w:p w14:paraId="78A70701" w14:textId="1381B0C8" w:rsidR="00F81AEA" w:rsidRDefault="00F81AEA" w:rsidP="00F81AEA">
            <w:r>
              <w:t>Primary causal contrast: treatment-initiation effect. Effect measures: HR (mortality), OR (new-onset sepsis), median difference (ICU LOS), all reported with 95% CIs and P values.</w:t>
            </w:r>
          </w:p>
        </w:tc>
        <w:tc>
          <w:tcPr>
            <w:tcW w:w="1984" w:type="dxa"/>
            <w:vMerge w:val="restart"/>
            <w:tcBorders>
              <w:top w:val="single" w:sz="12" w:space="0" w:color="auto"/>
              <w:right w:val="single" w:sz="12" w:space="0" w:color="auto"/>
            </w:tcBorders>
            <w:vAlign w:val="center"/>
          </w:tcPr>
          <w:p w14:paraId="3AC4ACFF" w14:textId="7167A785" w:rsidR="00F81AEA" w:rsidRDefault="00F81AEA" w:rsidP="00F81AEA">
            <w:r>
              <w:t>DR estimation via stabilized IPTW + outcome model adjustment. Effect measures: HR (mortality), OR (new sepsis), median difference (ICU LOS). All reported with 95% CIs and P values. E-value assessed sensitivity to unmeasured confounding.</w:t>
            </w:r>
          </w:p>
        </w:tc>
      </w:tr>
      <w:tr w:rsidR="00AD6EB0" w:rsidRPr="00F21684" w14:paraId="317025F6" w14:textId="77777777" w:rsidTr="007A7349">
        <w:tc>
          <w:tcPr>
            <w:tcW w:w="447" w:type="dxa"/>
            <w:tcBorders>
              <w:left w:val="single" w:sz="4" w:space="0" w:color="auto"/>
            </w:tcBorders>
            <w:vAlign w:val="center"/>
          </w:tcPr>
          <w:p w14:paraId="3AC98922"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p>
        </w:tc>
        <w:tc>
          <w:tcPr>
            <w:tcW w:w="434" w:type="dxa"/>
            <w:tcBorders>
              <w:top w:val="single" w:sz="12" w:space="0" w:color="auto"/>
              <w:bottom w:val="single" w:sz="12" w:space="0" w:color="auto"/>
            </w:tcBorders>
            <w:vAlign w:val="center"/>
          </w:tcPr>
          <w:p w14:paraId="609EB2D8"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f</w:t>
            </w:r>
          </w:p>
        </w:tc>
        <w:tc>
          <w:tcPr>
            <w:tcW w:w="4359" w:type="dxa"/>
            <w:gridSpan w:val="4"/>
            <w:tcBorders>
              <w:top w:val="single" w:sz="12" w:space="0" w:color="auto"/>
              <w:bottom w:val="single" w:sz="12" w:space="0" w:color="auto"/>
            </w:tcBorders>
            <w:vAlign w:val="center"/>
          </w:tcPr>
          <w:p w14:paraId="433FEBF9"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sz w:val="20"/>
              </w:rPr>
              <w:t>Describe the causal contrast</w:t>
            </w:r>
            <w:r>
              <w:rPr>
                <w:rFonts w:ascii="Helvetica Neue" w:hAnsi="Helvetica Neue" w:cs="Calibri"/>
                <w:b w:val="0"/>
                <w:sz w:val="20"/>
              </w:rPr>
              <w:t>s</w:t>
            </w:r>
            <w:r w:rsidRPr="00F21684">
              <w:rPr>
                <w:rFonts w:ascii="Helvetica Neue" w:hAnsi="Helvetica Neue" w:cs="Calibri"/>
                <w:b w:val="0"/>
                <w:sz w:val="20"/>
              </w:rPr>
              <w:t xml:space="preserve"> of interest, including effect measure</w:t>
            </w:r>
            <w:r>
              <w:rPr>
                <w:rFonts w:ascii="Helvetica Neue" w:hAnsi="Helvetica Neue" w:cs="Calibri"/>
                <w:b w:val="0"/>
                <w:sz w:val="20"/>
              </w:rPr>
              <w:t>s</w:t>
            </w:r>
            <w:r w:rsidRPr="00F21684">
              <w:rPr>
                <w:rFonts w:ascii="Helvetica Neue" w:hAnsi="Helvetica Neue" w:cs="Calibri"/>
                <w:b w:val="0"/>
                <w:sz w:val="20"/>
              </w:rPr>
              <w:t>.</w:t>
            </w:r>
          </w:p>
        </w:tc>
        <w:tc>
          <w:tcPr>
            <w:tcW w:w="284" w:type="dxa"/>
            <w:tcBorders>
              <w:top w:val="single" w:sz="12" w:space="0" w:color="auto"/>
              <w:bottom w:val="single" w:sz="12" w:space="0" w:color="auto"/>
              <w:right w:val="nil"/>
            </w:tcBorders>
            <w:vAlign w:val="center"/>
          </w:tcPr>
          <w:p w14:paraId="064C91B1" w14:textId="77777777" w:rsidR="00AD6EB0" w:rsidRPr="00F21684" w:rsidRDefault="00AD6EB0" w:rsidP="00AD6EB0">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left w:val="nil"/>
              <w:bottom w:val="single" w:sz="12" w:space="0" w:color="auto"/>
            </w:tcBorders>
            <w:vAlign w:val="center"/>
          </w:tcPr>
          <w:p w14:paraId="427DEBCC"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f</w:t>
            </w:r>
          </w:p>
        </w:tc>
        <w:tc>
          <w:tcPr>
            <w:tcW w:w="4819" w:type="dxa"/>
            <w:tcBorders>
              <w:top w:val="single" w:sz="12" w:space="0" w:color="auto"/>
              <w:bottom w:val="single" w:sz="12" w:space="0" w:color="auto"/>
              <w:right w:val="single" w:sz="12" w:space="0" w:color="auto"/>
            </w:tcBorders>
            <w:vAlign w:val="center"/>
          </w:tcPr>
          <w:p w14:paraId="73CBC94C" w14:textId="7A562A45" w:rsidR="00AD6EB0" w:rsidRDefault="00AD6EB0" w:rsidP="00AD6EB0">
            <w:r w:rsidRPr="00F21684">
              <w:rPr>
                <w:rFonts w:ascii="Helvetica Neue" w:hAnsi="Helvetica Neue" w:cs="Calibri"/>
                <w:bCs/>
                <w:sz w:val="20"/>
                <w:szCs w:val="20"/>
              </w:rPr>
              <w:t>Describe</w:t>
            </w:r>
            <w:r>
              <w:rPr>
                <w:rFonts w:ascii="Helvetica Neue" w:hAnsi="Helvetica Neue" w:cs="Calibri"/>
                <w:bCs/>
                <w:sz w:val="20"/>
                <w:szCs w:val="20"/>
              </w:rPr>
              <w:t xml:space="preserve"> how </w:t>
            </w:r>
            <w:r w:rsidRPr="00F21684">
              <w:rPr>
                <w:rFonts w:ascii="Helvetica Neue" w:hAnsi="Helvetica Neue" w:cs="Calibri"/>
                <w:bCs/>
                <w:sz w:val="20"/>
                <w:szCs w:val="20"/>
              </w:rPr>
              <w:t>the causal contrast</w:t>
            </w:r>
            <w:r>
              <w:rPr>
                <w:rFonts w:ascii="Helvetica Neue" w:hAnsi="Helvetica Neue" w:cs="Calibri"/>
                <w:bCs/>
                <w:sz w:val="20"/>
                <w:szCs w:val="20"/>
              </w:rPr>
              <w:t>s were operationalized with the data</w:t>
            </w:r>
            <w:r w:rsidRPr="00F21684">
              <w:rPr>
                <w:rFonts w:ascii="Helvetica Neue" w:hAnsi="Helvetica Neue" w:cs="Calibri"/>
                <w:bCs/>
                <w:sz w:val="20"/>
                <w:szCs w:val="20"/>
              </w:rPr>
              <w:t>, including effect measure</w:t>
            </w:r>
            <w:r>
              <w:rPr>
                <w:rFonts w:ascii="Helvetica Neue" w:hAnsi="Helvetica Neue" w:cs="Calibri"/>
                <w:bCs/>
                <w:sz w:val="20"/>
                <w:szCs w:val="20"/>
              </w:rPr>
              <w:t>s</w:t>
            </w:r>
            <w:r w:rsidRPr="00F21684">
              <w:rPr>
                <w:rFonts w:ascii="Helvetica Neue" w:hAnsi="Helvetica Neue" w:cs="Calibri"/>
                <w:bCs/>
                <w:sz w:val="20"/>
                <w:szCs w:val="20"/>
              </w:rPr>
              <w:t>.</w:t>
            </w:r>
          </w:p>
        </w:tc>
        <w:tc>
          <w:tcPr>
            <w:tcW w:w="1985" w:type="dxa"/>
            <w:vMerge/>
            <w:tcBorders>
              <w:bottom w:val="single" w:sz="12" w:space="0" w:color="auto"/>
              <w:right w:val="single" w:sz="12" w:space="0" w:color="auto"/>
            </w:tcBorders>
            <w:vAlign w:val="center"/>
          </w:tcPr>
          <w:p w14:paraId="6BF660CB" w14:textId="77777777" w:rsidR="00AD6EB0" w:rsidRPr="00F21684" w:rsidRDefault="00AD6EB0" w:rsidP="00AD6EB0">
            <w:pPr>
              <w:spacing w:beforeLines="20" w:before="48" w:afterLines="20" w:after="48" w:line="276" w:lineRule="auto"/>
              <w:rPr>
                <w:rFonts w:ascii="Helvetica Neue" w:hAnsi="Helvetica Neue" w:cs="Calibri"/>
                <w:bCs/>
                <w:sz w:val="20"/>
                <w:szCs w:val="20"/>
              </w:rPr>
            </w:pPr>
          </w:p>
        </w:tc>
        <w:tc>
          <w:tcPr>
            <w:tcW w:w="1984" w:type="dxa"/>
            <w:vMerge/>
            <w:tcBorders>
              <w:bottom w:val="single" w:sz="12" w:space="0" w:color="auto"/>
              <w:right w:val="single" w:sz="12" w:space="0" w:color="auto"/>
            </w:tcBorders>
            <w:vAlign w:val="center"/>
          </w:tcPr>
          <w:p w14:paraId="65EC3312" w14:textId="77777777" w:rsidR="00AD6EB0" w:rsidRPr="00F21684" w:rsidRDefault="00AD6EB0" w:rsidP="00AD6EB0">
            <w:pPr>
              <w:spacing w:beforeLines="20" w:before="48" w:afterLines="20" w:after="48" w:line="276" w:lineRule="auto"/>
              <w:rPr>
                <w:rFonts w:ascii="Helvetica Neue" w:hAnsi="Helvetica Neue" w:cs="Calibri"/>
                <w:bCs/>
                <w:sz w:val="20"/>
                <w:szCs w:val="20"/>
              </w:rPr>
            </w:pPr>
          </w:p>
        </w:tc>
      </w:tr>
      <w:tr w:rsidR="00AD6EB0" w:rsidRPr="00F21684" w14:paraId="6ECC384A" w14:textId="77777777" w:rsidTr="007A7349">
        <w:tc>
          <w:tcPr>
            <w:tcW w:w="447" w:type="dxa"/>
            <w:tcBorders>
              <w:left w:val="single" w:sz="4" w:space="0" w:color="auto"/>
            </w:tcBorders>
            <w:vAlign w:val="center"/>
          </w:tcPr>
          <w:p w14:paraId="366D21D7"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p>
        </w:tc>
        <w:tc>
          <w:tcPr>
            <w:tcW w:w="4793" w:type="dxa"/>
            <w:gridSpan w:val="5"/>
            <w:tcBorders>
              <w:top w:val="single" w:sz="12" w:space="0" w:color="auto"/>
              <w:bottom w:val="single" w:sz="12" w:space="0" w:color="auto"/>
            </w:tcBorders>
            <w:vAlign w:val="center"/>
          </w:tcPr>
          <w:p w14:paraId="13B7F5EC" w14:textId="77777777" w:rsidR="00AD6EB0" w:rsidRPr="00F21684" w:rsidRDefault="00AD6EB0" w:rsidP="00AD6EB0">
            <w:pPr>
              <w:spacing w:beforeLines="20" w:before="48" w:afterLines="20" w:after="48" w:line="276" w:lineRule="auto"/>
              <w:rPr>
                <w:rFonts w:ascii="Helvetica Neue" w:hAnsi="Helvetica Neue" w:cs="Calibri"/>
                <w:b/>
                <w:sz w:val="20"/>
                <w:szCs w:val="20"/>
                <w:lang w:val="en-GB"/>
              </w:rPr>
            </w:pPr>
            <w:r w:rsidRPr="00F21684">
              <w:rPr>
                <w:rFonts w:ascii="Helvetica Neue" w:hAnsi="Helvetica Neue" w:cs="Calibri"/>
                <w:b/>
                <w:sz w:val="20"/>
                <w:szCs w:val="20"/>
              </w:rPr>
              <w:t>Identifying assumptions</w:t>
            </w:r>
          </w:p>
        </w:tc>
        <w:tc>
          <w:tcPr>
            <w:tcW w:w="284" w:type="dxa"/>
            <w:tcBorders>
              <w:top w:val="single" w:sz="12" w:space="0" w:color="auto"/>
              <w:bottom w:val="single" w:sz="12" w:space="0" w:color="auto"/>
            </w:tcBorders>
            <w:vAlign w:val="center"/>
          </w:tcPr>
          <w:p w14:paraId="136216C9" w14:textId="77777777" w:rsidR="00AD6EB0" w:rsidRPr="00F21684" w:rsidRDefault="00AD6EB0" w:rsidP="00AD6EB0">
            <w:pPr>
              <w:spacing w:beforeLines="20" w:before="48" w:afterLines="20" w:after="48" w:line="276" w:lineRule="auto"/>
              <w:rPr>
                <w:rFonts w:ascii="Helvetica Neue" w:hAnsi="Helvetica Neue" w:cs="Calibri"/>
                <w:b/>
                <w:sz w:val="20"/>
                <w:szCs w:val="20"/>
                <w:lang w:val="en-GB"/>
              </w:rPr>
            </w:pPr>
          </w:p>
        </w:tc>
        <w:tc>
          <w:tcPr>
            <w:tcW w:w="5244" w:type="dxa"/>
            <w:gridSpan w:val="3"/>
            <w:tcBorders>
              <w:top w:val="single" w:sz="12" w:space="0" w:color="auto"/>
              <w:bottom w:val="single" w:sz="12" w:space="0" w:color="auto"/>
              <w:right w:val="single" w:sz="12" w:space="0" w:color="auto"/>
            </w:tcBorders>
            <w:vAlign w:val="center"/>
          </w:tcPr>
          <w:p w14:paraId="3510CB67" w14:textId="43E4F701" w:rsidR="00AD6EB0" w:rsidRDefault="00AD6EB0" w:rsidP="00AD6EB0">
            <w:r w:rsidRPr="00F21684">
              <w:rPr>
                <w:rFonts w:ascii="Helvetica Neue" w:hAnsi="Helvetica Neue" w:cs="Calibri"/>
                <w:b/>
                <w:sz w:val="20"/>
                <w:szCs w:val="20"/>
              </w:rPr>
              <w:t>Identifying assumptions</w:t>
            </w:r>
          </w:p>
        </w:tc>
        <w:tc>
          <w:tcPr>
            <w:tcW w:w="1985" w:type="dxa"/>
            <w:vMerge w:val="restart"/>
            <w:tcBorders>
              <w:top w:val="single" w:sz="12" w:space="0" w:color="auto"/>
              <w:right w:val="single" w:sz="12" w:space="0" w:color="auto"/>
            </w:tcBorders>
            <w:vAlign w:val="center"/>
          </w:tcPr>
          <w:p w14:paraId="6057F29A" w14:textId="77777777" w:rsidR="00AD6EB0" w:rsidRDefault="00AD6EB0" w:rsidP="00AD6EB0">
            <w:r>
              <w:t xml:space="preserve">Target trial identifying assumptions: (1) randomization eliminates baseline confounding; (2) well-defined interventions ensure consistency; (3) objective mortality outcome not subject to ascertainment bias. Key prognostic variables: age, sex, vasoactive </w:t>
            </w:r>
            <w:r>
              <w:lastRenderedPageBreak/>
              <w:t>drug use, admission infection, baseline albumin.</w:t>
            </w:r>
          </w:p>
        </w:tc>
        <w:tc>
          <w:tcPr>
            <w:tcW w:w="1984" w:type="dxa"/>
            <w:vMerge w:val="restart"/>
            <w:tcBorders>
              <w:top w:val="single" w:sz="12" w:space="0" w:color="auto"/>
              <w:right w:val="single" w:sz="12" w:space="0" w:color="auto"/>
            </w:tcBorders>
            <w:vAlign w:val="center"/>
          </w:tcPr>
          <w:p w14:paraId="2902E306" w14:textId="24DF014F" w:rsidR="00AD6EB0" w:rsidRDefault="00AD6EB0" w:rsidP="00AD6EB0">
            <w:r>
              <w:lastRenderedPageBreak/>
              <w:t xml:space="preserve">PS covariates: demographics (age, sex, ICU type), severity (vasoactive drugs, admission infection, pre-admission surgery), labs (albumin, lactate, platelet, creatinine, CRP, WBC, AST, total bilirubin, PH, base excess, Na, K, glucose), medications (corticosteroids, sodium </w:t>
            </w:r>
            <w:r>
              <w:lastRenderedPageBreak/>
              <w:t xml:space="preserve">bicarbonate, diuretics, antibiotics). </w:t>
            </w:r>
          </w:p>
        </w:tc>
      </w:tr>
      <w:tr w:rsidR="00AD6EB0" w:rsidRPr="0052124F" w14:paraId="731F6B1F" w14:textId="77777777" w:rsidTr="007A7349">
        <w:tc>
          <w:tcPr>
            <w:tcW w:w="447" w:type="dxa"/>
            <w:tcBorders>
              <w:left w:val="single" w:sz="4" w:space="0" w:color="auto"/>
            </w:tcBorders>
            <w:vAlign w:val="center"/>
          </w:tcPr>
          <w:p w14:paraId="2B986A4B"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p>
        </w:tc>
        <w:tc>
          <w:tcPr>
            <w:tcW w:w="434" w:type="dxa"/>
            <w:tcBorders>
              <w:top w:val="single" w:sz="12" w:space="0" w:color="auto"/>
              <w:bottom w:val="single" w:sz="12" w:space="0" w:color="auto"/>
            </w:tcBorders>
            <w:vAlign w:val="center"/>
          </w:tcPr>
          <w:p w14:paraId="11327905" w14:textId="77777777" w:rsidR="00AD6EB0" w:rsidRPr="00F21684" w:rsidRDefault="00AD6EB0" w:rsidP="00AD6EB0">
            <w:pPr>
              <w:pStyle w:val="TableHeader"/>
              <w:spacing w:beforeLines="20" w:before="48" w:afterLines="20" w:after="48" w:line="276" w:lineRule="auto"/>
              <w:ind w:right="-115"/>
              <w:rPr>
                <w:rFonts w:ascii="Helvetica Neue" w:hAnsi="Helvetica Neue" w:cs="Calibri"/>
                <w:b w:val="0"/>
                <w:sz w:val="20"/>
              </w:rPr>
            </w:pPr>
            <w:r>
              <w:rPr>
                <w:rFonts w:ascii="Helvetica Neue" w:hAnsi="Helvetica Neue" w:cs="Calibri"/>
                <w:b w:val="0"/>
                <w:sz w:val="20"/>
              </w:rPr>
              <w:t>g</w:t>
            </w:r>
          </w:p>
        </w:tc>
        <w:tc>
          <w:tcPr>
            <w:tcW w:w="4359" w:type="dxa"/>
            <w:gridSpan w:val="4"/>
            <w:tcBorders>
              <w:top w:val="single" w:sz="12" w:space="0" w:color="auto"/>
              <w:bottom w:val="single" w:sz="12" w:space="0" w:color="auto"/>
            </w:tcBorders>
            <w:vAlign w:val="center"/>
          </w:tcPr>
          <w:p w14:paraId="58596A04" w14:textId="77777777" w:rsidR="00AD6EB0" w:rsidRPr="00F21684" w:rsidRDefault="00AD6EB0" w:rsidP="00AD6EB0">
            <w:pPr>
              <w:pStyle w:val="TableHeader"/>
              <w:spacing w:beforeLines="20" w:before="48" w:afterLines="20" w:after="48" w:line="276" w:lineRule="auto"/>
              <w:rPr>
                <w:rFonts w:ascii="Helvetica Neue" w:hAnsi="Helvetica Neue" w:cs="Calibri"/>
                <w:b w:val="0"/>
                <w:sz w:val="20"/>
              </w:rPr>
            </w:pPr>
            <w:r w:rsidRPr="00F21684">
              <w:rPr>
                <w:rFonts w:ascii="Helvetica Neue" w:hAnsi="Helvetica Neue" w:cs="Calibri"/>
                <w:b w:val="0"/>
                <w:sz w:val="20"/>
              </w:rPr>
              <w:t>Describe assumptions that would be made to identify each causal estimand. Describe the variables, if any, related to these assumptions.</w:t>
            </w:r>
          </w:p>
        </w:tc>
        <w:tc>
          <w:tcPr>
            <w:tcW w:w="284" w:type="dxa"/>
            <w:tcBorders>
              <w:top w:val="single" w:sz="12" w:space="0" w:color="auto"/>
              <w:bottom w:val="single" w:sz="12" w:space="0" w:color="auto"/>
            </w:tcBorders>
            <w:vAlign w:val="center"/>
          </w:tcPr>
          <w:p w14:paraId="7944F3F1" w14:textId="77777777" w:rsidR="00AD6EB0" w:rsidRPr="00F21684" w:rsidRDefault="00AD6EB0" w:rsidP="00AD6EB0">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bottom w:val="single" w:sz="12" w:space="0" w:color="auto"/>
            </w:tcBorders>
            <w:vAlign w:val="center"/>
          </w:tcPr>
          <w:p w14:paraId="654F523E" w14:textId="77777777" w:rsidR="00AD6EB0" w:rsidRPr="00F21684" w:rsidRDefault="00AD6EB0" w:rsidP="00AD6EB0">
            <w:pPr>
              <w:pStyle w:val="TableHeader"/>
              <w:spacing w:beforeLines="20" w:before="48" w:afterLines="20" w:after="48" w:line="276" w:lineRule="auto"/>
              <w:ind w:right="-242"/>
              <w:rPr>
                <w:rFonts w:ascii="Helvetica Neue" w:hAnsi="Helvetica Neue" w:cs="Calibri"/>
                <w:b w:val="0"/>
                <w:sz w:val="20"/>
              </w:rPr>
            </w:pPr>
            <w:proofErr w:type="spellStart"/>
            <w:proofErr w:type="gramStart"/>
            <w:r>
              <w:rPr>
                <w:rFonts w:ascii="Helvetica Neue" w:hAnsi="Helvetica Neue" w:cs="Calibri"/>
                <w:b w:val="0"/>
                <w:sz w:val="20"/>
              </w:rPr>
              <w:t>g.i</w:t>
            </w:r>
            <w:proofErr w:type="spellEnd"/>
            <w:proofErr w:type="gramEnd"/>
          </w:p>
        </w:tc>
        <w:tc>
          <w:tcPr>
            <w:tcW w:w="4819" w:type="dxa"/>
            <w:tcBorders>
              <w:top w:val="single" w:sz="12" w:space="0" w:color="auto"/>
              <w:bottom w:val="single" w:sz="12" w:space="0" w:color="auto"/>
              <w:right w:val="single" w:sz="12" w:space="0" w:color="auto"/>
            </w:tcBorders>
            <w:vAlign w:val="center"/>
          </w:tcPr>
          <w:p w14:paraId="2F1311BB" w14:textId="7AF3BF4F" w:rsidR="00AD6EB0" w:rsidRDefault="00AD6EB0" w:rsidP="00AD6EB0">
            <w:r w:rsidRPr="00301D4B">
              <w:rPr>
                <w:rFonts w:ascii="Helvetica Neue" w:hAnsi="Helvetica Neue" w:cs="Calibri"/>
                <w:bCs/>
                <w:sz w:val="20"/>
                <w:szCs w:val="20"/>
                <w:lang w:val="en-GB"/>
              </w:rPr>
              <w:t xml:space="preserve">For each causal </w:t>
            </w:r>
            <w:proofErr w:type="spellStart"/>
            <w:r w:rsidRPr="00301D4B">
              <w:rPr>
                <w:rFonts w:ascii="Helvetica Neue" w:hAnsi="Helvetica Neue" w:cs="Calibri"/>
                <w:bCs/>
                <w:sz w:val="20"/>
                <w:szCs w:val="20"/>
                <w:lang w:val="en-GB"/>
              </w:rPr>
              <w:t>estimand</w:t>
            </w:r>
            <w:proofErr w:type="spellEnd"/>
            <w:r w:rsidRPr="00301D4B">
              <w:rPr>
                <w:rFonts w:ascii="Helvetica Neue" w:hAnsi="Helvetica Neue" w:cs="Calibri"/>
                <w:bCs/>
                <w:sz w:val="20"/>
                <w:szCs w:val="20"/>
                <w:lang w:val="en-GB"/>
              </w:rPr>
              <w:t xml:space="preserve">, describe assumptions made to </w:t>
            </w:r>
            <w:r>
              <w:rPr>
                <w:rFonts w:ascii="Helvetica Neue" w:hAnsi="Helvetica Neue" w:cs="Calibri"/>
                <w:bCs/>
                <w:sz w:val="20"/>
                <w:szCs w:val="20"/>
                <w:lang w:val="en-GB"/>
              </w:rPr>
              <w:t>identify</w:t>
            </w:r>
            <w:r w:rsidRPr="00301D4B">
              <w:rPr>
                <w:rFonts w:ascii="Helvetica Neue" w:hAnsi="Helvetica Neue" w:cs="Calibri"/>
                <w:bCs/>
                <w:sz w:val="20"/>
                <w:szCs w:val="20"/>
                <w:lang w:val="en-GB"/>
              </w:rPr>
              <w:t xml:space="preserve"> it, including assumptions regarding baseline confounding due to lack of randomization</w:t>
            </w:r>
            <w:r w:rsidRPr="00F21684">
              <w:rPr>
                <w:rFonts w:ascii="Helvetica Neue" w:hAnsi="Helvetica Neue" w:cs="Calibri"/>
                <w:bCs/>
                <w:sz w:val="20"/>
                <w:szCs w:val="20"/>
                <w:lang w:val="en-GB"/>
              </w:rPr>
              <w:t>.</w:t>
            </w:r>
          </w:p>
        </w:tc>
        <w:tc>
          <w:tcPr>
            <w:tcW w:w="1985" w:type="dxa"/>
            <w:vMerge/>
            <w:tcBorders>
              <w:bottom w:val="single" w:sz="12" w:space="0" w:color="auto"/>
              <w:right w:val="single" w:sz="12" w:space="0" w:color="auto"/>
            </w:tcBorders>
            <w:vAlign w:val="center"/>
          </w:tcPr>
          <w:p w14:paraId="099BFA6B" w14:textId="77777777" w:rsidR="00AD6EB0" w:rsidRPr="00301D4B" w:rsidRDefault="00AD6EB0" w:rsidP="00AD6EB0">
            <w:pPr>
              <w:spacing w:beforeLines="20" w:before="48" w:afterLines="20" w:after="48" w:line="276" w:lineRule="auto"/>
              <w:rPr>
                <w:rFonts w:ascii="Helvetica Neue" w:hAnsi="Helvetica Neue" w:cs="Calibri"/>
                <w:bCs/>
                <w:sz w:val="20"/>
                <w:szCs w:val="20"/>
                <w:lang w:val="en-GB"/>
              </w:rPr>
            </w:pPr>
          </w:p>
        </w:tc>
        <w:tc>
          <w:tcPr>
            <w:tcW w:w="1984" w:type="dxa"/>
            <w:vMerge/>
            <w:tcBorders>
              <w:bottom w:val="single" w:sz="12" w:space="0" w:color="auto"/>
              <w:right w:val="single" w:sz="12" w:space="0" w:color="auto"/>
            </w:tcBorders>
            <w:vAlign w:val="center"/>
          </w:tcPr>
          <w:p w14:paraId="3FE29949" w14:textId="77777777" w:rsidR="00AD6EB0" w:rsidRPr="00301D4B" w:rsidRDefault="00AD6EB0" w:rsidP="00AD6EB0">
            <w:pPr>
              <w:spacing w:beforeLines="20" w:before="48" w:afterLines="20" w:after="48" w:line="276" w:lineRule="auto"/>
              <w:rPr>
                <w:rFonts w:ascii="Helvetica Neue" w:hAnsi="Helvetica Neue" w:cs="Calibri"/>
                <w:bCs/>
                <w:sz w:val="20"/>
                <w:szCs w:val="20"/>
                <w:lang w:val="en-GB"/>
              </w:rPr>
            </w:pPr>
          </w:p>
        </w:tc>
      </w:tr>
      <w:tr w:rsidR="00AD6EB0" w14:paraId="77AF28D3" w14:textId="77777777" w:rsidTr="007A7349">
        <w:tc>
          <w:tcPr>
            <w:tcW w:w="447" w:type="dxa"/>
            <w:tcBorders>
              <w:left w:val="single" w:sz="4" w:space="0" w:color="auto"/>
            </w:tcBorders>
            <w:vAlign w:val="center"/>
          </w:tcPr>
          <w:p w14:paraId="175D69CB"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p>
        </w:tc>
        <w:tc>
          <w:tcPr>
            <w:tcW w:w="434" w:type="dxa"/>
            <w:tcBorders>
              <w:top w:val="single" w:sz="12" w:space="0" w:color="auto"/>
              <w:bottom w:val="single" w:sz="12" w:space="0" w:color="auto"/>
            </w:tcBorders>
            <w:vAlign w:val="center"/>
          </w:tcPr>
          <w:p w14:paraId="75B04904" w14:textId="77777777" w:rsidR="00AD6EB0" w:rsidRDefault="00AD6EB0" w:rsidP="00AD6EB0">
            <w:pPr>
              <w:pStyle w:val="TableHeader"/>
              <w:spacing w:beforeLines="20" w:before="48" w:afterLines="20" w:after="48" w:line="276" w:lineRule="auto"/>
              <w:ind w:right="-115"/>
              <w:rPr>
                <w:rFonts w:ascii="Helvetica Neue" w:hAnsi="Helvetica Neue" w:cs="Calibri"/>
                <w:b w:val="0"/>
                <w:sz w:val="20"/>
              </w:rPr>
            </w:pPr>
          </w:p>
        </w:tc>
        <w:tc>
          <w:tcPr>
            <w:tcW w:w="4359" w:type="dxa"/>
            <w:gridSpan w:val="4"/>
            <w:tcBorders>
              <w:top w:val="single" w:sz="12" w:space="0" w:color="auto"/>
              <w:bottom w:val="single" w:sz="12" w:space="0" w:color="auto"/>
            </w:tcBorders>
            <w:vAlign w:val="center"/>
          </w:tcPr>
          <w:p w14:paraId="06EE081B" w14:textId="77777777" w:rsidR="00AD6EB0" w:rsidRPr="00F21684" w:rsidRDefault="00AD6EB0" w:rsidP="00AD6EB0">
            <w:pPr>
              <w:pStyle w:val="TableHeader"/>
              <w:spacing w:beforeLines="20" w:before="48" w:afterLines="20" w:after="48" w:line="276" w:lineRule="auto"/>
              <w:rPr>
                <w:rFonts w:ascii="Helvetica Neue" w:hAnsi="Helvetica Neue" w:cs="Calibri"/>
                <w:b w:val="0"/>
                <w:sz w:val="20"/>
              </w:rPr>
            </w:pPr>
          </w:p>
        </w:tc>
        <w:tc>
          <w:tcPr>
            <w:tcW w:w="284" w:type="dxa"/>
            <w:tcBorders>
              <w:top w:val="single" w:sz="12" w:space="0" w:color="auto"/>
              <w:bottom w:val="single" w:sz="12" w:space="0" w:color="auto"/>
            </w:tcBorders>
            <w:vAlign w:val="center"/>
          </w:tcPr>
          <w:p w14:paraId="74B9ABC7" w14:textId="77777777" w:rsidR="00AD6EB0" w:rsidRPr="00F21684" w:rsidRDefault="00AD6EB0" w:rsidP="00AD6EB0">
            <w:pPr>
              <w:pStyle w:val="TableHeader"/>
              <w:spacing w:beforeLines="20" w:before="48" w:afterLines="20" w:after="48" w:line="276" w:lineRule="auto"/>
              <w:rPr>
                <w:rFonts w:ascii="Helvetica Neue" w:hAnsi="Helvetica Neue" w:cs="Calibri"/>
                <w:sz w:val="20"/>
              </w:rPr>
            </w:pPr>
          </w:p>
        </w:tc>
        <w:tc>
          <w:tcPr>
            <w:tcW w:w="425" w:type="dxa"/>
            <w:gridSpan w:val="2"/>
            <w:tcBorders>
              <w:top w:val="single" w:sz="12" w:space="0" w:color="auto"/>
              <w:bottom w:val="single" w:sz="12" w:space="0" w:color="auto"/>
            </w:tcBorders>
            <w:vAlign w:val="center"/>
          </w:tcPr>
          <w:p w14:paraId="11FFE56F" w14:textId="77777777" w:rsidR="00AD6EB0" w:rsidRDefault="00AD6EB0" w:rsidP="00AD6EB0">
            <w:pPr>
              <w:pStyle w:val="TableHeader"/>
              <w:spacing w:beforeLines="20" w:before="48" w:afterLines="20" w:after="48" w:line="276" w:lineRule="auto"/>
              <w:ind w:right="-242"/>
              <w:rPr>
                <w:rFonts w:ascii="Helvetica Neue" w:hAnsi="Helvetica Neue" w:cs="Calibri"/>
                <w:b w:val="0"/>
                <w:sz w:val="20"/>
              </w:rPr>
            </w:pPr>
            <w:proofErr w:type="spellStart"/>
            <w:proofErr w:type="gramStart"/>
            <w:r>
              <w:rPr>
                <w:rFonts w:ascii="Helvetica Neue" w:hAnsi="Helvetica Neue" w:cs="Calibri"/>
                <w:b w:val="0"/>
                <w:sz w:val="20"/>
              </w:rPr>
              <w:t>g.ii</w:t>
            </w:r>
            <w:proofErr w:type="spellEnd"/>
            <w:proofErr w:type="gramEnd"/>
          </w:p>
        </w:tc>
        <w:tc>
          <w:tcPr>
            <w:tcW w:w="4819" w:type="dxa"/>
            <w:tcBorders>
              <w:top w:val="single" w:sz="12" w:space="0" w:color="auto"/>
              <w:bottom w:val="single" w:sz="12" w:space="0" w:color="auto"/>
              <w:right w:val="single" w:sz="12" w:space="0" w:color="auto"/>
            </w:tcBorders>
            <w:vAlign w:val="center"/>
          </w:tcPr>
          <w:p w14:paraId="21119BC8" w14:textId="77777777" w:rsidR="00AD6EB0" w:rsidRDefault="00AD6EB0" w:rsidP="00AD6EB0">
            <w:pPr>
              <w:spacing w:beforeLines="20" w:before="48" w:afterLines="20" w:after="48" w:line="276" w:lineRule="auto"/>
              <w:rPr>
                <w:rFonts w:ascii="Helvetica Neue" w:hAnsi="Helvetica Neue" w:cs="Calibri"/>
                <w:bCs/>
                <w:sz w:val="20"/>
                <w:szCs w:val="20"/>
                <w:lang w:val="en-GB"/>
              </w:rPr>
            </w:pPr>
            <w:r w:rsidRPr="00301D4B">
              <w:rPr>
                <w:rFonts w:ascii="Helvetica Neue" w:hAnsi="Helvetica Neue" w:cs="Calibri"/>
                <w:bCs/>
                <w:sz w:val="20"/>
                <w:szCs w:val="20"/>
                <w:lang w:val="en-GB"/>
              </w:rPr>
              <w:t>Describe how the variables related to these assumptions were operationalized with the data</w:t>
            </w:r>
          </w:p>
        </w:tc>
        <w:tc>
          <w:tcPr>
            <w:tcW w:w="1985" w:type="dxa"/>
            <w:tcBorders>
              <w:top w:val="single" w:sz="12" w:space="0" w:color="auto"/>
              <w:bottom w:val="single" w:sz="12" w:space="0" w:color="auto"/>
              <w:right w:val="single" w:sz="12" w:space="0" w:color="auto"/>
            </w:tcBorders>
            <w:shd w:val="clear" w:color="auto" w:fill="ADADAD" w:themeFill="background2" w:themeFillShade="BF"/>
            <w:vAlign w:val="center"/>
          </w:tcPr>
          <w:p w14:paraId="3B9213EF" w14:textId="77777777" w:rsidR="00AD6EB0" w:rsidRPr="00301D4B" w:rsidRDefault="00AD6EB0" w:rsidP="00AD6EB0">
            <w:pPr>
              <w:spacing w:beforeLines="20" w:before="48" w:afterLines="20" w:after="48" w:line="276" w:lineRule="auto"/>
              <w:rPr>
                <w:rFonts w:ascii="Helvetica Neue" w:hAnsi="Helvetica Neue" w:cs="Calibri"/>
                <w:bCs/>
                <w:sz w:val="20"/>
                <w:szCs w:val="20"/>
                <w:lang w:val="en-GB"/>
              </w:rPr>
            </w:pPr>
          </w:p>
        </w:tc>
        <w:tc>
          <w:tcPr>
            <w:tcW w:w="1984" w:type="dxa"/>
            <w:tcBorders>
              <w:top w:val="single" w:sz="12" w:space="0" w:color="auto"/>
              <w:bottom w:val="single" w:sz="12" w:space="0" w:color="auto"/>
              <w:right w:val="single" w:sz="12" w:space="0" w:color="auto"/>
            </w:tcBorders>
            <w:vAlign w:val="center"/>
          </w:tcPr>
          <w:p w14:paraId="0672A84C" w14:textId="7FA01D19" w:rsidR="00AD6EB0" w:rsidRPr="00AD6EB0" w:rsidRDefault="00AD6EB0" w:rsidP="00AD6EB0">
            <w:pPr>
              <w:spacing w:beforeLines="20" w:before="48" w:afterLines="20" w:after="48" w:line="276" w:lineRule="auto"/>
              <w:rPr>
                <w:rFonts w:ascii="Helvetica Neue" w:eastAsiaTheme="minorEastAsia" w:hAnsi="Helvetica Neue" w:cs="Calibri"/>
                <w:bCs/>
                <w:sz w:val="32"/>
                <w:szCs w:val="32"/>
                <w:lang w:val="en-GB" w:eastAsia="zh-CN"/>
              </w:rPr>
            </w:pPr>
            <w:r w:rsidRPr="00AD6EB0">
              <w:rPr>
                <w:szCs w:val="44"/>
              </w:rPr>
              <w:t xml:space="preserve">Operationalization of variables for each assumption: PS model covariates included 23 baseline variables (demographics, laboratory values, ICU type, medications, comorbidities). IPTW weights were computed as stabilized weights (p/PS for treated; (1-p)/(1-PS) for untreated). DR adjustment covariates were identified using SMD &gt;0.1 threshold after PSM, using expanded baseline table with multi-category variables </w:t>
            </w:r>
            <w:r w:rsidRPr="00AD6EB0">
              <w:rPr>
                <w:szCs w:val="44"/>
              </w:rPr>
              <w:lastRenderedPageBreak/>
              <w:t xml:space="preserve">(age groups, ICU types) and </w:t>
            </w:r>
            <w:proofErr w:type="spellStart"/>
            <w:r w:rsidRPr="00AD6EB0">
              <w:rPr>
                <w:szCs w:val="44"/>
              </w:rPr>
              <w:t>Mahalanobis</w:t>
            </w:r>
            <w:proofErr w:type="spellEnd"/>
            <w:r w:rsidRPr="00AD6EB0">
              <w:rPr>
                <w:szCs w:val="44"/>
              </w:rPr>
              <w:t xml:space="preserve"> distance-based SMD.</w:t>
            </w:r>
          </w:p>
        </w:tc>
      </w:tr>
      <w:tr w:rsidR="00AD6EB0" w:rsidRPr="00F21684" w14:paraId="64DB5436" w14:textId="77777777" w:rsidTr="007A7349">
        <w:trPr>
          <w:trHeight w:val="227"/>
        </w:trPr>
        <w:tc>
          <w:tcPr>
            <w:tcW w:w="447" w:type="dxa"/>
            <w:tcBorders>
              <w:left w:val="single" w:sz="4" w:space="0" w:color="auto"/>
            </w:tcBorders>
            <w:vAlign w:val="center"/>
          </w:tcPr>
          <w:p w14:paraId="15BE0FDB"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p>
        </w:tc>
        <w:tc>
          <w:tcPr>
            <w:tcW w:w="4793" w:type="dxa"/>
            <w:gridSpan w:val="5"/>
            <w:tcBorders>
              <w:top w:val="single" w:sz="12" w:space="0" w:color="auto"/>
              <w:bottom w:val="single" w:sz="12" w:space="0" w:color="auto"/>
            </w:tcBorders>
            <w:vAlign w:val="center"/>
          </w:tcPr>
          <w:p w14:paraId="3772F8EF" w14:textId="77777777" w:rsidR="00AD6EB0" w:rsidRPr="00F21684" w:rsidRDefault="00AD6EB0" w:rsidP="00AD6EB0">
            <w:pPr>
              <w:spacing w:beforeLines="20" w:before="48" w:afterLines="20" w:after="48" w:line="276" w:lineRule="auto"/>
              <w:rPr>
                <w:rFonts w:ascii="Helvetica Neue" w:hAnsi="Helvetica Neue" w:cs="Calibri"/>
                <w:b/>
                <w:sz w:val="20"/>
                <w:szCs w:val="20"/>
              </w:rPr>
            </w:pPr>
            <w:r w:rsidRPr="00F21684">
              <w:rPr>
                <w:rFonts w:ascii="Helvetica Neue" w:hAnsi="Helvetica Neue" w:cs="Calibri"/>
                <w:b/>
                <w:sz w:val="20"/>
                <w:szCs w:val="20"/>
              </w:rPr>
              <w:t>Data analysis plan</w:t>
            </w:r>
          </w:p>
        </w:tc>
        <w:tc>
          <w:tcPr>
            <w:tcW w:w="284" w:type="dxa"/>
            <w:tcBorders>
              <w:top w:val="single" w:sz="12" w:space="0" w:color="auto"/>
              <w:bottom w:val="single" w:sz="12" w:space="0" w:color="auto"/>
            </w:tcBorders>
            <w:vAlign w:val="center"/>
          </w:tcPr>
          <w:p w14:paraId="50C4C164" w14:textId="77777777" w:rsidR="00AD6EB0" w:rsidRPr="00F21684" w:rsidRDefault="00AD6EB0" w:rsidP="00AD6EB0">
            <w:pPr>
              <w:spacing w:beforeLines="20" w:before="48" w:afterLines="20" w:after="48" w:line="276" w:lineRule="auto"/>
              <w:rPr>
                <w:rFonts w:ascii="Helvetica Neue" w:hAnsi="Helvetica Neue" w:cs="Calibri"/>
                <w:b/>
                <w:sz w:val="20"/>
                <w:szCs w:val="20"/>
              </w:rPr>
            </w:pPr>
          </w:p>
        </w:tc>
        <w:tc>
          <w:tcPr>
            <w:tcW w:w="5244" w:type="dxa"/>
            <w:gridSpan w:val="3"/>
            <w:tcBorders>
              <w:top w:val="single" w:sz="12" w:space="0" w:color="auto"/>
              <w:bottom w:val="single" w:sz="12" w:space="0" w:color="auto"/>
              <w:right w:val="single" w:sz="12" w:space="0" w:color="auto"/>
            </w:tcBorders>
            <w:vAlign w:val="center"/>
          </w:tcPr>
          <w:p w14:paraId="273BE7A1" w14:textId="6CCD712E" w:rsidR="00AD6EB0" w:rsidRDefault="00AD6EB0" w:rsidP="00AD6EB0">
            <w:r w:rsidRPr="00F21684">
              <w:rPr>
                <w:rFonts w:ascii="Helvetica Neue" w:hAnsi="Helvetica Neue" w:cs="Calibri"/>
                <w:b/>
                <w:sz w:val="20"/>
                <w:szCs w:val="20"/>
              </w:rPr>
              <w:t>Data analysis plan</w:t>
            </w:r>
          </w:p>
        </w:tc>
        <w:tc>
          <w:tcPr>
            <w:tcW w:w="1985" w:type="dxa"/>
            <w:vMerge w:val="restart"/>
            <w:tcBorders>
              <w:top w:val="single" w:sz="12" w:space="0" w:color="auto"/>
              <w:right w:val="single" w:sz="12" w:space="0" w:color="auto"/>
            </w:tcBorders>
            <w:vAlign w:val="center"/>
          </w:tcPr>
          <w:p w14:paraId="4031DE36" w14:textId="1A41FE7B" w:rsidR="00AD6EB0" w:rsidRDefault="00AD6EB0" w:rsidP="00AD6EB0">
            <w:r>
              <w:t>Cox proportional hazards model estimating treatment-initiation effect via doubly robust estimator. PH assumption: Schoenfeld residuals. Secondary: logistic regression (new-onset sepsis), quantile regression &amp; Gamma GLM (ICU LOS). Missing data: PMM multiple imputation; variables with &gt;25% missingness excluded.</w:t>
            </w:r>
          </w:p>
        </w:tc>
        <w:tc>
          <w:tcPr>
            <w:tcW w:w="1984" w:type="dxa"/>
            <w:vMerge w:val="restart"/>
            <w:tcBorders>
              <w:top w:val="single" w:sz="12" w:space="0" w:color="auto"/>
              <w:right w:val="single" w:sz="12" w:space="0" w:color="auto"/>
            </w:tcBorders>
            <w:vAlign w:val="center"/>
          </w:tcPr>
          <w:p w14:paraId="54268579" w14:textId="77092879" w:rsidR="00AD6EB0" w:rsidRDefault="00AD6EB0" w:rsidP="00AD6EB0">
            <w:r>
              <w:t xml:space="preserve"> DR estimator: stabilized IPTW-weighted Cox PH + further adjustment for covariates with residual imbalance (SMD &gt;0.1) after weighting. Robust sandwich variance estimators throughout. Schoenfeld residuals confirm PH. Missing covariates handled by PMM multiple imputation; variables with &gt;25% missingness excluded. Bootstrap SE (1,000 resamples) for non-Cox models.</w:t>
            </w:r>
          </w:p>
        </w:tc>
      </w:tr>
      <w:tr w:rsidR="00AD6EB0" w:rsidRPr="00BC3145" w14:paraId="5290075A" w14:textId="77777777" w:rsidTr="007A7349">
        <w:tc>
          <w:tcPr>
            <w:tcW w:w="447" w:type="dxa"/>
            <w:tcBorders>
              <w:left w:val="single" w:sz="4" w:space="0" w:color="auto"/>
            </w:tcBorders>
            <w:vAlign w:val="center"/>
          </w:tcPr>
          <w:p w14:paraId="4D3A92FA"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p>
        </w:tc>
        <w:tc>
          <w:tcPr>
            <w:tcW w:w="434" w:type="dxa"/>
            <w:tcBorders>
              <w:top w:val="single" w:sz="12" w:space="0" w:color="auto"/>
              <w:bottom w:val="single" w:sz="12" w:space="0" w:color="auto"/>
            </w:tcBorders>
            <w:vAlign w:val="center"/>
          </w:tcPr>
          <w:p w14:paraId="5B256838"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Pr>
                <w:rFonts w:ascii="Helvetica Neue" w:hAnsi="Helvetica Neue" w:cs="Calibri"/>
                <w:b w:val="0"/>
                <w:bCs/>
                <w:sz w:val="20"/>
              </w:rPr>
              <w:t>h</w:t>
            </w:r>
          </w:p>
        </w:tc>
        <w:tc>
          <w:tcPr>
            <w:tcW w:w="4359" w:type="dxa"/>
            <w:gridSpan w:val="4"/>
            <w:tcBorders>
              <w:top w:val="single" w:sz="12" w:space="0" w:color="auto"/>
              <w:bottom w:val="single" w:sz="12" w:space="0" w:color="auto"/>
            </w:tcBorders>
            <w:vAlign w:val="center"/>
          </w:tcPr>
          <w:p w14:paraId="451C1FA9" w14:textId="77777777" w:rsidR="00AD6EB0" w:rsidRPr="0013109B" w:rsidRDefault="00AD6EB0" w:rsidP="00AD6EB0">
            <w:pPr>
              <w:pStyle w:val="TableHeader"/>
              <w:spacing w:beforeLines="20" w:before="48" w:afterLines="20" w:after="48" w:line="276" w:lineRule="auto"/>
              <w:rPr>
                <w:rFonts w:ascii="Helvetica Neue" w:hAnsi="Helvetica Neue" w:cs="Calibri"/>
                <w:b w:val="0"/>
                <w:bCs/>
                <w:iCs/>
                <w:sz w:val="20"/>
              </w:rPr>
            </w:pPr>
            <w:r w:rsidRPr="00BC3145">
              <w:rPr>
                <w:rFonts w:ascii="Helvetica Neue" w:hAnsi="Helvetica Neue" w:cs="Calibri"/>
                <w:b w:val="0"/>
                <w:bCs/>
                <w:iCs/>
                <w:sz w:val="20"/>
              </w:rPr>
              <w:t xml:space="preserve">For each causal estimand, describe the data analysis </w:t>
            </w:r>
            <w:r>
              <w:rPr>
                <w:rFonts w:ascii="Helvetica Neue" w:hAnsi="Helvetica Neue" w:cs="Calibri"/>
                <w:b w:val="0"/>
                <w:bCs/>
                <w:iCs/>
                <w:sz w:val="20"/>
              </w:rPr>
              <w:t>procedures and any associated statistical</w:t>
            </w:r>
            <w:r w:rsidRPr="00BC3145">
              <w:rPr>
                <w:rFonts w:ascii="Helvetica Neue" w:hAnsi="Helvetica Neue" w:cs="Calibri"/>
                <w:b w:val="0"/>
                <w:bCs/>
                <w:iCs/>
                <w:sz w:val="20"/>
              </w:rPr>
              <w:t xml:space="preserve"> modelling assumptions, </w:t>
            </w:r>
            <w:r>
              <w:rPr>
                <w:rFonts w:ascii="Helvetica Neue" w:hAnsi="Helvetica Neue" w:cs="Calibri"/>
                <w:b w:val="0"/>
                <w:bCs/>
                <w:iCs/>
                <w:sz w:val="20"/>
              </w:rPr>
              <w:t>including approaches for handling</w:t>
            </w:r>
            <w:r w:rsidRPr="00BC3145">
              <w:rPr>
                <w:rFonts w:ascii="Helvetica Neue" w:hAnsi="Helvetica Neue" w:cs="Calibri"/>
                <w:b w:val="0"/>
                <w:bCs/>
                <w:iCs/>
                <w:sz w:val="20"/>
              </w:rPr>
              <w:t xml:space="preserve"> missing data.</w:t>
            </w:r>
          </w:p>
        </w:tc>
        <w:tc>
          <w:tcPr>
            <w:tcW w:w="284" w:type="dxa"/>
            <w:tcBorders>
              <w:top w:val="single" w:sz="12" w:space="0" w:color="auto"/>
              <w:bottom w:val="single" w:sz="12" w:space="0" w:color="auto"/>
            </w:tcBorders>
            <w:vAlign w:val="center"/>
          </w:tcPr>
          <w:p w14:paraId="62F75EC6"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p>
        </w:tc>
        <w:tc>
          <w:tcPr>
            <w:tcW w:w="425" w:type="dxa"/>
            <w:gridSpan w:val="2"/>
            <w:tcBorders>
              <w:top w:val="single" w:sz="12" w:space="0" w:color="auto"/>
              <w:bottom w:val="single" w:sz="12" w:space="0" w:color="auto"/>
            </w:tcBorders>
            <w:vAlign w:val="center"/>
          </w:tcPr>
          <w:p w14:paraId="46FBBD9A" w14:textId="77777777" w:rsidR="00AD6EB0" w:rsidRPr="00F21684" w:rsidRDefault="00AD6EB0" w:rsidP="00AD6EB0">
            <w:pPr>
              <w:pStyle w:val="TableHeader"/>
              <w:spacing w:beforeLines="20" w:before="48" w:afterLines="20" w:after="48" w:line="276" w:lineRule="auto"/>
              <w:ind w:right="-608"/>
              <w:rPr>
                <w:rFonts w:ascii="Helvetica Neue" w:hAnsi="Helvetica Neue" w:cs="Calibri"/>
                <w:b w:val="0"/>
                <w:bCs/>
                <w:sz w:val="20"/>
              </w:rPr>
            </w:pPr>
            <w:proofErr w:type="spellStart"/>
            <w:proofErr w:type="gramStart"/>
            <w:r>
              <w:rPr>
                <w:rFonts w:ascii="Helvetica Neue" w:hAnsi="Helvetica Neue" w:cs="Calibri"/>
                <w:b w:val="0"/>
                <w:bCs/>
                <w:sz w:val="20"/>
              </w:rPr>
              <w:t>h</w:t>
            </w:r>
            <w:r w:rsidRPr="00F21684">
              <w:rPr>
                <w:rFonts w:ascii="Helvetica Neue" w:hAnsi="Helvetica Neue" w:cs="Calibri"/>
                <w:b w:val="0"/>
                <w:bCs/>
                <w:sz w:val="20"/>
              </w:rPr>
              <w:t>.i</w:t>
            </w:r>
            <w:proofErr w:type="spellEnd"/>
            <w:proofErr w:type="gramEnd"/>
          </w:p>
        </w:tc>
        <w:tc>
          <w:tcPr>
            <w:tcW w:w="4819" w:type="dxa"/>
            <w:tcBorders>
              <w:top w:val="single" w:sz="12" w:space="0" w:color="auto"/>
              <w:bottom w:val="single" w:sz="12" w:space="0" w:color="auto"/>
              <w:right w:val="single" w:sz="12" w:space="0" w:color="auto"/>
            </w:tcBorders>
            <w:vAlign w:val="center"/>
          </w:tcPr>
          <w:p w14:paraId="42A59775" w14:textId="2B2BAFF8" w:rsidR="00AD6EB0" w:rsidRDefault="00AD6EB0" w:rsidP="00AD6EB0">
            <w:r w:rsidRPr="00BC3145">
              <w:rPr>
                <w:rFonts w:ascii="Helvetica Neue" w:hAnsi="Helvetica Neue" w:cs="Calibri"/>
                <w:bCs/>
                <w:iCs/>
                <w:sz w:val="20"/>
                <w:szCs w:val="20"/>
                <w:lang w:val="en-GB"/>
              </w:rPr>
              <w:t xml:space="preserve">For each causal </w:t>
            </w:r>
            <w:proofErr w:type="spellStart"/>
            <w:r w:rsidRPr="00BC3145">
              <w:rPr>
                <w:rFonts w:ascii="Helvetica Neue" w:hAnsi="Helvetica Neue" w:cs="Calibri"/>
                <w:bCs/>
                <w:iCs/>
                <w:sz w:val="20"/>
                <w:szCs w:val="20"/>
                <w:lang w:val="en-GB"/>
              </w:rPr>
              <w:t>estimand</w:t>
            </w:r>
            <w:proofErr w:type="spellEnd"/>
            <w:r w:rsidRPr="00BC3145">
              <w:rPr>
                <w:rFonts w:ascii="Helvetica Neue" w:hAnsi="Helvetica Neue" w:cs="Calibri"/>
                <w:bCs/>
                <w:iCs/>
                <w:sz w:val="20"/>
                <w:szCs w:val="20"/>
                <w:lang w:val="en-GB"/>
              </w:rPr>
              <w:t xml:space="preserve">, describe the data analysis </w:t>
            </w:r>
            <w:r>
              <w:rPr>
                <w:rFonts w:ascii="Helvetica Neue" w:hAnsi="Helvetica Neue" w:cs="Calibri"/>
                <w:bCs/>
                <w:iCs/>
                <w:sz w:val="20"/>
                <w:szCs w:val="20"/>
                <w:lang w:val="en-GB"/>
              </w:rPr>
              <w:t xml:space="preserve">procedures and any associated statistical </w:t>
            </w:r>
            <w:r w:rsidRPr="00BC3145">
              <w:rPr>
                <w:rFonts w:ascii="Helvetica Neue" w:hAnsi="Helvetica Neue" w:cs="Calibri"/>
                <w:bCs/>
                <w:iCs/>
                <w:sz w:val="20"/>
                <w:szCs w:val="20"/>
                <w:lang w:val="en-GB"/>
              </w:rPr>
              <w:t xml:space="preserve">modelling assumptions, </w:t>
            </w:r>
            <w:r>
              <w:rPr>
                <w:rFonts w:ascii="Helvetica Neue" w:hAnsi="Helvetica Neue" w:cs="Calibri"/>
                <w:bCs/>
                <w:iCs/>
                <w:sz w:val="20"/>
                <w:szCs w:val="20"/>
                <w:lang w:val="en-GB"/>
              </w:rPr>
              <w:t xml:space="preserve">including approaches for handling </w:t>
            </w:r>
            <w:r w:rsidRPr="00BC3145">
              <w:rPr>
                <w:rFonts w:ascii="Helvetica Neue" w:hAnsi="Helvetica Neue" w:cs="Calibri"/>
                <w:bCs/>
                <w:iCs/>
                <w:sz w:val="20"/>
                <w:szCs w:val="20"/>
                <w:lang w:val="en-GB"/>
              </w:rPr>
              <w:t>missing data.</w:t>
            </w:r>
          </w:p>
        </w:tc>
        <w:tc>
          <w:tcPr>
            <w:tcW w:w="1985" w:type="dxa"/>
            <w:vMerge/>
            <w:tcBorders>
              <w:bottom w:val="single" w:sz="12" w:space="0" w:color="auto"/>
              <w:right w:val="single" w:sz="12" w:space="0" w:color="auto"/>
            </w:tcBorders>
            <w:vAlign w:val="center"/>
          </w:tcPr>
          <w:p w14:paraId="65B04D87" w14:textId="77777777" w:rsidR="00AD6EB0" w:rsidRPr="00BC3145" w:rsidRDefault="00AD6EB0" w:rsidP="00AD6EB0">
            <w:pPr>
              <w:spacing w:beforeLines="20" w:before="48" w:afterLines="20" w:after="48" w:line="276" w:lineRule="auto"/>
              <w:rPr>
                <w:rFonts w:ascii="Helvetica Neue" w:hAnsi="Helvetica Neue" w:cs="Calibri"/>
                <w:bCs/>
                <w:iCs/>
                <w:sz w:val="20"/>
                <w:szCs w:val="20"/>
                <w:lang w:val="en-GB"/>
              </w:rPr>
            </w:pPr>
          </w:p>
        </w:tc>
        <w:tc>
          <w:tcPr>
            <w:tcW w:w="1984" w:type="dxa"/>
            <w:vMerge/>
            <w:tcBorders>
              <w:bottom w:val="single" w:sz="12" w:space="0" w:color="auto"/>
              <w:right w:val="single" w:sz="12" w:space="0" w:color="auto"/>
            </w:tcBorders>
            <w:vAlign w:val="center"/>
          </w:tcPr>
          <w:p w14:paraId="379B0EB5" w14:textId="77777777" w:rsidR="00AD6EB0" w:rsidRPr="00BC3145" w:rsidRDefault="00AD6EB0" w:rsidP="00AD6EB0">
            <w:pPr>
              <w:spacing w:beforeLines="20" w:before="48" w:afterLines="20" w:after="48" w:line="276" w:lineRule="auto"/>
              <w:rPr>
                <w:rFonts w:ascii="Helvetica Neue" w:hAnsi="Helvetica Neue" w:cs="Calibri"/>
                <w:bCs/>
                <w:iCs/>
                <w:sz w:val="20"/>
                <w:szCs w:val="20"/>
                <w:lang w:val="en-GB"/>
              </w:rPr>
            </w:pPr>
          </w:p>
        </w:tc>
      </w:tr>
      <w:tr w:rsidR="00AD6EB0" w:rsidRPr="00F21684" w14:paraId="652B6ED6" w14:textId="77777777" w:rsidTr="007A7349">
        <w:tc>
          <w:tcPr>
            <w:tcW w:w="447" w:type="dxa"/>
            <w:tcBorders>
              <w:left w:val="single" w:sz="4" w:space="0" w:color="auto"/>
            </w:tcBorders>
            <w:vAlign w:val="center"/>
          </w:tcPr>
          <w:p w14:paraId="7A76DA1D" w14:textId="77777777" w:rsidR="00AD6EB0" w:rsidRPr="00F21684" w:rsidRDefault="00AD6EB0" w:rsidP="00AD6EB0">
            <w:pPr>
              <w:pStyle w:val="TableHeader"/>
              <w:spacing w:beforeLines="20" w:before="48" w:afterLines="20" w:after="48" w:line="276" w:lineRule="auto"/>
              <w:ind w:right="-602"/>
              <w:rPr>
                <w:rFonts w:ascii="Helvetica Neue" w:hAnsi="Helvetica Neue" w:cs="Calibri"/>
                <w:b w:val="0"/>
                <w:bCs/>
                <w:sz w:val="20"/>
              </w:rPr>
            </w:pPr>
          </w:p>
        </w:tc>
        <w:tc>
          <w:tcPr>
            <w:tcW w:w="434" w:type="dxa"/>
            <w:tcBorders>
              <w:top w:val="single" w:sz="12" w:space="0" w:color="auto"/>
              <w:bottom w:val="single" w:sz="12" w:space="0" w:color="auto"/>
            </w:tcBorders>
            <w:vAlign w:val="center"/>
          </w:tcPr>
          <w:p w14:paraId="3C9A833F"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p>
        </w:tc>
        <w:tc>
          <w:tcPr>
            <w:tcW w:w="4359" w:type="dxa"/>
            <w:gridSpan w:val="4"/>
            <w:tcBorders>
              <w:top w:val="single" w:sz="12" w:space="0" w:color="auto"/>
              <w:bottom w:val="single" w:sz="12" w:space="0" w:color="auto"/>
            </w:tcBorders>
            <w:vAlign w:val="center"/>
          </w:tcPr>
          <w:p w14:paraId="0EA9D358"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p>
        </w:tc>
        <w:tc>
          <w:tcPr>
            <w:tcW w:w="284" w:type="dxa"/>
            <w:tcBorders>
              <w:top w:val="single" w:sz="12" w:space="0" w:color="auto"/>
              <w:bottom w:val="single" w:sz="12" w:space="0" w:color="auto"/>
            </w:tcBorders>
            <w:vAlign w:val="center"/>
          </w:tcPr>
          <w:p w14:paraId="241D8713"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p>
        </w:tc>
        <w:tc>
          <w:tcPr>
            <w:tcW w:w="425" w:type="dxa"/>
            <w:gridSpan w:val="2"/>
            <w:tcBorders>
              <w:top w:val="single" w:sz="12" w:space="0" w:color="auto"/>
              <w:bottom w:val="single" w:sz="12" w:space="0" w:color="auto"/>
            </w:tcBorders>
            <w:vAlign w:val="center"/>
          </w:tcPr>
          <w:p w14:paraId="1BD3AEE8" w14:textId="77777777" w:rsidR="00AD6EB0" w:rsidRPr="00F21684" w:rsidRDefault="00AD6EB0" w:rsidP="00AD6EB0">
            <w:pPr>
              <w:pStyle w:val="TableHeader"/>
              <w:spacing w:beforeLines="20" w:before="48" w:afterLines="20" w:after="48" w:line="276" w:lineRule="auto"/>
              <w:ind w:right="-608"/>
              <w:rPr>
                <w:rFonts w:ascii="Helvetica Neue" w:hAnsi="Helvetica Neue" w:cs="Calibri"/>
                <w:b w:val="0"/>
                <w:bCs/>
                <w:sz w:val="20"/>
              </w:rPr>
            </w:pPr>
            <w:proofErr w:type="spellStart"/>
            <w:proofErr w:type="gramStart"/>
            <w:r>
              <w:rPr>
                <w:rFonts w:ascii="Helvetica Neue" w:hAnsi="Helvetica Neue" w:cs="Calibri"/>
                <w:b w:val="0"/>
                <w:bCs/>
                <w:sz w:val="20"/>
              </w:rPr>
              <w:t>h</w:t>
            </w:r>
            <w:r w:rsidRPr="00F21684">
              <w:rPr>
                <w:rFonts w:ascii="Helvetica Neue" w:hAnsi="Helvetica Neue" w:cs="Calibri"/>
                <w:b w:val="0"/>
                <w:bCs/>
                <w:sz w:val="20"/>
              </w:rPr>
              <w:t>.ii</w:t>
            </w:r>
            <w:proofErr w:type="spellEnd"/>
            <w:proofErr w:type="gramEnd"/>
          </w:p>
        </w:tc>
        <w:tc>
          <w:tcPr>
            <w:tcW w:w="4819" w:type="dxa"/>
            <w:tcBorders>
              <w:top w:val="single" w:sz="12" w:space="0" w:color="auto"/>
              <w:bottom w:val="single" w:sz="12" w:space="0" w:color="auto"/>
              <w:right w:val="single" w:sz="12" w:space="0" w:color="auto"/>
            </w:tcBorders>
            <w:vAlign w:val="center"/>
          </w:tcPr>
          <w:p w14:paraId="22E9CD4E" w14:textId="77777777" w:rsidR="00AD6EB0" w:rsidRPr="00F21684" w:rsidRDefault="00AD6EB0" w:rsidP="00AD6EB0">
            <w:pPr>
              <w:spacing w:beforeLines="20" w:before="48" w:afterLines="20" w:after="48" w:line="276" w:lineRule="auto"/>
              <w:rPr>
                <w:rFonts w:ascii="Helvetica Neue" w:hAnsi="Helvetica Neue" w:cs="Calibri"/>
                <w:bCs/>
                <w:sz w:val="20"/>
                <w:szCs w:val="20"/>
              </w:rPr>
            </w:pPr>
            <w:r w:rsidRPr="00F21684">
              <w:rPr>
                <w:rFonts w:ascii="Helvetica Neue" w:hAnsi="Helvetica Neue" w:cs="Calibri"/>
                <w:bCs/>
                <w:sz w:val="20"/>
                <w:szCs w:val="20"/>
              </w:rPr>
              <w:t xml:space="preserve">For each causal estimand, describe any additional analyses conducted to assess the </w:t>
            </w:r>
            <w:r>
              <w:rPr>
                <w:rFonts w:ascii="Helvetica Neue" w:hAnsi="Helvetica Neue" w:cs="Calibri"/>
                <w:bCs/>
                <w:sz w:val="20"/>
                <w:szCs w:val="20"/>
              </w:rPr>
              <w:t>sensitivity</w:t>
            </w:r>
            <w:r w:rsidRPr="00F21684">
              <w:rPr>
                <w:rFonts w:ascii="Helvetica Neue" w:hAnsi="Helvetica Neue" w:cs="Calibri"/>
                <w:bCs/>
                <w:sz w:val="20"/>
                <w:szCs w:val="20"/>
              </w:rPr>
              <w:t xml:space="preserve"> of the results to </w:t>
            </w:r>
            <w:r>
              <w:rPr>
                <w:rFonts w:ascii="Helvetica Neue" w:hAnsi="Helvetica Neue" w:cs="Calibri"/>
                <w:bCs/>
                <w:sz w:val="20"/>
                <w:szCs w:val="20"/>
              </w:rPr>
              <w:t xml:space="preserve">the choice of operationalizations, </w:t>
            </w:r>
            <w:r w:rsidRPr="00F21684">
              <w:rPr>
                <w:rFonts w:ascii="Helvetica Neue" w:hAnsi="Helvetica Neue" w:cs="Calibri"/>
                <w:bCs/>
                <w:sz w:val="20"/>
                <w:szCs w:val="20"/>
              </w:rPr>
              <w:t>assumptions and analysis.</w:t>
            </w:r>
          </w:p>
        </w:tc>
        <w:tc>
          <w:tcPr>
            <w:tcW w:w="1985" w:type="dxa"/>
            <w:tcBorders>
              <w:top w:val="single" w:sz="12" w:space="0" w:color="auto"/>
              <w:bottom w:val="single" w:sz="12" w:space="0" w:color="auto"/>
              <w:right w:val="single" w:sz="12" w:space="0" w:color="auto"/>
            </w:tcBorders>
            <w:shd w:val="clear" w:color="auto" w:fill="ADADAD" w:themeFill="background2" w:themeFillShade="BF"/>
            <w:vAlign w:val="center"/>
          </w:tcPr>
          <w:p w14:paraId="7E75E6B3" w14:textId="77777777" w:rsidR="00AD6EB0" w:rsidRPr="00F21684" w:rsidRDefault="00AD6EB0" w:rsidP="00AD6EB0">
            <w:pPr>
              <w:spacing w:beforeLines="20" w:before="48" w:afterLines="20" w:after="48" w:line="276" w:lineRule="auto"/>
              <w:rPr>
                <w:rFonts w:ascii="Helvetica Neue" w:hAnsi="Helvetica Neue" w:cs="Calibri"/>
                <w:bCs/>
                <w:sz w:val="20"/>
                <w:szCs w:val="20"/>
              </w:rPr>
            </w:pPr>
          </w:p>
        </w:tc>
        <w:tc>
          <w:tcPr>
            <w:tcW w:w="1984" w:type="dxa"/>
            <w:tcBorders>
              <w:top w:val="single" w:sz="12" w:space="0" w:color="auto"/>
              <w:bottom w:val="single" w:sz="12" w:space="0" w:color="auto"/>
              <w:right w:val="single" w:sz="12" w:space="0" w:color="auto"/>
            </w:tcBorders>
            <w:vAlign w:val="center"/>
          </w:tcPr>
          <w:p w14:paraId="62DA20DB" w14:textId="6E5CEC33" w:rsidR="00AD6EB0" w:rsidRPr="00AD6EB0" w:rsidRDefault="00AD6EB0" w:rsidP="00AD6EB0">
            <w:pPr>
              <w:spacing w:beforeLines="20" w:before="48" w:afterLines="20" w:after="48" w:line="276" w:lineRule="auto"/>
              <w:rPr>
                <w:rFonts w:ascii="Helvetica Neue" w:eastAsiaTheme="minorEastAsia" w:hAnsi="Helvetica Neue" w:cs="Calibri"/>
                <w:b/>
                <w:lang w:eastAsia="zh-CN"/>
              </w:rPr>
            </w:pPr>
            <w:r w:rsidRPr="00AD6EB0">
              <w:t xml:space="preserve">Sensitivity analyses: (1) Alternative albumin threshold: &lt;35 g/L instead of &lt;30 g/L, N=4,240; (2) Extended treatment window: 48h instead of 24h, N=1,609. Results showed the protective effect was specific to the severe hypoalbuminemia group at the early window, with effects attenuating at relaxed thresholds and extended windows. Subgroup analyses by vasoactive drug use, age, infection status, and sex </w:t>
            </w:r>
            <w:r w:rsidRPr="00AD6EB0">
              <w:lastRenderedPageBreak/>
              <w:t>were performed. E-value analysis quantified robustness to unmeasured confounding (E-value=4.</w:t>
            </w:r>
            <w:r>
              <w:rPr>
                <w:rFonts w:eastAsiaTheme="minorEastAsia" w:hint="eastAsia"/>
                <w:lang w:eastAsia="zh-CN"/>
              </w:rPr>
              <w:t>2</w:t>
            </w:r>
            <w:r w:rsidRPr="00AD6EB0">
              <w:t>1). Negative control outcome analysis and dose-response assessment provided additional validation.</w:t>
            </w:r>
          </w:p>
        </w:tc>
      </w:tr>
      <w:tr w:rsidR="00AD6EB0" w:rsidRPr="00F21684" w14:paraId="3AB0B43E" w14:textId="77777777" w:rsidTr="007A7349">
        <w:tc>
          <w:tcPr>
            <w:tcW w:w="14737" w:type="dxa"/>
            <w:gridSpan w:val="12"/>
            <w:tcBorders>
              <w:top w:val="single" w:sz="24" w:space="0" w:color="auto"/>
              <w:left w:val="single" w:sz="4" w:space="0" w:color="auto"/>
              <w:bottom w:val="single" w:sz="24" w:space="0" w:color="auto"/>
              <w:right w:val="single" w:sz="12" w:space="0" w:color="auto"/>
            </w:tcBorders>
            <w:shd w:val="clear" w:color="auto" w:fill="CAEDFB" w:themeFill="accent4" w:themeFillTint="33"/>
            <w:vAlign w:val="center"/>
          </w:tcPr>
          <w:p w14:paraId="4E47FC8E" w14:textId="77777777" w:rsidR="00AD6EB0" w:rsidRPr="00F21684" w:rsidRDefault="00AD6EB0" w:rsidP="00AD6EB0">
            <w:pPr>
              <w:spacing w:beforeLines="20" w:before="48" w:afterLines="20" w:after="48" w:line="276" w:lineRule="auto"/>
              <w:rPr>
                <w:rFonts w:ascii="Helvetica Neue" w:hAnsi="Helvetica Neue" w:cs="Calibri"/>
                <w:b/>
                <w:bCs/>
                <w:sz w:val="20"/>
                <w:szCs w:val="20"/>
              </w:rPr>
            </w:pPr>
            <w:r w:rsidRPr="00F21684">
              <w:rPr>
                <w:rFonts w:ascii="Helvetica Neue" w:hAnsi="Helvetica Neue" w:cs="Calibri"/>
                <w:b/>
                <w:bCs/>
                <w:sz w:val="20"/>
                <w:szCs w:val="20"/>
              </w:rPr>
              <w:lastRenderedPageBreak/>
              <w:t>Results</w:t>
            </w:r>
          </w:p>
        </w:tc>
      </w:tr>
      <w:tr w:rsidR="00AD6EB0" w:rsidRPr="00F21684" w14:paraId="3BB85767" w14:textId="77777777" w:rsidTr="007A7349">
        <w:tc>
          <w:tcPr>
            <w:tcW w:w="447" w:type="dxa"/>
            <w:tcBorders>
              <w:left w:val="single" w:sz="4" w:space="0" w:color="auto"/>
            </w:tcBorders>
            <w:vAlign w:val="center"/>
          </w:tcPr>
          <w:p w14:paraId="27FF9481"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t>8</w:t>
            </w:r>
          </w:p>
        </w:tc>
        <w:tc>
          <w:tcPr>
            <w:tcW w:w="1412" w:type="dxa"/>
            <w:gridSpan w:val="4"/>
            <w:tcBorders>
              <w:top w:val="single" w:sz="12" w:space="0" w:color="auto"/>
              <w:bottom w:val="single" w:sz="12" w:space="0" w:color="auto"/>
            </w:tcBorders>
            <w:vAlign w:val="center"/>
          </w:tcPr>
          <w:p w14:paraId="12F0D482" w14:textId="77777777" w:rsidR="00AD6EB0" w:rsidRPr="005A21C9" w:rsidRDefault="00AD6EB0" w:rsidP="00AD6EB0">
            <w:pPr>
              <w:pStyle w:val="TableHeader"/>
              <w:spacing w:beforeLines="20" w:before="48" w:afterLines="20" w:after="48" w:line="276" w:lineRule="auto"/>
              <w:rPr>
                <w:rFonts w:ascii="Helvetica Neue" w:hAnsi="Helvetica Neue" w:cs="Calibri"/>
                <w:b w:val="0"/>
                <w:sz w:val="20"/>
              </w:rPr>
            </w:pPr>
            <w:r w:rsidRPr="0052124F">
              <w:rPr>
                <w:rFonts w:ascii="Helvetica Neue" w:hAnsi="Helvetica Neue" w:cs="Calibri"/>
                <w:b w:val="0"/>
                <w:sz w:val="20"/>
              </w:rPr>
              <w:t>Participant selection</w:t>
            </w:r>
          </w:p>
        </w:tc>
        <w:tc>
          <w:tcPr>
            <w:tcW w:w="8909" w:type="dxa"/>
            <w:gridSpan w:val="5"/>
            <w:tcBorders>
              <w:top w:val="single" w:sz="12" w:space="0" w:color="auto"/>
              <w:bottom w:val="single" w:sz="12" w:space="0" w:color="auto"/>
              <w:right w:val="single" w:sz="12" w:space="0" w:color="auto"/>
            </w:tcBorders>
            <w:vAlign w:val="center"/>
          </w:tcPr>
          <w:p w14:paraId="3C15492E"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Report numbers of individuals assessed for eligibility, eligible</w:t>
            </w:r>
            <w:r>
              <w:rPr>
                <w:rFonts w:ascii="Helvetica Neue" w:hAnsi="Helvetica Neue" w:cs="Calibri"/>
                <w:color w:val="000000"/>
                <w:sz w:val="20"/>
                <w:szCs w:val="20"/>
              </w:rPr>
              <w:t>,</w:t>
            </w:r>
            <w:r w:rsidRPr="00F21684">
              <w:rPr>
                <w:rFonts w:ascii="Helvetica Neue" w:hAnsi="Helvetica Neue" w:cs="Calibri"/>
                <w:color w:val="000000"/>
                <w:sz w:val="20"/>
                <w:szCs w:val="20"/>
              </w:rPr>
              <w:t xml:space="preserve"> and </w:t>
            </w:r>
            <w:r>
              <w:rPr>
                <w:rFonts w:ascii="Helvetica Neue" w:hAnsi="Helvetica Neue" w:cs="Calibri"/>
                <w:color w:val="000000"/>
                <w:sz w:val="20"/>
                <w:szCs w:val="20"/>
              </w:rPr>
              <w:t>assigned to each treatment strategy</w:t>
            </w:r>
            <w:r w:rsidRPr="00F21684">
              <w:rPr>
                <w:rFonts w:ascii="Helvetica Neue" w:hAnsi="Helvetica Neue" w:cs="Calibri"/>
                <w:color w:val="000000"/>
                <w:sz w:val="20"/>
                <w:szCs w:val="20"/>
              </w:rPr>
              <w:t>.</w:t>
            </w:r>
            <w:r>
              <w:rPr>
                <w:rFonts w:ascii="Helvetica Neue" w:hAnsi="Helvetica Neue" w:cs="Calibri"/>
                <w:color w:val="000000"/>
                <w:sz w:val="20"/>
                <w:szCs w:val="20"/>
              </w:rPr>
              <w:t xml:space="preserve"> A flow diagram is strongly recommended.</w:t>
            </w:r>
          </w:p>
        </w:tc>
        <w:tc>
          <w:tcPr>
            <w:tcW w:w="3969" w:type="dxa"/>
            <w:gridSpan w:val="2"/>
            <w:tcBorders>
              <w:top w:val="single" w:sz="12" w:space="0" w:color="auto"/>
              <w:bottom w:val="single" w:sz="12" w:space="0" w:color="auto"/>
              <w:right w:val="single" w:sz="12" w:space="0" w:color="auto"/>
            </w:tcBorders>
            <w:vAlign w:val="center"/>
          </w:tcPr>
          <w:p w14:paraId="17A54E44" w14:textId="77777777" w:rsidR="00AD6EB0" w:rsidRDefault="00AD6EB0" w:rsidP="00AD6EB0">
            <w:r>
              <w:t>Results, Figure 1. Of the PIC database admissions, 1,649 patients met inclusion criteria for the main analysis (374 early albumin, 1,275 control). Exclusions included: prior albumin treatment before time zero, death within 24h treatment window, missing all baseline data, and indeterminate treatment/death timing. See flow diagram (Figure 1) for complete participant selection.</w:t>
            </w:r>
          </w:p>
        </w:tc>
      </w:tr>
      <w:tr w:rsidR="00AD6EB0" w:rsidRPr="00F21684" w14:paraId="76B18719" w14:textId="77777777" w:rsidTr="007A7349">
        <w:tc>
          <w:tcPr>
            <w:tcW w:w="447" w:type="dxa"/>
            <w:tcBorders>
              <w:left w:val="single" w:sz="4" w:space="0" w:color="auto"/>
            </w:tcBorders>
            <w:vAlign w:val="center"/>
          </w:tcPr>
          <w:p w14:paraId="29FDD5F3"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t>9</w:t>
            </w:r>
          </w:p>
        </w:tc>
        <w:tc>
          <w:tcPr>
            <w:tcW w:w="1412" w:type="dxa"/>
            <w:gridSpan w:val="4"/>
            <w:tcBorders>
              <w:top w:val="single" w:sz="12" w:space="0" w:color="auto"/>
              <w:bottom w:val="single" w:sz="4" w:space="0" w:color="auto"/>
            </w:tcBorders>
            <w:vAlign w:val="center"/>
          </w:tcPr>
          <w:p w14:paraId="0A05825A" w14:textId="77777777" w:rsidR="00AD6EB0" w:rsidRPr="00F21684" w:rsidRDefault="00AD6EB0" w:rsidP="00AD6EB0">
            <w:pPr>
              <w:pStyle w:val="TableHeader"/>
              <w:spacing w:beforeLines="20" w:before="48" w:afterLines="20" w:after="48" w:line="276" w:lineRule="auto"/>
              <w:ind w:right="-108"/>
              <w:rPr>
                <w:rFonts w:ascii="Helvetica Neue" w:hAnsi="Helvetica Neue" w:cs="Calibri"/>
                <w:b w:val="0"/>
                <w:bCs/>
                <w:sz w:val="20"/>
              </w:rPr>
            </w:pPr>
            <w:r w:rsidRPr="00F21684">
              <w:rPr>
                <w:rFonts w:ascii="Helvetica Neue" w:hAnsi="Helvetica Neue" w:cs="Calibri"/>
                <w:b w:val="0"/>
                <w:bCs/>
                <w:sz w:val="20"/>
              </w:rPr>
              <w:t>Baseline data</w:t>
            </w:r>
          </w:p>
        </w:tc>
        <w:tc>
          <w:tcPr>
            <w:tcW w:w="8909" w:type="dxa"/>
            <w:gridSpan w:val="5"/>
            <w:tcBorders>
              <w:top w:val="single" w:sz="12" w:space="0" w:color="auto"/>
              <w:bottom w:val="single" w:sz="4" w:space="0" w:color="auto"/>
              <w:right w:val="single" w:sz="12" w:space="0" w:color="auto"/>
            </w:tcBorders>
            <w:vAlign w:val="center"/>
          </w:tcPr>
          <w:p w14:paraId="10667D95" w14:textId="77777777" w:rsidR="00AD6EB0" w:rsidRPr="00F21684" w:rsidRDefault="00AD6EB0" w:rsidP="00AD6EB0">
            <w:pPr>
              <w:spacing w:beforeLines="20" w:before="48" w:afterLines="20" w:after="48" w:line="276" w:lineRule="auto"/>
              <w:ind w:right="-103"/>
              <w:rPr>
                <w:rFonts w:ascii="Helvetica Neue" w:hAnsi="Helvetica Neue" w:cs="Calibri"/>
                <w:b/>
                <w:bCs/>
                <w:color w:val="000000"/>
                <w:sz w:val="20"/>
                <w:szCs w:val="20"/>
              </w:rPr>
            </w:pPr>
            <w:r>
              <w:rPr>
                <w:rFonts w:ascii="Helvetica Neue" w:hAnsi="Helvetica Neue" w:cs="Calibri"/>
                <w:color w:val="000000"/>
                <w:sz w:val="20"/>
                <w:szCs w:val="20"/>
              </w:rPr>
              <w:t xml:space="preserve">Describe the distribution of </w:t>
            </w:r>
            <w:r w:rsidRPr="00F21684">
              <w:rPr>
                <w:rFonts w:ascii="Helvetica Neue" w:hAnsi="Helvetica Neue" w:cs="Calibri"/>
                <w:color w:val="000000"/>
                <w:sz w:val="20"/>
                <w:szCs w:val="20"/>
              </w:rPr>
              <w:t>characteristics of individuals at baseline, by treatment strategy.</w:t>
            </w:r>
          </w:p>
        </w:tc>
        <w:tc>
          <w:tcPr>
            <w:tcW w:w="3969" w:type="dxa"/>
            <w:gridSpan w:val="2"/>
            <w:tcBorders>
              <w:top w:val="single" w:sz="12" w:space="0" w:color="auto"/>
              <w:bottom w:val="single" w:sz="4" w:space="0" w:color="auto"/>
              <w:right w:val="single" w:sz="12" w:space="0" w:color="auto"/>
            </w:tcBorders>
            <w:vAlign w:val="center"/>
          </w:tcPr>
          <w:p w14:paraId="46EC6A29" w14:textId="77777777" w:rsidR="00AD6EB0" w:rsidRDefault="00AD6EB0" w:rsidP="00AD6EB0">
            <w:r>
              <w:t xml:space="preserve">Baseline characteristics after IPTW weighting are presented in supplementary tables. Before adjustment, the albumin group had higher rates of vasoactive use (32.9% vs 9.0%), antibiotic use (68.7% vs </w:t>
            </w:r>
            <w:r>
              <w:lastRenderedPageBreak/>
              <w:t>19.2%), and corticosteroid use (29.1% vs 3.2%). After IPTW weighting, most covariates achieved acceptable balance (SMD &lt;0.1). Residual imbalance in covariates with SMD &gt;=0.1 was further adjusted in the doubly robust outcome model.</w:t>
            </w:r>
          </w:p>
        </w:tc>
      </w:tr>
      <w:tr w:rsidR="00AD6EB0" w:rsidRPr="00F21684" w14:paraId="6342BA4D" w14:textId="77777777" w:rsidTr="007A7349">
        <w:tc>
          <w:tcPr>
            <w:tcW w:w="447" w:type="dxa"/>
            <w:tcBorders>
              <w:left w:val="single" w:sz="4" w:space="0" w:color="auto"/>
            </w:tcBorders>
            <w:vAlign w:val="center"/>
          </w:tcPr>
          <w:p w14:paraId="1398D2FB"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lastRenderedPageBreak/>
              <w:t>10</w:t>
            </w:r>
          </w:p>
        </w:tc>
        <w:tc>
          <w:tcPr>
            <w:tcW w:w="1412" w:type="dxa"/>
            <w:gridSpan w:val="4"/>
            <w:tcBorders>
              <w:top w:val="single" w:sz="12" w:space="0" w:color="auto"/>
              <w:bottom w:val="single" w:sz="4" w:space="0" w:color="auto"/>
            </w:tcBorders>
            <w:vAlign w:val="center"/>
          </w:tcPr>
          <w:p w14:paraId="68E29543"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Follow-up</w:t>
            </w:r>
          </w:p>
        </w:tc>
        <w:tc>
          <w:tcPr>
            <w:tcW w:w="8909" w:type="dxa"/>
            <w:gridSpan w:val="5"/>
            <w:tcBorders>
              <w:top w:val="single" w:sz="12" w:space="0" w:color="auto"/>
              <w:bottom w:val="single" w:sz="4" w:space="0" w:color="auto"/>
              <w:right w:val="single" w:sz="12" w:space="0" w:color="auto"/>
            </w:tcBorders>
            <w:vAlign w:val="center"/>
          </w:tcPr>
          <w:p w14:paraId="57852060"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Pr>
                <w:rFonts w:ascii="Helvetica Neue" w:hAnsi="Helvetica Neue" w:cs="Calibri"/>
                <w:color w:val="000000"/>
                <w:sz w:val="20"/>
                <w:szCs w:val="20"/>
              </w:rPr>
              <w:t>S</w:t>
            </w:r>
            <w:r w:rsidRPr="00F21684">
              <w:rPr>
                <w:rFonts w:ascii="Helvetica Neue" w:hAnsi="Helvetica Neue" w:cs="Calibri"/>
                <w:color w:val="000000"/>
                <w:sz w:val="20"/>
                <w:szCs w:val="20"/>
              </w:rPr>
              <w:t>ummarize length of follow-up and describe reasons for end of follow-up</w:t>
            </w:r>
            <w:r>
              <w:rPr>
                <w:rFonts w:ascii="Helvetica Neue" w:hAnsi="Helvetica Neue" w:cs="Calibri"/>
                <w:color w:val="000000"/>
                <w:sz w:val="20"/>
                <w:szCs w:val="20"/>
              </w:rPr>
              <w:t xml:space="preserve"> for each treatment strategy and causal contrast.</w:t>
            </w:r>
          </w:p>
        </w:tc>
        <w:tc>
          <w:tcPr>
            <w:tcW w:w="3969" w:type="dxa"/>
            <w:gridSpan w:val="2"/>
            <w:tcBorders>
              <w:top w:val="single" w:sz="12" w:space="0" w:color="auto"/>
              <w:bottom w:val="single" w:sz="4" w:space="0" w:color="auto"/>
              <w:right w:val="single" w:sz="12" w:space="0" w:color="auto"/>
            </w:tcBorders>
            <w:vAlign w:val="center"/>
          </w:tcPr>
          <w:p w14:paraId="2937F870" w14:textId="77777777" w:rsidR="00AD6EB0" w:rsidRDefault="00AD6EB0" w:rsidP="00AD6EB0">
            <w:r>
              <w:t>Results. Follow-up continued until death, hospital discharge, or 28 days after time zero. In the main analysis, 7-day mortality: 101/1,649 (6.1%). Median ICU LOS: 9.3 days (IQR 3.3-29.6) albumin group vs 10.6 days (IQR 1.9-35.9) control. All patients had complete follow-up for mortality (in-hospital records).</w:t>
            </w:r>
          </w:p>
        </w:tc>
      </w:tr>
      <w:tr w:rsidR="00AD6EB0" w:rsidRPr="00F21684" w14:paraId="78ACFF43" w14:textId="77777777" w:rsidTr="007A7349">
        <w:tc>
          <w:tcPr>
            <w:tcW w:w="447" w:type="dxa"/>
            <w:tcBorders>
              <w:left w:val="single" w:sz="4" w:space="0" w:color="auto"/>
            </w:tcBorders>
            <w:vAlign w:val="center"/>
          </w:tcPr>
          <w:p w14:paraId="11F1FF1B"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t>11</w:t>
            </w:r>
          </w:p>
        </w:tc>
        <w:tc>
          <w:tcPr>
            <w:tcW w:w="1412" w:type="dxa"/>
            <w:gridSpan w:val="4"/>
            <w:tcBorders>
              <w:top w:val="single" w:sz="12" w:space="0" w:color="auto"/>
              <w:bottom w:val="single" w:sz="4" w:space="0" w:color="auto"/>
            </w:tcBorders>
            <w:vAlign w:val="center"/>
          </w:tcPr>
          <w:p w14:paraId="0BD46E34"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Missing data</w:t>
            </w:r>
          </w:p>
        </w:tc>
        <w:tc>
          <w:tcPr>
            <w:tcW w:w="8909" w:type="dxa"/>
            <w:gridSpan w:val="5"/>
            <w:tcBorders>
              <w:top w:val="single" w:sz="12" w:space="0" w:color="auto"/>
              <w:bottom w:val="single" w:sz="4" w:space="0" w:color="auto"/>
              <w:right w:val="single" w:sz="12" w:space="0" w:color="auto"/>
            </w:tcBorders>
            <w:vAlign w:val="center"/>
          </w:tcPr>
          <w:p w14:paraId="6F9467A0"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Describe the frequency of missing data in all variables, by treatment strategy when applicable.</w:t>
            </w:r>
          </w:p>
        </w:tc>
        <w:tc>
          <w:tcPr>
            <w:tcW w:w="3969" w:type="dxa"/>
            <w:gridSpan w:val="2"/>
            <w:tcBorders>
              <w:top w:val="single" w:sz="12" w:space="0" w:color="auto"/>
              <w:bottom w:val="single" w:sz="4" w:space="0" w:color="auto"/>
              <w:right w:val="single" w:sz="12" w:space="0" w:color="auto"/>
            </w:tcBorders>
            <w:vAlign w:val="center"/>
          </w:tcPr>
          <w:p w14:paraId="2B5861CF" w14:textId="6858EA4F" w:rsidR="00AD6EB0" w:rsidRDefault="00AD6EB0" w:rsidP="00AD6EB0">
            <w:r>
              <w:t>Missing data primarily affected post-treatment albumin measurements (only 38% of albumin users had post-treatment values). Missing covariates were handled using predictive mean matching (PMM) multiple imputation under the missing-at-random assumption. Variables with &gt;25% missingness were excluded from the propensity score model.</w:t>
            </w:r>
          </w:p>
        </w:tc>
      </w:tr>
      <w:tr w:rsidR="00AD6EB0" w:rsidRPr="00F21684" w14:paraId="3C368698" w14:textId="77777777" w:rsidTr="007A7349">
        <w:tc>
          <w:tcPr>
            <w:tcW w:w="447" w:type="dxa"/>
            <w:tcBorders>
              <w:left w:val="single" w:sz="4" w:space="0" w:color="auto"/>
            </w:tcBorders>
            <w:vAlign w:val="center"/>
          </w:tcPr>
          <w:p w14:paraId="1FC9AEF8"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t>12</w:t>
            </w:r>
          </w:p>
        </w:tc>
        <w:tc>
          <w:tcPr>
            <w:tcW w:w="1412" w:type="dxa"/>
            <w:gridSpan w:val="4"/>
            <w:tcBorders>
              <w:top w:val="single" w:sz="12" w:space="0" w:color="auto"/>
              <w:bottom w:val="single" w:sz="4" w:space="0" w:color="auto"/>
            </w:tcBorders>
            <w:vAlign w:val="center"/>
          </w:tcPr>
          <w:p w14:paraId="174A1CDD"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Outcomes</w:t>
            </w:r>
          </w:p>
        </w:tc>
        <w:tc>
          <w:tcPr>
            <w:tcW w:w="8909" w:type="dxa"/>
            <w:gridSpan w:val="5"/>
            <w:tcBorders>
              <w:top w:val="single" w:sz="12" w:space="0" w:color="auto"/>
              <w:bottom w:val="single" w:sz="4" w:space="0" w:color="auto"/>
              <w:right w:val="single" w:sz="12" w:space="0" w:color="auto"/>
            </w:tcBorders>
            <w:vAlign w:val="center"/>
          </w:tcPr>
          <w:p w14:paraId="114209AD"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3A083C">
              <w:rPr>
                <w:rFonts w:ascii="Helvetica Neue" w:hAnsi="Helvetica Neue" w:cs="Calibri"/>
                <w:color w:val="000000"/>
                <w:sz w:val="20"/>
                <w:szCs w:val="20"/>
                <w:lang w:val="en-GB"/>
              </w:rPr>
              <w:t xml:space="preserve">Describe the frequency or distribution of each outcome, </w:t>
            </w:r>
            <w:r w:rsidRPr="00F21684">
              <w:rPr>
                <w:rFonts w:ascii="Helvetica Neue" w:hAnsi="Helvetica Neue" w:cs="Calibri"/>
                <w:color w:val="000000"/>
                <w:sz w:val="20"/>
                <w:szCs w:val="20"/>
                <w:lang w:val="en-GB"/>
              </w:rPr>
              <w:t>by treatment strategy.</w:t>
            </w:r>
          </w:p>
        </w:tc>
        <w:tc>
          <w:tcPr>
            <w:tcW w:w="3969" w:type="dxa"/>
            <w:gridSpan w:val="2"/>
            <w:tcBorders>
              <w:top w:val="single" w:sz="12" w:space="0" w:color="auto"/>
              <w:bottom w:val="single" w:sz="4" w:space="0" w:color="auto"/>
              <w:right w:val="single" w:sz="12" w:space="0" w:color="auto"/>
            </w:tcBorders>
            <w:vAlign w:val="center"/>
          </w:tcPr>
          <w:p w14:paraId="2D79FEF3" w14:textId="77777777" w:rsidR="00AD6EB0" w:rsidRPr="00212C9E" w:rsidRDefault="00AD6EB0" w:rsidP="00AD6EB0">
            <w:pPr>
              <w:spacing w:beforeLines="20" w:before="48" w:afterLines="20" w:after="48" w:line="276" w:lineRule="auto"/>
              <w:ind w:right="-103"/>
              <w:rPr>
                <w:rFonts w:ascii="Helvetica Neue" w:hAnsi="Helvetica Neue" w:cs="Calibri"/>
                <w:color w:val="000000"/>
                <w:lang w:val="en-GB"/>
              </w:rPr>
            </w:pPr>
            <w:r w:rsidRPr="00212C9E">
              <w:t xml:space="preserve">In the main analysis, 7-day mortality occurred in 26/374 (7.0%) in the albumin group vs 75/1275 (5.9%) in the control group. 28-day mortality: 43/374 (11.5%) vs 104/1275 (8.2%). New-onset sepsis: 29/374 (7.8%) vs 79/1275 (6.2%). Due to the DR framework, </w:t>
            </w:r>
            <w:r w:rsidRPr="00212C9E">
              <w:lastRenderedPageBreak/>
              <w:t>weighted outcomes are reported rather than crude frequencies for the primary analysis.</w:t>
            </w:r>
          </w:p>
        </w:tc>
      </w:tr>
      <w:tr w:rsidR="00AD6EB0" w:rsidRPr="00F21684" w14:paraId="5CE5922D" w14:textId="77777777" w:rsidTr="007A7349">
        <w:tc>
          <w:tcPr>
            <w:tcW w:w="447" w:type="dxa"/>
            <w:tcBorders>
              <w:left w:val="single" w:sz="4" w:space="0" w:color="auto"/>
            </w:tcBorders>
            <w:vAlign w:val="center"/>
          </w:tcPr>
          <w:p w14:paraId="12D658A7"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sidRPr="00F21684">
              <w:rPr>
                <w:rFonts w:ascii="Helvetica Neue" w:hAnsi="Helvetica Neue" w:cs="Calibri"/>
                <w:sz w:val="20"/>
              </w:rPr>
              <w:lastRenderedPageBreak/>
              <w:t>1</w:t>
            </w:r>
            <w:r>
              <w:rPr>
                <w:rFonts w:ascii="Helvetica Neue" w:hAnsi="Helvetica Neue" w:cs="Calibri"/>
                <w:sz w:val="20"/>
              </w:rPr>
              <w:t>3</w:t>
            </w:r>
          </w:p>
        </w:tc>
        <w:tc>
          <w:tcPr>
            <w:tcW w:w="1412" w:type="dxa"/>
            <w:gridSpan w:val="4"/>
            <w:tcBorders>
              <w:top w:val="single" w:sz="12" w:space="0" w:color="auto"/>
              <w:bottom w:val="single" w:sz="4" w:space="0" w:color="auto"/>
            </w:tcBorders>
            <w:vAlign w:val="center"/>
          </w:tcPr>
          <w:p w14:paraId="4413B391"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E</w:t>
            </w:r>
            <w:r>
              <w:rPr>
                <w:rFonts w:ascii="Helvetica Neue" w:hAnsi="Helvetica Neue" w:cs="Calibri"/>
                <w:b w:val="0"/>
                <w:bCs/>
                <w:sz w:val="20"/>
              </w:rPr>
              <w:t>ffect e</w:t>
            </w:r>
            <w:r w:rsidRPr="00F21684">
              <w:rPr>
                <w:rFonts w:ascii="Helvetica Neue" w:hAnsi="Helvetica Neue" w:cs="Calibri"/>
                <w:b w:val="0"/>
                <w:bCs/>
                <w:sz w:val="20"/>
              </w:rPr>
              <w:t>stimates</w:t>
            </w:r>
          </w:p>
        </w:tc>
        <w:tc>
          <w:tcPr>
            <w:tcW w:w="8909" w:type="dxa"/>
            <w:gridSpan w:val="5"/>
            <w:tcBorders>
              <w:top w:val="single" w:sz="12" w:space="0" w:color="auto"/>
              <w:bottom w:val="single" w:sz="4" w:space="0" w:color="auto"/>
              <w:right w:val="single" w:sz="12" w:space="0" w:color="auto"/>
            </w:tcBorders>
            <w:vAlign w:val="center"/>
          </w:tcPr>
          <w:p w14:paraId="42DCA4A8"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 xml:space="preserve">Report the </w:t>
            </w:r>
            <w:r>
              <w:rPr>
                <w:rFonts w:ascii="Helvetica Neue" w:hAnsi="Helvetica Neue" w:cs="Calibri"/>
                <w:color w:val="000000"/>
                <w:sz w:val="20"/>
                <w:szCs w:val="20"/>
              </w:rPr>
              <w:t xml:space="preserve">effect </w:t>
            </w:r>
            <w:r w:rsidRPr="00F21684">
              <w:rPr>
                <w:rFonts w:ascii="Helvetica Neue" w:hAnsi="Helvetica Neue" w:cs="Calibri"/>
                <w:color w:val="000000"/>
                <w:sz w:val="20"/>
                <w:szCs w:val="20"/>
              </w:rPr>
              <w:t>estimates</w:t>
            </w:r>
            <w:r>
              <w:rPr>
                <w:rFonts w:ascii="Helvetica Neue" w:hAnsi="Helvetica Neue" w:cs="Calibri"/>
                <w:color w:val="000000"/>
                <w:sz w:val="20"/>
                <w:szCs w:val="20"/>
              </w:rPr>
              <w:t xml:space="preserve"> for</w:t>
            </w:r>
            <w:r w:rsidRPr="00F21684">
              <w:rPr>
                <w:rFonts w:ascii="Helvetica Neue" w:hAnsi="Helvetica Neue" w:cs="Calibri"/>
                <w:color w:val="000000"/>
                <w:sz w:val="20"/>
                <w:szCs w:val="20"/>
              </w:rPr>
              <w:t xml:space="preserve"> </w:t>
            </w:r>
            <w:r>
              <w:rPr>
                <w:rFonts w:ascii="Helvetica Neue" w:hAnsi="Helvetica Neue" w:cs="Calibri"/>
                <w:color w:val="000000"/>
                <w:sz w:val="20"/>
                <w:szCs w:val="20"/>
              </w:rPr>
              <w:t xml:space="preserve">each causal contrast </w:t>
            </w:r>
            <w:r w:rsidRPr="00F21684">
              <w:rPr>
                <w:rFonts w:ascii="Helvetica Neue" w:hAnsi="Helvetica Neue" w:cs="Calibri"/>
                <w:color w:val="000000"/>
                <w:sz w:val="20"/>
                <w:szCs w:val="20"/>
              </w:rPr>
              <w:t>with corresponding measures of precision, including both absolute and relative measures of effect, when applicable.</w:t>
            </w:r>
          </w:p>
        </w:tc>
        <w:tc>
          <w:tcPr>
            <w:tcW w:w="3969" w:type="dxa"/>
            <w:gridSpan w:val="2"/>
            <w:tcBorders>
              <w:top w:val="single" w:sz="12" w:space="0" w:color="auto"/>
              <w:bottom w:val="single" w:sz="4" w:space="0" w:color="auto"/>
              <w:right w:val="single" w:sz="12" w:space="0" w:color="auto"/>
            </w:tcBorders>
            <w:vAlign w:val="center"/>
          </w:tcPr>
          <w:p w14:paraId="25A598D9" w14:textId="77777777" w:rsidR="00AD6EB0" w:rsidRDefault="00AD6EB0" w:rsidP="00AD6EB0">
            <w:r>
              <w:t>Results, Table 2, Figure 2. DR-weighted analysis: early albumin associated with 58% reduction in 7-day mortality (HR 0.42; 95%CI 0.24-0.74; P = 0.003). E-value = 4.21. Sensitivity 1 (alb &lt;35 g/L): HR 0.64 (95%CI 0.39-1.05; P = 0.075). Sensitivity 2 (48h window): HR 0.87 (95%CI 0.40-1.91; P = 0.746). 28-day mortality: HR 0.79 (95%CI 0.45-1.36; P = 0.393). New-onset sepsis: OR 0.84 (95%CI 0.49-1.42; P = 0.506). ICU LOS: median difference 5.32 days (95%CI 1.85-8.79; P = 0.003).</w:t>
            </w:r>
          </w:p>
        </w:tc>
      </w:tr>
      <w:tr w:rsidR="00AD6EB0" w:rsidRPr="00F21684" w14:paraId="03C57DBF" w14:textId="77777777" w:rsidTr="007A7349">
        <w:tc>
          <w:tcPr>
            <w:tcW w:w="447" w:type="dxa"/>
            <w:tcBorders>
              <w:left w:val="single" w:sz="4" w:space="0" w:color="auto"/>
              <w:bottom w:val="single" w:sz="24" w:space="0" w:color="auto"/>
            </w:tcBorders>
            <w:vAlign w:val="center"/>
          </w:tcPr>
          <w:p w14:paraId="6E259DEA"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t>14</w:t>
            </w:r>
          </w:p>
        </w:tc>
        <w:tc>
          <w:tcPr>
            <w:tcW w:w="1412" w:type="dxa"/>
            <w:gridSpan w:val="4"/>
            <w:tcBorders>
              <w:top w:val="single" w:sz="12" w:space="0" w:color="auto"/>
              <w:bottom w:val="single" w:sz="24" w:space="0" w:color="auto"/>
            </w:tcBorders>
            <w:vAlign w:val="center"/>
          </w:tcPr>
          <w:p w14:paraId="3428047B" w14:textId="77777777" w:rsidR="00AD6EB0" w:rsidRPr="00F21684" w:rsidRDefault="00AD6EB0" w:rsidP="00AD6EB0">
            <w:pPr>
              <w:pStyle w:val="TableHeader"/>
              <w:spacing w:beforeLines="20" w:before="48" w:afterLines="20" w:after="48" w:line="276" w:lineRule="auto"/>
              <w:rPr>
                <w:rFonts w:ascii="Helvetica Neue" w:hAnsi="Helvetica Neue" w:cs="Calibri"/>
                <w:b w:val="0"/>
                <w:bCs/>
                <w:sz w:val="20"/>
              </w:rPr>
            </w:pPr>
            <w:r w:rsidRPr="00F21684">
              <w:rPr>
                <w:rFonts w:ascii="Helvetica Neue" w:hAnsi="Helvetica Neue" w:cs="Calibri"/>
                <w:b w:val="0"/>
                <w:bCs/>
                <w:sz w:val="20"/>
              </w:rPr>
              <w:t>Additional analyses</w:t>
            </w:r>
          </w:p>
        </w:tc>
        <w:tc>
          <w:tcPr>
            <w:tcW w:w="8909" w:type="dxa"/>
            <w:gridSpan w:val="5"/>
            <w:tcBorders>
              <w:top w:val="single" w:sz="12" w:space="0" w:color="auto"/>
              <w:bottom w:val="single" w:sz="24" w:space="0" w:color="auto"/>
              <w:right w:val="single" w:sz="12" w:space="0" w:color="auto"/>
            </w:tcBorders>
            <w:vAlign w:val="center"/>
          </w:tcPr>
          <w:p w14:paraId="7E40C0DD"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 xml:space="preserve">Report results of all analyses to assess the </w:t>
            </w:r>
            <w:r>
              <w:rPr>
                <w:rFonts w:ascii="Helvetica Neue" w:hAnsi="Helvetica Neue" w:cs="Calibri"/>
                <w:color w:val="000000"/>
                <w:sz w:val="20"/>
                <w:szCs w:val="20"/>
              </w:rPr>
              <w:t>sensitivity</w:t>
            </w:r>
            <w:r w:rsidRPr="00F21684">
              <w:rPr>
                <w:rFonts w:ascii="Helvetica Neue" w:hAnsi="Helvetica Neue" w:cs="Calibri"/>
                <w:color w:val="000000"/>
                <w:sz w:val="20"/>
                <w:szCs w:val="20"/>
              </w:rPr>
              <w:t xml:space="preserve"> of the </w:t>
            </w:r>
            <w:r>
              <w:rPr>
                <w:rFonts w:ascii="Helvetica Neue" w:hAnsi="Helvetica Neue" w:cs="Calibri"/>
                <w:color w:val="000000"/>
                <w:sz w:val="20"/>
                <w:szCs w:val="20"/>
              </w:rPr>
              <w:t>estimates</w:t>
            </w:r>
            <w:r w:rsidRPr="00F21684">
              <w:rPr>
                <w:rFonts w:ascii="Helvetica Neue" w:hAnsi="Helvetica Neue" w:cs="Calibri"/>
                <w:color w:val="000000"/>
                <w:sz w:val="20"/>
                <w:szCs w:val="20"/>
              </w:rPr>
              <w:t xml:space="preserve"> to </w:t>
            </w:r>
            <w:r>
              <w:rPr>
                <w:rFonts w:ascii="Helvetica Neue" w:hAnsi="Helvetica Neue" w:cs="Calibri"/>
                <w:color w:val="000000"/>
                <w:sz w:val="20"/>
                <w:szCs w:val="20"/>
              </w:rPr>
              <w:t xml:space="preserve">choices in operationalizations, </w:t>
            </w:r>
            <w:r w:rsidRPr="00F21684">
              <w:rPr>
                <w:rFonts w:ascii="Helvetica Neue" w:hAnsi="Helvetica Neue" w:cs="Calibri"/>
                <w:color w:val="000000"/>
                <w:sz w:val="20"/>
                <w:szCs w:val="20"/>
              </w:rPr>
              <w:t>assumptions and analysis.</w:t>
            </w:r>
          </w:p>
        </w:tc>
        <w:tc>
          <w:tcPr>
            <w:tcW w:w="3969" w:type="dxa"/>
            <w:gridSpan w:val="2"/>
            <w:tcBorders>
              <w:top w:val="single" w:sz="12" w:space="0" w:color="auto"/>
              <w:bottom w:val="single" w:sz="24" w:space="0" w:color="auto"/>
              <w:right w:val="single" w:sz="12" w:space="0" w:color="auto"/>
            </w:tcBorders>
            <w:vAlign w:val="center"/>
          </w:tcPr>
          <w:p w14:paraId="1533EADB" w14:textId="553C47FC" w:rsidR="00AD6EB0" w:rsidRDefault="00AD6EB0" w:rsidP="00AD6EB0">
            <w:r>
              <w:t>Results, Supplementary Figures SF3a, SF3b, ST3. Subgroup: strongest effect in patients without vasoactive drugs (HR 0.17; 95%CI 0.04-0.70; P-interaction = 0.045). Other subgroups (age, sex, infection, corticosteroids, lactate, platelet) showed consistent direction without significant interaction. Post-hoc 48h landmark: delta-Alb &gt;0 associated with 7-day mortality (0/57 vs 11/83, Fisher P = 0.003). IPTW-weighted: HR 0.70 per 1 g/L delta-Alb (95%CI 0.65-0.75; P &lt; 0.001). RCS: P-overall = 0.012; P-nonlinear = 0.071.</w:t>
            </w:r>
          </w:p>
        </w:tc>
      </w:tr>
      <w:tr w:rsidR="00AD6EB0" w:rsidRPr="00F21684" w14:paraId="2338ED80" w14:textId="77777777" w:rsidTr="007A7349">
        <w:tc>
          <w:tcPr>
            <w:tcW w:w="14737" w:type="dxa"/>
            <w:gridSpan w:val="12"/>
            <w:tcBorders>
              <w:top w:val="single" w:sz="24" w:space="0" w:color="auto"/>
              <w:left w:val="single" w:sz="4" w:space="0" w:color="auto"/>
              <w:bottom w:val="single" w:sz="24" w:space="0" w:color="auto"/>
              <w:right w:val="single" w:sz="12" w:space="0" w:color="auto"/>
            </w:tcBorders>
            <w:shd w:val="clear" w:color="auto" w:fill="CAEDFB" w:themeFill="accent4" w:themeFillTint="33"/>
            <w:vAlign w:val="center"/>
          </w:tcPr>
          <w:p w14:paraId="4A75C5FA" w14:textId="77777777" w:rsidR="00AD6EB0" w:rsidRPr="00F21684" w:rsidRDefault="00AD6EB0" w:rsidP="00AD6EB0">
            <w:pPr>
              <w:spacing w:beforeLines="20" w:before="48" w:afterLines="20" w:after="48" w:line="276" w:lineRule="auto"/>
              <w:ind w:right="-103"/>
              <w:rPr>
                <w:rFonts w:ascii="Helvetica Neue" w:hAnsi="Helvetica Neue" w:cs="Calibri"/>
                <w:b/>
                <w:bCs/>
                <w:sz w:val="20"/>
                <w:szCs w:val="20"/>
              </w:rPr>
            </w:pPr>
            <w:r w:rsidRPr="00F21684">
              <w:rPr>
                <w:rFonts w:ascii="Helvetica Neue" w:hAnsi="Helvetica Neue" w:cs="Calibri"/>
                <w:b/>
                <w:bCs/>
                <w:sz w:val="20"/>
                <w:szCs w:val="20"/>
              </w:rPr>
              <w:t>Discussion</w:t>
            </w:r>
          </w:p>
        </w:tc>
      </w:tr>
      <w:tr w:rsidR="00AD6EB0" w:rsidRPr="00F21684" w14:paraId="37B845AE" w14:textId="77777777" w:rsidTr="007A7349">
        <w:tc>
          <w:tcPr>
            <w:tcW w:w="447" w:type="dxa"/>
            <w:tcBorders>
              <w:top w:val="single" w:sz="24" w:space="0" w:color="auto"/>
              <w:left w:val="single" w:sz="4" w:space="0" w:color="auto"/>
            </w:tcBorders>
          </w:tcPr>
          <w:p w14:paraId="59FC0DA2" w14:textId="77777777" w:rsidR="00AD6EB0" w:rsidRPr="00F21684"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lastRenderedPageBreak/>
              <w:t>15</w:t>
            </w:r>
          </w:p>
        </w:tc>
        <w:tc>
          <w:tcPr>
            <w:tcW w:w="1391" w:type="dxa"/>
            <w:gridSpan w:val="2"/>
            <w:tcBorders>
              <w:top w:val="single" w:sz="24" w:space="0" w:color="auto"/>
              <w:bottom w:val="single" w:sz="4" w:space="0" w:color="auto"/>
            </w:tcBorders>
            <w:vAlign w:val="center"/>
          </w:tcPr>
          <w:p w14:paraId="35A3DA4A" w14:textId="77777777" w:rsidR="00AD6EB0" w:rsidRPr="00F21684" w:rsidRDefault="00AD6EB0" w:rsidP="00AD6EB0">
            <w:pPr>
              <w:pStyle w:val="TableHeader"/>
              <w:spacing w:beforeLines="20" w:before="48" w:afterLines="20" w:after="48" w:line="276" w:lineRule="auto"/>
              <w:ind w:right="-108"/>
              <w:rPr>
                <w:rFonts w:ascii="Helvetica Neue" w:hAnsi="Helvetica Neue" w:cs="Calibri"/>
                <w:b w:val="0"/>
                <w:bCs/>
                <w:sz w:val="20"/>
              </w:rPr>
            </w:pPr>
            <w:r w:rsidRPr="00F21684">
              <w:rPr>
                <w:rFonts w:ascii="Helvetica Neue" w:hAnsi="Helvetica Neue" w:cs="Calibri"/>
                <w:b w:val="0"/>
                <w:bCs/>
                <w:sz w:val="20"/>
              </w:rPr>
              <w:t>Interpretation</w:t>
            </w:r>
          </w:p>
        </w:tc>
        <w:tc>
          <w:tcPr>
            <w:tcW w:w="8930" w:type="dxa"/>
            <w:gridSpan w:val="7"/>
            <w:tcBorders>
              <w:top w:val="single" w:sz="24" w:space="0" w:color="auto"/>
              <w:bottom w:val="single" w:sz="4" w:space="0" w:color="auto"/>
              <w:right w:val="single" w:sz="12" w:space="0" w:color="auto"/>
            </w:tcBorders>
            <w:vAlign w:val="center"/>
          </w:tcPr>
          <w:p w14:paraId="69FA2BF0"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Provide an interpretation of the key findings</w:t>
            </w:r>
            <w:r>
              <w:rPr>
                <w:rFonts w:ascii="Helvetica Neue" w:hAnsi="Helvetica Neue" w:cs="Calibri"/>
                <w:color w:val="000000"/>
                <w:sz w:val="20"/>
                <w:szCs w:val="20"/>
              </w:rPr>
              <w:t>.</w:t>
            </w:r>
          </w:p>
        </w:tc>
        <w:tc>
          <w:tcPr>
            <w:tcW w:w="3969" w:type="dxa"/>
            <w:gridSpan w:val="2"/>
            <w:tcBorders>
              <w:top w:val="single" w:sz="24" w:space="0" w:color="auto"/>
              <w:bottom w:val="single" w:sz="4" w:space="0" w:color="auto"/>
              <w:right w:val="single" w:sz="12" w:space="0" w:color="auto"/>
            </w:tcBorders>
            <w:vAlign w:val="center"/>
          </w:tcPr>
          <w:p w14:paraId="3D7474F9" w14:textId="77777777" w:rsidR="00AD6EB0" w:rsidRDefault="00AD6EB0" w:rsidP="00AD6EB0">
            <w:r>
              <w:t>Discussion. Based on TTE with DR estimation, early albumin within 24h of time zero in children with severe hypoalbuminemia (alb &lt;30 g/L) was associated with reduced 7-day mortality (HR 0.42; 95%CI 0.24-0.74; P = 0.003). The protective effect showed threshold/time-dependent gradient, attenuating with relaxed criteria. To our knowledge, this is among the first pediatric studies using TTE for this question, addressing a gap between biomarker evidence and absent RCTs.</w:t>
            </w:r>
          </w:p>
        </w:tc>
      </w:tr>
      <w:tr w:rsidR="00AD6EB0" w:rsidRPr="00F21684" w14:paraId="4A34331F" w14:textId="77777777" w:rsidTr="007A7349">
        <w:tc>
          <w:tcPr>
            <w:tcW w:w="447" w:type="dxa"/>
            <w:tcBorders>
              <w:left w:val="single" w:sz="4" w:space="0" w:color="auto"/>
              <w:bottom w:val="single" w:sz="4" w:space="0" w:color="auto"/>
            </w:tcBorders>
            <w:vAlign w:val="center"/>
          </w:tcPr>
          <w:p w14:paraId="3355FA28" w14:textId="77777777" w:rsidR="00AD6EB0" w:rsidRDefault="00AD6EB0" w:rsidP="00AD6EB0">
            <w:pPr>
              <w:pStyle w:val="TableHeader"/>
              <w:spacing w:beforeLines="20" w:before="48" w:afterLines="20" w:after="48" w:line="276" w:lineRule="auto"/>
              <w:ind w:right="-602"/>
              <w:rPr>
                <w:rFonts w:ascii="Helvetica Neue" w:hAnsi="Helvetica Neue" w:cs="Calibri"/>
                <w:sz w:val="20"/>
              </w:rPr>
            </w:pPr>
            <w:r>
              <w:rPr>
                <w:rFonts w:ascii="Helvetica Neue" w:hAnsi="Helvetica Neue" w:cs="Calibri"/>
                <w:sz w:val="20"/>
              </w:rPr>
              <w:t>16</w:t>
            </w:r>
          </w:p>
        </w:tc>
        <w:tc>
          <w:tcPr>
            <w:tcW w:w="1391" w:type="dxa"/>
            <w:gridSpan w:val="2"/>
            <w:tcBorders>
              <w:top w:val="single" w:sz="12" w:space="0" w:color="auto"/>
              <w:bottom w:val="single" w:sz="4" w:space="0" w:color="auto"/>
            </w:tcBorders>
            <w:vAlign w:val="center"/>
          </w:tcPr>
          <w:p w14:paraId="046A9120" w14:textId="77777777" w:rsidR="00AD6EB0" w:rsidRPr="00F21684" w:rsidRDefault="00AD6EB0" w:rsidP="00AD6EB0">
            <w:pPr>
              <w:pStyle w:val="TableHeader"/>
              <w:spacing w:beforeLines="20" w:before="48" w:afterLines="20" w:after="48" w:line="276" w:lineRule="auto"/>
              <w:ind w:right="-106"/>
              <w:rPr>
                <w:rFonts w:ascii="Helvetica Neue" w:hAnsi="Helvetica Neue" w:cs="Calibri"/>
                <w:b w:val="0"/>
                <w:bCs/>
                <w:sz w:val="20"/>
              </w:rPr>
            </w:pPr>
            <w:r w:rsidRPr="00F21684">
              <w:rPr>
                <w:rFonts w:ascii="Helvetica Neue" w:hAnsi="Helvetica Neue" w:cs="Calibri"/>
                <w:b w:val="0"/>
                <w:bCs/>
                <w:sz w:val="20"/>
              </w:rPr>
              <w:t>Limitations</w:t>
            </w:r>
          </w:p>
        </w:tc>
        <w:tc>
          <w:tcPr>
            <w:tcW w:w="8930" w:type="dxa"/>
            <w:gridSpan w:val="7"/>
            <w:tcBorders>
              <w:top w:val="single" w:sz="12" w:space="0" w:color="auto"/>
              <w:bottom w:val="single" w:sz="4" w:space="0" w:color="auto"/>
              <w:right w:val="single" w:sz="12" w:space="0" w:color="auto"/>
            </w:tcBorders>
            <w:vAlign w:val="center"/>
          </w:tcPr>
          <w:p w14:paraId="074E1BC5"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Discuss the limitations of the study considering differences between the target trial and its emulation</w:t>
            </w:r>
            <w:r w:rsidRPr="00F21684">
              <w:rPr>
                <w:rFonts w:ascii="Helvetica Neue" w:hAnsi="Helvetica Neue" w:cs="Calibri"/>
                <w:bCs/>
                <w:sz w:val="20"/>
                <w:szCs w:val="20"/>
              </w:rPr>
              <w:t xml:space="preserve"> and the plausibility of assumptions, including assumptions regarding baseline confounding due to lack of randomization.</w:t>
            </w:r>
          </w:p>
        </w:tc>
        <w:tc>
          <w:tcPr>
            <w:tcW w:w="3969" w:type="dxa"/>
            <w:gridSpan w:val="2"/>
            <w:tcBorders>
              <w:top w:val="single" w:sz="12" w:space="0" w:color="auto"/>
              <w:bottom w:val="single" w:sz="4" w:space="0" w:color="auto"/>
              <w:right w:val="single" w:sz="12" w:space="0" w:color="auto"/>
            </w:tcBorders>
            <w:vAlign w:val="center"/>
          </w:tcPr>
          <w:p w14:paraId="5A8C0F4F" w14:textId="4CFF1876" w:rsidR="00AD6EB0" w:rsidRDefault="00AD6EB0" w:rsidP="00AD6EB0">
            <w:r>
              <w:t>Discussion. Limitations: (1) observational design cannot fully eliminate residual confounding (E-value = 4.21 provides partial reassurance but not RCT equivalence); (2) single-center PIC database limits generalizability; (3) post-treatment albumin data available in only 38% of treated patients (selection bias); (</w:t>
            </w:r>
            <w:r w:rsidR="00212C9E">
              <w:rPr>
                <w:rFonts w:eastAsiaTheme="minorEastAsia" w:hint="eastAsia"/>
                <w:lang w:eastAsia="zh-CN"/>
              </w:rPr>
              <w:t>4</w:t>
            </w:r>
            <w:r>
              <w:t>) delta-Alb analysis is exploratory due to non-random recheck. Consistent gradient across sensitivity analyses supports internal validity.</w:t>
            </w:r>
          </w:p>
        </w:tc>
      </w:tr>
      <w:tr w:rsidR="00AD6EB0" w:rsidRPr="00F21684" w14:paraId="662D5F7B" w14:textId="77777777" w:rsidTr="007A7349">
        <w:tc>
          <w:tcPr>
            <w:tcW w:w="14737" w:type="dxa"/>
            <w:gridSpan w:val="12"/>
            <w:tcBorders>
              <w:top w:val="single" w:sz="24" w:space="0" w:color="auto"/>
              <w:left w:val="single" w:sz="4" w:space="0" w:color="auto"/>
              <w:bottom w:val="single" w:sz="24" w:space="0" w:color="auto"/>
              <w:right w:val="single" w:sz="12" w:space="0" w:color="auto"/>
            </w:tcBorders>
            <w:shd w:val="clear" w:color="auto" w:fill="CAEDFB" w:themeFill="accent4" w:themeFillTint="33"/>
            <w:vAlign w:val="center"/>
          </w:tcPr>
          <w:p w14:paraId="4F9A1BE7" w14:textId="77777777" w:rsidR="00AD6EB0" w:rsidRDefault="00AD6EB0" w:rsidP="00AD6EB0">
            <w:pPr>
              <w:spacing w:beforeLines="20" w:before="48" w:afterLines="20" w:after="48" w:line="276" w:lineRule="auto"/>
              <w:ind w:right="-106"/>
              <w:rPr>
                <w:rFonts w:ascii="Helvetica Neue" w:hAnsi="Helvetica Neue" w:cs="Calibri"/>
                <w:b/>
                <w:bCs/>
                <w:sz w:val="20"/>
                <w:szCs w:val="20"/>
              </w:rPr>
            </w:pPr>
            <w:r>
              <w:rPr>
                <w:rFonts w:ascii="Helvetica Neue" w:hAnsi="Helvetica Neue" w:cs="Calibri"/>
                <w:b/>
                <w:bCs/>
                <w:sz w:val="20"/>
                <w:szCs w:val="20"/>
              </w:rPr>
              <w:t>Other information</w:t>
            </w:r>
          </w:p>
        </w:tc>
      </w:tr>
      <w:tr w:rsidR="00AD6EB0" w:rsidRPr="00F21684" w14:paraId="5131979F" w14:textId="77777777" w:rsidTr="007A7349">
        <w:trPr>
          <w:trHeight w:val="286"/>
        </w:trPr>
        <w:tc>
          <w:tcPr>
            <w:tcW w:w="447" w:type="dxa"/>
            <w:tcBorders>
              <w:left w:val="single" w:sz="4" w:space="0" w:color="auto"/>
            </w:tcBorders>
            <w:vAlign w:val="center"/>
          </w:tcPr>
          <w:p w14:paraId="75B4E778" w14:textId="77777777" w:rsidR="00AD6EB0" w:rsidRPr="00F21684" w:rsidRDefault="00AD6EB0" w:rsidP="00AD6EB0">
            <w:pPr>
              <w:spacing w:beforeLines="20" w:before="48" w:afterLines="20" w:after="48" w:line="276" w:lineRule="auto"/>
              <w:ind w:right="-602"/>
              <w:rPr>
                <w:rFonts w:ascii="Helvetica Neue" w:hAnsi="Helvetica Neue" w:cs="Calibri"/>
                <w:b/>
                <w:bCs/>
                <w:sz w:val="20"/>
                <w:szCs w:val="20"/>
              </w:rPr>
            </w:pPr>
            <w:r>
              <w:rPr>
                <w:rFonts w:ascii="Helvetica Neue" w:hAnsi="Helvetica Neue" w:cs="Calibri"/>
                <w:b/>
                <w:bCs/>
                <w:sz w:val="20"/>
                <w:szCs w:val="20"/>
              </w:rPr>
              <w:t>17</w:t>
            </w:r>
          </w:p>
        </w:tc>
        <w:tc>
          <w:tcPr>
            <w:tcW w:w="1412" w:type="dxa"/>
            <w:gridSpan w:val="4"/>
            <w:tcBorders>
              <w:bottom w:val="single" w:sz="12" w:space="0" w:color="auto"/>
            </w:tcBorders>
            <w:vAlign w:val="center"/>
          </w:tcPr>
          <w:p w14:paraId="3820D51D" w14:textId="77777777" w:rsidR="00AD6EB0" w:rsidRPr="00F21684" w:rsidRDefault="00AD6EB0" w:rsidP="00AD6EB0">
            <w:pPr>
              <w:spacing w:beforeLines="20" w:before="48" w:afterLines="20" w:after="48" w:line="276" w:lineRule="auto"/>
              <w:ind w:right="-106"/>
              <w:rPr>
                <w:rFonts w:ascii="Helvetica Neue" w:hAnsi="Helvetica Neue" w:cs="Calibri"/>
                <w:bCs/>
                <w:sz w:val="20"/>
                <w:szCs w:val="20"/>
              </w:rPr>
            </w:pPr>
            <w:r w:rsidRPr="00F21684">
              <w:rPr>
                <w:rFonts w:ascii="Helvetica Neue" w:hAnsi="Helvetica Neue" w:cs="Calibri"/>
                <w:bCs/>
                <w:sz w:val="20"/>
              </w:rPr>
              <w:t>Ethics</w:t>
            </w:r>
          </w:p>
        </w:tc>
        <w:tc>
          <w:tcPr>
            <w:tcW w:w="8909" w:type="dxa"/>
            <w:gridSpan w:val="5"/>
            <w:tcBorders>
              <w:bottom w:val="single" w:sz="12" w:space="0" w:color="auto"/>
              <w:right w:val="single" w:sz="12" w:space="0" w:color="auto"/>
            </w:tcBorders>
            <w:vAlign w:val="center"/>
          </w:tcPr>
          <w:p w14:paraId="5E9C9060" w14:textId="77777777" w:rsidR="00AD6EB0" w:rsidRPr="00F21684" w:rsidRDefault="00AD6EB0" w:rsidP="00AD6EB0">
            <w:pPr>
              <w:spacing w:beforeLines="20" w:before="48" w:afterLines="20" w:after="48" w:line="276" w:lineRule="auto"/>
              <w:rPr>
                <w:rFonts w:ascii="Helvetica Neue" w:hAnsi="Helvetica Neue" w:cs="Calibri"/>
                <w:bCs/>
                <w:sz w:val="20"/>
                <w:szCs w:val="20"/>
              </w:rPr>
            </w:pPr>
            <w:r w:rsidRPr="00C35A08">
              <w:rPr>
                <w:rFonts w:ascii="Helvetica Neue" w:hAnsi="Helvetica Neue" w:cs="Calibri"/>
                <w:bCs/>
                <w:iCs/>
                <w:sz w:val="20"/>
                <w:szCs w:val="20"/>
                <w:lang w:val="en-GB"/>
              </w:rPr>
              <w:t>Provide the institutional research board or ethics committee that approved the study and approval number</w:t>
            </w:r>
            <w:r>
              <w:rPr>
                <w:rFonts w:ascii="Helvetica Neue" w:hAnsi="Helvetica Neue" w:cs="Calibri"/>
                <w:bCs/>
                <w:iCs/>
                <w:sz w:val="20"/>
                <w:szCs w:val="20"/>
                <w:lang w:val="en-GB"/>
              </w:rPr>
              <w:t>s</w:t>
            </w:r>
            <w:r w:rsidRPr="00C35A08">
              <w:rPr>
                <w:rFonts w:ascii="Helvetica Neue" w:hAnsi="Helvetica Neue" w:cs="Calibri"/>
                <w:bCs/>
                <w:iCs/>
                <w:sz w:val="20"/>
                <w:szCs w:val="20"/>
                <w:lang w:val="en-GB"/>
              </w:rPr>
              <w:t xml:space="preserve">, </w:t>
            </w:r>
            <w:r>
              <w:rPr>
                <w:rFonts w:ascii="Helvetica Neue" w:hAnsi="Helvetica Neue" w:cs="Calibri"/>
                <w:bCs/>
                <w:iCs/>
                <w:sz w:val="20"/>
                <w:szCs w:val="20"/>
                <w:lang w:val="en-GB"/>
              </w:rPr>
              <w:t>i</w:t>
            </w:r>
            <w:r w:rsidRPr="00C35A08">
              <w:rPr>
                <w:rFonts w:ascii="Helvetica Neue" w:hAnsi="Helvetica Neue" w:cs="Calibri"/>
                <w:bCs/>
                <w:iCs/>
                <w:sz w:val="20"/>
                <w:szCs w:val="20"/>
                <w:lang w:val="en-GB"/>
              </w:rPr>
              <w:t>f relevant.</w:t>
            </w:r>
          </w:p>
        </w:tc>
        <w:tc>
          <w:tcPr>
            <w:tcW w:w="3969" w:type="dxa"/>
            <w:gridSpan w:val="2"/>
            <w:tcBorders>
              <w:bottom w:val="single" w:sz="12" w:space="0" w:color="auto"/>
              <w:right w:val="single" w:sz="12" w:space="0" w:color="auto"/>
            </w:tcBorders>
            <w:vAlign w:val="center"/>
          </w:tcPr>
          <w:p w14:paraId="375BA0B9" w14:textId="72FA7F15" w:rsidR="00AD6EB0" w:rsidRPr="00212C9E" w:rsidRDefault="00AD6EB0" w:rsidP="00AD6EB0">
            <w:pPr>
              <w:spacing w:beforeLines="20" w:before="48" w:afterLines="20" w:after="48" w:line="276" w:lineRule="auto"/>
              <w:ind w:right="-103"/>
              <w:rPr>
                <w:rFonts w:ascii="Helvetica Neue" w:hAnsi="Helvetica Neue" w:cs="Calibri"/>
                <w:bCs/>
                <w:iCs/>
                <w:lang w:val="en-GB"/>
              </w:rPr>
            </w:pPr>
            <w:r w:rsidRPr="00212C9E">
              <w:t xml:space="preserve">This study was conducted using the publicly available PIC database, which contains fully de-identified patient data. Access to the PIC database requires completion of a data use agreement and </w:t>
            </w:r>
            <w:r w:rsidRPr="00212C9E">
              <w:lastRenderedPageBreak/>
              <w:t>completion of the CITI Data or Specimens Only Research course.</w:t>
            </w:r>
          </w:p>
        </w:tc>
      </w:tr>
      <w:tr w:rsidR="00AD6EB0" w:rsidRPr="00F21684" w14:paraId="3219291F" w14:textId="77777777" w:rsidTr="007A7349">
        <w:trPr>
          <w:trHeight w:val="286"/>
        </w:trPr>
        <w:tc>
          <w:tcPr>
            <w:tcW w:w="447" w:type="dxa"/>
            <w:tcBorders>
              <w:left w:val="single" w:sz="4" w:space="0" w:color="auto"/>
            </w:tcBorders>
            <w:vAlign w:val="center"/>
          </w:tcPr>
          <w:p w14:paraId="7692945D" w14:textId="77777777" w:rsidR="00AD6EB0" w:rsidRPr="00F21684" w:rsidRDefault="00AD6EB0" w:rsidP="00AD6EB0">
            <w:pPr>
              <w:spacing w:beforeLines="20" w:before="48" w:afterLines="20" w:after="48" w:line="276" w:lineRule="auto"/>
              <w:ind w:right="-602"/>
              <w:rPr>
                <w:rFonts w:ascii="Helvetica Neue" w:hAnsi="Helvetica Neue" w:cs="Calibri"/>
                <w:b/>
                <w:bCs/>
                <w:sz w:val="20"/>
                <w:szCs w:val="20"/>
              </w:rPr>
            </w:pPr>
            <w:r>
              <w:rPr>
                <w:rFonts w:ascii="Helvetica Neue" w:hAnsi="Helvetica Neue" w:cs="Calibri"/>
                <w:b/>
                <w:bCs/>
                <w:sz w:val="20"/>
                <w:szCs w:val="20"/>
              </w:rPr>
              <w:lastRenderedPageBreak/>
              <w:t>18</w:t>
            </w:r>
          </w:p>
        </w:tc>
        <w:tc>
          <w:tcPr>
            <w:tcW w:w="1412" w:type="dxa"/>
            <w:gridSpan w:val="4"/>
            <w:tcBorders>
              <w:bottom w:val="single" w:sz="12" w:space="0" w:color="auto"/>
            </w:tcBorders>
            <w:vAlign w:val="center"/>
          </w:tcPr>
          <w:p w14:paraId="7052994F" w14:textId="77777777" w:rsidR="00AD6EB0" w:rsidRPr="00F21684" w:rsidRDefault="00AD6EB0" w:rsidP="00AD6EB0">
            <w:pPr>
              <w:spacing w:beforeLines="20" w:before="48" w:afterLines="20" w:after="48" w:line="276" w:lineRule="auto"/>
              <w:ind w:right="-106"/>
              <w:rPr>
                <w:rFonts w:ascii="Helvetica Neue" w:hAnsi="Helvetica Neue" w:cs="Calibri"/>
                <w:bCs/>
                <w:sz w:val="20"/>
                <w:szCs w:val="20"/>
              </w:rPr>
            </w:pPr>
            <w:r w:rsidRPr="00F21684">
              <w:rPr>
                <w:rFonts w:ascii="Helvetica Neue" w:hAnsi="Helvetica Neue" w:cs="Calibri"/>
                <w:bCs/>
                <w:sz w:val="20"/>
                <w:szCs w:val="20"/>
              </w:rPr>
              <w:t xml:space="preserve">Registration </w:t>
            </w:r>
          </w:p>
        </w:tc>
        <w:tc>
          <w:tcPr>
            <w:tcW w:w="8909" w:type="dxa"/>
            <w:gridSpan w:val="5"/>
            <w:tcBorders>
              <w:bottom w:val="single" w:sz="12" w:space="0" w:color="auto"/>
              <w:right w:val="single" w:sz="12" w:space="0" w:color="auto"/>
            </w:tcBorders>
            <w:vAlign w:val="center"/>
          </w:tcPr>
          <w:p w14:paraId="2BD070B3" w14:textId="77777777" w:rsidR="00AD6EB0" w:rsidRPr="00F21684" w:rsidRDefault="00AD6EB0" w:rsidP="00AD6EB0">
            <w:pPr>
              <w:spacing w:beforeLines="20" w:before="48" w:afterLines="20" w:after="48" w:line="276" w:lineRule="auto"/>
              <w:ind w:right="-103"/>
              <w:rPr>
                <w:rFonts w:ascii="Helvetica Neue" w:hAnsi="Helvetica Neue" w:cs="Calibri"/>
                <w:bCs/>
                <w:sz w:val="20"/>
                <w:szCs w:val="20"/>
              </w:rPr>
            </w:pPr>
            <w:r w:rsidRPr="00F21684">
              <w:rPr>
                <w:rFonts w:ascii="Helvetica Neue" w:hAnsi="Helvetica Neue" w:cs="Calibri"/>
                <w:bCs/>
                <w:sz w:val="20"/>
                <w:szCs w:val="20"/>
              </w:rPr>
              <w:t>State whether, when and where the study protocol was registered.</w:t>
            </w:r>
          </w:p>
        </w:tc>
        <w:tc>
          <w:tcPr>
            <w:tcW w:w="3969" w:type="dxa"/>
            <w:gridSpan w:val="2"/>
            <w:tcBorders>
              <w:bottom w:val="single" w:sz="12" w:space="0" w:color="auto"/>
              <w:right w:val="single" w:sz="12" w:space="0" w:color="auto"/>
            </w:tcBorders>
            <w:vAlign w:val="center"/>
          </w:tcPr>
          <w:p w14:paraId="76804663" w14:textId="77777777" w:rsidR="00AD6EB0" w:rsidRPr="00212C9E" w:rsidRDefault="00AD6EB0" w:rsidP="00AD6EB0">
            <w:pPr>
              <w:spacing w:beforeLines="20" w:before="48" w:afterLines="20" w:after="48" w:line="276" w:lineRule="auto"/>
              <w:ind w:right="-103"/>
              <w:rPr>
                <w:rFonts w:ascii="Helvetica Neue" w:hAnsi="Helvetica Neue" w:cs="Calibri"/>
                <w:bCs/>
              </w:rPr>
            </w:pPr>
            <w:r w:rsidRPr="00212C9E">
              <w:t>This retrospective observational study using a publicly available database was not prospectively registered as a clinical trial.</w:t>
            </w:r>
          </w:p>
        </w:tc>
      </w:tr>
      <w:tr w:rsidR="00AD6EB0" w:rsidRPr="00F21684" w14:paraId="0216FA55" w14:textId="77777777" w:rsidTr="007A7349">
        <w:trPr>
          <w:trHeight w:val="286"/>
        </w:trPr>
        <w:tc>
          <w:tcPr>
            <w:tcW w:w="447" w:type="dxa"/>
            <w:tcBorders>
              <w:left w:val="single" w:sz="4" w:space="0" w:color="auto"/>
            </w:tcBorders>
            <w:vAlign w:val="center"/>
          </w:tcPr>
          <w:p w14:paraId="0A4B4622" w14:textId="77777777" w:rsidR="00AD6EB0" w:rsidRPr="00F21684" w:rsidRDefault="00AD6EB0" w:rsidP="00AD6EB0">
            <w:pPr>
              <w:spacing w:beforeLines="20" w:before="48" w:afterLines="20" w:after="48" w:line="276" w:lineRule="auto"/>
              <w:ind w:right="-602"/>
              <w:rPr>
                <w:rFonts w:ascii="Helvetica Neue" w:hAnsi="Helvetica Neue" w:cs="Calibri"/>
                <w:b/>
                <w:bCs/>
                <w:sz w:val="20"/>
                <w:szCs w:val="20"/>
              </w:rPr>
            </w:pPr>
            <w:r>
              <w:rPr>
                <w:rFonts w:ascii="Helvetica Neue" w:hAnsi="Helvetica Neue" w:cs="Calibri"/>
                <w:b/>
                <w:bCs/>
                <w:sz w:val="20"/>
                <w:szCs w:val="20"/>
              </w:rPr>
              <w:t>19</w:t>
            </w:r>
          </w:p>
        </w:tc>
        <w:tc>
          <w:tcPr>
            <w:tcW w:w="1412" w:type="dxa"/>
            <w:gridSpan w:val="4"/>
            <w:tcBorders>
              <w:top w:val="single" w:sz="12" w:space="0" w:color="auto"/>
              <w:bottom w:val="single" w:sz="12" w:space="0" w:color="auto"/>
            </w:tcBorders>
            <w:vAlign w:val="center"/>
          </w:tcPr>
          <w:p w14:paraId="04CE3EDA" w14:textId="77777777" w:rsidR="00AD6EB0" w:rsidRPr="00F21684" w:rsidRDefault="00AD6EB0" w:rsidP="00AD6EB0">
            <w:pPr>
              <w:spacing w:beforeLines="20" w:before="48" w:afterLines="20" w:after="48" w:line="276" w:lineRule="auto"/>
              <w:ind w:right="-106"/>
              <w:rPr>
                <w:rFonts w:ascii="Helvetica Neue" w:hAnsi="Helvetica Neue" w:cs="Calibri"/>
                <w:bCs/>
                <w:sz w:val="20"/>
                <w:szCs w:val="20"/>
              </w:rPr>
            </w:pPr>
            <w:r w:rsidRPr="00F21684">
              <w:rPr>
                <w:rFonts w:ascii="Helvetica Neue" w:hAnsi="Helvetica Neue" w:cs="Calibri"/>
                <w:bCs/>
                <w:sz w:val="20"/>
                <w:szCs w:val="20"/>
              </w:rPr>
              <w:t>Sharing of study materials</w:t>
            </w:r>
          </w:p>
        </w:tc>
        <w:tc>
          <w:tcPr>
            <w:tcW w:w="8909" w:type="dxa"/>
            <w:gridSpan w:val="5"/>
            <w:tcBorders>
              <w:top w:val="single" w:sz="12" w:space="0" w:color="auto"/>
              <w:bottom w:val="single" w:sz="12" w:space="0" w:color="auto"/>
              <w:right w:val="single" w:sz="12" w:space="0" w:color="auto"/>
            </w:tcBorders>
            <w:vAlign w:val="center"/>
          </w:tcPr>
          <w:p w14:paraId="774DE305" w14:textId="77777777" w:rsidR="00AD6EB0" w:rsidRPr="00F21684" w:rsidRDefault="00AD6EB0" w:rsidP="00AD6EB0">
            <w:pPr>
              <w:spacing w:beforeLines="20" w:before="48" w:afterLines="20" w:after="48" w:line="276" w:lineRule="auto"/>
              <w:ind w:right="-103"/>
              <w:rPr>
                <w:rFonts w:ascii="Helvetica Neue" w:hAnsi="Helvetica Neue" w:cs="Calibri"/>
                <w:bCs/>
                <w:sz w:val="20"/>
                <w:szCs w:val="20"/>
              </w:rPr>
            </w:pPr>
            <w:r w:rsidRPr="00F21684">
              <w:rPr>
                <w:rFonts w:ascii="Helvetica Neue" w:hAnsi="Helvetica Neue" w:cs="Calibri"/>
                <w:bCs/>
                <w:sz w:val="20"/>
                <w:szCs w:val="20"/>
              </w:rPr>
              <w:t>Provide information on whether data, analytic code and/or other materials are accessible, and where and how they can be accessed.</w:t>
            </w:r>
          </w:p>
        </w:tc>
        <w:tc>
          <w:tcPr>
            <w:tcW w:w="3969" w:type="dxa"/>
            <w:gridSpan w:val="2"/>
            <w:tcBorders>
              <w:top w:val="single" w:sz="12" w:space="0" w:color="auto"/>
              <w:bottom w:val="single" w:sz="12" w:space="0" w:color="auto"/>
              <w:right w:val="single" w:sz="12" w:space="0" w:color="auto"/>
            </w:tcBorders>
            <w:vAlign w:val="center"/>
          </w:tcPr>
          <w:p w14:paraId="020B2F01" w14:textId="0EEA2D43" w:rsidR="00AD6EB0" w:rsidRPr="00212C9E" w:rsidRDefault="00AD6EB0" w:rsidP="00AD6EB0">
            <w:pPr>
              <w:spacing w:beforeLines="20" w:before="48" w:afterLines="20" w:after="48" w:line="276" w:lineRule="auto"/>
              <w:ind w:right="-103"/>
              <w:rPr>
                <w:rFonts w:ascii="Helvetica Neue" w:hAnsi="Helvetica Neue" w:cs="Calibri"/>
                <w:bCs/>
              </w:rPr>
            </w:pPr>
            <w:r w:rsidRPr="00212C9E">
              <w:t xml:space="preserve">The PIC database is publicly available at http://pic.nbscn.org/ after completing required training and data use agreements. </w:t>
            </w:r>
          </w:p>
        </w:tc>
      </w:tr>
      <w:tr w:rsidR="00AD6EB0" w:rsidRPr="00F21684" w14:paraId="132E5C98" w14:textId="77777777" w:rsidTr="007A7349">
        <w:trPr>
          <w:trHeight w:val="286"/>
        </w:trPr>
        <w:tc>
          <w:tcPr>
            <w:tcW w:w="447" w:type="dxa"/>
            <w:tcBorders>
              <w:left w:val="single" w:sz="4" w:space="0" w:color="auto"/>
            </w:tcBorders>
            <w:vAlign w:val="center"/>
          </w:tcPr>
          <w:p w14:paraId="468E2E80" w14:textId="77777777" w:rsidR="00AD6EB0" w:rsidRPr="00F21684" w:rsidRDefault="00AD6EB0" w:rsidP="00AD6EB0">
            <w:pPr>
              <w:spacing w:beforeLines="20" w:before="48" w:afterLines="20" w:after="48" w:line="276" w:lineRule="auto"/>
              <w:ind w:right="-602"/>
              <w:rPr>
                <w:rFonts w:ascii="Helvetica Neue" w:hAnsi="Helvetica Neue" w:cs="Calibri"/>
                <w:b/>
                <w:bCs/>
                <w:sz w:val="20"/>
                <w:szCs w:val="20"/>
              </w:rPr>
            </w:pPr>
            <w:r>
              <w:rPr>
                <w:rFonts w:ascii="Helvetica Neue" w:hAnsi="Helvetica Neue" w:cs="Calibri"/>
                <w:b/>
                <w:bCs/>
                <w:sz w:val="20"/>
                <w:szCs w:val="20"/>
              </w:rPr>
              <w:t>20</w:t>
            </w:r>
          </w:p>
        </w:tc>
        <w:tc>
          <w:tcPr>
            <w:tcW w:w="1412" w:type="dxa"/>
            <w:gridSpan w:val="4"/>
            <w:tcBorders>
              <w:top w:val="single" w:sz="12" w:space="0" w:color="auto"/>
              <w:bottom w:val="single" w:sz="12" w:space="0" w:color="auto"/>
            </w:tcBorders>
            <w:vAlign w:val="center"/>
          </w:tcPr>
          <w:p w14:paraId="579AC800" w14:textId="77777777" w:rsidR="00AD6EB0" w:rsidRPr="00F21684" w:rsidRDefault="00AD6EB0" w:rsidP="00AD6EB0">
            <w:pPr>
              <w:spacing w:beforeLines="20" w:before="48" w:afterLines="20" w:after="48" w:line="276" w:lineRule="auto"/>
              <w:ind w:right="-106"/>
              <w:rPr>
                <w:rFonts w:ascii="Helvetica Neue" w:hAnsi="Helvetica Neue" w:cs="Calibri"/>
                <w:bCs/>
                <w:sz w:val="20"/>
                <w:szCs w:val="20"/>
              </w:rPr>
            </w:pPr>
            <w:r w:rsidRPr="00F21684">
              <w:rPr>
                <w:rFonts w:ascii="Helvetica Neue" w:hAnsi="Helvetica Neue" w:cs="Calibri"/>
                <w:bCs/>
                <w:sz w:val="20"/>
                <w:szCs w:val="20"/>
              </w:rPr>
              <w:t>Funding source</w:t>
            </w:r>
            <w:r>
              <w:rPr>
                <w:rFonts w:ascii="Helvetica Neue" w:hAnsi="Helvetica Neue" w:cs="Calibri"/>
                <w:bCs/>
                <w:sz w:val="20"/>
                <w:szCs w:val="20"/>
              </w:rPr>
              <w:t>s</w:t>
            </w:r>
          </w:p>
        </w:tc>
        <w:tc>
          <w:tcPr>
            <w:tcW w:w="8909" w:type="dxa"/>
            <w:gridSpan w:val="5"/>
            <w:tcBorders>
              <w:top w:val="single" w:sz="12" w:space="0" w:color="auto"/>
              <w:bottom w:val="single" w:sz="12" w:space="0" w:color="auto"/>
              <w:right w:val="single" w:sz="12" w:space="0" w:color="auto"/>
            </w:tcBorders>
            <w:vAlign w:val="center"/>
          </w:tcPr>
          <w:p w14:paraId="67F78296" w14:textId="77777777" w:rsidR="00AD6EB0" w:rsidRPr="00F21684" w:rsidRDefault="00AD6EB0" w:rsidP="00AD6EB0">
            <w:pPr>
              <w:spacing w:beforeLines="20" w:before="48" w:afterLines="20" w:after="48" w:line="276" w:lineRule="auto"/>
              <w:ind w:right="-103"/>
              <w:rPr>
                <w:rFonts w:ascii="Helvetica Neue" w:hAnsi="Helvetica Neue" w:cs="Calibri"/>
                <w:bCs/>
                <w:sz w:val="20"/>
                <w:szCs w:val="20"/>
              </w:rPr>
            </w:pPr>
            <w:r w:rsidRPr="00F21684">
              <w:rPr>
                <w:rFonts w:ascii="Helvetica Neue" w:hAnsi="Helvetica Neue" w:cs="Calibri"/>
                <w:color w:val="000000"/>
                <w:sz w:val="20"/>
                <w:szCs w:val="20"/>
              </w:rPr>
              <w:t>Provide the source</w:t>
            </w:r>
            <w:r>
              <w:rPr>
                <w:rFonts w:ascii="Helvetica Neue" w:hAnsi="Helvetica Neue" w:cs="Calibri"/>
                <w:color w:val="000000"/>
                <w:sz w:val="20"/>
                <w:szCs w:val="20"/>
              </w:rPr>
              <w:t>s</w:t>
            </w:r>
            <w:r w:rsidRPr="00F21684">
              <w:rPr>
                <w:rFonts w:ascii="Helvetica Neue" w:hAnsi="Helvetica Neue" w:cs="Calibri"/>
                <w:color w:val="000000"/>
                <w:sz w:val="20"/>
                <w:szCs w:val="20"/>
              </w:rPr>
              <w:t xml:space="preserve"> of funding and detail the role of the funder</w:t>
            </w:r>
            <w:r>
              <w:rPr>
                <w:rFonts w:ascii="Helvetica Neue" w:hAnsi="Helvetica Neue" w:cs="Calibri"/>
                <w:color w:val="000000"/>
                <w:sz w:val="20"/>
                <w:szCs w:val="20"/>
              </w:rPr>
              <w:t>s</w:t>
            </w:r>
            <w:r w:rsidRPr="00F21684">
              <w:rPr>
                <w:rFonts w:ascii="Helvetica Neue" w:hAnsi="Helvetica Neue" w:cs="Calibri"/>
                <w:color w:val="000000"/>
                <w:sz w:val="20"/>
                <w:szCs w:val="20"/>
              </w:rPr>
              <w:t xml:space="preserve"> in the design, conduct and reporting of the study.</w:t>
            </w:r>
          </w:p>
        </w:tc>
        <w:tc>
          <w:tcPr>
            <w:tcW w:w="3969" w:type="dxa"/>
            <w:gridSpan w:val="2"/>
            <w:tcBorders>
              <w:top w:val="single" w:sz="12" w:space="0" w:color="auto"/>
              <w:bottom w:val="single" w:sz="12" w:space="0" w:color="auto"/>
              <w:right w:val="single" w:sz="12" w:space="0" w:color="auto"/>
            </w:tcBorders>
            <w:vAlign w:val="center"/>
          </w:tcPr>
          <w:p w14:paraId="1D59A57D" w14:textId="77777777" w:rsidR="00AD6EB0" w:rsidRPr="00212C9E" w:rsidRDefault="00AD6EB0" w:rsidP="00AD6EB0">
            <w:pPr>
              <w:spacing w:beforeLines="20" w:before="48" w:afterLines="20" w:after="48" w:line="276" w:lineRule="auto"/>
              <w:ind w:right="-103"/>
              <w:rPr>
                <w:rFonts w:ascii="Helvetica Neue" w:hAnsi="Helvetica Neue" w:cs="Calibri"/>
                <w:color w:val="000000"/>
              </w:rPr>
            </w:pPr>
            <w:r w:rsidRPr="00212C9E">
              <w:t>This study was supported by [to be completed]. The funders had no role in study design, data analysis, interpretation, or manuscript preparation.</w:t>
            </w:r>
          </w:p>
        </w:tc>
      </w:tr>
      <w:tr w:rsidR="00AD6EB0" w:rsidRPr="00F21684" w14:paraId="79B25829" w14:textId="77777777" w:rsidTr="007A7349">
        <w:trPr>
          <w:trHeight w:val="286"/>
        </w:trPr>
        <w:tc>
          <w:tcPr>
            <w:tcW w:w="447" w:type="dxa"/>
            <w:tcBorders>
              <w:left w:val="single" w:sz="4" w:space="0" w:color="auto"/>
              <w:bottom w:val="single" w:sz="6" w:space="0" w:color="auto"/>
            </w:tcBorders>
            <w:vAlign w:val="center"/>
          </w:tcPr>
          <w:p w14:paraId="74A2DED3" w14:textId="77777777" w:rsidR="00AD6EB0" w:rsidRDefault="00AD6EB0" w:rsidP="00AD6EB0">
            <w:pPr>
              <w:spacing w:beforeLines="20" w:before="48" w:afterLines="20" w:after="48" w:line="276" w:lineRule="auto"/>
              <w:ind w:right="-602"/>
              <w:rPr>
                <w:rFonts w:ascii="Helvetica Neue" w:hAnsi="Helvetica Neue" w:cs="Calibri"/>
                <w:b/>
                <w:bCs/>
                <w:sz w:val="20"/>
                <w:szCs w:val="20"/>
              </w:rPr>
            </w:pPr>
            <w:r>
              <w:rPr>
                <w:rFonts w:ascii="Helvetica Neue" w:hAnsi="Helvetica Neue" w:cs="Calibri"/>
                <w:b/>
                <w:bCs/>
                <w:sz w:val="20"/>
                <w:szCs w:val="20"/>
              </w:rPr>
              <w:t>21</w:t>
            </w:r>
          </w:p>
        </w:tc>
        <w:tc>
          <w:tcPr>
            <w:tcW w:w="1412" w:type="dxa"/>
            <w:gridSpan w:val="4"/>
            <w:tcBorders>
              <w:top w:val="single" w:sz="12" w:space="0" w:color="auto"/>
              <w:bottom w:val="single" w:sz="6" w:space="0" w:color="auto"/>
            </w:tcBorders>
            <w:vAlign w:val="center"/>
          </w:tcPr>
          <w:p w14:paraId="274B39EB" w14:textId="77777777" w:rsidR="00AD6EB0" w:rsidRPr="00F21684" w:rsidRDefault="00AD6EB0" w:rsidP="00AD6EB0">
            <w:pPr>
              <w:spacing w:beforeLines="20" w:before="48" w:afterLines="20" w:after="48" w:line="276" w:lineRule="auto"/>
              <w:ind w:right="-106"/>
              <w:rPr>
                <w:rFonts w:ascii="Helvetica Neue" w:hAnsi="Helvetica Neue" w:cs="Calibri"/>
                <w:bCs/>
                <w:sz w:val="20"/>
                <w:szCs w:val="20"/>
              </w:rPr>
            </w:pPr>
            <w:r w:rsidRPr="00F21684">
              <w:rPr>
                <w:rFonts w:ascii="Helvetica Neue" w:hAnsi="Helvetica Neue" w:cs="Calibri"/>
                <w:bCs/>
                <w:sz w:val="20"/>
                <w:szCs w:val="20"/>
              </w:rPr>
              <w:t>Conflicts of interest</w:t>
            </w:r>
          </w:p>
        </w:tc>
        <w:tc>
          <w:tcPr>
            <w:tcW w:w="8909" w:type="dxa"/>
            <w:gridSpan w:val="5"/>
            <w:tcBorders>
              <w:top w:val="single" w:sz="12" w:space="0" w:color="auto"/>
              <w:bottom w:val="single" w:sz="6" w:space="0" w:color="auto"/>
              <w:right w:val="single" w:sz="12" w:space="0" w:color="auto"/>
            </w:tcBorders>
            <w:vAlign w:val="center"/>
          </w:tcPr>
          <w:p w14:paraId="0BF9AA31" w14:textId="77777777" w:rsidR="00AD6EB0" w:rsidRPr="00F21684" w:rsidRDefault="00AD6EB0" w:rsidP="00AD6EB0">
            <w:pPr>
              <w:spacing w:beforeLines="20" w:before="48" w:afterLines="20" w:after="48" w:line="276" w:lineRule="auto"/>
              <w:ind w:right="-103"/>
              <w:rPr>
                <w:rFonts w:ascii="Helvetica Neue" w:hAnsi="Helvetica Neue" w:cs="Calibri"/>
                <w:color w:val="000000"/>
                <w:sz w:val="20"/>
                <w:szCs w:val="20"/>
              </w:rPr>
            </w:pPr>
            <w:r w:rsidRPr="00F21684">
              <w:rPr>
                <w:rFonts w:ascii="Helvetica Neue" w:hAnsi="Helvetica Neue" w:cs="Calibri"/>
                <w:color w:val="000000"/>
                <w:sz w:val="20"/>
                <w:szCs w:val="20"/>
              </w:rPr>
              <w:t>State any conflicts of interest and financial disclosures for all authors.</w:t>
            </w:r>
          </w:p>
        </w:tc>
        <w:tc>
          <w:tcPr>
            <w:tcW w:w="3969" w:type="dxa"/>
            <w:gridSpan w:val="2"/>
            <w:tcBorders>
              <w:top w:val="single" w:sz="12" w:space="0" w:color="auto"/>
              <w:bottom w:val="single" w:sz="6" w:space="0" w:color="auto"/>
              <w:right w:val="single" w:sz="12" w:space="0" w:color="auto"/>
            </w:tcBorders>
            <w:vAlign w:val="center"/>
          </w:tcPr>
          <w:p w14:paraId="0402C7A9" w14:textId="77777777" w:rsidR="00AD6EB0" w:rsidRPr="00212C9E" w:rsidRDefault="00AD6EB0" w:rsidP="00AD6EB0">
            <w:pPr>
              <w:spacing w:beforeLines="20" w:before="48" w:afterLines="20" w:after="48" w:line="276" w:lineRule="auto"/>
              <w:ind w:right="-103"/>
              <w:rPr>
                <w:rFonts w:ascii="Helvetica Neue" w:hAnsi="Helvetica Neue" w:cs="Calibri"/>
                <w:color w:val="000000"/>
              </w:rPr>
            </w:pPr>
            <w:r w:rsidRPr="00212C9E">
              <w:t>The authors declare no conflicts of interest.</w:t>
            </w:r>
          </w:p>
        </w:tc>
      </w:tr>
    </w:tbl>
    <w:p w14:paraId="49ED1ED2" w14:textId="77777777" w:rsidR="001C32C8" w:rsidRDefault="001C32C8" w:rsidP="00F126AB">
      <w:pPr>
        <w:pStyle w:val="af0"/>
        <w:spacing w:line="276" w:lineRule="auto"/>
        <w:ind w:right="90"/>
        <w:rPr>
          <w:rFonts w:ascii="Helvetica Neue" w:hAnsi="Helvetica Neue"/>
          <w:color w:val="7F7F7F" w:themeColor="text1" w:themeTint="80"/>
          <w:sz w:val="18"/>
          <w:szCs w:val="18"/>
        </w:rPr>
      </w:pPr>
    </w:p>
    <w:p w14:paraId="28C436EE" w14:textId="77777777" w:rsidR="004B6690" w:rsidRDefault="00B11500" w:rsidP="00AE6C10">
      <w:pPr>
        <w:pStyle w:val="af0"/>
        <w:spacing w:line="276" w:lineRule="auto"/>
        <w:ind w:right="90"/>
      </w:pPr>
      <w:r w:rsidRPr="00B11500">
        <w:rPr>
          <w:rFonts w:ascii="Helvetica Neue" w:hAnsi="Helvetica Neue"/>
          <w:color w:val="7F7F7F" w:themeColor="text1" w:themeTint="80"/>
          <w:sz w:val="18"/>
          <w:szCs w:val="18"/>
        </w:rPr>
        <w:t>Citation: Cashin AG, Hansford HJ, Hernán MA, Swanson SA, Lee H, Jones MD, et al. Transparent Reporting of Observational Studies Emulating a Target Trial: The TARGET Statement. JAMA. 2025; DOI: 10.1001/jama.2025.13350</w:t>
      </w:r>
      <w:r w:rsidR="00216782" w:rsidRPr="002F66B2">
        <w:rPr>
          <w:rFonts w:ascii="Helvetica Neue" w:hAnsi="Helvetica Neue"/>
          <w:color w:val="7F7F7F" w:themeColor="text1" w:themeTint="80"/>
          <w:sz w:val="18"/>
          <w:szCs w:val="18"/>
        </w:rPr>
        <w:br/>
      </w:r>
      <w:r w:rsidR="00AE6C10" w:rsidRPr="00AE6C10">
        <w:rPr>
          <w:rFonts w:ascii="Helvetica Neue" w:hAnsi="Helvetica Neue"/>
          <w:color w:val="7F7F7F" w:themeColor="text1" w:themeTint="80"/>
          <w:sz w:val="18"/>
          <w:szCs w:val="18"/>
        </w:rPr>
        <w:t>© 2025 Cashin et al. This is an Open Access article distributed under the terms of the Creative Commons Attribution-</w:t>
      </w:r>
      <w:proofErr w:type="spellStart"/>
      <w:r w:rsidR="00AE6C10" w:rsidRPr="00AE6C10">
        <w:rPr>
          <w:rFonts w:ascii="Helvetica Neue" w:hAnsi="Helvetica Neue"/>
          <w:color w:val="7F7F7F" w:themeColor="text1" w:themeTint="80"/>
          <w:sz w:val="18"/>
          <w:szCs w:val="18"/>
        </w:rPr>
        <w:t>NoDerivatives</w:t>
      </w:r>
      <w:proofErr w:type="spellEnd"/>
      <w:r w:rsidR="00AE6C10" w:rsidRPr="00AE6C10">
        <w:rPr>
          <w:rFonts w:ascii="Helvetica Neue" w:hAnsi="Helvetica Neue"/>
          <w:color w:val="7F7F7F" w:themeColor="text1" w:themeTint="80"/>
          <w:sz w:val="18"/>
          <w:szCs w:val="18"/>
        </w:rPr>
        <w:t xml:space="preserve"> License (CC BY-ND 4.0), which permits redistribution, commercial and non-commercial, provided the work is passed along unchanged and in whole, with credit to the original author(s)</w:t>
      </w:r>
      <w:r w:rsidR="00AE6C10">
        <w:rPr>
          <w:rFonts w:ascii="Helvetica Neue" w:hAnsi="Helvetica Neue"/>
          <w:color w:val="7F7F7F" w:themeColor="text1" w:themeTint="80"/>
          <w:sz w:val="18"/>
          <w:szCs w:val="18"/>
        </w:rPr>
        <w:t>.</w:t>
      </w:r>
    </w:p>
    <w:sectPr w:rsidR="004B6690" w:rsidSect="006E1EAB">
      <w:headerReference w:type="first" r:id="rId7"/>
      <w:pgSz w:w="16838" w:h="11906" w:orient="landscape"/>
      <w:pgMar w:top="1199" w:right="1409" w:bottom="825" w:left="1244" w:header="614" w:footer="1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7E231" w14:textId="77777777" w:rsidR="004621BB" w:rsidRDefault="004621BB" w:rsidP="00D055BB">
      <w:r>
        <w:separator/>
      </w:r>
    </w:p>
  </w:endnote>
  <w:endnote w:type="continuationSeparator" w:id="0">
    <w:p w14:paraId="42FE8E99" w14:textId="77777777" w:rsidR="004621BB" w:rsidRDefault="004621BB" w:rsidP="00D05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E298" w14:textId="77777777" w:rsidR="004621BB" w:rsidRDefault="004621BB" w:rsidP="00D055BB">
      <w:r>
        <w:separator/>
      </w:r>
    </w:p>
  </w:footnote>
  <w:footnote w:type="continuationSeparator" w:id="0">
    <w:p w14:paraId="450F7B77" w14:textId="77777777" w:rsidR="004621BB" w:rsidRDefault="004621BB" w:rsidP="00D05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81346" w14:textId="77777777" w:rsidR="0066245D" w:rsidRDefault="00A523C1" w:rsidP="00916BFB">
    <w:pPr>
      <w:tabs>
        <w:tab w:val="left" w:pos="12217"/>
      </w:tabs>
      <w:spacing w:line="360" w:lineRule="auto"/>
      <w:jc w:val="both"/>
      <w:rPr>
        <w:rFonts w:ascii="Helvetica Neue" w:hAnsi="Helvetica Neue"/>
        <w:b/>
        <w:bCs/>
      </w:rPr>
    </w:pPr>
    <w:r>
      <w:rPr>
        <w:rFonts w:ascii="Helvetica Neue" w:hAnsi="Helvetica Neue"/>
        <w:b/>
        <w:bCs/>
        <w:noProof/>
        <w14:ligatures w14:val="standardContextual"/>
      </w:rPr>
      <w:drawing>
        <wp:anchor distT="0" distB="0" distL="114300" distR="114300" simplePos="0" relativeHeight="251658240" behindDoc="0" locked="0" layoutInCell="1" allowOverlap="1" wp14:anchorId="19C66A58" wp14:editId="6BEA61FF">
          <wp:simplePos x="0" y="0"/>
          <wp:positionH relativeFrom="column">
            <wp:posOffset>7340600</wp:posOffset>
          </wp:positionH>
          <wp:positionV relativeFrom="paragraph">
            <wp:posOffset>-261538</wp:posOffset>
          </wp:positionV>
          <wp:extent cx="2237127" cy="549793"/>
          <wp:effectExtent l="0" t="0" r="0" b="0"/>
          <wp:wrapNone/>
          <wp:docPr id="1153319872"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19872" name="Picture 1" descr="A 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237127" cy="549793"/>
                  </a:xfrm>
                  <a:prstGeom prst="rect">
                    <a:avLst/>
                  </a:prstGeom>
                </pic:spPr>
              </pic:pic>
            </a:graphicData>
          </a:graphic>
          <wp14:sizeRelH relativeFrom="page">
            <wp14:pctWidth>0</wp14:pctWidth>
          </wp14:sizeRelH>
          <wp14:sizeRelV relativeFrom="page">
            <wp14:pctHeight>0</wp14:pctHeight>
          </wp14:sizeRelV>
        </wp:anchor>
      </w:drawing>
    </w:r>
    <w:r w:rsidR="0066245D">
      <w:rPr>
        <w:rFonts w:ascii="Helvetica Neue" w:hAnsi="Helvetica Neue"/>
        <w:b/>
        <w:bCs/>
      </w:rPr>
      <w:t xml:space="preserve">The </w:t>
    </w:r>
    <w:r w:rsidR="0066245D" w:rsidRPr="003B75B9">
      <w:rPr>
        <w:rFonts w:ascii="Helvetica Neue" w:hAnsi="Helvetica Neue"/>
        <w:b/>
        <w:bCs/>
      </w:rPr>
      <w:t xml:space="preserve">TARGET </w:t>
    </w:r>
    <w:r w:rsidR="0066245D">
      <w:rPr>
        <w:rFonts w:ascii="Helvetica Neue" w:hAnsi="Helvetica Neue"/>
        <w:b/>
        <w:bCs/>
      </w:rPr>
      <w:t>(</w:t>
    </w:r>
    <w:proofErr w:type="spellStart"/>
    <w:r w:rsidR="0066245D" w:rsidRPr="003B75B9">
      <w:rPr>
        <w:rFonts w:ascii="Helvetica Neue" w:hAnsi="Helvetica Neue"/>
        <w:b/>
        <w:bCs/>
      </w:rPr>
      <w:t>Tr</w:t>
    </w:r>
    <w:r w:rsidR="00044A38">
      <w:rPr>
        <w:rFonts w:ascii="Helvetica Neue" w:hAnsi="Helvetica Neue"/>
        <w:b/>
        <w:bCs/>
      </w:rPr>
      <w:t>A</w:t>
    </w:r>
    <w:r w:rsidR="0066245D" w:rsidRPr="003B75B9">
      <w:rPr>
        <w:rFonts w:ascii="Helvetica Neue" w:hAnsi="Helvetica Neue"/>
        <w:b/>
        <w:bCs/>
      </w:rPr>
      <w:t>nsparent</w:t>
    </w:r>
    <w:proofErr w:type="spellEnd"/>
    <w:r w:rsidR="0066245D" w:rsidRPr="003B75B9">
      <w:rPr>
        <w:rFonts w:ascii="Helvetica Neue" w:hAnsi="Helvetica Neue"/>
        <w:b/>
        <w:bCs/>
      </w:rPr>
      <w:t xml:space="preserve"> </w:t>
    </w:r>
    <w:proofErr w:type="spellStart"/>
    <w:r w:rsidR="0066245D" w:rsidRPr="003B75B9">
      <w:rPr>
        <w:rFonts w:ascii="Helvetica Neue" w:hAnsi="Helvetica Neue"/>
        <w:b/>
        <w:bCs/>
      </w:rPr>
      <w:t>Reportin</w:t>
    </w:r>
    <w:r w:rsidR="00044A38">
      <w:rPr>
        <w:rFonts w:ascii="Helvetica Neue" w:hAnsi="Helvetica Neue"/>
        <w:b/>
        <w:bCs/>
      </w:rPr>
      <w:t>G</w:t>
    </w:r>
    <w:proofErr w:type="spellEnd"/>
    <w:r w:rsidR="0066245D" w:rsidRPr="003B75B9">
      <w:rPr>
        <w:rFonts w:ascii="Helvetica Neue" w:hAnsi="Helvetica Neue"/>
        <w:b/>
        <w:bCs/>
      </w:rPr>
      <w:t xml:space="preserve"> of </w:t>
    </w:r>
    <w:r w:rsidR="00044A38">
      <w:rPr>
        <w:rFonts w:ascii="Helvetica Neue" w:hAnsi="Helvetica Neue"/>
        <w:b/>
        <w:bCs/>
      </w:rPr>
      <w:t>o</w:t>
    </w:r>
    <w:r w:rsidR="0066245D" w:rsidRPr="003B75B9">
      <w:rPr>
        <w:rFonts w:ascii="Helvetica Neue" w:hAnsi="Helvetica Neue"/>
        <w:b/>
        <w:bCs/>
      </w:rPr>
      <w:t xml:space="preserve">bservational </w:t>
    </w:r>
    <w:r w:rsidR="00044A38">
      <w:rPr>
        <w:rFonts w:ascii="Helvetica Neue" w:hAnsi="Helvetica Neue"/>
        <w:b/>
        <w:bCs/>
      </w:rPr>
      <w:t>s</w:t>
    </w:r>
    <w:r w:rsidR="0066245D" w:rsidRPr="003B75B9">
      <w:rPr>
        <w:rFonts w:ascii="Helvetica Neue" w:hAnsi="Helvetica Neue"/>
        <w:b/>
        <w:bCs/>
      </w:rPr>
      <w:t xml:space="preserve">tudies Emulating </w:t>
    </w:r>
    <w:r w:rsidR="0066245D" w:rsidRPr="00997F67">
      <w:rPr>
        <w:rFonts w:ascii="Helvetica Neue" w:hAnsi="Helvetica Neue"/>
        <w:b/>
      </w:rPr>
      <w:t xml:space="preserve">a </w:t>
    </w:r>
    <w:r w:rsidR="0066245D" w:rsidRPr="00997F67">
      <w:rPr>
        <w:rFonts w:ascii="Helvetica Neue" w:hAnsi="Helvetica Neue"/>
        <w:b/>
        <w:bCs/>
      </w:rPr>
      <w:t>Target</w:t>
    </w:r>
    <w:r w:rsidR="0066245D" w:rsidRPr="003B75B9">
      <w:rPr>
        <w:rFonts w:ascii="Helvetica Neue" w:hAnsi="Helvetica Neue"/>
        <w:b/>
        <w:bCs/>
      </w:rPr>
      <w:t xml:space="preserve"> </w:t>
    </w:r>
    <w:r w:rsidR="00044A38">
      <w:rPr>
        <w:rFonts w:ascii="Helvetica Neue" w:hAnsi="Helvetica Neue"/>
        <w:b/>
        <w:bCs/>
      </w:rPr>
      <w:t>t</w:t>
    </w:r>
    <w:r w:rsidR="0066245D" w:rsidRPr="003B75B9">
      <w:rPr>
        <w:rFonts w:ascii="Helvetica Neue" w:hAnsi="Helvetica Neue"/>
        <w:b/>
        <w:bCs/>
      </w:rPr>
      <w:t>rial</w:t>
    </w:r>
    <w:r w:rsidR="0066245D">
      <w:rPr>
        <w:rFonts w:ascii="Helvetica Neue" w:hAnsi="Helvetica Neue"/>
        <w:b/>
        <w:bCs/>
      </w:rPr>
      <w:t>) Checklist</w:t>
    </w:r>
    <w:r w:rsidR="00916BFB">
      <w:rPr>
        <w:rFonts w:ascii="Helvetica Neue" w:hAnsi="Helvetica Neue"/>
        <w:b/>
        <w:bCs/>
      </w:rPr>
      <w:tab/>
    </w:r>
  </w:p>
  <w:p w14:paraId="0F983E0C" w14:textId="77777777" w:rsidR="0066245D" w:rsidRDefault="0066245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7DA8"/>
    <w:multiLevelType w:val="multilevel"/>
    <w:tmpl w:val="CAE0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74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DC"/>
    <w:rsid w:val="00005BB8"/>
    <w:rsid w:val="0002414E"/>
    <w:rsid w:val="00044A38"/>
    <w:rsid w:val="00053C49"/>
    <w:rsid w:val="00122BFE"/>
    <w:rsid w:val="0013474F"/>
    <w:rsid w:val="0015523F"/>
    <w:rsid w:val="001556FC"/>
    <w:rsid w:val="0018032A"/>
    <w:rsid w:val="001867A6"/>
    <w:rsid w:val="001B0E65"/>
    <w:rsid w:val="001C09F1"/>
    <w:rsid w:val="001C32C8"/>
    <w:rsid w:val="001F18F7"/>
    <w:rsid w:val="001F5F53"/>
    <w:rsid w:val="00212C9E"/>
    <w:rsid w:val="002149CA"/>
    <w:rsid w:val="00216782"/>
    <w:rsid w:val="00220784"/>
    <w:rsid w:val="00233EE5"/>
    <w:rsid w:val="002A3272"/>
    <w:rsid w:val="002B1139"/>
    <w:rsid w:val="002B200F"/>
    <w:rsid w:val="002C68AF"/>
    <w:rsid w:val="002F41ED"/>
    <w:rsid w:val="002F66B2"/>
    <w:rsid w:val="00303CCC"/>
    <w:rsid w:val="00336A1D"/>
    <w:rsid w:val="0037057D"/>
    <w:rsid w:val="00393407"/>
    <w:rsid w:val="003A6131"/>
    <w:rsid w:val="003B1DE1"/>
    <w:rsid w:val="00406484"/>
    <w:rsid w:val="00424393"/>
    <w:rsid w:val="00437EB0"/>
    <w:rsid w:val="00445569"/>
    <w:rsid w:val="00451562"/>
    <w:rsid w:val="004621BB"/>
    <w:rsid w:val="004741E0"/>
    <w:rsid w:val="004B6690"/>
    <w:rsid w:val="004D7779"/>
    <w:rsid w:val="00514845"/>
    <w:rsid w:val="00544E02"/>
    <w:rsid w:val="005D2285"/>
    <w:rsid w:val="005E7572"/>
    <w:rsid w:val="005F7300"/>
    <w:rsid w:val="006266C0"/>
    <w:rsid w:val="00634C1D"/>
    <w:rsid w:val="006477D7"/>
    <w:rsid w:val="0066245D"/>
    <w:rsid w:val="00672A1A"/>
    <w:rsid w:val="006A6A61"/>
    <w:rsid w:val="006B780E"/>
    <w:rsid w:val="006E1EAB"/>
    <w:rsid w:val="006E3DAD"/>
    <w:rsid w:val="006E617C"/>
    <w:rsid w:val="007046BA"/>
    <w:rsid w:val="00705019"/>
    <w:rsid w:val="00717379"/>
    <w:rsid w:val="007331CF"/>
    <w:rsid w:val="00762478"/>
    <w:rsid w:val="007700EE"/>
    <w:rsid w:val="007778D4"/>
    <w:rsid w:val="00786C62"/>
    <w:rsid w:val="007A7349"/>
    <w:rsid w:val="0081241D"/>
    <w:rsid w:val="0083423E"/>
    <w:rsid w:val="00843C91"/>
    <w:rsid w:val="00851EA7"/>
    <w:rsid w:val="0086017A"/>
    <w:rsid w:val="008D28A2"/>
    <w:rsid w:val="008E4A05"/>
    <w:rsid w:val="008F0BFD"/>
    <w:rsid w:val="00903487"/>
    <w:rsid w:val="0091143F"/>
    <w:rsid w:val="0091186C"/>
    <w:rsid w:val="00916BFB"/>
    <w:rsid w:val="00920F25"/>
    <w:rsid w:val="00924C9B"/>
    <w:rsid w:val="00926F26"/>
    <w:rsid w:val="009D26B6"/>
    <w:rsid w:val="009F0155"/>
    <w:rsid w:val="00A278F7"/>
    <w:rsid w:val="00A36773"/>
    <w:rsid w:val="00A523C1"/>
    <w:rsid w:val="00A753B1"/>
    <w:rsid w:val="00AB7CC3"/>
    <w:rsid w:val="00AD6EB0"/>
    <w:rsid w:val="00AE6C10"/>
    <w:rsid w:val="00AF204C"/>
    <w:rsid w:val="00B11500"/>
    <w:rsid w:val="00B1234B"/>
    <w:rsid w:val="00BD57B6"/>
    <w:rsid w:val="00C06829"/>
    <w:rsid w:val="00C3441E"/>
    <w:rsid w:val="00C81C7A"/>
    <w:rsid w:val="00C943CF"/>
    <w:rsid w:val="00CA1564"/>
    <w:rsid w:val="00CB2104"/>
    <w:rsid w:val="00D055BB"/>
    <w:rsid w:val="00D15F8B"/>
    <w:rsid w:val="00D64567"/>
    <w:rsid w:val="00DC4E82"/>
    <w:rsid w:val="00DE3143"/>
    <w:rsid w:val="00E10722"/>
    <w:rsid w:val="00E1340C"/>
    <w:rsid w:val="00E3152A"/>
    <w:rsid w:val="00E87ADD"/>
    <w:rsid w:val="00E97A5F"/>
    <w:rsid w:val="00EC2BBE"/>
    <w:rsid w:val="00F126AB"/>
    <w:rsid w:val="00F172EA"/>
    <w:rsid w:val="00F677DB"/>
    <w:rsid w:val="00F81AEA"/>
    <w:rsid w:val="00F87835"/>
    <w:rsid w:val="00F900DC"/>
    <w:rsid w:val="00FB1367"/>
    <w:rsid w:val="00FC69DF"/>
    <w:rsid w:val="00FF22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A5669"/>
  <w15:chartTrackingRefBased/>
  <w15:docId w15:val="{841D92D1-B0B9-0E44-BD96-D8C544C79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0DC"/>
    <w:pPr>
      <w:spacing w:after="0" w:line="240" w:lineRule="auto"/>
    </w:pPr>
    <w:rPr>
      <w:rFonts w:ascii="Times New Roman" w:eastAsia="Times New Roman" w:hAnsi="Times New Roman" w:cs="Times New Roman"/>
      <w:kern w:val="0"/>
      <w:lang w:val="en-AU" w:eastAsia="en-GB"/>
      <w14:ligatures w14:val="none"/>
    </w:rPr>
  </w:style>
  <w:style w:type="paragraph" w:styleId="1">
    <w:name w:val="heading 1"/>
    <w:basedOn w:val="a"/>
    <w:next w:val="a"/>
    <w:link w:val="10"/>
    <w:uiPriority w:val="9"/>
    <w:qFormat/>
    <w:rsid w:val="00F900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zh-CN"/>
      <w14:ligatures w14:val="standardContextual"/>
    </w:rPr>
  </w:style>
  <w:style w:type="paragraph" w:styleId="2">
    <w:name w:val="heading 2"/>
    <w:basedOn w:val="a"/>
    <w:next w:val="a"/>
    <w:link w:val="20"/>
    <w:uiPriority w:val="9"/>
    <w:semiHidden/>
    <w:unhideWhenUsed/>
    <w:qFormat/>
    <w:rsid w:val="00F900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zh-CN"/>
      <w14:ligatures w14:val="standardContextual"/>
    </w:rPr>
  </w:style>
  <w:style w:type="paragraph" w:styleId="3">
    <w:name w:val="heading 3"/>
    <w:basedOn w:val="a"/>
    <w:next w:val="a"/>
    <w:link w:val="30"/>
    <w:uiPriority w:val="9"/>
    <w:semiHidden/>
    <w:unhideWhenUsed/>
    <w:qFormat/>
    <w:rsid w:val="00F900D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zh-CN"/>
      <w14:ligatures w14:val="standardContextual"/>
    </w:rPr>
  </w:style>
  <w:style w:type="paragraph" w:styleId="4">
    <w:name w:val="heading 4"/>
    <w:basedOn w:val="a"/>
    <w:next w:val="a"/>
    <w:link w:val="40"/>
    <w:uiPriority w:val="9"/>
    <w:semiHidden/>
    <w:unhideWhenUsed/>
    <w:qFormat/>
    <w:rsid w:val="00F900D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zh-CN"/>
      <w14:ligatures w14:val="standardContextual"/>
    </w:rPr>
  </w:style>
  <w:style w:type="paragraph" w:styleId="5">
    <w:name w:val="heading 5"/>
    <w:basedOn w:val="a"/>
    <w:next w:val="a"/>
    <w:link w:val="50"/>
    <w:uiPriority w:val="9"/>
    <w:semiHidden/>
    <w:unhideWhenUsed/>
    <w:qFormat/>
    <w:rsid w:val="00F900DC"/>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zh-CN"/>
      <w14:ligatures w14:val="standardContextual"/>
    </w:rPr>
  </w:style>
  <w:style w:type="paragraph" w:styleId="6">
    <w:name w:val="heading 6"/>
    <w:basedOn w:val="a"/>
    <w:next w:val="a"/>
    <w:link w:val="60"/>
    <w:uiPriority w:val="9"/>
    <w:semiHidden/>
    <w:unhideWhenUsed/>
    <w:qFormat/>
    <w:rsid w:val="00F900DC"/>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zh-CN"/>
      <w14:ligatures w14:val="standardContextual"/>
    </w:rPr>
  </w:style>
  <w:style w:type="paragraph" w:styleId="7">
    <w:name w:val="heading 7"/>
    <w:basedOn w:val="a"/>
    <w:next w:val="a"/>
    <w:link w:val="70"/>
    <w:uiPriority w:val="9"/>
    <w:semiHidden/>
    <w:unhideWhenUsed/>
    <w:qFormat/>
    <w:rsid w:val="00F900DC"/>
    <w:pPr>
      <w:keepNext/>
      <w:keepLines/>
      <w:spacing w:before="40" w:line="278" w:lineRule="auto"/>
      <w:outlineLvl w:val="6"/>
    </w:pPr>
    <w:rPr>
      <w:rFonts w:asciiTheme="minorHAnsi" w:eastAsiaTheme="majorEastAsia" w:hAnsiTheme="minorHAnsi" w:cstheme="majorBidi"/>
      <w:color w:val="595959" w:themeColor="text1" w:themeTint="A6"/>
      <w:kern w:val="2"/>
      <w:lang w:val="en-GB" w:eastAsia="zh-CN"/>
      <w14:ligatures w14:val="standardContextual"/>
    </w:rPr>
  </w:style>
  <w:style w:type="paragraph" w:styleId="8">
    <w:name w:val="heading 8"/>
    <w:basedOn w:val="a"/>
    <w:next w:val="a"/>
    <w:link w:val="80"/>
    <w:uiPriority w:val="9"/>
    <w:semiHidden/>
    <w:unhideWhenUsed/>
    <w:qFormat/>
    <w:rsid w:val="00F900DC"/>
    <w:pPr>
      <w:keepNext/>
      <w:keepLines/>
      <w:spacing w:line="278" w:lineRule="auto"/>
      <w:outlineLvl w:val="7"/>
    </w:pPr>
    <w:rPr>
      <w:rFonts w:asciiTheme="minorHAnsi" w:eastAsiaTheme="majorEastAsia" w:hAnsiTheme="minorHAnsi" w:cstheme="majorBidi"/>
      <w:i/>
      <w:iCs/>
      <w:color w:val="272727" w:themeColor="text1" w:themeTint="D8"/>
      <w:kern w:val="2"/>
      <w:lang w:val="en-GB" w:eastAsia="zh-CN"/>
      <w14:ligatures w14:val="standardContextual"/>
    </w:rPr>
  </w:style>
  <w:style w:type="paragraph" w:styleId="9">
    <w:name w:val="heading 9"/>
    <w:basedOn w:val="a"/>
    <w:next w:val="a"/>
    <w:link w:val="90"/>
    <w:uiPriority w:val="9"/>
    <w:semiHidden/>
    <w:unhideWhenUsed/>
    <w:qFormat/>
    <w:rsid w:val="00F900DC"/>
    <w:pPr>
      <w:keepNext/>
      <w:keepLines/>
      <w:spacing w:line="278" w:lineRule="auto"/>
      <w:outlineLvl w:val="8"/>
    </w:pPr>
    <w:rPr>
      <w:rFonts w:asciiTheme="minorHAnsi" w:eastAsiaTheme="majorEastAsia" w:hAnsiTheme="minorHAnsi" w:cstheme="majorBidi"/>
      <w:color w:val="272727" w:themeColor="text1" w:themeTint="D8"/>
      <w:kern w:val="2"/>
      <w:lang w:val="en-GB"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900DC"/>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F900DC"/>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F900DC"/>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F900DC"/>
    <w:rPr>
      <w:rFonts w:eastAsiaTheme="majorEastAsia" w:cstheme="majorBidi"/>
      <w:i/>
      <w:iCs/>
      <w:color w:val="0F4761" w:themeColor="accent1" w:themeShade="BF"/>
    </w:rPr>
  </w:style>
  <w:style w:type="character" w:customStyle="1" w:styleId="50">
    <w:name w:val="标题 5 字符"/>
    <w:basedOn w:val="a0"/>
    <w:link w:val="5"/>
    <w:uiPriority w:val="9"/>
    <w:semiHidden/>
    <w:rsid w:val="00F900DC"/>
    <w:rPr>
      <w:rFonts w:eastAsiaTheme="majorEastAsia" w:cstheme="majorBidi"/>
      <w:color w:val="0F4761" w:themeColor="accent1" w:themeShade="BF"/>
    </w:rPr>
  </w:style>
  <w:style w:type="character" w:customStyle="1" w:styleId="60">
    <w:name w:val="标题 6 字符"/>
    <w:basedOn w:val="a0"/>
    <w:link w:val="6"/>
    <w:uiPriority w:val="9"/>
    <w:semiHidden/>
    <w:rsid w:val="00F900DC"/>
    <w:rPr>
      <w:rFonts w:eastAsiaTheme="majorEastAsia" w:cstheme="majorBidi"/>
      <w:i/>
      <w:iCs/>
      <w:color w:val="595959" w:themeColor="text1" w:themeTint="A6"/>
    </w:rPr>
  </w:style>
  <w:style w:type="character" w:customStyle="1" w:styleId="70">
    <w:name w:val="标题 7 字符"/>
    <w:basedOn w:val="a0"/>
    <w:link w:val="7"/>
    <w:uiPriority w:val="9"/>
    <w:semiHidden/>
    <w:rsid w:val="00F900DC"/>
    <w:rPr>
      <w:rFonts w:eastAsiaTheme="majorEastAsia" w:cstheme="majorBidi"/>
      <w:color w:val="595959" w:themeColor="text1" w:themeTint="A6"/>
    </w:rPr>
  </w:style>
  <w:style w:type="character" w:customStyle="1" w:styleId="80">
    <w:name w:val="标题 8 字符"/>
    <w:basedOn w:val="a0"/>
    <w:link w:val="8"/>
    <w:uiPriority w:val="9"/>
    <w:semiHidden/>
    <w:rsid w:val="00F900DC"/>
    <w:rPr>
      <w:rFonts w:eastAsiaTheme="majorEastAsia" w:cstheme="majorBidi"/>
      <w:i/>
      <w:iCs/>
      <w:color w:val="272727" w:themeColor="text1" w:themeTint="D8"/>
    </w:rPr>
  </w:style>
  <w:style w:type="character" w:customStyle="1" w:styleId="90">
    <w:name w:val="标题 9 字符"/>
    <w:basedOn w:val="a0"/>
    <w:link w:val="9"/>
    <w:uiPriority w:val="9"/>
    <w:semiHidden/>
    <w:rsid w:val="00F900DC"/>
    <w:rPr>
      <w:rFonts w:eastAsiaTheme="majorEastAsia" w:cstheme="majorBidi"/>
      <w:color w:val="272727" w:themeColor="text1" w:themeTint="D8"/>
    </w:rPr>
  </w:style>
  <w:style w:type="paragraph" w:styleId="a3">
    <w:name w:val="Title"/>
    <w:basedOn w:val="a"/>
    <w:next w:val="a"/>
    <w:link w:val="a4"/>
    <w:uiPriority w:val="10"/>
    <w:qFormat/>
    <w:rsid w:val="00F900DC"/>
    <w:pPr>
      <w:spacing w:after="80"/>
      <w:contextualSpacing/>
    </w:pPr>
    <w:rPr>
      <w:rFonts w:asciiTheme="majorHAnsi" w:eastAsiaTheme="majorEastAsia" w:hAnsiTheme="majorHAnsi" w:cstheme="majorBidi"/>
      <w:spacing w:val="-10"/>
      <w:kern w:val="28"/>
      <w:sz w:val="56"/>
      <w:szCs w:val="56"/>
      <w:lang w:val="en-GB" w:eastAsia="zh-CN"/>
      <w14:ligatures w14:val="standardContextual"/>
    </w:rPr>
  </w:style>
  <w:style w:type="character" w:customStyle="1" w:styleId="a4">
    <w:name w:val="标题 字符"/>
    <w:basedOn w:val="a0"/>
    <w:link w:val="a3"/>
    <w:uiPriority w:val="10"/>
    <w:rsid w:val="00F900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00D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zh-CN"/>
      <w14:ligatures w14:val="standardContextual"/>
    </w:rPr>
  </w:style>
  <w:style w:type="character" w:customStyle="1" w:styleId="a6">
    <w:name w:val="副标题 字符"/>
    <w:basedOn w:val="a0"/>
    <w:link w:val="a5"/>
    <w:uiPriority w:val="11"/>
    <w:rsid w:val="00F900D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900DC"/>
    <w:pPr>
      <w:spacing w:before="160" w:after="160" w:line="278" w:lineRule="auto"/>
      <w:jc w:val="center"/>
    </w:pPr>
    <w:rPr>
      <w:rFonts w:asciiTheme="minorHAnsi" w:eastAsiaTheme="minorEastAsia" w:hAnsiTheme="minorHAnsi" w:cstheme="minorBidi"/>
      <w:i/>
      <w:iCs/>
      <w:color w:val="404040" w:themeColor="text1" w:themeTint="BF"/>
      <w:kern w:val="2"/>
      <w:lang w:val="en-GB" w:eastAsia="zh-CN"/>
      <w14:ligatures w14:val="standardContextual"/>
    </w:rPr>
  </w:style>
  <w:style w:type="character" w:customStyle="1" w:styleId="a8">
    <w:name w:val="引用 字符"/>
    <w:basedOn w:val="a0"/>
    <w:link w:val="a7"/>
    <w:uiPriority w:val="29"/>
    <w:rsid w:val="00F900DC"/>
    <w:rPr>
      <w:i/>
      <w:iCs/>
      <w:color w:val="404040" w:themeColor="text1" w:themeTint="BF"/>
    </w:rPr>
  </w:style>
  <w:style w:type="paragraph" w:styleId="a9">
    <w:name w:val="List Paragraph"/>
    <w:basedOn w:val="a"/>
    <w:uiPriority w:val="34"/>
    <w:qFormat/>
    <w:rsid w:val="00F900DC"/>
    <w:pPr>
      <w:spacing w:after="160" w:line="278" w:lineRule="auto"/>
      <w:ind w:left="720"/>
      <w:contextualSpacing/>
    </w:pPr>
    <w:rPr>
      <w:rFonts w:asciiTheme="minorHAnsi" w:eastAsiaTheme="minorEastAsia" w:hAnsiTheme="minorHAnsi" w:cstheme="minorBidi"/>
      <w:kern w:val="2"/>
      <w:lang w:val="en-GB" w:eastAsia="zh-CN"/>
      <w14:ligatures w14:val="standardContextual"/>
    </w:rPr>
  </w:style>
  <w:style w:type="character" w:styleId="aa">
    <w:name w:val="Intense Emphasis"/>
    <w:basedOn w:val="a0"/>
    <w:uiPriority w:val="21"/>
    <w:qFormat/>
    <w:rsid w:val="00F900DC"/>
    <w:rPr>
      <w:i/>
      <w:iCs/>
      <w:color w:val="0F4761" w:themeColor="accent1" w:themeShade="BF"/>
    </w:rPr>
  </w:style>
  <w:style w:type="paragraph" w:styleId="ab">
    <w:name w:val="Intense Quote"/>
    <w:basedOn w:val="a"/>
    <w:next w:val="a"/>
    <w:link w:val="ac"/>
    <w:uiPriority w:val="30"/>
    <w:qFormat/>
    <w:rsid w:val="00F900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GB" w:eastAsia="zh-CN"/>
      <w14:ligatures w14:val="standardContextual"/>
    </w:rPr>
  </w:style>
  <w:style w:type="character" w:customStyle="1" w:styleId="ac">
    <w:name w:val="明显引用 字符"/>
    <w:basedOn w:val="a0"/>
    <w:link w:val="ab"/>
    <w:uiPriority w:val="30"/>
    <w:rsid w:val="00F900DC"/>
    <w:rPr>
      <w:i/>
      <w:iCs/>
      <w:color w:val="0F4761" w:themeColor="accent1" w:themeShade="BF"/>
    </w:rPr>
  </w:style>
  <w:style w:type="character" w:styleId="ad">
    <w:name w:val="Intense Reference"/>
    <w:basedOn w:val="a0"/>
    <w:uiPriority w:val="32"/>
    <w:qFormat/>
    <w:rsid w:val="00F900DC"/>
    <w:rPr>
      <w:b/>
      <w:bCs/>
      <w:smallCaps/>
      <w:color w:val="0F4761" w:themeColor="accent1" w:themeShade="BF"/>
      <w:spacing w:val="5"/>
    </w:rPr>
  </w:style>
  <w:style w:type="paragraph" w:customStyle="1" w:styleId="TableHeader">
    <w:name w:val="TableHeader"/>
    <w:basedOn w:val="a"/>
    <w:rsid w:val="00F900DC"/>
    <w:pPr>
      <w:spacing w:before="120"/>
    </w:pPr>
    <w:rPr>
      <w:b/>
      <w:szCs w:val="20"/>
      <w:lang w:val="en-GB" w:eastAsia="en-US"/>
    </w:rPr>
  </w:style>
  <w:style w:type="paragraph" w:styleId="ae">
    <w:name w:val="header"/>
    <w:basedOn w:val="a"/>
    <w:link w:val="af"/>
    <w:uiPriority w:val="99"/>
    <w:unhideWhenUsed/>
    <w:rsid w:val="00D055BB"/>
    <w:pPr>
      <w:tabs>
        <w:tab w:val="center" w:pos="4513"/>
        <w:tab w:val="right" w:pos="9026"/>
      </w:tabs>
    </w:pPr>
  </w:style>
  <w:style w:type="character" w:customStyle="1" w:styleId="af">
    <w:name w:val="页眉 字符"/>
    <w:basedOn w:val="a0"/>
    <w:link w:val="ae"/>
    <w:uiPriority w:val="99"/>
    <w:rsid w:val="00D055BB"/>
    <w:rPr>
      <w:rFonts w:ascii="Times New Roman" w:eastAsia="Times New Roman" w:hAnsi="Times New Roman" w:cs="Times New Roman"/>
      <w:kern w:val="0"/>
      <w:lang w:val="en-AU" w:eastAsia="en-GB"/>
      <w14:ligatures w14:val="none"/>
    </w:rPr>
  </w:style>
  <w:style w:type="paragraph" w:styleId="af0">
    <w:name w:val="footer"/>
    <w:basedOn w:val="a"/>
    <w:link w:val="af1"/>
    <w:uiPriority w:val="99"/>
    <w:unhideWhenUsed/>
    <w:rsid w:val="00D055BB"/>
    <w:pPr>
      <w:tabs>
        <w:tab w:val="center" w:pos="4513"/>
        <w:tab w:val="right" w:pos="9026"/>
      </w:tabs>
    </w:pPr>
  </w:style>
  <w:style w:type="character" w:customStyle="1" w:styleId="af1">
    <w:name w:val="页脚 字符"/>
    <w:basedOn w:val="a0"/>
    <w:link w:val="af0"/>
    <w:uiPriority w:val="99"/>
    <w:rsid w:val="00D055BB"/>
    <w:rPr>
      <w:rFonts w:ascii="Times New Roman" w:eastAsia="Times New Roman" w:hAnsi="Times New Roman" w:cs="Times New Roman"/>
      <w:kern w:val="0"/>
      <w:lang w:val="en-AU" w:eastAsia="en-GB"/>
      <w14:ligatures w14:val="none"/>
    </w:rPr>
  </w:style>
  <w:style w:type="character" w:styleId="af2">
    <w:name w:val="Hyperlink"/>
    <w:basedOn w:val="a0"/>
    <w:uiPriority w:val="99"/>
    <w:unhideWhenUsed/>
    <w:rsid w:val="00D645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宇朕 章</cp:lastModifiedBy>
  <cp:revision>5</cp:revision>
  <dcterms:created xsi:type="dcterms:W3CDTF">2026-03-29T16:44:00Z</dcterms:created>
  <dcterms:modified xsi:type="dcterms:W3CDTF">2026-05-31T07:39:00Z</dcterms:modified>
</cp:coreProperties>
</file>