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562B85" w14:textId="77777777" w:rsidR="00E04907" w:rsidRPr="00765C51" w:rsidRDefault="00E04907" w:rsidP="00E04907">
      <w:pPr>
        <w:jc w:val="center"/>
        <w:rPr>
          <w:rFonts w:ascii="Times New Roman" w:hAnsi="Times New Roman" w:cs="Times New Roman"/>
          <w:b/>
          <w:bCs/>
          <w:sz w:val="36"/>
          <w:szCs w:val="36"/>
        </w:rPr>
      </w:pPr>
      <w:r w:rsidRPr="00765C51">
        <w:rPr>
          <w:rFonts w:ascii="Times New Roman" w:hAnsi="Times New Roman" w:cs="Times New Roman"/>
          <w:b/>
          <w:bCs/>
          <w:sz w:val="36"/>
          <w:szCs w:val="36"/>
        </w:rPr>
        <w:t>Supplementary Material</w:t>
      </w:r>
    </w:p>
    <w:p w14:paraId="51C5783E" w14:textId="77777777" w:rsidR="00E04907" w:rsidRPr="00765C51" w:rsidRDefault="00E04907" w:rsidP="00E04907">
      <w:pPr>
        <w:rPr>
          <w:rFonts w:ascii="Times New Roman" w:hAnsi="Times New Roman" w:cs="Times New Roman"/>
          <w:b/>
          <w:bCs/>
        </w:rPr>
      </w:pPr>
    </w:p>
    <w:p w14:paraId="30394957" w14:textId="77777777" w:rsidR="00765C51" w:rsidRPr="00765C51" w:rsidRDefault="00765C51" w:rsidP="00E04907">
      <w:pPr>
        <w:rPr>
          <w:rFonts w:ascii="Times New Roman" w:hAnsi="Times New Roman" w:cs="Times New Roman"/>
          <w:b/>
          <w:bCs/>
        </w:rPr>
      </w:pPr>
    </w:p>
    <w:p w14:paraId="15DD1ECB" w14:textId="77777777" w:rsidR="00765C51" w:rsidRPr="00765C51" w:rsidRDefault="00765C51" w:rsidP="00E04907">
      <w:pPr>
        <w:rPr>
          <w:rFonts w:ascii="Times New Roman" w:hAnsi="Times New Roman" w:cs="Times New Roman"/>
          <w:b/>
          <w:bCs/>
        </w:rPr>
      </w:pPr>
    </w:p>
    <w:p w14:paraId="2A889818" w14:textId="77777777" w:rsidR="00765C51" w:rsidRPr="00765C51" w:rsidRDefault="00765C51" w:rsidP="00765C51">
      <w:pPr>
        <w:rPr>
          <w:rFonts w:ascii="Times New Roman" w:hAnsi="Times New Roman" w:cs="Times New Roman"/>
        </w:rPr>
      </w:pPr>
      <w:r w:rsidRPr="00765C51">
        <w:rPr>
          <w:rFonts w:ascii="Times New Roman" w:hAnsi="Times New Roman" w:cs="Times New Roman"/>
          <w:b/>
          <w:bCs/>
        </w:rPr>
        <w:t xml:space="preserve">Supplementary Methods. </w:t>
      </w:r>
      <w:r w:rsidRPr="00765C51">
        <w:rPr>
          <w:rFonts w:ascii="Times New Roman" w:hAnsi="Times New Roman" w:cs="Times New Roman"/>
        </w:rPr>
        <w:t>General definitions and data processing</w:t>
      </w:r>
    </w:p>
    <w:p w14:paraId="0F08CCF9" w14:textId="77777777" w:rsidR="00765C51" w:rsidRPr="00765C51" w:rsidRDefault="00765C51" w:rsidP="00765C51">
      <w:pPr>
        <w:rPr>
          <w:rFonts w:ascii="Times New Roman" w:hAnsi="Times New Roman" w:cs="Times New Roman"/>
          <w:b/>
          <w:bCs/>
        </w:rPr>
      </w:pPr>
    </w:p>
    <w:p w14:paraId="553F8B76" w14:textId="77777777" w:rsidR="00765C51" w:rsidRPr="00765C51" w:rsidRDefault="00765C51" w:rsidP="00765C51">
      <w:pPr>
        <w:rPr>
          <w:rFonts w:ascii="Times New Roman" w:hAnsi="Times New Roman" w:cs="Times New Roman"/>
          <w:b/>
          <w:bCs/>
        </w:rPr>
      </w:pPr>
      <w:r w:rsidRPr="00765C51">
        <w:rPr>
          <w:rFonts w:ascii="Times New Roman" w:hAnsi="Times New Roman" w:cs="Times New Roman"/>
          <w:b/>
          <w:bCs/>
        </w:rPr>
        <w:t xml:space="preserve">Supplementary Figure 1. </w:t>
      </w:r>
      <w:r w:rsidRPr="00765C51">
        <w:rPr>
          <w:rFonts w:ascii="Times New Roman" w:hAnsi="Times New Roman" w:cs="Times New Roman"/>
        </w:rPr>
        <w:t xml:space="preserve">Study flow diagram for cohort selection and data inclusion. </w:t>
      </w:r>
    </w:p>
    <w:p w14:paraId="28F08DBD" w14:textId="77777777" w:rsidR="00765C51" w:rsidRPr="00765C51" w:rsidRDefault="00765C51" w:rsidP="00765C51">
      <w:pPr>
        <w:rPr>
          <w:rFonts w:ascii="Times New Roman" w:hAnsi="Times New Roman" w:cs="Times New Roman"/>
          <w:b/>
          <w:bCs/>
        </w:rPr>
      </w:pPr>
    </w:p>
    <w:p w14:paraId="01D6174C" w14:textId="230F9C6C" w:rsidR="00765C51" w:rsidRPr="00765C51" w:rsidRDefault="00765C51" w:rsidP="00765C51">
      <w:pPr>
        <w:rPr>
          <w:rFonts w:ascii="Times New Roman" w:hAnsi="Times New Roman" w:cs="Times New Roman"/>
          <w:b/>
          <w:bCs/>
        </w:rPr>
      </w:pPr>
      <w:r w:rsidRPr="00765C51">
        <w:rPr>
          <w:rFonts w:ascii="Times New Roman" w:hAnsi="Times New Roman" w:cs="Times New Roman"/>
          <w:b/>
          <w:bCs/>
        </w:rPr>
        <w:t>Supplementary figure 2.</w:t>
      </w:r>
      <w:r w:rsidRPr="00765C51">
        <w:rPr>
          <w:rFonts w:ascii="Times New Roman" w:hAnsi="Times New Roman" w:cs="Times New Roman"/>
        </w:rPr>
        <w:t xml:space="preserve"> Reclassification of organ </w:t>
      </w:r>
      <w:proofErr w:type="spellStart"/>
      <w:r w:rsidRPr="00765C51">
        <w:rPr>
          <w:rFonts w:ascii="Times New Roman" w:hAnsi="Times New Roman" w:cs="Times New Roman"/>
        </w:rPr>
        <w:t>subscores</w:t>
      </w:r>
      <w:proofErr w:type="spellEnd"/>
      <w:r w:rsidRPr="00765C51">
        <w:rPr>
          <w:rFonts w:ascii="Times New Roman" w:hAnsi="Times New Roman" w:cs="Times New Roman"/>
        </w:rPr>
        <w:t xml:space="preserve"> between Hourly SOFA and SOFA-2. </w:t>
      </w:r>
    </w:p>
    <w:p w14:paraId="2B0BE0CB" w14:textId="77777777" w:rsidR="00765C51" w:rsidRPr="00765C51" w:rsidRDefault="00765C51" w:rsidP="00765C51">
      <w:pPr>
        <w:rPr>
          <w:rFonts w:ascii="Times New Roman" w:hAnsi="Times New Roman" w:cs="Times New Roman"/>
          <w:b/>
          <w:bCs/>
        </w:rPr>
      </w:pPr>
    </w:p>
    <w:p w14:paraId="0D486188" w14:textId="4B482DA5" w:rsidR="00765C51" w:rsidRPr="00765C51" w:rsidRDefault="00765C51" w:rsidP="00765C51">
      <w:pPr>
        <w:rPr>
          <w:noProof/>
          <w14:ligatures w14:val="standardContextual"/>
        </w:rPr>
      </w:pPr>
      <w:r w:rsidRPr="00765C51">
        <w:rPr>
          <w:rFonts w:ascii="Times New Roman" w:hAnsi="Times New Roman" w:cs="Times New Roman"/>
          <w:b/>
          <w:bCs/>
        </w:rPr>
        <w:t xml:space="preserve">Supplementary figure 3. </w:t>
      </w:r>
      <w:proofErr w:type="spellStart"/>
      <w:r w:rsidRPr="00765C51">
        <w:rPr>
          <w:rFonts w:ascii="Times New Roman" w:hAnsi="Times New Roman" w:cs="Times New Roman"/>
        </w:rPr>
        <w:t>Subscore</w:t>
      </w:r>
      <w:proofErr w:type="spellEnd"/>
      <w:r w:rsidRPr="00765C51">
        <w:rPr>
          <w:rFonts w:ascii="Times New Roman" w:hAnsi="Times New Roman" w:cs="Times New Roman"/>
        </w:rPr>
        <w:t xml:space="preserve">-level reclassification heat maps between Hourly SOFA and SOFA-2 with ICU mortality. </w:t>
      </w:r>
    </w:p>
    <w:p w14:paraId="094A32D5" w14:textId="77777777" w:rsidR="00765C51" w:rsidRPr="00765C51" w:rsidRDefault="00765C51" w:rsidP="00765C51">
      <w:pPr>
        <w:rPr>
          <w:rFonts w:ascii="Times New Roman" w:hAnsi="Times New Roman" w:cs="Times New Roman"/>
          <w:b/>
          <w:bCs/>
        </w:rPr>
      </w:pPr>
    </w:p>
    <w:p w14:paraId="2CD24440" w14:textId="405EA0C3" w:rsidR="00765C51" w:rsidRPr="00765C51" w:rsidRDefault="00765C51" w:rsidP="00765C51">
      <w:pPr>
        <w:rPr>
          <w:rFonts w:ascii="Times New Roman" w:hAnsi="Times New Roman" w:cs="Times New Roman"/>
        </w:rPr>
      </w:pPr>
      <w:r w:rsidRPr="00765C51">
        <w:rPr>
          <w:rFonts w:ascii="Times New Roman" w:hAnsi="Times New Roman" w:cs="Times New Roman"/>
          <w:b/>
          <w:bCs/>
        </w:rPr>
        <w:t xml:space="preserve">Supplementary Figure 4. </w:t>
      </w:r>
      <w:r w:rsidRPr="00765C51">
        <w:rPr>
          <w:rFonts w:ascii="Times New Roman" w:hAnsi="Times New Roman" w:cs="Times New Roman"/>
        </w:rPr>
        <w:t xml:space="preserve">Distribution of SOFA-2 scores before and after matching by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category.</w:t>
      </w:r>
    </w:p>
    <w:p w14:paraId="6E40C49F" w14:textId="77777777" w:rsidR="00765C51" w:rsidRPr="00765C51" w:rsidRDefault="00765C51" w:rsidP="00765C51">
      <w:pPr>
        <w:rPr>
          <w:rFonts w:ascii="Times New Roman" w:hAnsi="Times New Roman" w:cs="Times New Roman"/>
          <w:b/>
          <w:bCs/>
        </w:rPr>
      </w:pPr>
    </w:p>
    <w:p w14:paraId="19910B4F" w14:textId="4597DE87" w:rsidR="00765C51" w:rsidRPr="00765C51" w:rsidRDefault="00765C51" w:rsidP="00765C51">
      <w:pPr>
        <w:rPr>
          <w:rFonts w:ascii="Times New Roman" w:hAnsi="Times New Roman" w:cs="Times New Roman"/>
        </w:rPr>
      </w:pPr>
      <w:r w:rsidRPr="00765C51">
        <w:rPr>
          <w:rFonts w:ascii="Times New Roman" w:hAnsi="Times New Roman" w:cs="Times New Roman"/>
          <w:b/>
          <w:bCs/>
        </w:rPr>
        <w:t xml:space="preserve">Supplementary Figure 5. </w:t>
      </w:r>
      <w:r w:rsidRPr="00765C51">
        <w:rPr>
          <w:rFonts w:ascii="Times New Roman" w:hAnsi="Times New Roman" w:cs="Times New Roman"/>
        </w:rPr>
        <w:t>Distribution of Hourly SOFA deviation and ICU mortality according to SOFA-2 severity.</w:t>
      </w:r>
    </w:p>
    <w:p w14:paraId="4659D96B" w14:textId="77777777" w:rsidR="00765C51" w:rsidRPr="00765C51" w:rsidRDefault="00765C51" w:rsidP="00765C51">
      <w:pPr>
        <w:rPr>
          <w:rFonts w:ascii="Times New Roman" w:hAnsi="Times New Roman" w:cs="Times New Roman"/>
          <w:b/>
          <w:bCs/>
        </w:rPr>
      </w:pPr>
    </w:p>
    <w:p w14:paraId="6C6B858A" w14:textId="7CA44E39" w:rsidR="00765C51" w:rsidRPr="00765C51" w:rsidRDefault="00765C51" w:rsidP="00765C51">
      <w:pPr>
        <w:rPr>
          <w:rFonts w:ascii="Times New Roman" w:hAnsi="Times New Roman" w:cs="Times New Roman"/>
        </w:rPr>
      </w:pPr>
      <w:r w:rsidRPr="00765C51">
        <w:rPr>
          <w:rFonts w:ascii="Times New Roman" w:hAnsi="Times New Roman" w:cs="Times New Roman"/>
          <w:b/>
          <w:bCs/>
        </w:rPr>
        <w:t xml:space="preserve">Supplementary Figure 6. </w:t>
      </w:r>
      <w:r w:rsidRPr="00765C51">
        <w:rPr>
          <w:rFonts w:ascii="Times New Roman" w:hAnsi="Times New Roman" w:cs="Times New Roman"/>
        </w:rPr>
        <w:t xml:space="preserve">Distribution of Day-1 SOFA </w:t>
      </w:r>
      <w:proofErr w:type="spellStart"/>
      <w:r w:rsidRPr="00765C51">
        <w:rPr>
          <w:rFonts w:ascii="Times New Roman" w:hAnsi="Times New Roman" w:cs="Times New Roman"/>
        </w:rPr>
        <w:t>subscores</w:t>
      </w:r>
      <w:proofErr w:type="spellEnd"/>
      <w:r w:rsidRPr="00765C51">
        <w:rPr>
          <w:rFonts w:ascii="Times New Roman" w:hAnsi="Times New Roman" w:cs="Times New Roman"/>
        </w:rPr>
        <w:t xml:space="preserve"> by SOFA deviation category.</w:t>
      </w:r>
    </w:p>
    <w:p w14:paraId="78986FD5" w14:textId="77777777" w:rsidR="00765C51" w:rsidRPr="00765C51" w:rsidRDefault="00765C51" w:rsidP="00765C51">
      <w:pPr>
        <w:rPr>
          <w:rFonts w:ascii="Times New Roman" w:hAnsi="Times New Roman" w:cs="Times New Roman"/>
          <w:b/>
          <w:bCs/>
        </w:rPr>
      </w:pPr>
    </w:p>
    <w:p w14:paraId="73EEEB4A" w14:textId="673F7733" w:rsidR="00765C51" w:rsidRPr="00765C51" w:rsidRDefault="00765C51" w:rsidP="00765C51">
      <w:pPr>
        <w:rPr>
          <w:rFonts w:ascii="Times New Roman" w:hAnsi="Times New Roman" w:cs="Times New Roman"/>
          <w:b/>
          <w:bCs/>
        </w:rPr>
      </w:pPr>
      <w:r w:rsidRPr="00765C51">
        <w:rPr>
          <w:rFonts w:ascii="Times New Roman" w:hAnsi="Times New Roman" w:cs="Times New Roman"/>
          <w:b/>
          <w:bCs/>
        </w:rPr>
        <w:t xml:space="preserve">Supplementary figure 7. </w:t>
      </w:r>
      <w:r w:rsidRPr="00765C51">
        <w:rPr>
          <w:rFonts w:ascii="Times New Roman" w:hAnsi="Times New Roman" w:cs="Times New Roman"/>
        </w:rPr>
        <w:t xml:space="preserve">ICU mortality across SOFA and SOFA-2 scores according to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category using SOFA-score matching, inverse probability weighting, and a sepsis subgroup analysis.</w:t>
      </w:r>
    </w:p>
    <w:p w14:paraId="08E386DB" w14:textId="77777777" w:rsidR="00765C51" w:rsidRPr="00765C51" w:rsidRDefault="00765C51" w:rsidP="00765C51">
      <w:pPr>
        <w:rPr>
          <w:rFonts w:ascii="Times New Roman" w:hAnsi="Times New Roman" w:cs="Times New Roman"/>
          <w:b/>
          <w:bCs/>
        </w:rPr>
      </w:pPr>
    </w:p>
    <w:p w14:paraId="2FC56A8C" w14:textId="40C60CBD" w:rsidR="00765C51" w:rsidRPr="00765C51" w:rsidRDefault="00765C51" w:rsidP="00765C51">
      <w:pPr>
        <w:rPr>
          <w:rFonts w:ascii="Times New Roman" w:hAnsi="Times New Roman" w:cs="Times New Roman"/>
        </w:rPr>
      </w:pPr>
      <w:r w:rsidRPr="00765C51">
        <w:rPr>
          <w:rFonts w:ascii="Times New Roman" w:hAnsi="Times New Roman" w:cs="Times New Roman"/>
          <w:b/>
          <w:bCs/>
        </w:rPr>
        <w:t xml:space="preserve">Supplementary figure 8. </w:t>
      </w:r>
      <w:r w:rsidRPr="00765C51">
        <w:rPr>
          <w:rFonts w:ascii="Times New Roman" w:hAnsi="Times New Roman" w:cs="Times New Roman"/>
        </w:rPr>
        <w:t xml:space="preserve">Covariate balance before and after inverse probability weighting according to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category.</w:t>
      </w:r>
    </w:p>
    <w:p w14:paraId="5C015106" w14:textId="77777777" w:rsidR="00765C51" w:rsidRPr="00765C51" w:rsidRDefault="00765C51" w:rsidP="00765C51">
      <w:pPr>
        <w:rPr>
          <w:rFonts w:ascii="Times New Roman" w:hAnsi="Times New Roman" w:cs="Times New Roman"/>
          <w:b/>
          <w:bCs/>
        </w:rPr>
      </w:pPr>
    </w:p>
    <w:p w14:paraId="43954FA8" w14:textId="7284641B" w:rsidR="00765C51" w:rsidRPr="00765C51" w:rsidRDefault="00765C51" w:rsidP="00765C51">
      <w:pPr>
        <w:rPr>
          <w:rFonts w:ascii="Times New Roman" w:hAnsi="Times New Roman" w:cs="Times New Roman"/>
          <w:b/>
          <w:bCs/>
        </w:rPr>
      </w:pPr>
      <w:r w:rsidRPr="00765C51">
        <w:rPr>
          <w:rFonts w:ascii="Times New Roman" w:hAnsi="Times New Roman" w:cs="Times New Roman"/>
          <w:b/>
          <w:bCs/>
        </w:rPr>
        <w:t xml:space="preserve">Supplementary Table 1. </w:t>
      </w:r>
      <w:r w:rsidRPr="00765C51">
        <w:rPr>
          <w:rFonts w:ascii="Times New Roman" w:hAnsi="Times New Roman" w:cs="Times New Roman"/>
        </w:rPr>
        <w:t>Proportion of Patients with Unmeasured Variables Required for SOFA and SOFA-2 Score Calculation.</w:t>
      </w:r>
    </w:p>
    <w:p w14:paraId="59B4385B" w14:textId="365BAAE6" w:rsidR="00E04907" w:rsidRPr="00765C51" w:rsidRDefault="00E04907" w:rsidP="00E04907">
      <w:pPr>
        <w:rPr>
          <w:rFonts w:ascii="Times New Roman" w:hAnsi="Times New Roman" w:cs="Times New Roman"/>
        </w:rPr>
      </w:pPr>
    </w:p>
    <w:p w14:paraId="772120CC" w14:textId="77777777" w:rsidR="00F543CD" w:rsidRPr="00765C51" w:rsidRDefault="00F543CD">
      <w:pPr>
        <w:rPr>
          <w:rFonts w:ascii="Times New Roman" w:hAnsi="Times New Roman" w:cs="Times New Roman"/>
          <w:b/>
          <w:bCs/>
        </w:rPr>
      </w:pPr>
      <w:r w:rsidRPr="00765C51">
        <w:rPr>
          <w:rFonts w:ascii="Times New Roman" w:hAnsi="Times New Roman" w:cs="Times New Roman"/>
          <w:b/>
          <w:bCs/>
        </w:rPr>
        <w:br w:type="page"/>
      </w:r>
    </w:p>
    <w:p w14:paraId="71E2ED79" w14:textId="000FBF0E" w:rsidR="00E04907" w:rsidRPr="00765C51" w:rsidRDefault="00E04907" w:rsidP="00E04907">
      <w:pPr>
        <w:rPr>
          <w:rFonts w:ascii="Times New Roman" w:hAnsi="Times New Roman" w:cs="Times New Roman"/>
          <w:b/>
          <w:bCs/>
        </w:rPr>
      </w:pPr>
      <w:r w:rsidRPr="00765C51">
        <w:rPr>
          <w:rFonts w:ascii="Times New Roman" w:hAnsi="Times New Roman" w:cs="Times New Roman"/>
          <w:b/>
          <w:bCs/>
        </w:rPr>
        <w:lastRenderedPageBreak/>
        <w:t>Supplementary Methods. General definitions and data processing</w:t>
      </w:r>
    </w:p>
    <w:p w14:paraId="29BD22CF" w14:textId="77777777" w:rsidR="00E04907" w:rsidRPr="00765C51" w:rsidRDefault="00E04907" w:rsidP="00E04907">
      <w:pPr>
        <w:rPr>
          <w:rFonts w:ascii="Times New Roman" w:hAnsi="Times New Roman" w:cs="Times New Roman"/>
        </w:rPr>
      </w:pPr>
    </w:p>
    <w:p w14:paraId="71700CFD" w14:textId="32F243D0"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SOFA and SOFA-2 scores were calculated in accordance with the original and updated definitions, respectively. ICU admission was defined as time zero (time 0), and the observation period was divided into consecutive 1-hour intervals (time window indices), which served as the unit of analysis.</w:t>
      </w:r>
    </w:p>
    <w:p w14:paraId="462ABA6D" w14:textId="2569FA34"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The </w:t>
      </w:r>
      <w:proofErr w:type="spellStart"/>
      <w:r w:rsidRPr="00765C51">
        <w:rPr>
          <w:rFonts w:ascii="Times New Roman" w:hAnsi="Times New Roman" w:cs="Times New Roman"/>
        </w:rPr>
        <w:t>OneICU</w:t>
      </w:r>
      <w:proofErr w:type="spellEnd"/>
      <w:r w:rsidRPr="00765C51">
        <w:rPr>
          <w:rFonts w:ascii="Times New Roman" w:hAnsi="Times New Roman" w:cs="Times New Roman"/>
        </w:rPr>
        <w:t xml:space="preserve"> database automatically extracts routinely recorded ICU data from electronic intensive care information systems, including vital signs, laboratory results, organ support, and administered treatments. Therefore, data availability reflected routine clinical documentation and measurement frequency rather than manual abstraction.</w:t>
      </w:r>
    </w:p>
    <w:p w14:paraId="2FDDD666" w14:textId="4A857E1C"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Source data recorded at finer temporal resolutions, including minute-level vital signs and treatment records, were summarized into each 1-hour interval according to prespecified rules. For mean arterial pressure, </w:t>
      </w:r>
      <w:proofErr w:type="spellStart"/>
      <w:r w:rsidRPr="00765C51">
        <w:rPr>
          <w:rFonts w:ascii="Times New Roman" w:hAnsi="Times New Roman" w:cs="Times New Roman"/>
        </w:rPr>
        <w:t>PaO</w:t>
      </w:r>
      <w:proofErr w:type="spellEnd"/>
      <w:r w:rsidRPr="00765C51">
        <w:rPr>
          <w:rFonts w:ascii="Times New Roman" w:hAnsi="Times New Roman" w:cs="Times New Roman"/>
        </w:rPr>
        <w:t>₂/</w:t>
      </w:r>
      <w:proofErr w:type="spellStart"/>
      <w:r w:rsidRPr="00765C51">
        <w:rPr>
          <w:rFonts w:ascii="Times New Roman" w:hAnsi="Times New Roman" w:cs="Times New Roman"/>
        </w:rPr>
        <w:t>FiO</w:t>
      </w:r>
      <w:proofErr w:type="spellEnd"/>
      <w:r w:rsidRPr="00765C51">
        <w:rPr>
          <w:rFonts w:ascii="Times New Roman" w:hAnsi="Times New Roman" w:cs="Times New Roman"/>
        </w:rPr>
        <w:t>₂ ratio, SpO₂/</w:t>
      </w:r>
      <w:proofErr w:type="spellStart"/>
      <w:r w:rsidRPr="00765C51">
        <w:rPr>
          <w:rFonts w:ascii="Times New Roman" w:hAnsi="Times New Roman" w:cs="Times New Roman"/>
        </w:rPr>
        <w:t>FiO</w:t>
      </w:r>
      <w:proofErr w:type="spellEnd"/>
      <w:r w:rsidRPr="00765C51">
        <w:rPr>
          <w:rFonts w:ascii="Times New Roman" w:hAnsi="Times New Roman" w:cs="Times New Roman"/>
        </w:rPr>
        <w:t>₂ ratio, and GCS, the lowest recorded value within each time window was used, after applying the component-specific rules described below. For total bilirubin, creatinine, and potassium, the highest recorded value was used. For platelet count, pH, and bicarbonate, the lowest recorded value was used.</w:t>
      </w:r>
    </w:p>
    <w:p w14:paraId="264B5220" w14:textId="3EEF40E4"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For time windows without available measurements immediately after ICU admission, the corresponding component </w:t>
      </w:r>
      <w:proofErr w:type="spellStart"/>
      <w:r w:rsidRPr="00765C51">
        <w:rPr>
          <w:rFonts w:ascii="Times New Roman" w:hAnsi="Times New Roman" w:cs="Times New Roman"/>
        </w:rPr>
        <w:t>subscores</w:t>
      </w:r>
      <w:proofErr w:type="spellEnd"/>
      <w:r w:rsidRPr="00765C51">
        <w:rPr>
          <w:rFonts w:ascii="Times New Roman" w:hAnsi="Times New Roman" w:cs="Times New Roman"/>
        </w:rPr>
        <w:t xml:space="preserve"> were assigned as zero until the first observation was recorded. For mean arterial pressure, SpO₂, and laboratory variables (</w:t>
      </w:r>
      <w:proofErr w:type="spellStart"/>
      <w:r w:rsidRPr="00765C51">
        <w:rPr>
          <w:rFonts w:ascii="Times New Roman" w:hAnsi="Times New Roman" w:cs="Times New Roman"/>
        </w:rPr>
        <w:t>PaO</w:t>
      </w:r>
      <w:proofErr w:type="spellEnd"/>
      <w:r w:rsidRPr="00765C51">
        <w:rPr>
          <w:rFonts w:ascii="Times New Roman" w:hAnsi="Times New Roman" w:cs="Times New Roman"/>
        </w:rPr>
        <w:t xml:space="preserve">₂, platelet count, total bilirubin, creatinine, bicarbonate, pH, and potassium), values were </w:t>
      </w:r>
      <w:proofErr w:type="gramStart"/>
      <w:r w:rsidRPr="00765C51">
        <w:rPr>
          <w:rFonts w:ascii="Times New Roman" w:hAnsi="Times New Roman" w:cs="Times New Roman"/>
        </w:rPr>
        <w:t>forward-filled</w:t>
      </w:r>
      <w:proofErr w:type="gramEnd"/>
      <w:r w:rsidRPr="00765C51">
        <w:rPr>
          <w:rFonts w:ascii="Times New Roman" w:hAnsi="Times New Roman" w:cs="Times New Roman"/>
        </w:rPr>
        <w:t xml:space="preserve"> until the next available measurement.</w:t>
      </w:r>
    </w:p>
    <w:p w14:paraId="67C49025" w14:textId="251C56CF"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Absence of a record for organ support or treatment was interpreted as absence of that support or treatment during the corresponding time window.</w:t>
      </w:r>
    </w:p>
    <w:p w14:paraId="36157E0D" w14:textId="414AA66C"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For vasoactive and other continuously administered drugs, the maximum recorded dose within each time window was used.</w:t>
      </w:r>
    </w:p>
    <w:p w14:paraId="755D9643" w14:textId="4550BDF5"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SOFA and SOFA-2 scores calculated at each time window were defined as hourly SOFA and hourly SOFA-2, respectively. When multiple measurements were available within a time window, the worst value (corresponding to the highest </w:t>
      </w:r>
      <w:proofErr w:type="spellStart"/>
      <w:r w:rsidRPr="00765C51">
        <w:rPr>
          <w:rFonts w:ascii="Times New Roman" w:hAnsi="Times New Roman" w:cs="Times New Roman"/>
        </w:rPr>
        <w:t>subscore</w:t>
      </w:r>
      <w:proofErr w:type="spellEnd"/>
      <w:r w:rsidRPr="00765C51">
        <w:rPr>
          <w:rFonts w:ascii="Times New Roman" w:hAnsi="Times New Roman" w:cs="Times New Roman"/>
        </w:rPr>
        <w:t>) was used.</w:t>
      </w:r>
    </w:p>
    <w:p w14:paraId="04F8DC79" w14:textId="2A41C4E0"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Day-1 SOFA and Day-1 SOFA-2 scores were defined as the sum of the worst organ-specific </w:t>
      </w:r>
      <w:proofErr w:type="spellStart"/>
      <w:r w:rsidRPr="00765C51">
        <w:rPr>
          <w:rFonts w:ascii="Times New Roman" w:hAnsi="Times New Roman" w:cs="Times New Roman"/>
        </w:rPr>
        <w:t>subscores</w:t>
      </w:r>
      <w:proofErr w:type="spellEnd"/>
      <w:r w:rsidRPr="00765C51">
        <w:rPr>
          <w:rFonts w:ascii="Times New Roman" w:hAnsi="Times New Roman" w:cs="Times New Roman"/>
        </w:rPr>
        <w:t xml:space="preserve"> observed across all time windows within the first 24 hours after ICU admission.</w:t>
      </w:r>
    </w:p>
    <w:p w14:paraId="4EAB71E7" w14:textId="6C232BC5"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To improve transparency regarding unmeasured physiologic data, we added a supplementary table showing the proportion of patients without recorded vital sign </w:t>
      </w:r>
      <w:r w:rsidRPr="00765C51">
        <w:rPr>
          <w:rFonts w:ascii="Times New Roman" w:hAnsi="Times New Roman" w:cs="Times New Roman"/>
        </w:rPr>
        <w:lastRenderedPageBreak/>
        <w:t>measurements (Supplementary Table 1).</w:t>
      </w:r>
    </w:p>
    <w:p w14:paraId="6445B731" w14:textId="47658930" w:rsidR="00F77960" w:rsidRPr="00765C51" w:rsidRDefault="00F77960" w:rsidP="00F77960">
      <w:pPr>
        <w:pStyle w:val="a9"/>
        <w:widowControl w:val="0"/>
        <w:numPr>
          <w:ilvl w:val="0"/>
          <w:numId w:val="1"/>
        </w:numPr>
        <w:rPr>
          <w:rFonts w:ascii="Times New Roman" w:hAnsi="Times New Roman" w:cs="Times New Roman"/>
        </w:rPr>
      </w:pPr>
      <w:r w:rsidRPr="00765C51">
        <w:rPr>
          <w:rFonts w:ascii="Times New Roman" w:hAnsi="Times New Roman" w:cs="Times New Roman"/>
        </w:rPr>
        <w:t>Additional component-specific rules are described below.</w:t>
      </w:r>
    </w:p>
    <w:p w14:paraId="7FD62D01" w14:textId="77777777" w:rsidR="00F77960" w:rsidRPr="00765C51" w:rsidRDefault="00F77960" w:rsidP="00F77960">
      <w:pPr>
        <w:widowControl w:val="0"/>
        <w:rPr>
          <w:rFonts w:ascii="Times New Roman" w:hAnsi="Times New Roman" w:cs="Times New Roman"/>
        </w:rPr>
      </w:pPr>
    </w:p>
    <w:p w14:paraId="3BE19D94" w14:textId="77777777" w:rsidR="00DA0726" w:rsidRPr="00765C51" w:rsidRDefault="00E04907" w:rsidP="00DA0726">
      <w:pPr>
        <w:rPr>
          <w:rFonts w:ascii="Times New Roman" w:hAnsi="Times New Roman" w:cs="Times New Roman"/>
          <w:b/>
          <w:bCs/>
        </w:rPr>
      </w:pPr>
      <w:r w:rsidRPr="00765C51">
        <w:rPr>
          <w:rFonts w:ascii="Times New Roman" w:hAnsi="Times New Roman" w:cs="Times New Roman"/>
          <w:b/>
          <w:bCs/>
        </w:rPr>
        <w:t>Brain</w:t>
      </w:r>
    </w:p>
    <w:p w14:paraId="22E81D1B" w14:textId="4A1129CC" w:rsidR="00712417" w:rsidRPr="00765C51" w:rsidRDefault="00712417" w:rsidP="00DA0726">
      <w:pPr>
        <w:pStyle w:val="a9"/>
        <w:numPr>
          <w:ilvl w:val="0"/>
          <w:numId w:val="1"/>
        </w:numPr>
        <w:rPr>
          <w:rFonts w:ascii="Times New Roman" w:hAnsi="Times New Roman" w:cs="Times New Roman"/>
          <w:b/>
          <w:bCs/>
        </w:rPr>
      </w:pPr>
      <w:r w:rsidRPr="00765C51">
        <w:rPr>
          <w:rFonts w:ascii="Times New Roman" w:hAnsi="Times New Roman" w:cs="Times New Roman"/>
        </w:rPr>
        <w:t>For the neurological component, the Glasgow Coma Scale (GCS) total score was used for both SOFA and SOFA-2, whereas the GCS motor score was used only for SOFA-2.</w:t>
      </w:r>
    </w:p>
    <w:p w14:paraId="45907ABB" w14:textId="77777777" w:rsidR="00E04907" w:rsidRPr="00765C51" w:rsidRDefault="00E04907" w:rsidP="00E04907">
      <w:pPr>
        <w:pStyle w:val="a9"/>
        <w:widowControl w:val="0"/>
        <w:numPr>
          <w:ilvl w:val="0"/>
          <w:numId w:val="1"/>
        </w:numPr>
        <w:rPr>
          <w:rFonts w:ascii="Times New Roman" w:hAnsi="Times New Roman" w:cs="Times New Roman"/>
        </w:rPr>
      </w:pPr>
      <w:r w:rsidRPr="00765C51">
        <w:rPr>
          <w:rFonts w:ascii="Times New Roman" w:hAnsi="Times New Roman" w:cs="Times New Roman"/>
        </w:rPr>
        <w:t>In both SOFA and SOFA-2, when patients were under sedation, the best pre-sedation GCS score was used. If patients were intubated, the GCS motor score was used in place of the total score when appropriate.</w:t>
      </w:r>
    </w:p>
    <w:p w14:paraId="52C13F1C" w14:textId="77777777" w:rsidR="00E04907" w:rsidRPr="00765C51" w:rsidRDefault="00E04907" w:rsidP="00E04907">
      <w:pPr>
        <w:pStyle w:val="a9"/>
        <w:widowControl w:val="0"/>
        <w:numPr>
          <w:ilvl w:val="0"/>
          <w:numId w:val="1"/>
        </w:numPr>
        <w:rPr>
          <w:rFonts w:ascii="Times New Roman" w:hAnsi="Times New Roman" w:cs="Times New Roman"/>
        </w:rPr>
      </w:pPr>
      <w:r w:rsidRPr="00765C51">
        <w:rPr>
          <w:rFonts w:ascii="Times New Roman" w:hAnsi="Times New Roman" w:cs="Times New Roman"/>
        </w:rPr>
        <w:t>For SOFA, if patients were intubated but not sedated, the observed GCS total score was used without modification.</w:t>
      </w:r>
    </w:p>
    <w:p w14:paraId="5A9EF395" w14:textId="77777777" w:rsidR="00E04907" w:rsidRPr="00765C51" w:rsidRDefault="00E04907" w:rsidP="00E04907">
      <w:pPr>
        <w:pStyle w:val="a9"/>
        <w:widowControl w:val="0"/>
        <w:numPr>
          <w:ilvl w:val="0"/>
          <w:numId w:val="1"/>
        </w:numPr>
        <w:rPr>
          <w:rFonts w:ascii="Times New Roman" w:hAnsi="Times New Roman" w:cs="Times New Roman"/>
        </w:rPr>
      </w:pPr>
      <w:r w:rsidRPr="00765C51">
        <w:rPr>
          <w:rFonts w:ascii="Times New Roman" w:hAnsi="Times New Roman" w:cs="Times New Roman"/>
        </w:rPr>
        <w:t>For SOFA-2, delirium treatment was defined as the presence of a positive Confusion Assessment Method for the ICU (CAM-ICU) or a Richmond Agitation–Sedation Scale (RASS) score ≥ +1, in combination with the administration of any sedative agent.</w:t>
      </w:r>
    </w:p>
    <w:p w14:paraId="1EF36FE0" w14:textId="77777777" w:rsidR="00E04907" w:rsidRPr="00765C51" w:rsidRDefault="00E04907" w:rsidP="00E04907">
      <w:pPr>
        <w:rPr>
          <w:rFonts w:ascii="Times New Roman" w:hAnsi="Times New Roman" w:cs="Times New Roman"/>
        </w:rPr>
      </w:pPr>
    </w:p>
    <w:p w14:paraId="7C17A88E" w14:textId="77777777" w:rsidR="00E04907" w:rsidRPr="00765C51" w:rsidRDefault="00E04907" w:rsidP="00E04907">
      <w:pPr>
        <w:rPr>
          <w:rFonts w:ascii="Times New Roman" w:hAnsi="Times New Roman" w:cs="Times New Roman"/>
          <w:b/>
          <w:bCs/>
        </w:rPr>
      </w:pPr>
      <w:r w:rsidRPr="00765C51">
        <w:rPr>
          <w:rFonts w:ascii="Times New Roman" w:hAnsi="Times New Roman" w:cs="Times New Roman"/>
          <w:b/>
          <w:bCs/>
        </w:rPr>
        <w:t>Respiratory</w:t>
      </w:r>
    </w:p>
    <w:p w14:paraId="3721B865" w14:textId="77777777" w:rsidR="00712417" w:rsidRPr="00765C51" w:rsidRDefault="00712417" w:rsidP="00712417">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For SOFA, only invasive mechanical ventilation was classified as advanced respiratory support, and respiratory scoring was based on the </w:t>
      </w:r>
      <w:proofErr w:type="spellStart"/>
      <w:r w:rsidRPr="00765C51">
        <w:rPr>
          <w:rFonts w:ascii="Times New Roman" w:hAnsi="Times New Roman" w:cs="Times New Roman"/>
        </w:rPr>
        <w:t>PaO</w:t>
      </w:r>
      <w:proofErr w:type="spellEnd"/>
      <w:r w:rsidRPr="00765C51">
        <w:rPr>
          <w:rFonts w:ascii="Times New Roman" w:hAnsi="Times New Roman" w:cs="Times New Roman"/>
        </w:rPr>
        <w:t>₂/</w:t>
      </w:r>
      <w:proofErr w:type="spellStart"/>
      <w:r w:rsidRPr="00765C51">
        <w:rPr>
          <w:rFonts w:ascii="Times New Roman" w:hAnsi="Times New Roman" w:cs="Times New Roman"/>
        </w:rPr>
        <w:t>FiO</w:t>
      </w:r>
      <w:proofErr w:type="spellEnd"/>
      <w:r w:rsidRPr="00765C51">
        <w:rPr>
          <w:rFonts w:ascii="Times New Roman" w:hAnsi="Times New Roman" w:cs="Times New Roman"/>
        </w:rPr>
        <w:t>₂ ratio.</w:t>
      </w:r>
    </w:p>
    <w:p w14:paraId="32AA5B07" w14:textId="2673F430" w:rsidR="00E04907" w:rsidRPr="00765C51" w:rsidRDefault="00712417" w:rsidP="00712417">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For SOFA-2, invasive mechanical ventilation, non-invasive positive pressure ventilation, and nasal high-flow oxygen therapy were classified as advanced respiratory support. The </w:t>
      </w:r>
      <w:proofErr w:type="spellStart"/>
      <w:r w:rsidRPr="00765C51">
        <w:rPr>
          <w:rFonts w:ascii="Times New Roman" w:hAnsi="Times New Roman" w:cs="Times New Roman"/>
        </w:rPr>
        <w:t>PaO</w:t>
      </w:r>
      <w:proofErr w:type="spellEnd"/>
      <w:r w:rsidRPr="00765C51">
        <w:rPr>
          <w:rFonts w:ascii="Times New Roman" w:hAnsi="Times New Roman" w:cs="Times New Roman"/>
        </w:rPr>
        <w:t>₂/</w:t>
      </w:r>
      <w:proofErr w:type="spellStart"/>
      <w:r w:rsidRPr="00765C51">
        <w:rPr>
          <w:rFonts w:ascii="Times New Roman" w:hAnsi="Times New Roman" w:cs="Times New Roman"/>
        </w:rPr>
        <w:t>FiO</w:t>
      </w:r>
      <w:proofErr w:type="spellEnd"/>
      <w:r w:rsidRPr="00765C51">
        <w:rPr>
          <w:rFonts w:ascii="Times New Roman" w:hAnsi="Times New Roman" w:cs="Times New Roman"/>
        </w:rPr>
        <w:t>₂ ratio was used when available; the SpO₂/</w:t>
      </w:r>
      <w:proofErr w:type="spellStart"/>
      <w:r w:rsidRPr="00765C51">
        <w:rPr>
          <w:rFonts w:ascii="Times New Roman" w:hAnsi="Times New Roman" w:cs="Times New Roman"/>
        </w:rPr>
        <w:t>FiO</w:t>
      </w:r>
      <w:proofErr w:type="spellEnd"/>
      <w:r w:rsidRPr="00765C51">
        <w:rPr>
          <w:rFonts w:ascii="Times New Roman" w:hAnsi="Times New Roman" w:cs="Times New Roman"/>
        </w:rPr>
        <w:t xml:space="preserve">₂ ratio was used only when no </w:t>
      </w:r>
      <w:proofErr w:type="spellStart"/>
      <w:r w:rsidRPr="00765C51">
        <w:rPr>
          <w:rFonts w:ascii="Times New Roman" w:hAnsi="Times New Roman" w:cs="Times New Roman"/>
        </w:rPr>
        <w:t>PaO</w:t>
      </w:r>
      <w:proofErr w:type="spellEnd"/>
      <w:r w:rsidRPr="00765C51">
        <w:rPr>
          <w:rFonts w:ascii="Times New Roman" w:hAnsi="Times New Roman" w:cs="Times New Roman"/>
        </w:rPr>
        <w:t>₂/</w:t>
      </w:r>
      <w:proofErr w:type="spellStart"/>
      <w:r w:rsidRPr="00765C51">
        <w:rPr>
          <w:rFonts w:ascii="Times New Roman" w:hAnsi="Times New Roman" w:cs="Times New Roman"/>
        </w:rPr>
        <w:t>FiO</w:t>
      </w:r>
      <w:proofErr w:type="spellEnd"/>
      <w:r w:rsidRPr="00765C51">
        <w:rPr>
          <w:rFonts w:ascii="Times New Roman" w:hAnsi="Times New Roman" w:cs="Times New Roman"/>
        </w:rPr>
        <w:t>₂ measurement was available during the assessment period.</w:t>
      </w:r>
    </w:p>
    <w:p w14:paraId="4C72F6BB" w14:textId="77777777" w:rsidR="00E04907" w:rsidRPr="00765C51" w:rsidRDefault="00E04907" w:rsidP="00E04907">
      <w:pPr>
        <w:rPr>
          <w:rFonts w:ascii="Times New Roman" w:hAnsi="Times New Roman" w:cs="Times New Roman"/>
        </w:rPr>
      </w:pPr>
    </w:p>
    <w:p w14:paraId="7D7794EC" w14:textId="46D6C29F" w:rsidR="00393237" w:rsidRPr="00765C51" w:rsidRDefault="00393237" w:rsidP="00393237">
      <w:pPr>
        <w:rPr>
          <w:rFonts w:ascii="Times New Roman" w:hAnsi="Times New Roman" w:cs="Times New Roman"/>
          <w:b/>
          <w:bCs/>
        </w:rPr>
      </w:pPr>
      <w:r w:rsidRPr="00765C51">
        <w:rPr>
          <w:rFonts w:ascii="Times New Roman" w:hAnsi="Times New Roman" w:cs="Times New Roman"/>
          <w:b/>
          <w:bCs/>
        </w:rPr>
        <w:t>Cardiovascular</w:t>
      </w:r>
    </w:p>
    <w:p w14:paraId="5521BC39" w14:textId="77777777" w:rsidR="00393237" w:rsidRPr="00765C51" w:rsidRDefault="00393237" w:rsidP="00393237">
      <w:pPr>
        <w:pStyle w:val="a9"/>
        <w:numPr>
          <w:ilvl w:val="0"/>
          <w:numId w:val="1"/>
        </w:numPr>
        <w:rPr>
          <w:rFonts w:ascii="Times New Roman" w:hAnsi="Times New Roman" w:cs="Times New Roman"/>
        </w:rPr>
      </w:pPr>
      <w:r w:rsidRPr="00765C51">
        <w:rPr>
          <w:rFonts w:ascii="Times New Roman" w:hAnsi="Times New Roman" w:cs="Times New Roman"/>
        </w:rPr>
        <w:t>For SOFA, cardiovascular scoring was based on mean arterial pressure and the use of norepinephrine, dopamine, dobutamine, and epinephrine, according to the original SOFA definition.</w:t>
      </w:r>
    </w:p>
    <w:p w14:paraId="2C9EA012" w14:textId="733BB87E" w:rsidR="00393237" w:rsidRPr="00765C51" w:rsidRDefault="00393237" w:rsidP="00393237">
      <w:pPr>
        <w:pStyle w:val="a9"/>
        <w:numPr>
          <w:ilvl w:val="0"/>
          <w:numId w:val="1"/>
        </w:numPr>
        <w:rPr>
          <w:rFonts w:ascii="Times New Roman" w:hAnsi="Times New Roman" w:cs="Times New Roman"/>
        </w:rPr>
      </w:pPr>
      <w:r w:rsidRPr="00765C51">
        <w:rPr>
          <w:rFonts w:ascii="Times New Roman" w:hAnsi="Times New Roman" w:cs="Times New Roman"/>
        </w:rPr>
        <w:t>For SOFA-2, cardiovascular scoring was based on the updated SOFA-2 criteria. In addition to norepinephrine, dopamine, dobutamine, and epinephrine, phosphodiesterase III inhibitors (e.g., milrinone), β-adrenergic stimulants (e.g., isoproterenol), and vasoconstrictive agents (e.g., vasopressin, phenylephrine, and methylene blue) were classified as “any other vasopressor or inotrope.”</w:t>
      </w:r>
    </w:p>
    <w:p w14:paraId="7EEE358B" w14:textId="77777777" w:rsidR="00393237" w:rsidRPr="00765C51" w:rsidRDefault="00393237" w:rsidP="00393237">
      <w:pPr>
        <w:rPr>
          <w:rFonts w:ascii="Times New Roman" w:hAnsi="Times New Roman" w:cs="Times New Roman"/>
          <w:b/>
          <w:bCs/>
        </w:rPr>
      </w:pPr>
    </w:p>
    <w:p w14:paraId="71703FF1" w14:textId="603D597B" w:rsidR="00E04907" w:rsidRPr="00765C51" w:rsidRDefault="00E04907" w:rsidP="00E04907">
      <w:pPr>
        <w:rPr>
          <w:rFonts w:ascii="Times New Roman" w:hAnsi="Times New Roman" w:cs="Times New Roman"/>
          <w:b/>
          <w:bCs/>
        </w:rPr>
      </w:pPr>
      <w:r w:rsidRPr="00765C51">
        <w:rPr>
          <w:rFonts w:ascii="Times New Roman" w:hAnsi="Times New Roman" w:cs="Times New Roman"/>
          <w:b/>
          <w:bCs/>
        </w:rPr>
        <w:lastRenderedPageBreak/>
        <w:t>Kidney</w:t>
      </w:r>
    </w:p>
    <w:p w14:paraId="7A5202D9" w14:textId="77777777" w:rsidR="00E04907" w:rsidRPr="00765C51" w:rsidRDefault="00E04907" w:rsidP="00E04907">
      <w:pPr>
        <w:pStyle w:val="a9"/>
        <w:widowControl w:val="0"/>
        <w:numPr>
          <w:ilvl w:val="0"/>
          <w:numId w:val="1"/>
        </w:numPr>
        <w:rPr>
          <w:rFonts w:ascii="Times New Roman" w:hAnsi="Times New Roman" w:cs="Times New Roman"/>
        </w:rPr>
      </w:pPr>
      <w:r w:rsidRPr="00765C51">
        <w:rPr>
          <w:rFonts w:ascii="Times New Roman" w:hAnsi="Times New Roman" w:cs="Times New Roman"/>
        </w:rPr>
        <w:t>Urine output criteria were applied based on predefined time windows. For SOFA-2, 6-hour and 12-hour urine output thresholds were evaluated only when the observation period exceeded the corresponding duration. For SOFA and SOFA-2 24-hour urine output criteria, values were calculated as the average urine output rate from the observation point up to the corresponding time window.</w:t>
      </w:r>
    </w:p>
    <w:p w14:paraId="37443A3D" w14:textId="77777777" w:rsidR="00E04907" w:rsidRPr="00765C51" w:rsidRDefault="00E04907" w:rsidP="00E04907">
      <w:pPr>
        <w:pStyle w:val="a9"/>
        <w:widowControl w:val="0"/>
        <w:numPr>
          <w:ilvl w:val="0"/>
          <w:numId w:val="1"/>
        </w:numPr>
        <w:rPr>
          <w:rFonts w:ascii="Times New Roman" w:hAnsi="Times New Roman" w:cs="Times New Roman"/>
        </w:rPr>
      </w:pPr>
      <w:r w:rsidRPr="00765C51">
        <w:rPr>
          <w:rFonts w:ascii="Times New Roman" w:hAnsi="Times New Roman" w:cs="Times New Roman"/>
        </w:rPr>
        <w:t>The criterion of “non-renal use” in SOFA-2 was not applied due to difficulty in operational definition within the database.</w:t>
      </w:r>
    </w:p>
    <w:p w14:paraId="4F7B164B" w14:textId="717F3580" w:rsidR="00E04907" w:rsidRPr="00765C51" w:rsidRDefault="00712417" w:rsidP="00E04907">
      <w:pPr>
        <w:pStyle w:val="a9"/>
        <w:widowControl w:val="0"/>
        <w:numPr>
          <w:ilvl w:val="0"/>
          <w:numId w:val="1"/>
        </w:numPr>
        <w:rPr>
          <w:rFonts w:ascii="Times New Roman" w:hAnsi="Times New Roman" w:cs="Times New Roman"/>
        </w:rPr>
      </w:pPr>
      <w:r w:rsidRPr="00765C51">
        <w:rPr>
          <w:rFonts w:ascii="Times New Roman" w:hAnsi="Times New Roman" w:cs="Times New Roman"/>
        </w:rPr>
        <w:t xml:space="preserve">For non-dialysis periods after intermittent renal replacement therapy, score assignment was based on prior dialysis exposure and fulfillment of RRT indication criteria, defined as creatinine level greater than 1.2 mg/dL (&gt;110 </w:t>
      </w:r>
      <w:proofErr w:type="spellStart"/>
      <w:r w:rsidRPr="00765C51">
        <w:rPr>
          <w:rFonts w:ascii="Times New Roman" w:hAnsi="Times New Roman" w:cs="Times New Roman"/>
        </w:rPr>
        <w:t>μmol</w:t>
      </w:r>
      <w:proofErr w:type="spellEnd"/>
      <w:r w:rsidRPr="00765C51">
        <w:rPr>
          <w:rFonts w:ascii="Times New Roman" w:hAnsi="Times New Roman" w:cs="Times New Roman"/>
        </w:rPr>
        <w:t>/L) or oliguria (&lt;0.3 mL/kg/h) for more than 6 hours, plus at least one of serum potassium ≥6.0 mmol/L or metabolic acidosis with pH ≤7.20 and serum bicarbonate ≤12 mmol/L.</w:t>
      </w:r>
    </w:p>
    <w:p w14:paraId="401316CF" w14:textId="77777777" w:rsidR="00E04907" w:rsidRPr="00765C51" w:rsidRDefault="00E04907" w:rsidP="00E04907">
      <w:pPr>
        <w:rPr>
          <w:rFonts w:ascii="Times New Roman" w:hAnsi="Times New Roman" w:cs="Times New Roman"/>
        </w:rPr>
      </w:pPr>
    </w:p>
    <w:p w14:paraId="375EDBB1" w14:textId="77777777" w:rsidR="00E04907" w:rsidRPr="00765C51" w:rsidRDefault="00E04907" w:rsidP="00E04907">
      <w:pPr>
        <w:rPr>
          <w:rFonts w:ascii="Times New Roman" w:hAnsi="Times New Roman" w:cs="Times New Roman"/>
          <w:b/>
          <w:bCs/>
        </w:rPr>
      </w:pPr>
      <w:r w:rsidRPr="00765C51">
        <w:rPr>
          <w:rFonts w:ascii="Times New Roman" w:hAnsi="Times New Roman" w:cs="Times New Roman"/>
          <w:b/>
          <w:bCs/>
        </w:rPr>
        <w:t>Other components</w:t>
      </w:r>
    </w:p>
    <w:p w14:paraId="4D1EDCA2" w14:textId="2E954E11" w:rsidR="00E04907" w:rsidRPr="00765C51" w:rsidRDefault="00E04907" w:rsidP="00E04907">
      <w:pPr>
        <w:pStyle w:val="a9"/>
        <w:widowControl w:val="0"/>
        <w:numPr>
          <w:ilvl w:val="0"/>
          <w:numId w:val="1"/>
        </w:numPr>
        <w:rPr>
          <w:rFonts w:ascii="Times New Roman" w:hAnsi="Times New Roman" w:cs="Times New Roman"/>
        </w:rPr>
      </w:pPr>
      <w:r w:rsidRPr="00765C51">
        <w:rPr>
          <w:rFonts w:ascii="Times New Roman" w:hAnsi="Times New Roman" w:cs="Times New Roman"/>
        </w:rPr>
        <w:t>No additional modifications were applied to the coagulation (hemostasis), or liver components.</w:t>
      </w:r>
    </w:p>
    <w:p w14:paraId="340309B2" w14:textId="77777777" w:rsidR="00E04907" w:rsidRPr="00765C51" w:rsidRDefault="00E04907" w:rsidP="00E04907">
      <w:pPr>
        <w:rPr>
          <w:rFonts w:ascii="Times New Roman" w:hAnsi="Times New Roman" w:cs="Times New Roman"/>
        </w:rPr>
      </w:pPr>
    </w:p>
    <w:p w14:paraId="7397B925" w14:textId="77777777" w:rsidR="00E04907" w:rsidRPr="00765C51" w:rsidRDefault="00E04907" w:rsidP="00E04907">
      <w:pPr>
        <w:rPr>
          <w:rFonts w:ascii="Times New Roman" w:hAnsi="Times New Roman" w:cs="Times New Roman"/>
          <w:b/>
          <w:bCs/>
        </w:rPr>
      </w:pPr>
      <w:r w:rsidRPr="00765C51">
        <w:rPr>
          <w:rFonts w:ascii="Times New Roman" w:hAnsi="Times New Roman" w:cs="Times New Roman"/>
          <w:b/>
          <w:bCs/>
        </w:rPr>
        <w:t>Abbreviations</w:t>
      </w:r>
    </w:p>
    <w:p w14:paraId="1EA6A539" w14:textId="77777777" w:rsidR="00E04907" w:rsidRPr="00765C51" w:rsidRDefault="00E04907" w:rsidP="00E04907">
      <w:pPr>
        <w:rPr>
          <w:rFonts w:ascii="Times New Roman" w:hAnsi="Times New Roman" w:cs="Times New Roman"/>
        </w:rPr>
      </w:pPr>
      <w:r w:rsidRPr="00765C51">
        <w:rPr>
          <w:rFonts w:ascii="Times New Roman" w:hAnsi="Times New Roman" w:cs="Times New Roman"/>
        </w:rPr>
        <w:t xml:space="preserve">SOFA, Sequential Organ Failure Assessment; SOFA-2, updated Sequential Organ Failure Assessment score; GCS, Glasgow Coma Scale; RASS, Richmond Agitation–Sedation Scale; CAM-ICU, Confusion Assessment Method for the Intensive Care Unit; SpO₂, peripheral oxygen saturation; </w:t>
      </w:r>
      <w:proofErr w:type="spellStart"/>
      <w:r w:rsidRPr="00765C51">
        <w:rPr>
          <w:rFonts w:ascii="Times New Roman" w:hAnsi="Times New Roman" w:cs="Times New Roman"/>
        </w:rPr>
        <w:t>PaO</w:t>
      </w:r>
      <w:proofErr w:type="spellEnd"/>
      <w:r w:rsidRPr="00765C51">
        <w:rPr>
          <w:rFonts w:ascii="Times New Roman" w:hAnsi="Times New Roman" w:cs="Times New Roman"/>
        </w:rPr>
        <w:t>₂, partial pressure of arterial oxygen; NHF, nasal high-flow oxygen therapy; NIPPV, non-invasive positive pressure ventilation; ECMO, extracorporeal membrane oxygenation; RRT, renal replacement therapy.</w:t>
      </w:r>
    </w:p>
    <w:p w14:paraId="7A1D3B05" w14:textId="77777777" w:rsidR="00E04907" w:rsidRPr="00765C51" w:rsidRDefault="00E04907" w:rsidP="00E04907">
      <w:pPr>
        <w:rPr>
          <w:rFonts w:ascii="Times New Roman" w:hAnsi="Times New Roman" w:cs="Times New Roman"/>
          <w:b/>
          <w:bCs/>
        </w:rPr>
      </w:pPr>
      <w:r w:rsidRPr="00765C51">
        <w:rPr>
          <w:rFonts w:ascii="Times New Roman" w:hAnsi="Times New Roman" w:cs="Times New Roman"/>
          <w:b/>
          <w:bCs/>
        </w:rPr>
        <w:br w:type="page"/>
      </w:r>
    </w:p>
    <w:p w14:paraId="711AA680" w14:textId="4615164F" w:rsidR="00E04907" w:rsidRPr="00765C51" w:rsidRDefault="003A263B" w:rsidP="00E04907">
      <w:pPr>
        <w:rPr>
          <w:rFonts w:ascii="Times New Roman" w:hAnsi="Times New Roman" w:cs="Times New Roman"/>
        </w:rPr>
      </w:pPr>
      <w:r w:rsidRPr="003A263B">
        <w:rPr>
          <w:rFonts w:ascii="Times New Roman" w:hAnsi="Times New Roman" w:cs="Times New Roman"/>
          <w:noProof/>
        </w:rPr>
        <w:lastRenderedPageBreak/>
        <w:drawing>
          <wp:inline distT="0" distB="0" distL="0" distR="0" wp14:anchorId="3205B1B0" wp14:editId="655EDCD5">
            <wp:extent cx="5400040" cy="6244590"/>
            <wp:effectExtent l="0" t="0" r="0" b="3810"/>
            <wp:docPr id="186861877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18773" name=""/>
                    <pic:cNvPicPr/>
                  </pic:nvPicPr>
                  <pic:blipFill>
                    <a:blip r:embed="rId8"/>
                    <a:stretch>
                      <a:fillRect/>
                    </a:stretch>
                  </pic:blipFill>
                  <pic:spPr>
                    <a:xfrm>
                      <a:off x="0" y="0"/>
                      <a:ext cx="5400040" cy="6244590"/>
                    </a:xfrm>
                    <a:prstGeom prst="rect">
                      <a:avLst/>
                    </a:prstGeom>
                  </pic:spPr>
                </pic:pic>
              </a:graphicData>
            </a:graphic>
          </wp:inline>
        </w:drawing>
      </w:r>
    </w:p>
    <w:p w14:paraId="26725F8F" w14:textId="06721794" w:rsidR="00E04907" w:rsidRPr="00765C51" w:rsidRDefault="0037208E" w:rsidP="00E04907">
      <w:pPr>
        <w:rPr>
          <w:rFonts w:ascii="Times New Roman" w:hAnsi="Times New Roman" w:cs="Times New Roman"/>
          <w:b/>
          <w:bCs/>
        </w:rPr>
      </w:pPr>
      <w:r w:rsidRPr="00765C51">
        <w:rPr>
          <w:rFonts w:ascii="Times New Roman" w:hAnsi="Times New Roman" w:cs="Times New Roman"/>
          <w:b/>
          <w:bCs/>
        </w:rPr>
        <w:t xml:space="preserve">Supplementary Figure 1. Study flow diagram for cohort selection and data inclusion. </w:t>
      </w:r>
      <w:r w:rsidR="00E04907" w:rsidRPr="00765C51">
        <w:rPr>
          <w:rFonts w:ascii="Times New Roman" w:hAnsi="Times New Roman" w:cs="Times New Roman"/>
        </w:rPr>
        <w:t>SOFA deviation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was defined as SOFA-2 minus SOFA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 SOFA-2 − SOFA) and categorized as Positive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(≥2), Minimal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(−2 &lt;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&lt; 2), and Negative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(≤−2).</w:t>
      </w:r>
    </w:p>
    <w:p w14:paraId="5B116974" w14:textId="77777777" w:rsidR="007F16F9" w:rsidRPr="00765C51" w:rsidRDefault="007F16F9" w:rsidP="00FA5552">
      <w:pPr>
        <w:rPr>
          <w:rFonts w:ascii="Times New Roman" w:hAnsi="Times New Roman" w:cs="Times New Roman"/>
          <w:b/>
          <w:bCs/>
        </w:rPr>
        <w:sectPr w:rsidR="007F16F9" w:rsidRPr="00765C51" w:rsidSect="00E04907">
          <w:footerReference w:type="even" r:id="rId9"/>
          <w:footerReference w:type="default" r:id="rId10"/>
          <w:pgSz w:w="11906" w:h="16838"/>
          <w:pgMar w:top="1985" w:right="1701" w:bottom="1701" w:left="1701" w:header="851" w:footer="992" w:gutter="0"/>
          <w:lnNumType w:countBy="1" w:restart="continuous"/>
          <w:cols w:space="425"/>
          <w:docGrid w:type="lines" w:linePitch="360"/>
        </w:sectPr>
      </w:pPr>
    </w:p>
    <w:p w14:paraId="679CCC51" w14:textId="77777777" w:rsidR="00FA5552" w:rsidRPr="00765C51" w:rsidRDefault="00FA5552">
      <w:pPr>
        <w:rPr>
          <w:rFonts w:ascii="Times New Roman" w:hAnsi="Times New Roman" w:cs="Times New Roman"/>
          <w:b/>
          <w:bCs/>
        </w:rPr>
      </w:pPr>
      <w:r w:rsidRPr="00765C51">
        <w:rPr>
          <w:rFonts w:ascii="Times New Roman" w:hAnsi="Times New Roman" w:cs="Times New Roman"/>
          <w:b/>
          <w:bCs/>
          <w:noProof/>
        </w:rPr>
        <w:lastRenderedPageBreak/>
        <w:drawing>
          <wp:inline distT="0" distB="0" distL="0" distR="0" wp14:anchorId="66E16D08" wp14:editId="2372AD24">
            <wp:extent cx="6278880" cy="4128821"/>
            <wp:effectExtent l="0" t="0" r="0" b="0"/>
            <wp:docPr id="104726324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63242" name=""/>
                    <pic:cNvPicPr/>
                  </pic:nvPicPr>
                  <pic:blipFill>
                    <a:blip r:embed="rId11"/>
                    <a:stretch>
                      <a:fillRect/>
                    </a:stretch>
                  </pic:blipFill>
                  <pic:spPr>
                    <a:xfrm>
                      <a:off x="0" y="0"/>
                      <a:ext cx="6317513" cy="4154225"/>
                    </a:xfrm>
                    <a:prstGeom prst="rect">
                      <a:avLst/>
                    </a:prstGeom>
                  </pic:spPr>
                </pic:pic>
              </a:graphicData>
            </a:graphic>
          </wp:inline>
        </w:drawing>
      </w:r>
    </w:p>
    <w:p w14:paraId="28B65249" w14:textId="1FA8B079" w:rsidR="00FA5552" w:rsidRPr="00765C51" w:rsidRDefault="00EB4E15">
      <w:pPr>
        <w:rPr>
          <w:rFonts w:ascii="Times New Roman" w:hAnsi="Times New Roman" w:cs="Times New Roman"/>
        </w:rPr>
      </w:pPr>
      <w:r w:rsidRPr="00765C51">
        <w:rPr>
          <w:rFonts w:ascii="Times New Roman" w:hAnsi="Times New Roman" w:cs="Times New Roman"/>
          <w:b/>
          <w:bCs/>
        </w:rPr>
        <w:t xml:space="preserve">Supplementary figure 2. Reclassification of organ </w:t>
      </w:r>
      <w:proofErr w:type="spellStart"/>
      <w:r w:rsidRPr="00765C51">
        <w:rPr>
          <w:rFonts w:ascii="Times New Roman" w:hAnsi="Times New Roman" w:cs="Times New Roman"/>
          <w:b/>
          <w:bCs/>
        </w:rPr>
        <w:t>subscores</w:t>
      </w:r>
      <w:proofErr w:type="spellEnd"/>
      <w:r w:rsidRPr="00765C51">
        <w:rPr>
          <w:rFonts w:ascii="Times New Roman" w:hAnsi="Times New Roman" w:cs="Times New Roman"/>
          <w:b/>
          <w:bCs/>
        </w:rPr>
        <w:t xml:space="preserve"> between Hourly SOFA and SOFA-2</w:t>
      </w:r>
      <w:r w:rsidRPr="00765C51">
        <w:rPr>
          <w:rFonts w:ascii="Times New Roman" w:hAnsi="Times New Roman" w:cs="Times New Roman"/>
        </w:rPr>
        <w:t xml:space="preserve">. </w:t>
      </w:r>
      <w:r w:rsidR="00FA5552" w:rsidRPr="00765C51">
        <w:rPr>
          <w:rFonts w:ascii="Times New Roman" w:hAnsi="Times New Roman" w:cs="Times New Roman"/>
        </w:rPr>
        <w:t xml:space="preserve">Sankey diagrams show reclassification based on hourly organ </w:t>
      </w:r>
      <w:proofErr w:type="spellStart"/>
      <w:r w:rsidR="00FA5552" w:rsidRPr="00765C51">
        <w:rPr>
          <w:rFonts w:ascii="Times New Roman" w:hAnsi="Times New Roman" w:cs="Times New Roman"/>
        </w:rPr>
        <w:t>subscores</w:t>
      </w:r>
      <w:proofErr w:type="spellEnd"/>
      <w:r w:rsidR="00FA5552" w:rsidRPr="00765C51">
        <w:rPr>
          <w:rFonts w:ascii="Times New Roman" w:hAnsi="Times New Roman" w:cs="Times New Roman"/>
        </w:rPr>
        <w:t xml:space="preserve">. For each </w:t>
      </w:r>
      <w:proofErr w:type="spellStart"/>
      <w:r w:rsidR="00FA5552" w:rsidRPr="00765C51">
        <w:rPr>
          <w:rFonts w:ascii="Times New Roman" w:hAnsi="Times New Roman" w:cs="Times New Roman"/>
        </w:rPr>
        <w:t>subscore</w:t>
      </w:r>
      <w:proofErr w:type="spellEnd"/>
      <w:r w:rsidR="00FA5552" w:rsidRPr="00765C51">
        <w:rPr>
          <w:rFonts w:ascii="Times New Roman" w:hAnsi="Times New Roman" w:cs="Times New Roman"/>
        </w:rPr>
        <w:t xml:space="preserve"> (Brain, Respiratory, Cardiovascular, Liver, Kidney, and Hemostasis), transitions in </w:t>
      </w:r>
      <w:proofErr w:type="spellStart"/>
      <w:r w:rsidR="00FA5552" w:rsidRPr="00765C51">
        <w:rPr>
          <w:rFonts w:ascii="Times New Roman" w:hAnsi="Times New Roman" w:cs="Times New Roman"/>
        </w:rPr>
        <w:t>subscore</w:t>
      </w:r>
      <w:proofErr w:type="spellEnd"/>
      <w:r w:rsidR="00FA5552" w:rsidRPr="00765C51">
        <w:rPr>
          <w:rFonts w:ascii="Times New Roman" w:hAnsi="Times New Roman" w:cs="Times New Roman"/>
        </w:rPr>
        <w:t xml:space="preserve"> categories (0–4) from SOFA (left) to SOFA-2 (right) are depicted. The width of each flow is proportional to the number of patients in the corresponding transition.</w:t>
      </w:r>
      <w:r w:rsidR="00FA5552" w:rsidRPr="00765C51">
        <w:rPr>
          <w:rFonts w:ascii="Times New Roman" w:hAnsi="Times New Roman" w:cs="Times New Roman"/>
          <w:b/>
          <w:bCs/>
        </w:rPr>
        <w:br w:type="page"/>
      </w:r>
    </w:p>
    <w:p w14:paraId="27FE98DE" w14:textId="77777777" w:rsidR="00765C51" w:rsidRPr="00765C51" w:rsidRDefault="0037208E">
      <w:pPr>
        <w:rPr>
          <w:rFonts w:ascii="Times New Roman" w:hAnsi="Times New Roman" w:cs="Times New Roman"/>
          <w:b/>
          <w:bCs/>
        </w:rPr>
      </w:pPr>
      <w:r w:rsidRPr="00765C51">
        <w:rPr>
          <w:rFonts w:ascii="Times New Roman" w:hAnsi="Times New Roman" w:cs="Times New Roman"/>
          <w:noProof/>
        </w:rPr>
        <w:lastRenderedPageBreak/>
        <w:drawing>
          <wp:inline distT="0" distB="0" distL="0" distR="0" wp14:anchorId="51B5B041" wp14:editId="42379BE8">
            <wp:extent cx="6345484" cy="3900792"/>
            <wp:effectExtent l="0" t="0" r="5080" b="0"/>
            <wp:docPr id="100028713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87133" name=""/>
                    <pic:cNvPicPr/>
                  </pic:nvPicPr>
                  <pic:blipFill>
                    <a:blip r:embed="rId12"/>
                    <a:stretch>
                      <a:fillRect/>
                    </a:stretch>
                  </pic:blipFill>
                  <pic:spPr>
                    <a:xfrm>
                      <a:off x="0" y="0"/>
                      <a:ext cx="6414993" cy="3943522"/>
                    </a:xfrm>
                    <a:prstGeom prst="rect">
                      <a:avLst/>
                    </a:prstGeom>
                  </pic:spPr>
                </pic:pic>
              </a:graphicData>
            </a:graphic>
          </wp:inline>
        </w:drawing>
      </w:r>
    </w:p>
    <w:p w14:paraId="736EF72E" w14:textId="77777777" w:rsidR="00AF1A29" w:rsidRDefault="00EB4E15">
      <w:pPr>
        <w:rPr>
          <w:rFonts w:ascii="Times New Roman" w:hAnsi="Times New Roman" w:cs="Times New Roman"/>
        </w:rPr>
        <w:sectPr w:rsidR="00AF1A29" w:rsidSect="007F16F9">
          <w:pgSz w:w="16838" w:h="11906" w:orient="landscape"/>
          <w:pgMar w:top="1701" w:right="1701" w:bottom="1701" w:left="1985" w:header="851" w:footer="992" w:gutter="0"/>
          <w:lnNumType w:countBy="1" w:restart="continuous"/>
          <w:cols w:space="425"/>
          <w:docGrid w:type="lines" w:linePitch="360"/>
        </w:sectPr>
      </w:pPr>
      <w:r w:rsidRPr="00765C51">
        <w:rPr>
          <w:rFonts w:ascii="Times New Roman" w:hAnsi="Times New Roman" w:cs="Times New Roman"/>
          <w:b/>
          <w:bCs/>
        </w:rPr>
        <w:t xml:space="preserve">Supplementary figure 3. </w:t>
      </w:r>
      <w:proofErr w:type="spellStart"/>
      <w:r w:rsidRPr="00765C51">
        <w:rPr>
          <w:rFonts w:ascii="Times New Roman" w:hAnsi="Times New Roman" w:cs="Times New Roman"/>
          <w:b/>
          <w:bCs/>
        </w:rPr>
        <w:t>Subscore</w:t>
      </w:r>
      <w:proofErr w:type="spellEnd"/>
      <w:r w:rsidRPr="00765C51">
        <w:rPr>
          <w:rFonts w:ascii="Times New Roman" w:hAnsi="Times New Roman" w:cs="Times New Roman"/>
          <w:b/>
          <w:bCs/>
        </w:rPr>
        <w:t>-level reclassification heat maps between Hourly SOFA and SOFA-2 with ICU mortality.</w:t>
      </w:r>
      <w:r w:rsidRPr="00765C51">
        <w:rPr>
          <w:rFonts w:ascii="Times New Roman" w:hAnsi="Times New Roman" w:cs="Times New Roman"/>
        </w:rPr>
        <w:t xml:space="preserve"> </w:t>
      </w:r>
      <w:r w:rsidR="00AE749A" w:rsidRPr="00765C51">
        <w:rPr>
          <w:rFonts w:ascii="Times New Roman" w:hAnsi="Times New Roman" w:cs="Times New Roman"/>
        </w:rPr>
        <w:t xml:space="preserve">Results are based on Hourly 1 organ </w:t>
      </w:r>
      <w:proofErr w:type="spellStart"/>
      <w:r w:rsidR="00AE749A" w:rsidRPr="00765C51">
        <w:rPr>
          <w:rFonts w:ascii="Times New Roman" w:hAnsi="Times New Roman" w:cs="Times New Roman"/>
        </w:rPr>
        <w:t>subscores</w:t>
      </w:r>
      <w:proofErr w:type="spellEnd"/>
      <w:r w:rsidR="00AE749A" w:rsidRPr="00765C51">
        <w:rPr>
          <w:rFonts w:ascii="Times New Roman" w:hAnsi="Times New Roman" w:cs="Times New Roman"/>
        </w:rPr>
        <w:t xml:space="preserve">. For each </w:t>
      </w:r>
      <w:proofErr w:type="spellStart"/>
      <w:r w:rsidR="00AE749A" w:rsidRPr="00765C51">
        <w:rPr>
          <w:rFonts w:ascii="Times New Roman" w:hAnsi="Times New Roman" w:cs="Times New Roman"/>
        </w:rPr>
        <w:t>subscore</w:t>
      </w:r>
      <w:proofErr w:type="spellEnd"/>
      <w:r w:rsidR="00AE749A" w:rsidRPr="00765C51">
        <w:rPr>
          <w:rFonts w:ascii="Times New Roman" w:hAnsi="Times New Roman" w:cs="Times New Roman"/>
        </w:rPr>
        <w:t xml:space="preserve"> (Brain, Respiratory, Cardiovascular, Liver, Kidney, and Hemostasis), heat maps display ICU mortality (%) for each combination of SOFA score (y-axis) and SOFA-2 score (x-axis) </w:t>
      </w:r>
      <w:proofErr w:type="spellStart"/>
      <w:r w:rsidR="00AE749A" w:rsidRPr="00765C51">
        <w:rPr>
          <w:rFonts w:ascii="Times New Roman" w:hAnsi="Times New Roman" w:cs="Times New Roman"/>
        </w:rPr>
        <w:t>subscores</w:t>
      </w:r>
      <w:proofErr w:type="spellEnd"/>
      <w:r w:rsidR="00AE749A" w:rsidRPr="00765C51">
        <w:rPr>
          <w:rFonts w:ascii="Times New Roman" w:hAnsi="Times New Roman" w:cs="Times New Roman"/>
        </w:rPr>
        <w:t xml:space="preserve"> (0–4). Values within cells indicate ICU mortality (%) and color intensity reflects the magnitude of mortality. Cells shaded in gray indicate score combinations observed in &lt;1% of the cohort.</w:t>
      </w:r>
    </w:p>
    <w:p w14:paraId="75647161" w14:textId="55B57B53" w:rsidR="00AF1A29" w:rsidRDefault="00AF1A29">
      <w:pPr>
        <w:rPr>
          <w:noProof/>
          <w14:ligatures w14:val="standardContextual"/>
        </w:rPr>
      </w:pPr>
      <w:r w:rsidRPr="00AF1A29">
        <w:rPr>
          <w:noProof/>
          <w14:ligatures w14:val="standardContextual"/>
        </w:rPr>
        <w:lastRenderedPageBreak/>
        <w:drawing>
          <wp:inline distT="0" distB="0" distL="0" distR="0" wp14:anchorId="6A75A4E5" wp14:editId="3BF007CE">
            <wp:extent cx="5400040" cy="4306570"/>
            <wp:effectExtent l="0" t="0" r="0" b="0"/>
            <wp:docPr id="176066743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67433" name=""/>
                    <pic:cNvPicPr/>
                  </pic:nvPicPr>
                  <pic:blipFill>
                    <a:blip r:embed="rId13"/>
                    <a:stretch>
                      <a:fillRect/>
                    </a:stretch>
                  </pic:blipFill>
                  <pic:spPr>
                    <a:xfrm>
                      <a:off x="0" y="0"/>
                      <a:ext cx="5400040" cy="4306570"/>
                    </a:xfrm>
                    <a:prstGeom prst="rect">
                      <a:avLst/>
                    </a:prstGeom>
                  </pic:spPr>
                </pic:pic>
              </a:graphicData>
            </a:graphic>
          </wp:inline>
        </w:drawing>
      </w:r>
    </w:p>
    <w:p w14:paraId="4F751A51" w14:textId="7F6DDEB7" w:rsidR="00AF1A29" w:rsidRPr="00AF1A29" w:rsidRDefault="00AF1A29" w:rsidP="00AF1A29">
      <w:pPr>
        <w:rPr>
          <w:rFonts w:ascii="Times New Roman" w:hAnsi="Times New Roman" w:cs="Times New Roman"/>
        </w:rPr>
      </w:pPr>
      <w:r w:rsidRPr="00765C51">
        <w:rPr>
          <w:rFonts w:ascii="Times New Roman" w:hAnsi="Times New Roman" w:cs="Times New Roman"/>
          <w:b/>
          <w:bCs/>
        </w:rPr>
        <w:t xml:space="preserve">Supplementary figure </w:t>
      </w:r>
      <w:r w:rsidR="00FE2C32">
        <w:rPr>
          <w:rFonts w:ascii="Times New Roman" w:hAnsi="Times New Roman" w:cs="Times New Roman"/>
          <w:b/>
          <w:bCs/>
        </w:rPr>
        <w:t>4</w:t>
      </w:r>
      <w:r w:rsidRPr="00765C51">
        <w:rPr>
          <w:rFonts w:ascii="Times New Roman" w:hAnsi="Times New Roman" w:cs="Times New Roman"/>
          <w:b/>
          <w:bCs/>
        </w:rPr>
        <w:t xml:space="preserve">. </w:t>
      </w:r>
      <w:r w:rsidRPr="00AF1A29">
        <w:rPr>
          <w:rFonts w:ascii="Times New Roman" w:hAnsi="Times New Roman" w:cs="Times New Roman"/>
          <w:b/>
          <w:bCs/>
        </w:rPr>
        <w:t xml:space="preserve">Conceptual </w:t>
      </w:r>
      <w:r>
        <w:rPr>
          <w:rFonts w:ascii="Times New Roman" w:hAnsi="Times New Roman" w:cs="Times New Roman"/>
          <w:b/>
          <w:bCs/>
        </w:rPr>
        <w:t>D</w:t>
      </w:r>
      <w:r w:rsidRPr="00AF1A29">
        <w:rPr>
          <w:rFonts w:ascii="Times New Roman" w:hAnsi="Times New Roman" w:cs="Times New Roman"/>
          <w:b/>
          <w:bCs/>
        </w:rPr>
        <w:t xml:space="preserve">irected </w:t>
      </w:r>
      <w:r>
        <w:rPr>
          <w:rFonts w:ascii="Times New Roman" w:hAnsi="Times New Roman" w:cs="Times New Roman"/>
          <w:b/>
          <w:bCs/>
        </w:rPr>
        <w:t>A</w:t>
      </w:r>
      <w:r w:rsidRPr="00AF1A29">
        <w:rPr>
          <w:rFonts w:ascii="Times New Roman" w:hAnsi="Times New Roman" w:cs="Times New Roman"/>
          <w:b/>
          <w:bCs/>
        </w:rPr>
        <w:t xml:space="preserve">cyclic </w:t>
      </w:r>
      <w:r>
        <w:rPr>
          <w:rFonts w:ascii="Times New Roman" w:hAnsi="Times New Roman" w:cs="Times New Roman"/>
          <w:b/>
          <w:bCs/>
        </w:rPr>
        <w:t>G</w:t>
      </w:r>
      <w:r w:rsidRPr="00AF1A29">
        <w:rPr>
          <w:rFonts w:ascii="Times New Roman" w:hAnsi="Times New Roman" w:cs="Times New Roman"/>
          <w:b/>
          <w:bCs/>
        </w:rPr>
        <w:t>raph</w:t>
      </w:r>
      <w:r>
        <w:rPr>
          <w:rFonts w:ascii="Times New Roman" w:hAnsi="Times New Roman" w:cs="Times New Roman"/>
          <w:b/>
          <w:bCs/>
        </w:rPr>
        <w:t xml:space="preserve"> (DAG)</w:t>
      </w:r>
      <w:r w:rsidRPr="00AF1A29">
        <w:rPr>
          <w:rFonts w:ascii="Times New Roman" w:hAnsi="Times New Roman" w:cs="Times New Roman"/>
          <w:b/>
          <w:bCs/>
        </w:rPr>
        <w:t xml:space="preserve"> of SOFA and SOFA-2 components in relation to ICU mortality</w:t>
      </w:r>
      <w:r w:rsidRPr="00765C51">
        <w:rPr>
          <w:rFonts w:ascii="Times New Roman" w:hAnsi="Times New Roman" w:cs="Times New Roman"/>
          <w:b/>
          <w:bCs/>
        </w:rPr>
        <w:t>.</w:t>
      </w:r>
      <w:r w:rsidRPr="00765C51">
        <w:rPr>
          <w:rFonts w:ascii="Times New Roman" w:hAnsi="Times New Roman" w:cs="Times New Roman"/>
        </w:rPr>
        <w:t xml:space="preserve"> </w:t>
      </w:r>
      <w:r w:rsidRPr="00AF1A29">
        <w:rPr>
          <w:rFonts w:ascii="Times New Roman" w:hAnsi="Times New Roman" w:cs="Times New Roman"/>
        </w:rPr>
        <w:t>Blue boxes represent organ dysfunction domains, white boxes represent observed component variables, the green box represents underlying severity, and the dark blue box represents the outcome. Variables shown in the area labeled “SOFA-2 only” are incorporated only in SOFA-2, whereas those in the area labeled “SOFA and SOFA-2” are incorporated in both scoring systems.</w:t>
      </w:r>
      <w:r>
        <w:rPr>
          <w:rFonts w:ascii="Times New Roman" w:hAnsi="Times New Roman" w:cs="Times New Roman"/>
        </w:rPr>
        <w:t xml:space="preserve"> </w:t>
      </w:r>
      <w:r w:rsidR="007F37EB" w:rsidRPr="007F37EB">
        <w:rPr>
          <w:rFonts w:ascii="Times New Roman" w:hAnsi="Times New Roman" w:cs="Times New Roman"/>
        </w:rPr>
        <w:t xml:space="preserve">The graph was constructed using </w:t>
      </w:r>
      <w:proofErr w:type="spellStart"/>
      <w:r w:rsidR="007F37EB" w:rsidRPr="007F37EB">
        <w:rPr>
          <w:rFonts w:ascii="Times New Roman" w:hAnsi="Times New Roman" w:cs="Times New Roman"/>
        </w:rPr>
        <w:t>DAGitty</w:t>
      </w:r>
      <w:proofErr w:type="spellEnd"/>
      <w:r w:rsidR="007F37EB" w:rsidRPr="007F37EB">
        <w:rPr>
          <w:rFonts w:ascii="Times New Roman" w:hAnsi="Times New Roman" w:cs="Times New Roman"/>
        </w:rPr>
        <w:t xml:space="preserve"> (</w:t>
      </w:r>
      <w:hyperlink r:id="rId14" w:history="1">
        <w:r w:rsidR="007F37EB" w:rsidRPr="00B62445">
          <w:rPr>
            <w:rStyle w:val="ae"/>
            <w:rFonts w:ascii="Times New Roman" w:hAnsi="Times New Roman" w:cs="Times New Roman"/>
          </w:rPr>
          <w:t>https://www.dagitty.net/</w:t>
        </w:r>
      </w:hyperlink>
      <w:r w:rsidR="007F37EB" w:rsidRPr="007F37EB">
        <w:rPr>
          <w:rFonts w:ascii="Times New Roman" w:hAnsi="Times New Roman" w:cs="Times New Roman"/>
        </w:rPr>
        <w:t>).</w:t>
      </w:r>
      <w:r w:rsidR="007F37EB">
        <w:rPr>
          <w:rFonts w:ascii="Times New Roman" w:hAnsi="Times New Roman" w:cs="Times New Roman"/>
        </w:rPr>
        <w:t xml:space="preserve"> </w:t>
      </w:r>
      <w:r w:rsidRPr="00AF1A29">
        <w:rPr>
          <w:rFonts w:ascii="Times New Roman" w:hAnsi="Times New Roman" w:cs="Times New Roman"/>
        </w:rPr>
        <w:t>Abbreviations: GCS, Glasgow Coma Scale</w:t>
      </w:r>
      <w:r>
        <w:rPr>
          <w:rFonts w:ascii="Times New Roman" w:hAnsi="Times New Roman" w:cs="Times New Roman"/>
        </w:rPr>
        <w:t xml:space="preserve">; </w:t>
      </w:r>
      <w:r w:rsidRPr="00AF1A29">
        <w:rPr>
          <w:rFonts w:ascii="Times New Roman" w:hAnsi="Times New Roman" w:cs="Times New Roman"/>
        </w:rPr>
        <w:t>ICU, intensive care unit; IMV, invasive mechanical ventilation; MCS, mechanical circulatory support; NHF, nasal high-flow oxygen therapy; NIPPV, noninvasive positive pressure ventilation</w:t>
      </w:r>
      <w:r>
        <w:rPr>
          <w:rFonts w:ascii="Times New Roman" w:hAnsi="Times New Roman" w:cs="Times New Roman"/>
        </w:rPr>
        <w:t>;</w:t>
      </w:r>
      <w:r w:rsidRPr="00AF1A29">
        <w:rPr>
          <w:rFonts w:ascii="Times New Roman" w:hAnsi="Times New Roman" w:cs="Times New Roman"/>
        </w:rPr>
        <w:t xml:space="preserve"> RRT, renal replacement therapy; SOFA, Sequential Organ Failure Assessment; VV-ECMO, </w:t>
      </w:r>
      <w:proofErr w:type="spellStart"/>
      <w:r w:rsidRPr="00AF1A29">
        <w:rPr>
          <w:rFonts w:ascii="Times New Roman" w:hAnsi="Times New Roman" w:cs="Times New Roman"/>
        </w:rPr>
        <w:t>venovenous</w:t>
      </w:r>
      <w:proofErr w:type="spellEnd"/>
      <w:r w:rsidRPr="00AF1A29">
        <w:rPr>
          <w:rFonts w:ascii="Times New Roman" w:hAnsi="Times New Roman" w:cs="Times New Roman"/>
        </w:rPr>
        <w:t xml:space="preserve"> extracorporeal membrane oxygenation</w:t>
      </w:r>
      <w:r>
        <w:rPr>
          <w:rFonts w:ascii="Times New Roman" w:hAnsi="Times New Roman" w:cs="Times New Roman"/>
        </w:rPr>
        <w:t>.</w:t>
      </w:r>
      <w:r w:rsidRPr="00AF1A29">
        <w:rPr>
          <w:rFonts w:ascii="Times New Roman" w:hAnsi="Times New Roman" w:cs="Times New Roman"/>
        </w:rPr>
        <w:t xml:space="preserve"> </w:t>
      </w:r>
    </w:p>
    <w:p w14:paraId="0A7EF36E" w14:textId="77777777" w:rsidR="00AF1A29" w:rsidRDefault="00AF1A29">
      <w:pPr>
        <w:rPr>
          <w:noProof/>
          <w14:ligatures w14:val="standardContextual"/>
        </w:rPr>
        <w:sectPr w:rsidR="00AF1A29" w:rsidSect="00AF1A29">
          <w:pgSz w:w="11906" w:h="16838"/>
          <w:pgMar w:top="1985" w:right="1701" w:bottom="1701" w:left="1701" w:header="851" w:footer="992" w:gutter="0"/>
          <w:lnNumType w:countBy="1" w:restart="continuous"/>
          <w:cols w:space="425"/>
          <w:docGrid w:type="lines" w:linePitch="360"/>
        </w:sectPr>
      </w:pPr>
    </w:p>
    <w:p w14:paraId="3D3C6C3D" w14:textId="58C71048" w:rsidR="00E04907" w:rsidRPr="00765C51" w:rsidRDefault="00AD24AA" w:rsidP="00E04907">
      <w:pPr>
        <w:rPr>
          <w:rFonts w:ascii="Times New Roman" w:hAnsi="Times New Roman" w:cs="Times New Roman"/>
        </w:rPr>
      </w:pPr>
      <w:r w:rsidRPr="00AD24AA">
        <w:rPr>
          <w:rFonts w:ascii="Times New Roman" w:hAnsi="Times New Roman" w:cs="Times New Roman"/>
          <w:noProof/>
        </w:rPr>
        <w:lastRenderedPageBreak/>
        <w:drawing>
          <wp:inline distT="0" distB="0" distL="0" distR="0" wp14:anchorId="67C871D2" wp14:editId="66304CAD">
            <wp:extent cx="7045693" cy="3522847"/>
            <wp:effectExtent l="0" t="0" r="3175" b="0"/>
            <wp:docPr id="145921543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15437" name=""/>
                    <pic:cNvPicPr/>
                  </pic:nvPicPr>
                  <pic:blipFill>
                    <a:blip r:embed="rId15"/>
                    <a:stretch>
                      <a:fillRect/>
                    </a:stretch>
                  </pic:blipFill>
                  <pic:spPr>
                    <a:xfrm>
                      <a:off x="0" y="0"/>
                      <a:ext cx="7074947" cy="3537474"/>
                    </a:xfrm>
                    <a:prstGeom prst="rect">
                      <a:avLst/>
                    </a:prstGeom>
                  </pic:spPr>
                </pic:pic>
              </a:graphicData>
            </a:graphic>
          </wp:inline>
        </w:drawing>
      </w:r>
    </w:p>
    <w:p w14:paraId="7BE1ED09" w14:textId="70836F23" w:rsidR="00E04907" w:rsidRPr="00765C51" w:rsidRDefault="00EB4E15" w:rsidP="00AD24AA">
      <w:pPr>
        <w:rPr>
          <w:rFonts w:ascii="Times New Roman" w:hAnsi="Times New Roman" w:cs="Times New Roman"/>
        </w:rPr>
      </w:pPr>
      <w:r w:rsidRPr="00765C51">
        <w:rPr>
          <w:rFonts w:ascii="Times New Roman" w:hAnsi="Times New Roman" w:cs="Times New Roman"/>
          <w:b/>
          <w:bCs/>
        </w:rPr>
        <w:t xml:space="preserve">Supplementary Figure </w:t>
      </w:r>
      <w:r w:rsidR="00FE2C32">
        <w:rPr>
          <w:rFonts w:ascii="Times New Roman" w:hAnsi="Times New Roman" w:cs="Times New Roman"/>
          <w:b/>
          <w:bCs/>
        </w:rPr>
        <w:t>5</w:t>
      </w:r>
      <w:r w:rsidRPr="00765C51">
        <w:rPr>
          <w:rFonts w:ascii="Times New Roman" w:hAnsi="Times New Roman" w:cs="Times New Roman"/>
          <w:b/>
          <w:bCs/>
        </w:rPr>
        <w:t xml:space="preserve">. </w:t>
      </w:r>
      <w:r w:rsidR="00AD24AA" w:rsidRPr="00AD24AA">
        <w:rPr>
          <w:rFonts w:ascii="Times New Roman" w:hAnsi="Times New Roman" w:cs="Times New Roman"/>
          <w:b/>
          <w:bCs/>
        </w:rPr>
        <w:t xml:space="preserve">Distribution of SOFA-2 and SOFA scores before and after exact matching across </w:t>
      </w:r>
      <w:proofErr w:type="spellStart"/>
      <w:r w:rsidR="00AD24AA" w:rsidRPr="00AD24AA">
        <w:rPr>
          <w:rFonts w:ascii="Times New Roman" w:hAnsi="Times New Roman" w:cs="Times New Roman"/>
          <w:b/>
          <w:bCs/>
        </w:rPr>
        <w:t>dSOFA</w:t>
      </w:r>
      <w:proofErr w:type="spellEnd"/>
      <w:r w:rsidR="00AD24AA" w:rsidRPr="00AD24AA">
        <w:rPr>
          <w:rFonts w:ascii="Times New Roman" w:hAnsi="Times New Roman" w:cs="Times New Roman"/>
          <w:b/>
          <w:bCs/>
        </w:rPr>
        <w:t xml:space="preserve"> categories</w:t>
      </w:r>
      <w:r w:rsidRPr="00765C51">
        <w:rPr>
          <w:rFonts w:ascii="Times New Roman" w:hAnsi="Times New Roman" w:cs="Times New Roman"/>
          <w:b/>
          <w:bCs/>
        </w:rPr>
        <w:t xml:space="preserve">. </w:t>
      </w:r>
      <w:r w:rsidR="00AD24AA" w:rsidRPr="00AD24AA">
        <w:rPr>
          <w:rFonts w:ascii="Times New Roman" w:hAnsi="Times New Roman" w:cs="Times New Roman"/>
        </w:rPr>
        <w:t>Panels A and C show the distributions of SOFA-2 scores before and after exact matching on the SOFA-2 total score, respectively. Panels B and D show the distributions of SOFA scores before and after exact matching on the SOFA total score, respectively. Exact matching was performed separately across the three SOFA deviation (</w:t>
      </w:r>
      <w:proofErr w:type="spellStart"/>
      <w:r w:rsidR="00AD24AA" w:rsidRPr="00AD24AA">
        <w:rPr>
          <w:rFonts w:ascii="Times New Roman" w:hAnsi="Times New Roman" w:cs="Times New Roman"/>
        </w:rPr>
        <w:t>dSOFA</w:t>
      </w:r>
      <w:proofErr w:type="spellEnd"/>
      <w:r w:rsidR="00AD24AA" w:rsidRPr="00AD24AA">
        <w:rPr>
          <w:rFonts w:ascii="Times New Roman" w:hAnsi="Times New Roman" w:cs="Times New Roman"/>
        </w:rPr>
        <w:t xml:space="preserve">) categories, resulting in identical distributions of the corresponding matching score among the groups. </w:t>
      </w:r>
      <w:proofErr w:type="spellStart"/>
      <w:r w:rsidR="00AD24AA" w:rsidRPr="00AD24AA">
        <w:rPr>
          <w:rFonts w:ascii="Times New Roman" w:hAnsi="Times New Roman" w:cs="Times New Roman"/>
        </w:rPr>
        <w:t>dSOFA</w:t>
      </w:r>
      <w:proofErr w:type="spellEnd"/>
      <w:r w:rsidR="00AD24AA" w:rsidRPr="00AD24AA">
        <w:rPr>
          <w:rFonts w:ascii="Times New Roman" w:hAnsi="Times New Roman" w:cs="Times New Roman"/>
        </w:rPr>
        <w:t xml:space="preserve"> was defined as SOFA-2 minus SOFA (</w:t>
      </w:r>
      <w:proofErr w:type="spellStart"/>
      <w:r w:rsidR="00AD24AA" w:rsidRPr="00AD24AA">
        <w:rPr>
          <w:rFonts w:ascii="Times New Roman" w:hAnsi="Times New Roman" w:cs="Times New Roman"/>
        </w:rPr>
        <w:t>dSOFA</w:t>
      </w:r>
      <w:proofErr w:type="spellEnd"/>
      <w:r w:rsidR="00AD24AA" w:rsidRPr="00AD24AA">
        <w:rPr>
          <w:rFonts w:ascii="Times New Roman" w:hAnsi="Times New Roman" w:cs="Times New Roman"/>
        </w:rPr>
        <w:t xml:space="preserve"> = SOFA-2 </w:t>
      </w:r>
      <w:r w:rsidR="00AD24AA" w:rsidRPr="00AD24AA">
        <w:rPr>
          <w:rFonts w:ascii="Times New Roman" w:hAnsi="Times New Roman" w:cs="Times New Roman" w:hint="eastAsia"/>
        </w:rPr>
        <w:t>−</w:t>
      </w:r>
      <w:r w:rsidR="00AD24AA" w:rsidRPr="00AD24AA">
        <w:rPr>
          <w:rFonts w:ascii="Times New Roman" w:hAnsi="Times New Roman" w:cs="Times New Roman"/>
        </w:rPr>
        <w:t xml:space="preserve"> SOFA) and categorized as negative deviation (</w:t>
      </w:r>
      <w:proofErr w:type="spellStart"/>
      <w:r w:rsidR="00AD24AA" w:rsidRPr="00AD24AA">
        <w:rPr>
          <w:rFonts w:ascii="Times New Roman" w:hAnsi="Times New Roman" w:cs="Times New Roman"/>
        </w:rPr>
        <w:t>dSOFA</w:t>
      </w:r>
      <w:proofErr w:type="spellEnd"/>
      <w:r w:rsidR="00AD24AA" w:rsidRPr="00AD24AA">
        <w:rPr>
          <w:rFonts w:ascii="Times New Roman" w:hAnsi="Times New Roman" w:cs="Times New Roman"/>
        </w:rPr>
        <w:t xml:space="preserve"> ≤ </w:t>
      </w:r>
      <w:r w:rsidR="00AD24AA" w:rsidRPr="00AD24AA">
        <w:rPr>
          <w:rFonts w:ascii="Times New Roman" w:hAnsi="Times New Roman" w:cs="Times New Roman" w:hint="eastAsia"/>
        </w:rPr>
        <w:t>−</w:t>
      </w:r>
      <w:r w:rsidR="00AD24AA" w:rsidRPr="00AD24AA">
        <w:rPr>
          <w:rFonts w:ascii="Times New Roman" w:hAnsi="Times New Roman" w:cs="Times New Roman"/>
        </w:rPr>
        <w:t>2), minimal deviation (</w:t>
      </w:r>
      <w:r w:rsidR="00AD24AA" w:rsidRPr="00AD24AA">
        <w:rPr>
          <w:rFonts w:ascii="Times New Roman" w:hAnsi="Times New Roman" w:cs="Times New Roman" w:hint="eastAsia"/>
        </w:rPr>
        <w:t>−</w:t>
      </w:r>
      <w:r w:rsidR="00AD24AA" w:rsidRPr="00AD24AA">
        <w:rPr>
          <w:rFonts w:ascii="Times New Roman" w:hAnsi="Times New Roman" w:cs="Times New Roman"/>
        </w:rPr>
        <w:t xml:space="preserve">2 &lt; </w:t>
      </w:r>
      <w:proofErr w:type="spellStart"/>
      <w:r w:rsidR="00AD24AA" w:rsidRPr="00AD24AA">
        <w:rPr>
          <w:rFonts w:ascii="Times New Roman" w:hAnsi="Times New Roman" w:cs="Times New Roman"/>
        </w:rPr>
        <w:t>dSOFA</w:t>
      </w:r>
      <w:proofErr w:type="spellEnd"/>
      <w:r w:rsidR="00AD24AA" w:rsidRPr="00AD24AA">
        <w:rPr>
          <w:rFonts w:ascii="Times New Roman" w:hAnsi="Times New Roman" w:cs="Times New Roman"/>
        </w:rPr>
        <w:t xml:space="preserve"> &lt; 2), or positive deviation (</w:t>
      </w:r>
      <w:proofErr w:type="spellStart"/>
      <w:r w:rsidR="00AD24AA" w:rsidRPr="00AD24AA">
        <w:rPr>
          <w:rFonts w:ascii="Times New Roman" w:hAnsi="Times New Roman" w:cs="Times New Roman"/>
        </w:rPr>
        <w:t>dSOFA</w:t>
      </w:r>
      <w:proofErr w:type="spellEnd"/>
      <w:r w:rsidR="00AD24AA" w:rsidRPr="00AD24AA">
        <w:rPr>
          <w:rFonts w:ascii="Times New Roman" w:hAnsi="Times New Roman" w:cs="Times New Roman"/>
        </w:rPr>
        <w:t xml:space="preserve"> ≥ 2).</w:t>
      </w:r>
      <w:r w:rsidR="00AD24AA">
        <w:rPr>
          <w:rFonts w:ascii="Times New Roman" w:hAnsi="Times New Roman" w:cs="Times New Roman"/>
        </w:rPr>
        <w:t xml:space="preserve"> </w:t>
      </w:r>
      <w:r w:rsidR="00AD24AA" w:rsidRPr="00AD24AA">
        <w:rPr>
          <w:rFonts w:ascii="Times New Roman" w:hAnsi="Times New Roman" w:cs="Times New Roman"/>
        </w:rPr>
        <w:t xml:space="preserve">Abbreviations: </w:t>
      </w:r>
      <w:proofErr w:type="spellStart"/>
      <w:r w:rsidR="00AD24AA" w:rsidRPr="00AD24AA">
        <w:rPr>
          <w:rFonts w:ascii="Times New Roman" w:hAnsi="Times New Roman" w:cs="Times New Roman"/>
        </w:rPr>
        <w:t>dSOFA</w:t>
      </w:r>
      <w:proofErr w:type="spellEnd"/>
      <w:r w:rsidR="00AD24AA" w:rsidRPr="00AD24AA">
        <w:rPr>
          <w:rFonts w:ascii="Times New Roman" w:hAnsi="Times New Roman" w:cs="Times New Roman"/>
        </w:rPr>
        <w:t>, difference between SOFA-2 and SOFA; SOFA, Sequential Organ Failure Assessment</w:t>
      </w:r>
      <w:r w:rsidR="00E04907" w:rsidRPr="00765C51">
        <w:rPr>
          <w:rFonts w:ascii="Times New Roman" w:hAnsi="Times New Roman" w:cs="Times New Roman"/>
        </w:rPr>
        <w:t>.</w:t>
      </w:r>
      <w:r w:rsidR="00E04907" w:rsidRPr="00765C51">
        <w:rPr>
          <w:rFonts w:ascii="Times New Roman" w:hAnsi="Times New Roman" w:cs="Times New Roman"/>
        </w:rPr>
        <w:br w:type="page"/>
      </w:r>
    </w:p>
    <w:p w14:paraId="4CAB7CDF" w14:textId="3A6B1F1D" w:rsidR="00737857" w:rsidRPr="00765C51" w:rsidRDefault="006B2DE2" w:rsidP="001D606E">
      <w:pPr>
        <w:rPr>
          <w:rFonts w:ascii="Times New Roman" w:hAnsi="Times New Roman" w:cs="Times New Roman"/>
        </w:rPr>
      </w:pPr>
      <w:r>
        <w:rPr>
          <w:rFonts w:ascii="Times New Roman" w:hAnsi="Times New Roman" w:cs="Times New Roman"/>
          <w:noProof/>
          <w14:ligatures w14:val="standardContextual"/>
        </w:rPr>
        <w:lastRenderedPageBreak/>
        <w:drawing>
          <wp:inline distT="0" distB="0" distL="0" distR="0" wp14:anchorId="3A957A3F" wp14:editId="0F73EED3">
            <wp:extent cx="6969211" cy="3496794"/>
            <wp:effectExtent l="0" t="0" r="3175" b="0"/>
            <wp:docPr id="34644203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42038" name="図 34644203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102208" cy="3563525"/>
                    </a:xfrm>
                    <a:prstGeom prst="rect">
                      <a:avLst/>
                    </a:prstGeom>
                  </pic:spPr>
                </pic:pic>
              </a:graphicData>
            </a:graphic>
          </wp:inline>
        </w:drawing>
      </w:r>
    </w:p>
    <w:p w14:paraId="4CD3CA16" w14:textId="6CE68841" w:rsidR="00AE749A" w:rsidRPr="00765C51" w:rsidRDefault="00EB4E15">
      <w:pPr>
        <w:rPr>
          <w:rFonts w:ascii="Times New Roman" w:hAnsi="Times New Roman" w:cs="Times New Roman"/>
          <w:b/>
          <w:bCs/>
        </w:rPr>
      </w:pPr>
      <w:r w:rsidRPr="00765C51">
        <w:rPr>
          <w:rFonts w:ascii="Times New Roman" w:hAnsi="Times New Roman" w:cs="Times New Roman"/>
          <w:b/>
          <w:bCs/>
        </w:rPr>
        <w:t xml:space="preserve">Supplementary Figure </w:t>
      </w:r>
      <w:r w:rsidR="00FE2C32">
        <w:rPr>
          <w:rFonts w:ascii="Times New Roman" w:hAnsi="Times New Roman" w:cs="Times New Roman"/>
          <w:b/>
          <w:bCs/>
        </w:rPr>
        <w:t>6</w:t>
      </w:r>
      <w:r w:rsidRPr="00765C51">
        <w:rPr>
          <w:rFonts w:ascii="Times New Roman" w:hAnsi="Times New Roman" w:cs="Times New Roman"/>
          <w:b/>
          <w:bCs/>
        </w:rPr>
        <w:t xml:space="preserve">. </w:t>
      </w:r>
      <w:r w:rsidR="006B2DE2" w:rsidRPr="006B2DE2">
        <w:rPr>
          <w:rFonts w:ascii="Times New Roman" w:hAnsi="Times New Roman" w:cs="Times New Roman"/>
          <w:b/>
          <w:bCs/>
        </w:rPr>
        <w:t xml:space="preserve">Distribution of hourly SOFA deviation and ICU mortality according to </w:t>
      </w:r>
      <w:r w:rsidR="006B2DE2">
        <w:rPr>
          <w:rFonts w:ascii="Times New Roman" w:hAnsi="Times New Roman" w:cs="Times New Roman"/>
          <w:b/>
          <w:bCs/>
        </w:rPr>
        <w:t xml:space="preserve">SOFA and </w:t>
      </w:r>
      <w:r w:rsidR="006B2DE2" w:rsidRPr="006B2DE2">
        <w:rPr>
          <w:rFonts w:ascii="Times New Roman" w:hAnsi="Times New Roman" w:cs="Times New Roman"/>
          <w:b/>
          <w:bCs/>
        </w:rPr>
        <w:t>SOFA-2 severity</w:t>
      </w:r>
      <w:r w:rsidRPr="00765C51">
        <w:rPr>
          <w:rFonts w:ascii="Times New Roman" w:hAnsi="Times New Roman" w:cs="Times New Roman"/>
          <w:b/>
          <w:bCs/>
        </w:rPr>
        <w:t xml:space="preserve">. </w:t>
      </w:r>
      <w:r w:rsidR="006B2DE2" w:rsidRPr="006B2DE2">
        <w:rPr>
          <w:rFonts w:ascii="Times New Roman" w:hAnsi="Times New Roman" w:cs="Times New Roman"/>
        </w:rPr>
        <w:t>Panel A shows the distribution of hourly SOFA deviation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defined as hourly SOFA-2 minus hourly SOFA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 SOFA-2 − SOFA). Gray bars indicate the number of hourly observations (right y-axis), and the black line indicates observed ICU mortality (left y-axis). Panel B shows ICU mortality across hourly SOFA-2 scores among patients matched across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categories on the SOFA-2 score. Panel C shows ICU mortality across hourly SOFA scores among patients matched across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categories on the original SOFA score.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categories were defined as negative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 −2), minimal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(−2 &lt;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&lt; 2), and positive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w:t>
      </w:r>
      <w:proofErr w:type="spellStart"/>
      <w:r w:rsidR="006B2DE2" w:rsidRPr="006B2DE2">
        <w:rPr>
          <w:rFonts w:ascii="Times New Roman" w:hAnsi="Times New Roman" w:cs="Times New Roman"/>
        </w:rPr>
        <w:t>dSOFA</w:t>
      </w:r>
      <w:proofErr w:type="spellEnd"/>
      <w:r w:rsidR="006B2DE2" w:rsidRPr="006B2DE2">
        <w:rPr>
          <w:rFonts w:ascii="Times New Roman" w:hAnsi="Times New Roman" w:cs="Times New Roman"/>
        </w:rPr>
        <w:t xml:space="preserve"> ≥ 2). ICU mortality represents the observed proportion of ICU deaths at each corresponding SOFA-2 or SOFA score</w:t>
      </w:r>
      <w:r w:rsidR="001D606E" w:rsidRPr="00765C51">
        <w:rPr>
          <w:rFonts w:ascii="Times New Roman" w:hAnsi="Times New Roman" w:cs="Times New Roman"/>
        </w:rPr>
        <w:t>.</w:t>
      </w:r>
      <w:r w:rsidR="00AE749A" w:rsidRPr="00765C51">
        <w:rPr>
          <w:rFonts w:ascii="Times New Roman" w:hAnsi="Times New Roman" w:cs="Times New Roman"/>
          <w:b/>
          <w:bCs/>
        </w:rPr>
        <w:br w:type="page"/>
      </w:r>
    </w:p>
    <w:p w14:paraId="74FE3115" w14:textId="5F393494" w:rsidR="00E04907" w:rsidRPr="00765C51" w:rsidRDefault="00FF1BDD" w:rsidP="00E04907">
      <w:pPr>
        <w:rPr>
          <w:rFonts w:ascii="Times New Roman" w:hAnsi="Times New Roman" w:cs="Times New Roman"/>
        </w:rPr>
      </w:pPr>
      <w:r w:rsidRPr="00765C51">
        <w:rPr>
          <w:rFonts w:ascii="Times New Roman" w:hAnsi="Times New Roman" w:cs="Times New Roman"/>
          <w:noProof/>
        </w:rPr>
        <w:lastRenderedPageBreak/>
        <w:drawing>
          <wp:inline distT="0" distB="0" distL="0" distR="0" wp14:anchorId="30A30562" wp14:editId="1F39B02E">
            <wp:extent cx="6388608" cy="3726938"/>
            <wp:effectExtent l="0" t="0" r="0" b="0"/>
            <wp:docPr id="130205846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058461" name=""/>
                    <pic:cNvPicPr/>
                  </pic:nvPicPr>
                  <pic:blipFill>
                    <a:blip r:embed="rId17"/>
                    <a:stretch>
                      <a:fillRect/>
                    </a:stretch>
                  </pic:blipFill>
                  <pic:spPr>
                    <a:xfrm>
                      <a:off x="0" y="0"/>
                      <a:ext cx="6425393" cy="3748397"/>
                    </a:xfrm>
                    <a:prstGeom prst="rect">
                      <a:avLst/>
                    </a:prstGeom>
                  </pic:spPr>
                </pic:pic>
              </a:graphicData>
            </a:graphic>
          </wp:inline>
        </w:drawing>
      </w:r>
    </w:p>
    <w:p w14:paraId="0FC91D4B" w14:textId="2F375E00" w:rsidR="00F543CD" w:rsidRPr="00765C51" w:rsidRDefault="00EB4E15" w:rsidP="00F543CD">
      <w:pPr>
        <w:rPr>
          <w:rFonts w:ascii="Times New Roman" w:hAnsi="Times New Roman" w:cs="Times New Roman"/>
        </w:rPr>
        <w:sectPr w:rsidR="00F543CD" w:rsidRPr="00765C51" w:rsidSect="007F16F9">
          <w:pgSz w:w="16838" w:h="11906" w:orient="landscape"/>
          <w:pgMar w:top="1701" w:right="1701" w:bottom="1701" w:left="1985" w:header="851" w:footer="992" w:gutter="0"/>
          <w:lnNumType w:countBy="1" w:restart="continuous"/>
          <w:cols w:space="425"/>
          <w:docGrid w:type="lines" w:linePitch="360"/>
        </w:sectPr>
      </w:pPr>
      <w:r w:rsidRPr="00765C51">
        <w:rPr>
          <w:rFonts w:ascii="Times New Roman" w:hAnsi="Times New Roman" w:cs="Times New Roman"/>
          <w:b/>
          <w:bCs/>
        </w:rPr>
        <w:t xml:space="preserve">Supplementary Figure </w:t>
      </w:r>
      <w:r w:rsidR="00FE2C32">
        <w:rPr>
          <w:rFonts w:ascii="Times New Roman" w:hAnsi="Times New Roman" w:cs="Times New Roman"/>
          <w:b/>
          <w:bCs/>
        </w:rPr>
        <w:t>7</w:t>
      </w:r>
      <w:r w:rsidRPr="00765C51">
        <w:rPr>
          <w:rFonts w:ascii="Times New Roman" w:hAnsi="Times New Roman" w:cs="Times New Roman"/>
          <w:b/>
          <w:bCs/>
        </w:rPr>
        <w:t xml:space="preserve">. Distribution of Day-1 SOFA </w:t>
      </w:r>
      <w:proofErr w:type="spellStart"/>
      <w:r w:rsidRPr="00765C51">
        <w:rPr>
          <w:rFonts w:ascii="Times New Roman" w:hAnsi="Times New Roman" w:cs="Times New Roman"/>
          <w:b/>
          <w:bCs/>
        </w:rPr>
        <w:t>subscores</w:t>
      </w:r>
      <w:proofErr w:type="spellEnd"/>
      <w:r w:rsidRPr="00765C51">
        <w:rPr>
          <w:rFonts w:ascii="Times New Roman" w:hAnsi="Times New Roman" w:cs="Times New Roman"/>
          <w:b/>
          <w:bCs/>
        </w:rPr>
        <w:t xml:space="preserve"> by SOFA deviation category. </w:t>
      </w:r>
      <w:r w:rsidR="00E04907" w:rsidRPr="00765C51">
        <w:rPr>
          <w:rFonts w:ascii="Times New Roman" w:hAnsi="Times New Roman" w:cs="Times New Roman"/>
        </w:rPr>
        <w:t xml:space="preserve">Stacked panels show the distribution of Day-1 SOFA-2 organ-specific </w:t>
      </w:r>
      <w:proofErr w:type="spellStart"/>
      <w:r w:rsidR="00E04907" w:rsidRPr="00765C51">
        <w:rPr>
          <w:rFonts w:ascii="Times New Roman" w:hAnsi="Times New Roman" w:cs="Times New Roman"/>
        </w:rPr>
        <w:t>subscores</w:t>
      </w:r>
      <w:proofErr w:type="spellEnd"/>
      <w:r w:rsidR="00E04907" w:rsidRPr="00765C51">
        <w:rPr>
          <w:rFonts w:ascii="Times New Roman" w:hAnsi="Times New Roman" w:cs="Times New Roman"/>
        </w:rPr>
        <w:t xml:space="preserve"> (0–4) for Brain, Respiratory, Cardiovascular, Liver, Kidney, and Hemostasis, stratified by SOFA deviation category. SOFA deviation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was defined as Day-1 SOFA-2 minus Day-1 SOFA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 SOFA-2 − SOFA). Categories were defined as Negative deviation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 −2), Minimal deviation (−2 &lt;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&lt; 2), and Positive deviation (</w:t>
      </w:r>
      <w:proofErr w:type="spellStart"/>
      <w:r w:rsidR="00E04907" w:rsidRPr="00765C51">
        <w:rPr>
          <w:rFonts w:ascii="Times New Roman" w:hAnsi="Times New Roman" w:cs="Times New Roman"/>
        </w:rPr>
        <w:t>dSOFA</w:t>
      </w:r>
      <w:proofErr w:type="spellEnd"/>
      <w:r w:rsidR="00E04907" w:rsidRPr="00765C51">
        <w:rPr>
          <w:rFonts w:ascii="Times New Roman" w:hAnsi="Times New Roman" w:cs="Times New Roman"/>
        </w:rPr>
        <w:t xml:space="preserve"> ≥ 2). For each organ and deviation category, bars represent the proportion (%) of patients at each SOFA-2 </w:t>
      </w:r>
      <w:proofErr w:type="spellStart"/>
      <w:r w:rsidR="00E04907" w:rsidRPr="00765C51">
        <w:rPr>
          <w:rFonts w:ascii="Times New Roman" w:hAnsi="Times New Roman" w:cs="Times New Roman"/>
        </w:rPr>
        <w:t>subscore</w:t>
      </w:r>
      <w:proofErr w:type="spellEnd"/>
      <w:r w:rsidR="00E04907" w:rsidRPr="00765C51">
        <w:rPr>
          <w:rFonts w:ascii="Times New Roman" w:hAnsi="Times New Roman" w:cs="Times New Roman"/>
        </w:rPr>
        <w:t xml:space="preserve"> level such that the proportions across </w:t>
      </w:r>
      <w:proofErr w:type="spellStart"/>
      <w:r w:rsidR="00E04907" w:rsidRPr="00765C51">
        <w:rPr>
          <w:rFonts w:ascii="Times New Roman" w:hAnsi="Times New Roman" w:cs="Times New Roman"/>
        </w:rPr>
        <w:t>subscores</w:t>
      </w:r>
      <w:proofErr w:type="spellEnd"/>
      <w:r w:rsidR="00E04907" w:rsidRPr="00765C51">
        <w:rPr>
          <w:rFonts w:ascii="Times New Roman" w:hAnsi="Times New Roman" w:cs="Times New Roman"/>
        </w:rPr>
        <w:t xml:space="preserve"> sum to 100% within each category</w:t>
      </w:r>
      <w:r w:rsidR="00F543CD" w:rsidRPr="00765C51">
        <w:rPr>
          <w:rFonts w:ascii="Times New Roman" w:hAnsi="Times New Roman" w:cs="Times New Roman"/>
        </w:rPr>
        <w:t>.</w:t>
      </w:r>
    </w:p>
    <w:p w14:paraId="7F9A73C4" w14:textId="1F40EE16" w:rsidR="00F543CD" w:rsidRPr="00765C51" w:rsidRDefault="000B3F65" w:rsidP="00F543CD">
      <w:pPr>
        <w:rPr>
          <w:rFonts w:ascii="Times New Roman" w:hAnsi="Times New Roman" w:cs="Times New Roman"/>
        </w:rPr>
      </w:pPr>
      <w:r w:rsidRPr="000B3F65">
        <w:rPr>
          <w:rFonts w:ascii="Times New Roman" w:hAnsi="Times New Roman" w:cs="Times New Roman"/>
          <w:noProof/>
        </w:rPr>
        <w:lastRenderedPageBreak/>
        <w:drawing>
          <wp:inline distT="0" distB="0" distL="0" distR="0" wp14:anchorId="18FA81AF" wp14:editId="542B6ED9">
            <wp:extent cx="5400040" cy="5400040"/>
            <wp:effectExtent l="0" t="0" r="0" b="0"/>
            <wp:docPr id="106219453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94534" name=""/>
                    <pic:cNvPicPr/>
                  </pic:nvPicPr>
                  <pic:blipFill>
                    <a:blip r:embed="rId18"/>
                    <a:stretch>
                      <a:fillRect/>
                    </a:stretch>
                  </pic:blipFill>
                  <pic:spPr>
                    <a:xfrm>
                      <a:off x="0" y="0"/>
                      <a:ext cx="5400040" cy="5400040"/>
                    </a:xfrm>
                    <a:prstGeom prst="rect">
                      <a:avLst/>
                    </a:prstGeom>
                  </pic:spPr>
                </pic:pic>
              </a:graphicData>
            </a:graphic>
          </wp:inline>
        </w:drawing>
      </w:r>
    </w:p>
    <w:p w14:paraId="635830F8" w14:textId="1F1CC399" w:rsidR="00F543CD" w:rsidRPr="00765C51" w:rsidRDefault="00F543CD" w:rsidP="00F543CD">
      <w:pPr>
        <w:rPr>
          <w:rFonts w:ascii="Times New Roman" w:hAnsi="Times New Roman" w:cs="Times New Roman"/>
        </w:rPr>
      </w:pPr>
      <w:r w:rsidRPr="00765C51">
        <w:rPr>
          <w:rFonts w:ascii="Times New Roman" w:hAnsi="Times New Roman" w:cs="Times New Roman"/>
          <w:b/>
          <w:bCs/>
        </w:rPr>
        <w:t xml:space="preserve">Supplementary figure </w:t>
      </w:r>
      <w:r w:rsidR="00FE2C32">
        <w:rPr>
          <w:rFonts w:ascii="Times New Roman" w:hAnsi="Times New Roman" w:cs="Times New Roman"/>
          <w:b/>
          <w:bCs/>
        </w:rPr>
        <w:t>8</w:t>
      </w:r>
      <w:r w:rsidRPr="00765C51">
        <w:rPr>
          <w:rFonts w:ascii="Times New Roman" w:hAnsi="Times New Roman" w:cs="Times New Roman"/>
          <w:b/>
          <w:bCs/>
        </w:rPr>
        <w:t xml:space="preserve">. ICU mortality across SOFA and SOFA-2 scores according to </w:t>
      </w:r>
      <w:proofErr w:type="spellStart"/>
      <w:r w:rsidRPr="00765C51">
        <w:rPr>
          <w:rFonts w:ascii="Times New Roman" w:hAnsi="Times New Roman" w:cs="Times New Roman"/>
          <w:b/>
          <w:bCs/>
        </w:rPr>
        <w:t>dSOFA</w:t>
      </w:r>
      <w:proofErr w:type="spellEnd"/>
      <w:r w:rsidRPr="00765C51">
        <w:rPr>
          <w:rFonts w:ascii="Times New Roman" w:hAnsi="Times New Roman" w:cs="Times New Roman"/>
          <w:b/>
          <w:bCs/>
        </w:rPr>
        <w:t xml:space="preserve"> category using inverse probability weighting, and a sepsis subgroup analysis</w:t>
      </w:r>
      <w:r w:rsidR="000B3F65">
        <w:rPr>
          <w:rFonts w:ascii="Times New Roman" w:hAnsi="Times New Roman" w:cs="Times New Roman"/>
          <w:b/>
          <w:bCs/>
        </w:rPr>
        <w:t xml:space="preserve"> of SOFA-2 matching</w:t>
      </w:r>
      <w:r w:rsidRPr="00765C51">
        <w:rPr>
          <w:rFonts w:ascii="Times New Roman" w:hAnsi="Times New Roman" w:cs="Times New Roman"/>
          <w:b/>
          <w:bCs/>
        </w:rPr>
        <w:t>.</w:t>
      </w:r>
      <w:r w:rsidRPr="00765C51">
        <w:rPr>
          <w:rFonts w:ascii="Times New Roman" w:hAnsi="Times New Roman" w:cs="Times New Roman"/>
        </w:rPr>
        <w:t xml:space="preserve">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was defined as SOFA-2 minus SOFA and categorized as Negative deviation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 </w:t>
      </w:r>
      <w:r w:rsidRPr="00765C51">
        <w:rPr>
          <w:rFonts w:ascii="Times New Roman" w:hAnsi="Times New Roman" w:cs="Times New Roman" w:hint="eastAsia"/>
        </w:rPr>
        <w:t>−</w:t>
      </w:r>
      <w:r w:rsidRPr="00765C51">
        <w:rPr>
          <w:rFonts w:ascii="Times New Roman" w:hAnsi="Times New Roman" w:cs="Times New Roman"/>
        </w:rPr>
        <w:t>2), Minimal deviation (</w:t>
      </w:r>
      <w:r w:rsidRPr="00765C51">
        <w:rPr>
          <w:rFonts w:ascii="Times New Roman" w:hAnsi="Times New Roman" w:cs="Times New Roman" w:hint="eastAsia"/>
        </w:rPr>
        <w:t>−</w:t>
      </w:r>
      <w:r w:rsidRPr="00765C51">
        <w:rPr>
          <w:rFonts w:ascii="Times New Roman" w:hAnsi="Times New Roman" w:cs="Times New Roman"/>
        </w:rPr>
        <w:t xml:space="preserve">2 &lt;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&lt; 2), and Positive deviation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 2). Panels A–B: Inverse probability weighting (IPW) analyses using propensity scores for </w:t>
      </w:r>
      <w:proofErr w:type="spellStart"/>
      <w:r w:rsidRPr="00765C51">
        <w:rPr>
          <w:rFonts w:ascii="Times New Roman" w:hAnsi="Times New Roman" w:cs="Times New Roman"/>
        </w:rPr>
        <w:t>dSOFA</w:t>
      </w:r>
      <w:proofErr w:type="spellEnd"/>
      <w:r w:rsidRPr="00765C51">
        <w:rPr>
          <w:rFonts w:ascii="Times New Roman" w:hAnsi="Times New Roman" w:cs="Times New Roman"/>
        </w:rPr>
        <w:t xml:space="preserve"> category. Panels </w:t>
      </w:r>
      <w:r w:rsidR="000B3F65">
        <w:rPr>
          <w:rFonts w:ascii="Times New Roman" w:hAnsi="Times New Roman" w:cs="Times New Roman"/>
        </w:rPr>
        <w:t>C</w:t>
      </w:r>
      <w:r w:rsidRPr="00765C51">
        <w:rPr>
          <w:rFonts w:ascii="Times New Roman" w:hAnsi="Times New Roman" w:cs="Times New Roman"/>
        </w:rPr>
        <w:t>–</w:t>
      </w:r>
      <w:r w:rsidR="000B3F65">
        <w:rPr>
          <w:rFonts w:ascii="Times New Roman" w:hAnsi="Times New Roman" w:cs="Times New Roman"/>
        </w:rPr>
        <w:t>D</w:t>
      </w:r>
      <w:r w:rsidRPr="00765C51">
        <w:rPr>
          <w:rFonts w:ascii="Times New Roman" w:hAnsi="Times New Roman" w:cs="Times New Roman"/>
        </w:rPr>
        <w:t>: Sepsis subgroup analyses matched on SOFA-2 score. Panels A</w:t>
      </w:r>
      <w:r w:rsidR="000B3F65">
        <w:rPr>
          <w:rFonts w:ascii="Times New Roman" w:hAnsi="Times New Roman" w:cs="Times New Roman"/>
        </w:rPr>
        <w:t xml:space="preserve"> and</w:t>
      </w:r>
      <w:r w:rsidRPr="00765C51">
        <w:rPr>
          <w:rFonts w:ascii="Times New Roman" w:hAnsi="Times New Roman" w:cs="Times New Roman"/>
        </w:rPr>
        <w:t xml:space="preserve"> C show Day-1 analyses; Panels B</w:t>
      </w:r>
      <w:r w:rsidR="000B3F65">
        <w:rPr>
          <w:rFonts w:ascii="Times New Roman" w:hAnsi="Times New Roman" w:cs="Times New Roman"/>
        </w:rPr>
        <w:t xml:space="preserve"> and</w:t>
      </w:r>
      <w:r w:rsidRPr="00765C51">
        <w:rPr>
          <w:rFonts w:ascii="Times New Roman" w:hAnsi="Times New Roman" w:cs="Times New Roman"/>
        </w:rPr>
        <w:t xml:space="preserve"> D show hourly analyses.</w:t>
      </w:r>
      <w:r w:rsidR="000B3F65">
        <w:rPr>
          <w:rFonts w:ascii="Times New Roman" w:hAnsi="Times New Roman" w:cs="Times New Roman"/>
        </w:rPr>
        <w:t xml:space="preserve"> Abbreviations: SOFA, Sequential Organ Failure Assessment; </w:t>
      </w:r>
      <w:proofErr w:type="spellStart"/>
      <w:r w:rsidR="000B3F65">
        <w:rPr>
          <w:rFonts w:ascii="Times New Roman" w:hAnsi="Times New Roman" w:cs="Times New Roman"/>
        </w:rPr>
        <w:t>dSOFA</w:t>
      </w:r>
      <w:proofErr w:type="spellEnd"/>
      <w:r w:rsidR="000B3F65">
        <w:rPr>
          <w:rFonts w:ascii="Times New Roman" w:hAnsi="Times New Roman" w:cs="Times New Roman"/>
        </w:rPr>
        <w:t>, SOFA deviation.</w:t>
      </w:r>
      <w:r w:rsidRPr="00765C51">
        <w:rPr>
          <w:rFonts w:ascii="Times New Roman" w:hAnsi="Times New Roman" w:cs="Times New Roman"/>
        </w:rPr>
        <w:br w:type="page"/>
      </w:r>
    </w:p>
    <w:p w14:paraId="19A9FB58" w14:textId="77777777" w:rsidR="00F543CD" w:rsidRPr="000B3F65" w:rsidRDefault="00F543CD">
      <w:pPr>
        <w:rPr>
          <w:rFonts w:ascii="Times New Roman" w:hAnsi="Times New Roman" w:cs="Times New Roman"/>
        </w:rPr>
        <w:sectPr w:rsidR="00F543CD" w:rsidRPr="000B3F65" w:rsidSect="00F543CD">
          <w:pgSz w:w="11906" w:h="16838"/>
          <w:pgMar w:top="1985" w:right="1701" w:bottom="1701" w:left="1701" w:header="851" w:footer="992" w:gutter="0"/>
          <w:lnNumType w:countBy="1" w:restart="continuous"/>
          <w:cols w:space="425"/>
          <w:docGrid w:type="lines" w:linePitch="360"/>
        </w:sectPr>
      </w:pPr>
    </w:p>
    <w:p w14:paraId="4C61C587" w14:textId="77777777" w:rsidR="008023D1" w:rsidRPr="00765C51" w:rsidRDefault="00996E3F">
      <w:pPr>
        <w:rPr>
          <w:rFonts w:ascii="Times New Roman" w:hAnsi="Times New Roman" w:cs="Times New Roman"/>
        </w:rPr>
      </w:pPr>
      <w:r w:rsidRPr="00765C51">
        <w:rPr>
          <w:rFonts w:ascii="Times New Roman" w:hAnsi="Times New Roman" w:cs="Times New Roman"/>
          <w:noProof/>
        </w:rPr>
        <w:lastRenderedPageBreak/>
        <w:drawing>
          <wp:inline distT="0" distB="0" distL="0" distR="0" wp14:anchorId="10958B99" wp14:editId="49F2C94B">
            <wp:extent cx="4840224" cy="3689361"/>
            <wp:effectExtent l="0" t="0" r="0" b="0"/>
            <wp:docPr id="165362548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25487" name=""/>
                    <pic:cNvPicPr/>
                  </pic:nvPicPr>
                  <pic:blipFill>
                    <a:blip r:embed="rId19"/>
                    <a:stretch>
                      <a:fillRect/>
                    </a:stretch>
                  </pic:blipFill>
                  <pic:spPr>
                    <a:xfrm>
                      <a:off x="0" y="0"/>
                      <a:ext cx="4880444" cy="3720018"/>
                    </a:xfrm>
                    <a:prstGeom prst="rect">
                      <a:avLst/>
                    </a:prstGeom>
                  </pic:spPr>
                </pic:pic>
              </a:graphicData>
            </a:graphic>
          </wp:inline>
        </w:drawing>
      </w:r>
    </w:p>
    <w:p w14:paraId="0B0753EC" w14:textId="72B5CE36" w:rsidR="008023D1" w:rsidRPr="00765C51" w:rsidRDefault="00EB4E15">
      <w:pPr>
        <w:rPr>
          <w:rFonts w:ascii="Times New Roman" w:hAnsi="Times New Roman" w:cs="Times New Roman"/>
          <w:b/>
          <w:bCs/>
        </w:rPr>
      </w:pPr>
      <w:r w:rsidRPr="00765C51">
        <w:rPr>
          <w:rFonts w:ascii="Times New Roman" w:hAnsi="Times New Roman" w:cs="Times New Roman"/>
          <w:b/>
          <w:bCs/>
        </w:rPr>
        <w:t xml:space="preserve">Supplementary figure </w:t>
      </w:r>
      <w:r w:rsidR="00FE2C32">
        <w:rPr>
          <w:rFonts w:ascii="Times New Roman" w:hAnsi="Times New Roman" w:cs="Times New Roman"/>
          <w:b/>
          <w:bCs/>
        </w:rPr>
        <w:t>9</w:t>
      </w:r>
      <w:r w:rsidRPr="00765C51">
        <w:rPr>
          <w:rFonts w:ascii="Times New Roman" w:hAnsi="Times New Roman" w:cs="Times New Roman"/>
          <w:b/>
          <w:bCs/>
        </w:rPr>
        <w:t xml:space="preserve">. Covariate balance before and after inverse probability weighting according to </w:t>
      </w:r>
      <w:proofErr w:type="spellStart"/>
      <w:r w:rsidRPr="00765C51">
        <w:rPr>
          <w:rFonts w:ascii="Times New Roman" w:hAnsi="Times New Roman" w:cs="Times New Roman"/>
          <w:b/>
          <w:bCs/>
        </w:rPr>
        <w:t>dSOFA</w:t>
      </w:r>
      <w:proofErr w:type="spellEnd"/>
      <w:r w:rsidRPr="00765C51">
        <w:rPr>
          <w:rFonts w:ascii="Times New Roman" w:hAnsi="Times New Roman" w:cs="Times New Roman"/>
          <w:b/>
          <w:bCs/>
        </w:rPr>
        <w:t xml:space="preserve"> category. </w:t>
      </w:r>
      <w:r w:rsidR="007F16F9" w:rsidRPr="00765C51">
        <w:rPr>
          <w:rFonts w:ascii="Times New Roman" w:hAnsi="Times New Roman" w:cs="Times New Roman"/>
        </w:rPr>
        <w:t xml:space="preserve">Absolute standardized mean differences (SMDs) for baseline characteristics before (red) and after (blue) inverse probability weighting (IPW) for the average treatment effect (ATE). </w:t>
      </w:r>
      <w:proofErr w:type="spellStart"/>
      <w:r w:rsidR="007F16F9" w:rsidRPr="00765C51">
        <w:rPr>
          <w:rFonts w:ascii="Times New Roman" w:hAnsi="Times New Roman" w:cs="Times New Roman"/>
        </w:rPr>
        <w:t>dSOFA</w:t>
      </w:r>
      <w:proofErr w:type="spellEnd"/>
      <w:r w:rsidR="007F16F9" w:rsidRPr="00765C51">
        <w:rPr>
          <w:rFonts w:ascii="Times New Roman" w:hAnsi="Times New Roman" w:cs="Times New Roman"/>
        </w:rPr>
        <w:t xml:space="preserve"> was defined as SOFA-2 minus SOFA and categorized as Negative deviation (</w:t>
      </w:r>
      <w:proofErr w:type="spellStart"/>
      <w:r w:rsidR="007F16F9" w:rsidRPr="00765C51">
        <w:rPr>
          <w:rFonts w:ascii="Times New Roman" w:hAnsi="Times New Roman" w:cs="Times New Roman"/>
        </w:rPr>
        <w:t>dSOFA</w:t>
      </w:r>
      <w:proofErr w:type="spellEnd"/>
      <w:r w:rsidR="007F16F9" w:rsidRPr="00765C51">
        <w:rPr>
          <w:rFonts w:ascii="Times New Roman" w:hAnsi="Times New Roman" w:cs="Times New Roman"/>
        </w:rPr>
        <w:t xml:space="preserve"> ≤ −2), Minimal deviation (−2 &lt; </w:t>
      </w:r>
      <w:proofErr w:type="spellStart"/>
      <w:r w:rsidR="007F16F9" w:rsidRPr="00765C51">
        <w:rPr>
          <w:rFonts w:ascii="Times New Roman" w:hAnsi="Times New Roman" w:cs="Times New Roman"/>
        </w:rPr>
        <w:t>dSOFA</w:t>
      </w:r>
      <w:proofErr w:type="spellEnd"/>
      <w:r w:rsidR="007F16F9" w:rsidRPr="00765C51">
        <w:rPr>
          <w:rFonts w:ascii="Times New Roman" w:hAnsi="Times New Roman" w:cs="Times New Roman"/>
        </w:rPr>
        <w:t xml:space="preserve"> &lt; 2), and Positive deviation (</w:t>
      </w:r>
      <w:proofErr w:type="spellStart"/>
      <w:r w:rsidR="007F16F9" w:rsidRPr="00765C51">
        <w:rPr>
          <w:rFonts w:ascii="Times New Roman" w:hAnsi="Times New Roman" w:cs="Times New Roman"/>
        </w:rPr>
        <w:t>dSOFA</w:t>
      </w:r>
      <w:proofErr w:type="spellEnd"/>
      <w:r w:rsidR="007F16F9" w:rsidRPr="00765C51">
        <w:rPr>
          <w:rFonts w:ascii="Times New Roman" w:hAnsi="Times New Roman" w:cs="Times New Roman"/>
        </w:rPr>
        <w:t xml:space="preserve"> ≥ 2). Points represent the maximum absolute SMD across pairwise comparisons among the three </w:t>
      </w:r>
      <w:proofErr w:type="spellStart"/>
      <w:r w:rsidR="007F16F9" w:rsidRPr="00765C51">
        <w:rPr>
          <w:rFonts w:ascii="Times New Roman" w:hAnsi="Times New Roman" w:cs="Times New Roman"/>
        </w:rPr>
        <w:t>dSOFA</w:t>
      </w:r>
      <w:proofErr w:type="spellEnd"/>
      <w:r w:rsidR="007F16F9" w:rsidRPr="00765C51">
        <w:rPr>
          <w:rFonts w:ascii="Times New Roman" w:hAnsi="Times New Roman" w:cs="Times New Roman"/>
        </w:rPr>
        <w:t xml:space="preserve"> categories. The dashed vertical line indicates an SMD of 0.10, commonly used as a threshold for acceptable covariate balance.</w:t>
      </w:r>
    </w:p>
    <w:p w14:paraId="0DAEA472" w14:textId="77777777" w:rsidR="007F16F9" w:rsidRPr="00765C51" w:rsidRDefault="007F16F9">
      <w:pPr>
        <w:rPr>
          <w:rFonts w:ascii="Times New Roman" w:hAnsi="Times New Roman" w:cs="Times New Roman"/>
          <w:b/>
          <w:bCs/>
        </w:rPr>
        <w:sectPr w:rsidR="007F16F9" w:rsidRPr="00765C51" w:rsidSect="007F16F9">
          <w:pgSz w:w="16838" w:h="11906" w:orient="landscape"/>
          <w:pgMar w:top="1701" w:right="1701" w:bottom="1701" w:left="1985" w:header="851" w:footer="992" w:gutter="0"/>
          <w:lnNumType w:countBy="1" w:restart="continuous"/>
          <w:cols w:space="425"/>
          <w:docGrid w:type="lines" w:linePitch="360"/>
        </w:sectPr>
      </w:pPr>
    </w:p>
    <w:p w14:paraId="6542217C" w14:textId="02461612" w:rsidR="003A687D" w:rsidRPr="00765C51" w:rsidRDefault="003A687D" w:rsidP="00501131">
      <w:pPr>
        <w:rPr>
          <w:rFonts w:ascii="Times New Roman" w:hAnsi="Times New Roman" w:cs="Times New Roman"/>
          <w:b/>
          <w:bCs/>
        </w:rPr>
      </w:pPr>
      <w:r w:rsidRPr="00765C51">
        <w:rPr>
          <w:rFonts w:ascii="Times New Roman" w:hAnsi="Times New Roman" w:cs="Times New Roman"/>
          <w:b/>
          <w:bCs/>
        </w:rPr>
        <w:lastRenderedPageBreak/>
        <w:t xml:space="preserve">Supplementary Table 1. </w:t>
      </w:r>
      <w:r w:rsidR="00921C68" w:rsidRPr="00765C51">
        <w:rPr>
          <w:rFonts w:ascii="Times New Roman" w:hAnsi="Times New Roman" w:cs="Times New Roman"/>
          <w:b/>
          <w:bCs/>
        </w:rPr>
        <w:t>Proportion of Patients with Unmeasured Variables Required for SOFA and SOFA-2 Score Calculation</w:t>
      </w:r>
    </w:p>
    <w:tbl>
      <w:tblPr>
        <w:tblW w:w="8642" w:type="dxa"/>
        <w:tblCellMar>
          <w:left w:w="99" w:type="dxa"/>
          <w:right w:w="99" w:type="dxa"/>
        </w:tblCellMar>
        <w:tblLook w:val="04A0" w:firstRow="1" w:lastRow="0" w:firstColumn="1" w:lastColumn="0" w:noHBand="0" w:noVBand="1"/>
      </w:tblPr>
      <w:tblGrid>
        <w:gridCol w:w="1828"/>
        <w:gridCol w:w="3554"/>
        <w:gridCol w:w="3260"/>
      </w:tblGrid>
      <w:tr w:rsidR="003A687D" w:rsidRPr="00765C51" w14:paraId="69C41C96" w14:textId="77777777" w:rsidTr="003A687D">
        <w:trPr>
          <w:trHeight w:val="620"/>
        </w:trPr>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23E5E7C" w14:textId="77777777" w:rsidR="003A687D" w:rsidRPr="00765C51" w:rsidRDefault="003A687D" w:rsidP="003A687D">
            <w:pPr>
              <w:rPr>
                <w:rFonts w:ascii="Times New Roman" w:eastAsia="Yu Gothic" w:hAnsi="Times New Roman" w:cs="Times New Roman"/>
                <w:b/>
                <w:bCs/>
              </w:rPr>
            </w:pPr>
            <w:r w:rsidRPr="00765C51">
              <w:rPr>
                <w:rFonts w:ascii="Times New Roman" w:eastAsia="Yu Gothic" w:hAnsi="Times New Roman" w:cs="Times New Roman"/>
                <w:b/>
                <w:bCs/>
              </w:rPr>
              <w:t>Domain</w:t>
            </w:r>
            <w:r w:rsidRPr="00765C51">
              <w:rPr>
                <w:rFonts w:ascii="Times New Roman" w:eastAsia="Yu Gothic" w:hAnsi="Times New Roman" w:cs="Times New Roman"/>
              </w:rPr>
              <w:t> </w:t>
            </w:r>
          </w:p>
        </w:tc>
        <w:tc>
          <w:tcPr>
            <w:tcW w:w="355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DBB6C20" w14:textId="125CB7BE" w:rsidR="003A687D" w:rsidRPr="00765C51" w:rsidRDefault="003A687D" w:rsidP="003A687D">
            <w:pPr>
              <w:jc w:val="center"/>
              <w:rPr>
                <w:rFonts w:ascii="Times New Roman" w:eastAsia="Yu Gothic" w:hAnsi="Times New Roman" w:cs="Times New Roman"/>
                <w:b/>
                <w:bCs/>
              </w:rPr>
            </w:pPr>
            <w:r w:rsidRPr="00765C51">
              <w:rPr>
                <w:rFonts w:ascii="Times New Roman" w:eastAsia="Yu Gothic" w:hAnsi="Times New Roman" w:cs="Times New Roman"/>
                <w:b/>
                <w:bCs/>
              </w:rPr>
              <w:t xml:space="preserve">SOFA </w:t>
            </w:r>
            <w:r w:rsidR="00921C68" w:rsidRPr="00765C51">
              <w:rPr>
                <w:rFonts w:ascii="Times New Roman" w:eastAsia="Yu Gothic" w:hAnsi="Times New Roman" w:cs="Times New Roman"/>
                <w:b/>
                <w:bCs/>
              </w:rPr>
              <w:t>unmeasured</w:t>
            </w:r>
            <w:r w:rsidRPr="00765C51">
              <w:rPr>
                <w:rFonts w:ascii="Times New Roman" w:eastAsia="Yu Gothic" w:hAnsi="Times New Roman" w:cs="Times New Roman"/>
                <w:b/>
                <w:bCs/>
              </w:rPr>
              <w:t xml:space="preserve"> n (%)</w:t>
            </w:r>
          </w:p>
        </w:tc>
        <w:tc>
          <w:tcPr>
            <w:tcW w:w="32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A2FE07F" w14:textId="25F811D3" w:rsidR="003A687D" w:rsidRPr="00765C51" w:rsidRDefault="003A687D" w:rsidP="003A687D">
            <w:pPr>
              <w:jc w:val="center"/>
              <w:rPr>
                <w:rFonts w:ascii="Times New Roman" w:eastAsia="Yu Gothic" w:hAnsi="Times New Roman" w:cs="Times New Roman"/>
                <w:b/>
                <w:bCs/>
              </w:rPr>
            </w:pPr>
            <w:r w:rsidRPr="00765C51">
              <w:rPr>
                <w:rFonts w:ascii="Times New Roman" w:eastAsia="Yu Gothic" w:hAnsi="Times New Roman" w:cs="Times New Roman"/>
                <w:b/>
                <w:bCs/>
              </w:rPr>
              <w:t xml:space="preserve">SOFA-2 </w:t>
            </w:r>
            <w:r w:rsidR="00921C68" w:rsidRPr="00765C51">
              <w:rPr>
                <w:rFonts w:ascii="Times New Roman" w:eastAsia="Yu Gothic" w:hAnsi="Times New Roman" w:cs="Times New Roman"/>
                <w:b/>
                <w:bCs/>
              </w:rPr>
              <w:t>unmeasured</w:t>
            </w:r>
            <w:r w:rsidRPr="00765C51">
              <w:rPr>
                <w:rFonts w:ascii="Times New Roman" w:eastAsia="Yu Gothic" w:hAnsi="Times New Roman" w:cs="Times New Roman"/>
                <w:b/>
                <w:bCs/>
              </w:rPr>
              <w:t xml:space="preserve"> n (%)</w:t>
            </w:r>
          </w:p>
        </w:tc>
      </w:tr>
      <w:tr w:rsidR="003A687D" w:rsidRPr="00765C51" w14:paraId="30D5F4BF" w14:textId="77777777" w:rsidTr="003A687D">
        <w:trPr>
          <w:trHeight w:val="653"/>
        </w:trPr>
        <w:tc>
          <w:tcPr>
            <w:tcW w:w="1828" w:type="dxa"/>
            <w:tcBorders>
              <w:top w:val="nil"/>
              <w:left w:val="single" w:sz="4" w:space="0" w:color="auto"/>
              <w:bottom w:val="single" w:sz="4" w:space="0" w:color="auto"/>
              <w:right w:val="single" w:sz="4" w:space="0" w:color="auto"/>
            </w:tcBorders>
            <w:noWrap/>
            <w:vAlign w:val="center"/>
            <w:hideMark/>
          </w:tcPr>
          <w:p w14:paraId="23898607" w14:textId="77777777" w:rsidR="003A687D" w:rsidRPr="00765C51" w:rsidRDefault="003A687D" w:rsidP="003A687D">
            <w:pPr>
              <w:rPr>
                <w:rFonts w:ascii="Times New Roman" w:eastAsia="Yu Gothic" w:hAnsi="Times New Roman" w:cs="Times New Roman"/>
              </w:rPr>
            </w:pPr>
            <w:r w:rsidRPr="00765C51">
              <w:rPr>
                <w:rFonts w:ascii="Times New Roman" w:eastAsia="Yu Gothic" w:hAnsi="Times New Roman" w:cs="Times New Roman"/>
              </w:rPr>
              <w:t>Respiration </w:t>
            </w:r>
          </w:p>
        </w:tc>
        <w:tc>
          <w:tcPr>
            <w:tcW w:w="3554" w:type="dxa"/>
            <w:tcBorders>
              <w:top w:val="nil"/>
              <w:left w:val="nil"/>
              <w:bottom w:val="single" w:sz="4" w:space="0" w:color="auto"/>
              <w:right w:val="single" w:sz="4" w:space="0" w:color="auto"/>
            </w:tcBorders>
            <w:noWrap/>
            <w:vAlign w:val="center"/>
            <w:hideMark/>
          </w:tcPr>
          <w:p w14:paraId="6DE784B8" w14:textId="39B952C1"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40,576 (30.2%)</w:t>
            </w:r>
          </w:p>
        </w:tc>
        <w:tc>
          <w:tcPr>
            <w:tcW w:w="3260" w:type="dxa"/>
            <w:tcBorders>
              <w:top w:val="nil"/>
              <w:left w:val="nil"/>
              <w:bottom w:val="single" w:sz="4" w:space="0" w:color="auto"/>
              <w:right w:val="single" w:sz="4" w:space="0" w:color="auto"/>
            </w:tcBorders>
            <w:noWrap/>
            <w:vAlign w:val="center"/>
            <w:hideMark/>
          </w:tcPr>
          <w:p w14:paraId="65DB804D" w14:textId="15A8889D"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354 (0.26%)</w:t>
            </w:r>
          </w:p>
        </w:tc>
      </w:tr>
      <w:tr w:rsidR="003A687D" w:rsidRPr="00765C51" w14:paraId="499A1CE7" w14:textId="77777777" w:rsidTr="003A687D">
        <w:trPr>
          <w:trHeight w:val="610"/>
        </w:trPr>
        <w:tc>
          <w:tcPr>
            <w:tcW w:w="1828" w:type="dxa"/>
            <w:tcBorders>
              <w:top w:val="nil"/>
              <w:left w:val="single" w:sz="4" w:space="0" w:color="auto"/>
              <w:bottom w:val="single" w:sz="4" w:space="0" w:color="auto"/>
              <w:right w:val="single" w:sz="4" w:space="0" w:color="auto"/>
            </w:tcBorders>
            <w:noWrap/>
            <w:vAlign w:val="center"/>
            <w:hideMark/>
          </w:tcPr>
          <w:p w14:paraId="1B1B1702" w14:textId="77777777" w:rsidR="003A687D" w:rsidRPr="00765C51" w:rsidRDefault="003A687D" w:rsidP="003A687D">
            <w:pPr>
              <w:rPr>
                <w:rFonts w:ascii="Times New Roman" w:eastAsia="Yu Gothic" w:hAnsi="Times New Roman" w:cs="Times New Roman"/>
              </w:rPr>
            </w:pPr>
            <w:r w:rsidRPr="00765C51">
              <w:rPr>
                <w:rFonts w:ascii="Times New Roman" w:eastAsia="Yu Gothic" w:hAnsi="Times New Roman" w:cs="Times New Roman"/>
              </w:rPr>
              <w:t>Cardiovascular </w:t>
            </w:r>
          </w:p>
        </w:tc>
        <w:tc>
          <w:tcPr>
            <w:tcW w:w="3554" w:type="dxa"/>
            <w:tcBorders>
              <w:top w:val="nil"/>
              <w:left w:val="nil"/>
              <w:bottom w:val="single" w:sz="4" w:space="0" w:color="auto"/>
              <w:right w:val="single" w:sz="4" w:space="0" w:color="auto"/>
            </w:tcBorders>
            <w:noWrap/>
            <w:vAlign w:val="center"/>
            <w:hideMark/>
          </w:tcPr>
          <w:p w14:paraId="794E7679" w14:textId="7D8DA1FC"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79 (0.1%)</w:t>
            </w:r>
          </w:p>
        </w:tc>
        <w:tc>
          <w:tcPr>
            <w:tcW w:w="3260" w:type="dxa"/>
            <w:tcBorders>
              <w:top w:val="nil"/>
              <w:left w:val="nil"/>
              <w:bottom w:val="single" w:sz="4" w:space="0" w:color="auto"/>
              <w:right w:val="single" w:sz="4" w:space="0" w:color="auto"/>
            </w:tcBorders>
            <w:noWrap/>
            <w:vAlign w:val="center"/>
            <w:hideMark/>
          </w:tcPr>
          <w:p w14:paraId="5223FC7D" w14:textId="3D8C2E2B"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79 (0.1%)</w:t>
            </w:r>
          </w:p>
        </w:tc>
      </w:tr>
      <w:tr w:rsidR="003A687D" w:rsidRPr="00765C51" w14:paraId="0219688D" w14:textId="77777777" w:rsidTr="003A687D">
        <w:trPr>
          <w:trHeight w:val="688"/>
        </w:trPr>
        <w:tc>
          <w:tcPr>
            <w:tcW w:w="1828" w:type="dxa"/>
            <w:tcBorders>
              <w:top w:val="nil"/>
              <w:left w:val="single" w:sz="4" w:space="0" w:color="auto"/>
              <w:bottom w:val="single" w:sz="4" w:space="0" w:color="auto"/>
              <w:right w:val="single" w:sz="4" w:space="0" w:color="auto"/>
            </w:tcBorders>
            <w:noWrap/>
            <w:vAlign w:val="center"/>
            <w:hideMark/>
          </w:tcPr>
          <w:p w14:paraId="3853AD6C" w14:textId="77777777" w:rsidR="003A687D" w:rsidRPr="00765C51" w:rsidRDefault="003A687D" w:rsidP="003A687D">
            <w:pPr>
              <w:rPr>
                <w:rFonts w:ascii="Times New Roman" w:eastAsia="Yu Gothic" w:hAnsi="Times New Roman" w:cs="Times New Roman"/>
              </w:rPr>
            </w:pPr>
            <w:r w:rsidRPr="00765C51">
              <w:rPr>
                <w:rFonts w:ascii="Times New Roman" w:eastAsia="Yu Gothic" w:hAnsi="Times New Roman" w:cs="Times New Roman"/>
              </w:rPr>
              <w:t>Hemostasis</w:t>
            </w:r>
          </w:p>
        </w:tc>
        <w:tc>
          <w:tcPr>
            <w:tcW w:w="3554" w:type="dxa"/>
            <w:tcBorders>
              <w:top w:val="nil"/>
              <w:left w:val="nil"/>
              <w:bottom w:val="single" w:sz="4" w:space="0" w:color="auto"/>
              <w:right w:val="single" w:sz="4" w:space="0" w:color="auto"/>
            </w:tcBorders>
            <w:noWrap/>
            <w:vAlign w:val="center"/>
            <w:hideMark/>
          </w:tcPr>
          <w:p w14:paraId="7D30EA76" w14:textId="77777777"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2,907 (2.2%)</w:t>
            </w:r>
          </w:p>
        </w:tc>
        <w:tc>
          <w:tcPr>
            <w:tcW w:w="3260" w:type="dxa"/>
            <w:tcBorders>
              <w:top w:val="nil"/>
              <w:left w:val="nil"/>
              <w:bottom w:val="single" w:sz="4" w:space="0" w:color="auto"/>
              <w:right w:val="single" w:sz="4" w:space="0" w:color="auto"/>
            </w:tcBorders>
            <w:noWrap/>
            <w:vAlign w:val="center"/>
            <w:hideMark/>
          </w:tcPr>
          <w:p w14:paraId="589FB617" w14:textId="77777777"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2,907 (2.2%)</w:t>
            </w:r>
          </w:p>
        </w:tc>
      </w:tr>
      <w:tr w:rsidR="003A687D" w:rsidRPr="00765C51" w14:paraId="11AE15C6" w14:textId="77777777" w:rsidTr="003A687D">
        <w:trPr>
          <w:trHeight w:val="712"/>
        </w:trPr>
        <w:tc>
          <w:tcPr>
            <w:tcW w:w="1828" w:type="dxa"/>
            <w:tcBorders>
              <w:top w:val="nil"/>
              <w:left w:val="single" w:sz="4" w:space="0" w:color="auto"/>
              <w:bottom w:val="single" w:sz="4" w:space="0" w:color="auto"/>
              <w:right w:val="single" w:sz="4" w:space="0" w:color="auto"/>
            </w:tcBorders>
            <w:noWrap/>
            <w:vAlign w:val="center"/>
            <w:hideMark/>
          </w:tcPr>
          <w:p w14:paraId="23CC94AF" w14:textId="77777777" w:rsidR="003A687D" w:rsidRPr="00765C51" w:rsidRDefault="003A687D" w:rsidP="003A687D">
            <w:pPr>
              <w:rPr>
                <w:rFonts w:ascii="Times New Roman" w:eastAsia="Yu Gothic" w:hAnsi="Times New Roman" w:cs="Times New Roman"/>
              </w:rPr>
            </w:pPr>
            <w:r w:rsidRPr="00765C51">
              <w:rPr>
                <w:rFonts w:ascii="Times New Roman" w:eastAsia="Yu Gothic" w:hAnsi="Times New Roman" w:cs="Times New Roman"/>
              </w:rPr>
              <w:t>Brain</w:t>
            </w:r>
          </w:p>
        </w:tc>
        <w:tc>
          <w:tcPr>
            <w:tcW w:w="3554" w:type="dxa"/>
            <w:tcBorders>
              <w:top w:val="nil"/>
              <w:left w:val="nil"/>
              <w:bottom w:val="single" w:sz="4" w:space="0" w:color="auto"/>
              <w:right w:val="single" w:sz="4" w:space="0" w:color="auto"/>
            </w:tcBorders>
            <w:noWrap/>
            <w:vAlign w:val="center"/>
            <w:hideMark/>
          </w:tcPr>
          <w:p w14:paraId="7A70BE89" w14:textId="45D3F792"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17,418 (12.9%)</w:t>
            </w:r>
          </w:p>
        </w:tc>
        <w:tc>
          <w:tcPr>
            <w:tcW w:w="3260" w:type="dxa"/>
            <w:tcBorders>
              <w:top w:val="nil"/>
              <w:left w:val="nil"/>
              <w:bottom w:val="single" w:sz="4" w:space="0" w:color="auto"/>
              <w:right w:val="single" w:sz="4" w:space="0" w:color="auto"/>
            </w:tcBorders>
            <w:noWrap/>
            <w:vAlign w:val="center"/>
            <w:hideMark/>
          </w:tcPr>
          <w:p w14:paraId="524A911E" w14:textId="6FCD6E9C"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3,728 (2.8%)</w:t>
            </w:r>
          </w:p>
        </w:tc>
      </w:tr>
      <w:tr w:rsidR="003A687D" w:rsidRPr="00765C51" w14:paraId="6C4A11F6" w14:textId="77777777" w:rsidTr="003A687D">
        <w:trPr>
          <w:trHeight w:val="681"/>
        </w:trPr>
        <w:tc>
          <w:tcPr>
            <w:tcW w:w="1828" w:type="dxa"/>
            <w:tcBorders>
              <w:top w:val="nil"/>
              <w:left w:val="single" w:sz="4" w:space="0" w:color="auto"/>
              <w:bottom w:val="single" w:sz="4" w:space="0" w:color="auto"/>
              <w:right w:val="single" w:sz="4" w:space="0" w:color="auto"/>
            </w:tcBorders>
            <w:noWrap/>
            <w:vAlign w:val="center"/>
            <w:hideMark/>
          </w:tcPr>
          <w:p w14:paraId="5E8619A8" w14:textId="77777777" w:rsidR="003A687D" w:rsidRPr="00765C51" w:rsidRDefault="003A687D" w:rsidP="003A687D">
            <w:pPr>
              <w:rPr>
                <w:rFonts w:ascii="Times New Roman" w:eastAsia="Yu Gothic" w:hAnsi="Times New Roman" w:cs="Times New Roman"/>
              </w:rPr>
            </w:pPr>
            <w:r w:rsidRPr="00765C51">
              <w:rPr>
                <w:rFonts w:ascii="Times New Roman" w:eastAsia="Yu Gothic" w:hAnsi="Times New Roman" w:cs="Times New Roman"/>
              </w:rPr>
              <w:t>Liver </w:t>
            </w:r>
          </w:p>
        </w:tc>
        <w:tc>
          <w:tcPr>
            <w:tcW w:w="3554" w:type="dxa"/>
            <w:tcBorders>
              <w:top w:val="nil"/>
              <w:left w:val="nil"/>
              <w:bottom w:val="single" w:sz="4" w:space="0" w:color="auto"/>
              <w:right w:val="single" w:sz="4" w:space="0" w:color="auto"/>
            </w:tcBorders>
            <w:noWrap/>
            <w:vAlign w:val="center"/>
            <w:hideMark/>
          </w:tcPr>
          <w:p w14:paraId="59931BDE" w14:textId="77777777"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6,524 (4.9%)</w:t>
            </w:r>
          </w:p>
        </w:tc>
        <w:tc>
          <w:tcPr>
            <w:tcW w:w="3260" w:type="dxa"/>
            <w:tcBorders>
              <w:top w:val="nil"/>
              <w:left w:val="nil"/>
              <w:bottom w:val="single" w:sz="4" w:space="0" w:color="auto"/>
              <w:right w:val="single" w:sz="4" w:space="0" w:color="auto"/>
            </w:tcBorders>
            <w:noWrap/>
            <w:vAlign w:val="center"/>
            <w:hideMark/>
          </w:tcPr>
          <w:p w14:paraId="7BA10BAE" w14:textId="77777777"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6,524 (4.9%)</w:t>
            </w:r>
          </w:p>
        </w:tc>
      </w:tr>
      <w:tr w:rsidR="003A687D" w:rsidRPr="00765C51" w14:paraId="12468AFD" w14:textId="77777777" w:rsidTr="003A687D">
        <w:trPr>
          <w:trHeight w:val="724"/>
        </w:trPr>
        <w:tc>
          <w:tcPr>
            <w:tcW w:w="1828" w:type="dxa"/>
            <w:tcBorders>
              <w:top w:val="nil"/>
              <w:left w:val="single" w:sz="4" w:space="0" w:color="auto"/>
              <w:bottom w:val="single" w:sz="4" w:space="0" w:color="auto"/>
              <w:right w:val="single" w:sz="4" w:space="0" w:color="auto"/>
            </w:tcBorders>
            <w:noWrap/>
            <w:vAlign w:val="center"/>
            <w:hideMark/>
          </w:tcPr>
          <w:p w14:paraId="709FFF07" w14:textId="77777777" w:rsidR="003A687D" w:rsidRPr="00765C51" w:rsidRDefault="003A687D" w:rsidP="003A687D">
            <w:pPr>
              <w:rPr>
                <w:rFonts w:ascii="Times New Roman" w:eastAsia="Yu Gothic" w:hAnsi="Times New Roman" w:cs="Times New Roman"/>
              </w:rPr>
            </w:pPr>
            <w:r w:rsidRPr="00765C51">
              <w:rPr>
                <w:rFonts w:ascii="Times New Roman" w:eastAsia="Yu Gothic" w:hAnsi="Times New Roman" w:cs="Times New Roman"/>
              </w:rPr>
              <w:t>Kidney</w:t>
            </w:r>
          </w:p>
        </w:tc>
        <w:tc>
          <w:tcPr>
            <w:tcW w:w="3554" w:type="dxa"/>
            <w:tcBorders>
              <w:top w:val="nil"/>
              <w:left w:val="nil"/>
              <w:bottom w:val="single" w:sz="4" w:space="0" w:color="auto"/>
              <w:right w:val="single" w:sz="4" w:space="0" w:color="auto"/>
            </w:tcBorders>
            <w:noWrap/>
            <w:vAlign w:val="center"/>
            <w:hideMark/>
          </w:tcPr>
          <w:p w14:paraId="4507A8B4" w14:textId="77777777"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449 (0.3%)</w:t>
            </w:r>
          </w:p>
        </w:tc>
        <w:tc>
          <w:tcPr>
            <w:tcW w:w="3260" w:type="dxa"/>
            <w:tcBorders>
              <w:top w:val="nil"/>
              <w:left w:val="nil"/>
              <w:bottom w:val="single" w:sz="4" w:space="0" w:color="auto"/>
              <w:right w:val="single" w:sz="4" w:space="0" w:color="auto"/>
            </w:tcBorders>
            <w:noWrap/>
            <w:vAlign w:val="center"/>
            <w:hideMark/>
          </w:tcPr>
          <w:p w14:paraId="51DFD04A" w14:textId="77777777" w:rsidR="003A687D" w:rsidRPr="00765C51" w:rsidRDefault="003A687D" w:rsidP="003A687D">
            <w:pPr>
              <w:jc w:val="center"/>
              <w:rPr>
                <w:rFonts w:ascii="Times New Roman" w:eastAsia="Yu Gothic" w:hAnsi="Times New Roman" w:cs="Times New Roman"/>
              </w:rPr>
            </w:pPr>
            <w:r w:rsidRPr="00765C51">
              <w:rPr>
                <w:rFonts w:ascii="Times New Roman" w:eastAsia="Yu Gothic" w:hAnsi="Times New Roman" w:cs="Times New Roman"/>
              </w:rPr>
              <w:t>446 (0.3%)</w:t>
            </w:r>
          </w:p>
        </w:tc>
      </w:tr>
    </w:tbl>
    <w:p w14:paraId="225843F1" w14:textId="6C334303" w:rsidR="003A687D" w:rsidRPr="00393237" w:rsidRDefault="00921C68" w:rsidP="00501131">
      <w:pPr>
        <w:rPr>
          <w:rFonts w:ascii="Times New Roman" w:hAnsi="Times New Roman" w:cs="Times New Roman"/>
          <w:b/>
          <w:bCs/>
        </w:rPr>
      </w:pPr>
      <w:r w:rsidRPr="00765C51">
        <w:rPr>
          <w:rFonts w:ascii="Times New Roman" w:hAnsi="Times New Roman" w:cs="Times New Roman"/>
        </w:rPr>
        <w:t xml:space="preserve">Values represent the number and percentage of patients for whom all variables required to calculate the corresponding organ </w:t>
      </w:r>
      <w:proofErr w:type="spellStart"/>
      <w:r w:rsidRPr="00765C51">
        <w:rPr>
          <w:rFonts w:ascii="Times New Roman" w:hAnsi="Times New Roman" w:cs="Times New Roman"/>
        </w:rPr>
        <w:t>subscore</w:t>
      </w:r>
      <w:proofErr w:type="spellEnd"/>
      <w:r w:rsidRPr="00765C51">
        <w:rPr>
          <w:rFonts w:ascii="Times New Roman" w:hAnsi="Times New Roman" w:cs="Times New Roman"/>
        </w:rPr>
        <w:t xml:space="preserve"> were unmeasured during the first 24 hours after ICU admission. Unmeasured status was defined as the absence of all variables required for calculation of a given organ </w:t>
      </w:r>
      <w:proofErr w:type="spellStart"/>
      <w:r w:rsidRPr="00765C51">
        <w:rPr>
          <w:rFonts w:ascii="Times New Roman" w:hAnsi="Times New Roman" w:cs="Times New Roman"/>
        </w:rPr>
        <w:t>subscore</w:t>
      </w:r>
      <w:proofErr w:type="spellEnd"/>
      <w:r w:rsidRPr="00765C51">
        <w:rPr>
          <w:rFonts w:ascii="Times New Roman" w:hAnsi="Times New Roman" w:cs="Times New Roman"/>
        </w:rPr>
        <w:t xml:space="preserve"> during this period.</w:t>
      </w:r>
    </w:p>
    <w:p w14:paraId="0FB7E860" w14:textId="74EC0E17" w:rsidR="003A687D" w:rsidRPr="00393237" w:rsidRDefault="003A687D">
      <w:pPr>
        <w:rPr>
          <w:rFonts w:ascii="Times New Roman" w:hAnsi="Times New Roman" w:cs="Times New Roman"/>
          <w:b/>
          <w:bCs/>
        </w:rPr>
      </w:pPr>
    </w:p>
    <w:sectPr w:rsidR="003A687D" w:rsidRPr="00393237" w:rsidSect="00E04907">
      <w:pgSz w:w="11906" w:h="16838"/>
      <w:pgMar w:top="1985" w:right="1701" w:bottom="1701" w:left="1701" w:header="851" w:footer="992" w:gutter="0"/>
      <w:lnNumType w:countBy="1" w:restart="continuou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00DE9C" w14:textId="77777777" w:rsidR="00383CDD" w:rsidRDefault="00383CDD">
      <w:r>
        <w:separator/>
      </w:r>
    </w:p>
  </w:endnote>
  <w:endnote w:type="continuationSeparator" w:id="0">
    <w:p w14:paraId="4E632B51" w14:textId="77777777" w:rsidR="00383CDD" w:rsidRDefault="00383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swiss"/>
    <w:pitch w:val="variable"/>
    <w:sig w:usb0="E00002FF" w:usb1="6AC7FDFB" w:usb2="08000012" w:usb3="00000000" w:csb0="0002009F" w:csb1="00000000"/>
  </w:font>
  <w:font w:name="Wingdings">
    <w:panose1 w:val="05000000000000000000"/>
    <w:charset w:val="00"/>
    <w:family w:val="decorative"/>
    <w:pitch w:val="variable"/>
    <w:sig w:usb0="00000003" w:usb1="00000000" w:usb2="00000000" w:usb3="00000000" w:csb0="800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c"/>
      </w:rPr>
      <w:id w:val="287171412"/>
      <w:docPartObj>
        <w:docPartGallery w:val="Page Numbers (Bottom of Page)"/>
        <w:docPartUnique/>
      </w:docPartObj>
    </w:sdtPr>
    <w:sdtContent>
      <w:p w14:paraId="6BD28A4C" w14:textId="77777777" w:rsidR="00E04907" w:rsidRDefault="00E04907" w:rsidP="00130DE8">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rPr>
          <w:fldChar w:fldCharType="end"/>
        </w:r>
      </w:p>
    </w:sdtContent>
  </w:sdt>
  <w:p w14:paraId="0710866A" w14:textId="77777777" w:rsidR="00E04907" w:rsidRDefault="00E04907">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c"/>
      </w:rPr>
      <w:id w:val="2062362926"/>
      <w:docPartObj>
        <w:docPartGallery w:val="Page Numbers (Bottom of Page)"/>
        <w:docPartUnique/>
      </w:docPartObj>
    </w:sdtPr>
    <w:sdtContent>
      <w:p w14:paraId="6CFE5C2E" w14:textId="77777777" w:rsidR="00E04907" w:rsidRDefault="00E04907" w:rsidP="00130DE8">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7523442C" w14:textId="77777777" w:rsidR="00E04907" w:rsidRDefault="00E0490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CAC2F1" w14:textId="77777777" w:rsidR="00383CDD" w:rsidRDefault="00383CDD">
      <w:r>
        <w:separator/>
      </w:r>
    </w:p>
  </w:footnote>
  <w:footnote w:type="continuationSeparator" w:id="0">
    <w:p w14:paraId="5955D08A" w14:textId="77777777" w:rsidR="00383CDD" w:rsidRDefault="00383C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9812694"/>
    <w:multiLevelType w:val="hybridMultilevel"/>
    <w:tmpl w:val="9A6C958E"/>
    <w:lvl w:ilvl="0" w:tplc="300A70EC">
      <w:start w:val="2"/>
      <w:numFmt w:val="bullet"/>
      <w:lvlText w:val="-"/>
      <w:lvlJc w:val="left"/>
      <w:pPr>
        <w:ind w:left="360" w:hanging="360"/>
      </w:pPr>
      <w:rPr>
        <w:rFonts w:ascii="Times New Roman" w:eastAsia="ＭＳ Ｐゴシック" w:hAnsi="Times New Roman" w:cs="Times New Roman"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3562694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907"/>
    <w:rsid w:val="00054DEE"/>
    <w:rsid w:val="000B3F65"/>
    <w:rsid w:val="001D606E"/>
    <w:rsid w:val="001E0046"/>
    <w:rsid w:val="00217152"/>
    <w:rsid w:val="00224D30"/>
    <w:rsid w:val="00266B83"/>
    <w:rsid w:val="002670CE"/>
    <w:rsid w:val="002A70C4"/>
    <w:rsid w:val="003466C3"/>
    <w:rsid w:val="0037208E"/>
    <w:rsid w:val="00383CDD"/>
    <w:rsid w:val="0039269B"/>
    <w:rsid w:val="00393237"/>
    <w:rsid w:val="003A263B"/>
    <w:rsid w:val="003A687D"/>
    <w:rsid w:val="003A6896"/>
    <w:rsid w:val="003B17F1"/>
    <w:rsid w:val="003B2522"/>
    <w:rsid w:val="004A2AF4"/>
    <w:rsid w:val="00501131"/>
    <w:rsid w:val="00516907"/>
    <w:rsid w:val="0053210F"/>
    <w:rsid w:val="0053704F"/>
    <w:rsid w:val="005A2766"/>
    <w:rsid w:val="005C36E0"/>
    <w:rsid w:val="005D4C50"/>
    <w:rsid w:val="00606EA2"/>
    <w:rsid w:val="006951C1"/>
    <w:rsid w:val="006B01F7"/>
    <w:rsid w:val="006B2DE2"/>
    <w:rsid w:val="006D50EC"/>
    <w:rsid w:val="006E53C6"/>
    <w:rsid w:val="00712417"/>
    <w:rsid w:val="00726780"/>
    <w:rsid w:val="00737857"/>
    <w:rsid w:val="00765C51"/>
    <w:rsid w:val="007C2807"/>
    <w:rsid w:val="007F16F9"/>
    <w:rsid w:val="007F37EB"/>
    <w:rsid w:val="008023D1"/>
    <w:rsid w:val="0080278D"/>
    <w:rsid w:val="00885A7C"/>
    <w:rsid w:val="008B69C8"/>
    <w:rsid w:val="008E1560"/>
    <w:rsid w:val="00921C68"/>
    <w:rsid w:val="00936FB6"/>
    <w:rsid w:val="00945BB6"/>
    <w:rsid w:val="009666ED"/>
    <w:rsid w:val="00996E3F"/>
    <w:rsid w:val="009B53B6"/>
    <w:rsid w:val="00A011CC"/>
    <w:rsid w:val="00A06E8E"/>
    <w:rsid w:val="00A12808"/>
    <w:rsid w:val="00A21482"/>
    <w:rsid w:val="00A57917"/>
    <w:rsid w:val="00AA0360"/>
    <w:rsid w:val="00AD24AA"/>
    <w:rsid w:val="00AD3C8C"/>
    <w:rsid w:val="00AE749A"/>
    <w:rsid w:val="00AF1A29"/>
    <w:rsid w:val="00AF2D87"/>
    <w:rsid w:val="00BB6FE7"/>
    <w:rsid w:val="00BF2170"/>
    <w:rsid w:val="00C6600D"/>
    <w:rsid w:val="00C81FD7"/>
    <w:rsid w:val="00C8596E"/>
    <w:rsid w:val="00C85F8A"/>
    <w:rsid w:val="00CF6E64"/>
    <w:rsid w:val="00D02BF5"/>
    <w:rsid w:val="00D0548F"/>
    <w:rsid w:val="00D270FE"/>
    <w:rsid w:val="00DA0726"/>
    <w:rsid w:val="00DA129E"/>
    <w:rsid w:val="00DB2E44"/>
    <w:rsid w:val="00DE7DDA"/>
    <w:rsid w:val="00E04907"/>
    <w:rsid w:val="00E6606E"/>
    <w:rsid w:val="00EB4E15"/>
    <w:rsid w:val="00F543CD"/>
    <w:rsid w:val="00F77960"/>
    <w:rsid w:val="00FA5552"/>
    <w:rsid w:val="00FB5C4E"/>
    <w:rsid w:val="00FE2C32"/>
    <w:rsid w:val="00FF1BDD"/>
    <w:rsid w:val="00FF246C"/>
    <w:rsid w:val="00FF41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20C9D0E"/>
  <w15:chartTrackingRefBased/>
  <w15:docId w15:val="{C95DA962-F853-2A45-B5C5-C5738BC6B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4907"/>
    <w:rPr>
      <w:rFonts w:ascii="ＭＳ Ｐゴシック" w:eastAsia="ＭＳ Ｐゴシック" w:hAnsi="ＭＳ Ｐゴシック" w:cs="ＭＳ Ｐゴシック"/>
      <w:kern w:val="0"/>
      <w:sz w:val="24"/>
      <w14:ligatures w14:val="none"/>
    </w:rPr>
  </w:style>
  <w:style w:type="paragraph" w:styleId="1">
    <w:name w:val="heading 1"/>
    <w:basedOn w:val="a"/>
    <w:next w:val="a"/>
    <w:link w:val="10"/>
    <w:uiPriority w:val="9"/>
    <w:qFormat/>
    <w:rsid w:val="00E0490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0490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04907"/>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E0490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0490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0490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0490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0490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0490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0490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0490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04907"/>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0490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0490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0490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0490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0490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0490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0490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0490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0490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0490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04907"/>
    <w:pPr>
      <w:spacing w:before="160" w:after="160"/>
      <w:jc w:val="center"/>
    </w:pPr>
    <w:rPr>
      <w:i/>
      <w:iCs/>
      <w:color w:val="404040" w:themeColor="text1" w:themeTint="BF"/>
    </w:rPr>
  </w:style>
  <w:style w:type="character" w:customStyle="1" w:styleId="a8">
    <w:name w:val="引用文 (文字)"/>
    <w:basedOn w:val="a0"/>
    <w:link w:val="a7"/>
    <w:uiPriority w:val="29"/>
    <w:rsid w:val="00E04907"/>
    <w:rPr>
      <w:i/>
      <w:iCs/>
      <w:color w:val="404040" w:themeColor="text1" w:themeTint="BF"/>
    </w:rPr>
  </w:style>
  <w:style w:type="paragraph" w:styleId="a9">
    <w:name w:val="List Paragraph"/>
    <w:basedOn w:val="a"/>
    <w:uiPriority w:val="34"/>
    <w:qFormat/>
    <w:rsid w:val="00E04907"/>
    <w:pPr>
      <w:ind w:left="720"/>
      <w:contextualSpacing/>
    </w:pPr>
  </w:style>
  <w:style w:type="character" w:styleId="21">
    <w:name w:val="Intense Emphasis"/>
    <w:basedOn w:val="a0"/>
    <w:uiPriority w:val="21"/>
    <w:qFormat/>
    <w:rsid w:val="00E04907"/>
    <w:rPr>
      <w:i/>
      <w:iCs/>
      <w:color w:val="0F4761" w:themeColor="accent1" w:themeShade="BF"/>
    </w:rPr>
  </w:style>
  <w:style w:type="paragraph" w:styleId="22">
    <w:name w:val="Intense Quote"/>
    <w:basedOn w:val="a"/>
    <w:next w:val="a"/>
    <w:link w:val="23"/>
    <w:uiPriority w:val="30"/>
    <w:qFormat/>
    <w:rsid w:val="00E049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04907"/>
    <w:rPr>
      <w:i/>
      <w:iCs/>
      <w:color w:val="0F4761" w:themeColor="accent1" w:themeShade="BF"/>
    </w:rPr>
  </w:style>
  <w:style w:type="character" w:styleId="24">
    <w:name w:val="Intense Reference"/>
    <w:basedOn w:val="a0"/>
    <w:uiPriority w:val="32"/>
    <w:qFormat/>
    <w:rsid w:val="00E04907"/>
    <w:rPr>
      <w:b/>
      <w:bCs/>
      <w:smallCaps/>
      <w:color w:val="0F4761" w:themeColor="accent1" w:themeShade="BF"/>
      <w:spacing w:val="5"/>
    </w:rPr>
  </w:style>
  <w:style w:type="paragraph" w:styleId="aa">
    <w:name w:val="footer"/>
    <w:basedOn w:val="a"/>
    <w:link w:val="ab"/>
    <w:uiPriority w:val="99"/>
    <w:unhideWhenUsed/>
    <w:rsid w:val="00E04907"/>
    <w:pPr>
      <w:tabs>
        <w:tab w:val="center" w:pos="4252"/>
        <w:tab w:val="right" w:pos="8504"/>
      </w:tabs>
      <w:snapToGrid w:val="0"/>
    </w:pPr>
  </w:style>
  <w:style w:type="character" w:customStyle="1" w:styleId="ab">
    <w:name w:val="フッター (文字)"/>
    <w:basedOn w:val="a0"/>
    <w:link w:val="aa"/>
    <w:uiPriority w:val="99"/>
    <w:rsid w:val="00E04907"/>
    <w:rPr>
      <w:rFonts w:ascii="ＭＳ Ｐゴシック" w:eastAsia="ＭＳ Ｐゴシック" w:hAnsi="ＭＳ Ｐゴシック" w:cs="ＭＳ Ｐゴシック"/>
      <w:kern w:val="0"/>
      <w:sz w:val="24"/>
      <w14:ligatures w14:val="none"/>
    </w:rPr>
  </w:style>
  <w:style w:type="character" w:styleId="ac">
    <w:name w:val="page number"/>
    <w:basedOn w:val="a0"/>
    <w:uiPriority w:val="99"/>
    <w:semiHidden/>
    <w:unhideWhenUsed/>
    <w:rsid w:val="00E04907"/>
  </w:style>
  <w:style w:type="character" w:styleId="ad">
    <w:name w:val="line number"/>
    <w:basedOn w:val="a0"/>
    <w:uiPriority w:val="99"/>
    <w:semiHidden/>
    <w:unhideWhenUsed/>
    <w:rsid w:val="00E04907"/>
  </w:style>
  <w:style w:type="paragraph" w:styleId="Web">
    <w:name w:val="Normal (Web)"/>
    <w:basedOn w:val="a"/>
    <w:uiPriority w:val="99"/>
    <w:semiHidden/>
    <w:unhideWhenUsed/>
    <w:rsid w:val="00712417"/>
    <w:pPr>
      <w:spacing w:before="100" w:beforeAutospacing="1" w:after="100" w:afterAutospacing="1"/>
    </w:pPr>
  </w:style>
  <w:style w:type="character" w:styleId="ae">
    <w:name w:val="Hyperlink"/>
    <w:basedOn w:val="a0"/>
    <w:uiPriority w:val="99"/>
    <w:unhideWhenUsed/>
    <w:rsid w:val="007F37EB"/>
    <w:rPr>
      <w:color w:val="467886" w:themeColor="hyperlink"/>
      <w:u w:val="single"/>
    </w:rPr>
  </w:style>
  <w:style w:type="character" w:styleId="af">
    <w:name w:val="Unresolved Mention"/>
    <w:basedOn w:val="a0"/>
    <w:uiPriority w:val="99"/>
    <w:semiHidden/>
    <w:unhideWhenUsed/>
    <w:rsid w:val="007F3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3926343">
      <w:marLeft w:val="0"/>
      <w:marRight w:val="0"/>
      <w:marTop w:val="0"/>
      <w:marBottom w:val="0"/>
      <w:divBdr>
        <w:top w:val="none" w:sz="0" w:space="0" w:color="auto"/>
        <w:left w:val="none" w:sz="0" w:space="0" w:color="auto"/>
        <w:bottom w:val="none" w:sz="0" w:space="0" w:color="auto"/>
        <w:right w:val="none" w:sz="0" w:space="0" w:color="auto"/>
      </w:divBdr>
      <w:divsChild>
        <w:div w:id="118569665">
          <w:marLeft w:val="0"/>
          <w:marRight w:val="0"/>
          <w:marTop w:val="0"/>
          <w:marBottom w:val="0"/>
          <w:divBdr>
            <w:top w:val="none" w:sz="0" w:space="0" w:color="auto"/>
            <w:left w:val="none" w:sz="0" w:space="0" w:color="auto"/>
            <w:bottom w:val="none" w:sz="0" w:space="0" w:color="auto"/>
            <w:right w:val="none" w:sz="0" w:space="0" w:color="auto"/>
          </w:divBdr>
        </w:div>
      </w:divsChild>
    </w:div>
    <w:div w:id="483352753">
      <w:marLeft w:val="0"/>
      <w:marRight w:val="0"/>
      <w:marTop w:val="0"/>
      <w:marBottom w:val="0"/>
      <w:divBdr>
        <w:top w:val="none" w:sz="0" w:space="0" w:color="auto"/>
        <w:left w:val="none" w:sz="0" w:space="0" w:color="auto"/>
        <w:bottom w:val="none" w:sz="0" w:space="0" w:color="auto"/>
        <w:right w:val="none" w:sz="0" w:space="0" w:color="auto"/>
      </w:divBdr>
      <w:divsChild>
        <w:div w:id="868252121">
          <w:marLeft w:val="0"/>
          <w:marRight w:val="0"/>
          <w:marTop w:val="0"/>
          <w:marBottom w:val="0"/>
          <w:divBdr>
            <w:top w:val="none" w:sz="0" w:space="0" w:color="auto"/>
            <w:left w:val="none" w:sz="0" w:space="0" w:color="auto"/>
            <w:bottom w:val="none" w:sz="0" w:space="0" w:color="auto"/>
            <w:right w:val="none" w:sz="0" w:space="0" w:color="auto"/>
          </w:divBdr>
        </w:div>
      </w:divsChild>
    </w:div>
    <w:div w:id="851918446">
      <w:marLeft w:val="0"/>
      <w:marRight w:val="0"/>
      <w:marTop w:val="0"/>
      <w:marBottom w:val="0"/>
      <w:divBdr>
        <w:top w:val="none" w:sz="0" w:space="0" w:color="auto"/>
        <w:left w:val="none" w:sz="0" w:space="0" w:color="auto"/>
        <w:bottom w:val="none" w:sz="0" w:space="0" w:color="auto"/>
        <w:right w:val="none" w:sz="0" w:space="0" w:color="auto"/>
      </w:divBdr>
      <w:divsChild>
        <w:div w:id="1654219774">
          <w:marLeft w:val="0"/>
          <w:marRight w:val="0"/>
          <w:marTop w:val="0"/>
          <w:marBottom w:val="0"/>
          <w:divBdr>
            <w:top w:val="none" w:sz="0" w:space="0" w:color="auto"/>
            <w:left w:val="none" w:sz="0" w:space="0" w:color="auto"/>
            <w:bottom w:val="none" w:sz="0" w:space="0" w:color="auto"/>
            <w:right w:val="none" w:sz="0" w:space="0" w:color="auto"/>
          </w:divBdr>
        </w:div>
      </w:divsChild>
    </w:div>
    <w:div w:id="1299412622">
      <w:bodyDiv w:val="1"/>
      <w:marLeft w:val="0"/>
      <w:marRight w:val="0"/>
      <w:marTop w:val="0"/>
      <w:marBottom w:val="0"/>
      <w:divBdr>
        <w:top w:val="none" w:sz="0" w:space="0" w:color="auto"/>
        <w:left w:val="none" w:sz="0" w:space="0" w:color="auto"/>
        <w:bottom w:val="none" w:sz="0" w:space="0" w:color="auto"/>
        <w:right w:val="none" w:sz="0" w:space="0" w:color="auto"/>
      </w:divBdr>
      <w:divsChild>
        <w:div w:id="719478439">
          <w:marLeft w:val="0"/>
          <w:marRight w:val="0"/>
          <w:marTop w:val="0"/>
          <w:marBottom w:val="0"/>
          <w:divBdr>
            <w:top w:val="none" w:sz="0" w:space="0" w:color="auto"/>
            <w:left w:val="none" w:sz="0" w:space="0" w:color="auto"/>
            <w:bottom w:val="none" w:sz="0" w:space="0" w:color="auto"/>
            <w:right w:val="none" w:sz="0" w:space="0" w:color="auto"/>
          </w:divBdr>
          <w:divsChild>
            <w:div w:id="114597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091496">
      <w:marLeft w:val="0"/>
      <w:marRight w:val="0"/>
      <w:marTop w:val="0"/>
      <w:marBottom w:val="0"/>
      <w:divBdr>
        <w:top w:val="none" w:sz="0" w:space="0" w:color="auto"/>
        <w:left w:val="none" w:sz="0" w:space="0" w:color="auto"/>
        <w:bottom w:val="none" w:sz="0" w:space="0" w:color="auto"/>
        <w:right w:val="none" w:sz="0" w:space="0" w:color="auto"/>
      </w:divBdr>
      <w:divsChild>
        <w:div w:id="1058868434">
          <w:marLeft w:val="0"/>
          <w:marRight w:val="0"/>
          <w:marTop w:val="0"/>
          <w:marBottom w:val="0"/>
          <w:divBdr>
            <w:top w:val="none" w:sz="0" w:space="0" w:color="auto"/>
            <w:left w:val="none" w:sz="0" w:space="0" w:color="auto"/>
            <w:bottom w:val="none" w:sz="0" w:space="0" w:color="auto"/>
            <w:right w:val="none" w:sz="0" w:space="0" w:color="auto"/>
          </w:divBdr>
        </w:div>
      </w:divsChild>
    </w:div>
    <w:div w:id="1489396878">
      <w:marLeft w:val="0"/>
      <w:marRight w:val="0"/>
      <w:marTop w:val="0"/>
      <w:marBottom w:val="0"/>
      <w:divBdr>
        <w:top w:val="none" w:sz="0" w:space="0" w:color="auto"/>
        <w:left w:val="none" w:sz="0" w:space="0" w:color="auto"/>
        <w:bottom w:val="none" w:sz="0" w:space="0" w:color="auto"/>
        <w:right w:val="none" w:sz="0" w:space="0" w:color="auto"/>
      </w:divBdr>
      <w:divsChild>
        <w:div w:id="869729880">
          <w:marLeft w:val="0"/>
          <w:marRight w:val="0"/>
          <w:marTop w:val="0"/>
          <w:marBottom w:val="0"/>
          <w:divBdr>
            <w:top w:val="none" w:sz="0" w:space="0" w:color="auto"/>
            <w:left w:val="none" w:sz="0" w:space="0" w:color="auto"/>
            <w:bottom w:val="none" w:sz="0" w:space="0" w:color="auto"/>
            <w:right w:val="none" w:sz="0" w:space="0" w:color="auto"/>
          </w:divBdr>
        </w:div>
      </w:divsChild>
    </w:div>
    <w:div w:id="1549797454">
      <w:marLeft w:val="0"/>
      <w:marRight w:val="0"/>
      <w:marTop w:val="0"/>
      <w:marBottom w:val="0"/>
      <w:divBdr>
        <w:top w:val="none" w:sz="0" w:space="0" w:color="auto"/>
        <w:left w:val="none" w:sz="0" w:space="0" w:color="auto"/>
        <w:bottom w:val="none" w:sz="0" w:space="0" w:color="auto"/>
        <w:right w:val="none" w:sz="0" w:space="0" w:color="auto"/>
      </w:divBdr>
      <w:divsChild>
        <w:div w:id="1834295657">
          <w:marLeft w:val="0"/>
          <w:marRight w:val="0"/>
          <w:marTop w:val="0"/>
          <w:marBottom w:val="0"/>
          <w:divBdr>
            <w:top w:val="none" w:sz="0" w:space="0" w:color="auto"/>
            <w:left w:val="none" w:sz="0" w:space="0" w:color="auto"/>
            <w:bottom w:val="none" w:sz="0" w:space="0" w:color="auto"/>
            <w:right w:val="none" w:sz="0" w:space="0" w:color="auto"/>
          </w:divBdr>
        </w:div>
      </w:divsChild>
    </w:div>
    <w:div w:id="1566990044">
      <w:marLeft w:val="0"/>
      <w:marRight w:val="0"/>
      <w:marTop w:val="0"/>
      <w:marBottom w:val="0"/>
      <w:divBdr>
        <w:top w:val="none" w:sz="0" w:space="0" w:color="auto"/>
        <w:left w:val="none" w:sz="0" w:space="0" w:color="auto"/>
        <w:bottom w:val="none" w:sz="0" w:space="0" w:color="auto"/>
        <w:right w:val="none" w:sz="0" w:space="0" w:color="auto"/>
      </w:divBdr>
      <w:divsChild>
        <w:div w:id="1247156718">
          <w:marLeft w:val="0"/>
          <w:marRight w:val="0"/>
          <w:marTop w:val="0"/>
          <w:marBottom w:val="0"/>
          <w:divBdr>
            <w:top w:val="none" w:sz="0" w:space="0" w:color="auto"/>
            <w:left w:val="none" w:sz="0" w:space="0" w:color="auto"/>
            <w:bottom w:val="none" w:sz="0" w:space="0" w:color="auto"/>
            <w:right w:val="none" w:sz="0" w:space="0" w:color="auto"/>
          </w:divBdr>
        </w:div>
      </w:divsChild>
    </w:div>
    <w:div w:id="1772578500">
      <w:marLeft w:val="0"/>
      <w:marRight w:val="0"/>
      <w:marTop w:val="0"/>
      <w:marBottom w:val="0"/>
      <w:divBdr>
        <w:top w:val="none" w:sz="0" w:space="0" w:color="auto"/>
        <w:left w:val="none" w:sz="0" w:space="0" w:color="auto"/>
        <w:bottom w:val="none" w:sz="0" w:space="0" w:color="auto"/>
        <w:right w:val="none" w:sz="0" w:space="0" w:color="auto"/>
      </w:divBdr>
      <w:divsChild>
        <w:div w:id="253780695">
          <w:marLeft w:val="0"/>
          <w:marRight w:val="0"/>
          <w:marTop w:val="0"/>
          <w:marBottom w:val="0"/>
          <w:divBdr>
            <w:top w:val="none" w:sz="0" w:space="0" w:color="auto"/>
            <w:left w:val="none" w:sz="0" w:space="0" w:color="auto"/>
            <w:bottom w:val="none" w:sz="0" w:space="0" w:color="auto"/>
            <w:right w:val="none" w:sz="0" w:space="0" w:color="auto"/>
          </w:divBdr>
        </w:div>
      </w:divsChild>
    </w:div>
    <w:div w:id="1933927310">
      <w:marLeft w:val="0"/>
      <w:marRight w:val="0"/>
      <w:marTop w:val="0"/>
      <w:marBottom w:val="0"/>
      <w:divBdr>
        <w:top w:val="none" w:sz="0" w:space="0" w:color="auto"/>
        <w:left w:val="none" w:sz="0" w:space="0" w:color="auto"/>
        <w:bottom w:val="none" w:sz="0" w:space="0" w:color="auto"/>
        <w:right w:val="none" w:sz="0" w:space="0" w:color="auto"/>
      </w:divBdr>
      <w:divsChild>
        <w:div w:id="542787385">
          <w:marLeft w:val="0"/>
          <w:marRight w:val="0"/>
          <w:marTop w:val="0"/>
          <w:marBottom w:val="0"/>
          <w:divBdr>
            <w:top w:val="none" w:sz="0" w:space="0" w:color="auto"/>
            <w:left w:val="none" w:sz="0" w:space="0" w:color="auto"/>
            <w:bottom w:val="none" w:sz="0" w:space="0" w:color="auto"/>
            <w:right w:val="none" w:sz="0" w:space="0" w:color="auto"/>
          </w:divBdr>
        </w:div>
      </w:divsChild>
    </w:div>
    <w:div w:id="2099791243">
      <w:marLeft w:val="0"/>
      <w:marRight w:val="0"/>
      <w:marTop w:val="0"/>
      <w:marBottom w:val="0"/>
      <w:divBdr>
        <w:top w:val="none" w:sz="0" w:space="0" w:color="auto"/>
        <w:left w:val="none" w:sz="0" w:space="0" w:color="auto"/>
        <w:bottom w:val="none" w:sz="0" w:space="0" w:color="auto"/>
        <w:right w:val="none" w:sz="0" w:space="0" w:color="auto"/>
      </w:divBdr>
      <w:divsChild>
        <w:div w:id="308218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dagitty.ne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A109F-FE8C-9B4C-A7C7-BF4B309C5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2049</Words>
  <Characters>11685</Characters>
  <Application>Microsoft Office Word</Application>
  <DocSecurity>0</DocSecurity>
  <Lines>97</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小野 将平</dc:creator>
  <cp:keywords/>
  <dc:description/>
  <cp:lastModifiedBy>小野 将平</cp:lastModifiedBy>
  <cp:revision>2</cp:revision>
  <dcterms:created xsi:type="dcterms:W3CDTF">2026-07-29T15:08:00Z</dcterms:created>
  <dcterms:modified xsi:type="dcterms:W3CDTF">2026-07-29T15:08:00Z</dcterms:modified>
</cp:coreProperties>
</file>