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98F" w:rsidRDefault="00DB398F" w:rsidP="00DB398F">
      <w:pPr>
        <w:pStyle w:val="Heading1"/>
      </w:pPr>
      <w:r>
        <w:t>Electronic Supplementary Material</w:t>
      </w:r>
    </w:p>
    <w:p w:rsidR="00DB398F" w:rsidRPr="00F242A3" w:rsidRDefault="00DB398F" w:rsidP="00DB398F">
      <w:pPr>
        <w:rPr>
          <w:b/>
          <w:bCs/>
        </w:rPr>
      </w:pPr>
      <w:r w:rsidRPr="00F242A3">
        <w:rPr>
          <w:b/>
          <w:bCs/>
        </w:rPr>
        <w:t>ESM</w:t>
      </w:r>
      <w:r>
        <w:rPr>
          <w:b/>
          <w:bCs/>
        </w:rPr>
        <w:t xml:space="preserve"> </w:t>
      </w:r>
      <w:r w:rsidRPr="00F242A3">
        <w:rPr>
          <w:b/>
          <w:bCs/>
        </w:rPr>
        <w:t>1: Search strategy</w:t>
      </w:r>
    </w:p>
    <w:p w:rsidR="00DB398F" w:rsidRPr="00F242A3" w:rsidRDefault="00DB398F" w:rsidP="00DB398F">
      <w:pPr>
        <w:spacing w:after="120"/>
      </w:pPr>
      <w:r w:rsidRPr="00F242A3">
        <w:t xml:space="preserve">Search terms used in PubMed, </w:t>
      </w:r>
      <w:proofErr w:type="spellStart"/>
      <w:r w:rsidRPr="00F242A3">
        <w:t>Embase</w:t>
      </w:r>
      <w:proofErr w:type="spellEnd"/>
      <w:r w:rsidRPr="00F242A3">
        <w:t xml:space="preserve">, and the Cochrane Library (initial search: 15 December 2025; updated: 20 May 2026). Equivalent </w:t>
      </w:r>
      <w:proofErr w:type="spellStart"/>
      <w:r w:rsidRPr="00F242A3">
        <w:t>Emtree</w:t>
      </w:r>
      <w:proofErr w:type="spellEnd"/>
      <w:r w:rsidRPr="00F242A3">
        <w:t xml:space="preserve"> terms and Cochrane field codes were applied. ClinicalTrials.gov and WHO ICTRP were searched using truncated terms (POCUS AND artificial intelligence AND training); no eligible completed trials were identified.</w:t>
      </w:r>
    </w:p>
    <w:p w:rsidR="00DB398F" w:rsidRPr="00F242A3" w:rsidRDefault="00DB398F" w:rsidP="00DB398F">
      <w:pPr>
        <w:spacing w:after="80"/>
      </w:pPr>
    </w:p>
    <w:p w:rsidR="00DB398F" w:rsidRPr="00F242A3" w:rsidRDefault="00DB398F" w:rsidP="00DB398F">
      <w:pPr>
        <w:spacing w:after="120"/>
      </w:pPr>
      <w:r w:rsidRPr="00F242A3">
        <w:rPr>
          <w:rFonts w:eastAsia="Courier New"/>
        </w:rPr>
        <w:t>("Point-of-Care Systems"[Mesh] OR "Point-of-Care Ultrasound" OR POCUS OR "bedside ultrasound") AND ("Artificial Intelligence"[Mesh] OR "Machine Learning"[Mesh] OR "Deep Learning"[Mesh] OR "AI" OR "intelligent system" OR "automated feedback") AND ("Education, Medical"[Mesh] OR "Learning"[Mesh] OR "Training" OR "Skill Acquisition" OR "Competency" OR "Novice" OR "Student")</w:t>
      </w:r>
    </w:p>
    <w:p w:rsidR="00DB398F" w:rsidRPr="00F242A3" w:rsidRDefault="00DB398F" w:rsidP="00DB398F">
      <w:pPr>
        <w:spacing w:after="120"/>
      </w:pPr>
      <w:r w:rsidRPr="00F242A3">
        <w:t>Filters: English language; publication dates 2020/01/01 to search date. Full strategy available on request (PROSPERO: CRD42025267700).</w:t>
      </w:r>
    </w:p>
    <w:p w:rsidR="00DB398F" w:rsidRPr="00823601" w:rsidRDefault="00DB398F" w:rsidP="00DB398F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DB398F" w:rsidRPr="00F242A3" w:rsidRDefault="00DB398F" w:rsidP="00DB398F">
      <w:pPr>
        <w:spacing w:before="280" w:after="60"/>
        <w:rPr>
          <w:b/>
          <w:bCs/>
        </w:rPr>
      </w:pPr>
      <w:r w:rsidRPr="00F242A3">
        <w:rPr>
          <w:b/>
          <w:bCs/>
        </w:rPr>
        <w:lastRenderedPageBreak/>
        <w:t>ESM</w:t>
      </w:r>
      <w:r>
        <w:rPr>
          <w:b/>
          <w:bCs/>
        </w:rPr>
        <w:t xml:space="preserve"> </w:t>
      </w:r>
      <w:r w:rsidRPr="00F242A3">
        <w:rPr>
          <w:b/>
          <w:bCs/>
        </w:rPr>
        <w:t>2 Classification of AI technologies by type and function</w:t>
      </w:r>
    </w:p>
    <w:tbl>
      <w:tblPr>
        <w:tblW w:w="10485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7"/>
        <w:gridCol w:w="2265"/>
        <w:gridCol w:w="2031"/>
        <w:gridCol w:w="1487"/>
        <w:gridCol w:w="3205"/>
      </w:tblGrid>
      <w:tr w:rsidR="00DB398F" w:rsidRPr="00BE385D" w:rsidTr="00A25B18">
        <w:tc>
          <w:tcPr>
            <w:tcW w:w="1395" w:type="dxa"/>
            <w:shd w:val="clear" w:color="auto" w:fill="C6D9F1" w:themeFill="text2" w:themeFillTint="33"/>
          </w:tcPr>
          <w:p w:rsidR="00DB398F" w:rsidRPr="00BE385D" w:rsidRDefault="00DB398F" w:rsidP="00A25B18">
            <w:r w:rsidRPr="00BE385D">
              <w:rPr>
                <w:b/>
                <w:bCs/>
              </w:rPr>
              <w:t>AI category</w:t>
            </w:r>
          </w:p>
        </w:tc>
        <w:tc>
          <w:tcPr>
            <w:tcW w:w="2286" w:type="dxa"/>
            <w:shd w:val="clear" w:color="auto" w:fill="C6D9F1" w:themeFill="text2" w:themeFillTint="33"/>
          </w:tcPr>
          <w:p w:rsidR="00DB398F" w:rsidRPr="00BE385D" w:rsidRDefault="00DB398F" w:rsidP="00A25B18">
            <w:r w:rsidRPr="00BE385D">
              <w:rPr>
                <w:b/>
                <w:bCs/>
              </w:rPr>
              <w:t>Description</w:t>
            </w:r>
          </w:p>
        </w:tc>
        <w:tc>
          <w:tcPr>
            <w:tcW w:w="2048" w:type="dxa"/>
            <w:shd w:val="clear" w:color="auto" w:fill="C6D9F1" w:themeFill="text2" w:themeFillTint="33"/>
          </w:tcPr>
          <w:p w:rsidR="00DB398F" w:rsidRPr="00BE385D" w:rsidRDefault="00DB398F" w:rsidP="00A25B18">
            <w:r w:rsidRPr="00BE385D">
              <w:rPr>
                <w:b/>
                <w:bCs/>
              </w:rPr>
              <w:t>Key function</w:t>
            </w:r>
          </w:p>
        </w:tc>
        <w:tc>
          <w:tcPr>
            <w:tcW w:w="1496" w:type="dxa"/>
            <w:shd w:val="clear" w:color="auto" w:fill="C6D9F1" w:themeFill="text2" w:themeFillTint="33"/>
          </w:tcPr>
          <w:p w:rsidR="00DB398F" w:rsidRPr="00BE385D" w:rsidRDefault="00DB398F" w:rsidP="00A25B18">
            <w:r w:rsidRPr="00BE385D">
              <w:rPr>
                <w:b/>
                <w:bCs/>
              </w:rPr>
              <w:t>Studies</w:t>
            </w:r>
          </w:p>
        </w:tc>
        <w:tc>
          <w:tcPr>
            <w:tcW w:w="3260" w:type="dxa"/>
            <w:shd w:val="clear" w:color="auto" w:fill="C6D9F1" w:themeFill="text2" w:themeFillTint="33"/>
          </w:tcPr>
          <w:p w:rsidR="00DB398F" w:rsidRPr="00BE385D" w:rsidRDefault="00DB398F" w:rsidP="00A25B18">
            <w:r w:rsidRPr="00BE385D">
              <w:rPr>
                <w:b/>
                <w:bCs/>
              </w:rPr>
              <w:t>Example tools / vendor</w:t>
            </w:r>
          </w:p>
        </w:tc>
      </w:tr>
      <w:tr w:rsidR="00DB398F" w:rsidRPr="00BE385D" w:rsidTr="00A25B18">
        <w:tc>
          <w:tcPr>
            <w:tcW w:w="1395" w:type="dxa"/>
          </w:tcPr>
          <w:p w:rsidR="00DB398F" w:rsidRPr="00BE385D" w:rsidRDefault="00DB398F" w:rsidP="00A25B18">
            <w:r w:rsidRPr="00BE385D">
              <w:t>Guidance AI</w:t>
            </w:r>
          </w:p>
        </w:tc>
        <w:tc>
          <w:tcPr>
            <w:tcW w:w="2286" w:type="dxa"/>
          </w:tcPr>
          <w:p w:rsidR="00DB398F" w:rsidRPr="00BE385D" w:rsidRDefault="00DB398F" w:rsidP="00A25B18">
            <w:r w:rsidRPr="00BE385D">
              <w:t>Real-time probe manipulation instructions with animated directional cues (tilt, rotate, slide)</w:t>
            </w:r>
          </w:p>
        </w:tc>
        <w:tc>
          <w:tcPr>
            <w:tcW w:w="2048" w:type="dxa"/>
          </w:tcPr>
          <w:p w:rsidR="00DB398F" w:rsidRPr="00BE385D" w:rsidRDefault="00DB398F" w:rsidP="00A25B18">
            <w:r w:rsidRPr="00BE385D">
              <w:t>Direct user support during scanning; reduces cognitive load of probe–anatomy mapping</w:t>
            </w:r>
          </w:p>
        </w:tc>
        <w:tc>
          <w:tcPr>
            <w:tcW w:w="1496" w:type="dxa"/>
          </w:tcPr>
          <w:p w:rsidR="00DB398F" w:rsidRPr="00BE385D" w:rsidRDefault="00DB398F" w:rsidP="00A25B18">
            <w:r w:rsidRPr="00BE385D">
              <w:t>Lau [1</w:t>
            </w:r>
            <w:r>
              <w:t>3</w:t>
            </w:r>
            <w:r w:rsidRPr="00BE385D">
              <w:t xml:space="preserve">]; </w:t>
            </w:r>
            <w:proofErr w:type="spellStart"/>
            <w:r w:rsidRPr="00BE385D">
              <w:t>Karni</w:t>
            </w:r>
            <w:proofErr w:type="spellEnd"/>
            <w:r w:rsidRPr="00BE385D">
              <w:t xml:space="preserve"> [1</w:t>
            </w:r>
            <w:r>
              <w:t>6</w:t>
            </w:r>
            <w:r w:rsidRPr="00BE385D">
              <w:t>]; Baum [1</w:t>
            </w:r>
            <w:r>
              <w:t>8</w:t>
            </w:r>
            <w:r w:rsidRPr="00BE385D">
              <w:t>]</w:t>
            </w:r>
          </w:p>
        </w:tc>
        <w:tc>
          <w:tcPr>
            <w:tcW w:w="3260" w:type="dxa"/>
          </w:tcPr>
          <w:p w:rsidR="00DB398F" w:rsidRPr="00BE385D" w:rsidRDefault="00DB398F" w:rsidP="00A25B18">
            <w:proofErr w:type="spellStart"/>
            <w:r w:rsidRPr="00BE385D">
              <w:t>Kosmos</w:t>
            </w:r>
            <w:proofErr w:type="spellEnd"/>
            <w:r w:rsidRPr="00BE385D">
              <w:t xml:space="preserve"> (</w:t>
            </w:r>
            <w:proofErr w:type="spellStart"/>
            <w:r w:rsidRPr="00BE385D">
              <w:t>EchoNous</w:t>
            </w:r>
            <w:proofErr w:type="spellEnd"/>
            <w:r w:rsidRPr="00BE385D">
              <w:t xml:space="preserve">); </w:t>
            </w:r>
            <w:proofErr w:type="spellStart"/>
            <w:r w:rsidRPr="00BE385D">
              <w:t>UltraSight</w:t>
            </w:r>
            <w:proofErr w:type="spellEnd"/>
            <w:r w:rsidRPr="00BE385D">
              <w:t xml:space="preserve"> (Philips </w:t>
            </w:r>
            <w:proofErr w:type="spellStart"/>
            <w:r w:rsidRPr="00BE385D">
              <w:t>Lumify</w:t>
            </w:r>
            <w:proofErr w:type="spellEnd"/>
            <w:r w:rsidRPr="00BE385D">
              <w:t>)</w:t>
            </w:r>
          </w:p>
        </w:tc>
      </w:tr>
      <w:tr w:rsidR="00DB398F" w:rsidRPr="00BE385D" w:rsidTr="00A25B18">
        <w:tc>
          <w:tcPr>
            <w:tcW w:w="1395" w:type="dxa"/>
          </w:tcPr>
          <w:p w:rsidR="00DB398F" w:rsidRPr="00BE385D" w:rsidRDefault="00DB398F" w:rsidP="00A25B18">
            <w:r w:rsidRPr="00BE385D">
              <w:t>Quality indicator AI</w:t>
            </w:r>
          </w:p>
        </w:tc>
        <w:tc>
          <w:tcPr>
            <w:tcW w:w="2286" w:type="dxa"/>
          </w:tcPr>
          <w:p w:rsidR="00DB398F" w:rsidRPr="00BE385D" w:rsidRDefault="00DB398F" w:rsidP="00A25B18">
            <w:r w:rsidRPr="00BE385D">
              <w:t>Automated colour-coded or numerical image adequacy feedback in real time during acquisition</w:t>
            </w:r>
          </w:p>
        </w:tc>
        <w:tc>
          <w:tcPr>
            <w:tcW w:w="2048" w:type="dxa"/>
          </w:tcPr>
          <w:p w:rsidR="00DB398F" w:rsidRPr="00BE385D" w:rsidRDefault="00DB398F" w:rsidP="00A25B18">
            <w:r w:rsidRPr="00BE385D">
              <w:t>Immediate objective quality assessment; learner feedback independent of expert presence</w:t>
            </w:r>
          </w:p>
        </w:tc>
        <w:tc>
          <w:tcPr>
            <w:tcW w:w="1496" w:type="dxa"/>
          </w:tcPr>
          <w:p w:rsidR="00DB398F" w:rsidRPr="00BE385D" w:rsidRDefault="00DB398F" w:rsidP="00A25B18">
            <w:proofErr w:type="spellStart"/>
            <w:r w:rsidRPr="00BE385D">
              <w:t>Aronovitz</w:t>
            </w:r>
            <w:proofErr w:type="spellEnd"/>
            <w:r w:rsidRPr="00BE385D">
              <w:t xml:space="preserve"> [1</w:t>
            </w:r>
            <w:r>
              <w:t>4</w:t>
            </w:r>
            <w:r w:rsidRPr="00BE385D">
              <w:t xml:space="preserve">]; </w:t>
            </w:r>
            <w:proofErr w:type="spellStart"/>
            <w:r w:rsidRPr="00BE385D">
              <w:t>Hurd</w:t>
            </w:r>
            <w:proofErr w:type="spellEnd"/>
            <w:r w:rsidRPr="00BE385D">
              <w:t xml:space="preserve"> [1</w:t>
            </w:r>
            <w:r>
              <w:t>7</w:t>
            </w:r>
            <w:r w:rsidRPr="00BE385D">
              <w:t>]</w:t>
            </w:r>
          </w:p>
        </w:tc>
        <w:tc>
          <w:tcPr>
            <w:tcW w:w="3260" w:type="dxa"/>
          </w:tcPr>
          <w:p w:rsidR="00DB398F" w:rsidRPr="00BE385D" w:rsidRDefault="00DB398F" w:rsidP="00A25B18">
            <w:r w:rsidRPr="00BE385D">
              <w:t>GE Auto-EF indicator; Butterfly FAST / bladder indicator</w:t>
            </w:r>
          </w:p>
        </w:tc>
      </w:tr>
      <w:tr w:rsidR="00DB398F" w:rsidRPr="00BE385D" w:rsidTr="00A25B18">
        <w:tc>
          <w:tcPr>
            <w:tcW w:w="1395" w:type="dxa"/>
          </w:tcPr>
          <w:p w:rsidR="00DB398F" w:rsidRPr="00BE385D" w:rsidRDefault="00DB398F" w:rsidP="00A25B18">
            <w:r w:rsidRPr="00BE385D">
              <w:t>Automated measurement AI</w:t>
            </w:r>
          </w:p>
        </w:tc>
        <w:tc>
          <w:tcPr>
            <w:tcW w:w="2286" w:type="dxa"/>
          </w:tcPr>
          <w:p w:rsidR="00DB398F" w:rsidRPr="00BE385D" w:rsidRDefault="00DB398F" w:rsidP="00A25B18">
            <w:r w:rsidRPr="00BE385D">
              <w:t>Algorithmic estimation of a physiological parameter from acquired images without operator calculation</w:t>
            </w:r>
          </w:p>
        </w:tc>
        <w:tc>
          <w:tcPr>
            <w:tcW w:w="2048" w:type="dxa"/>
          </w:tcPr>
          <w:p w:rsidR="00DB398F" w:rsidRPr="00BE385D" w:rsidRDefault="00DB398F" w:rsidP="00A25B18">
            <w:r w:rsidRPr="00BE385D">
              <w:t>Removes operator-dependent measurement variability; does not assist acquisition</w:t>
            </w:r>
          </w:p>
        </w:tc>
        <w:tc>
          <w:tcPr>
            <w:tcW w:w="1496" w:type="dxa"/>
          </w:tcPr>
          <w:p w:rsidR="00DB398F" w:rsidRPr="00BE385D" w:rsidRDefault="00DB398F" w:rsidP="00A25B18">
            <w:proofErr w:type="spellStart"/>
            <w:r w:rsidRPr="00BE385D">
              <w:t>Hurd</w:t>
            </w:r>
            <w:proofErr w:type="spellEnd"/>
            <w:r w:rsidRPr="00BE385D">
              <w:t xml:space="preserve"> [1</w:t>
            </w:r>
            <w:r>
              <w:t>7</w:t>
            </w:r>
            <w:r w:rsidRPr="00BE385D">
              <w:t>]</w:t>
            </w:r>
            <w:r>
              <w:t xml:space="preserve">; </w:t>
            </w:r>
            <w:r w:rsidRPr="00BE385D">
              <w:t>Baum [1</w:t>
            </w:r>
            <w:r>
              <w:t>8</w:t>
            </w:r>
            <w:r w:rsidRPr="00BE385D">
              <w:t xml:space="preserve">] </w:t>
            </w:r>
          </w:p>
        </w:tc>
        <w:tc>
          <w:tcPr>
            <w:tcW w:w="3260" w:type="dxa"/>
          </w:tcPr>
          <w:p w:rsidR="00DB398F" w:rsidRPr="00BE385D" w:rsidRDefault="00DB398F" w:rsidP="00A25B18">
            <w:proofErr w:type="spellStart"/>
            <w:r w:rsidRPr="00BE385D">
              <w:t>EchoNous</w:t>
            </w:r>
            <w:proofErr w:type="spellEnd"/>
            <w:r w:rsidRPr="00BE385D">
              <w:t xml:space="preserve"> automated LV systolic function; Butterfly automated bladder volume</w:t>
            </w:r>
          </w:p>
        </w:tc>
      </w:tr>
      <w:tr w:rsidR="00DB398F" w:rsidRPr="00BE385D" w:rsidTr="00A25B18">
        <w:tc>
          <w:tcPr>
            <w:tcW w:w="1395" w:type="dxa"/>
          </w:tcPr>
          <w:p w:rsidR="00DB398F" w:rsidRPr="00BE385D" w:rsidRDefault="00DB398F" w:rsidP="00A25B18">
            <w:r w:rsidRPr="00BE385D">
              <w:t>App-based / blended AI</w:t>
            </w:r>
          </w:p>
        </w:tc>
        <w:tc>
          <w:tcPr>
            <w:tcW w:w="2286" w:type="dxa"/>
          </w:tcPr>
          <w:p w:rsidR="00DB398F" w:rsidRPr="00BE385D" w:rsidRDefault="00DB398F" w:rsidP="00A25B18">
            <w:r w:rsidRPr="00BE385D">
              <w:t>Asynchronous self-directed modules combining AI-guided scanning practice with reference image libraries and structured curriculum</w:t>
            </w:r>
          </w:p>
        </w:tc>
        <w:tc>
          <w:tcPr>
            <w:tcW w:w="2048" w:type="dxa"/>
          </w:tcPr>
          <w:p w:rsidR="00DB398F" w:rsidRPr="00BE385D" w:rsidRDefault="00DB398F" w:rsidP="00A25B18">
            <w:r w:rsidRPr="00BE385D">
              <w:t>Scalable, standardised training independent of instructor scheduling</w:t>
            </w:r>
          </w:p>
        </w:tc>
        <w:tc>
          <w:tcPr>
            <w:tcW w:w="1496" w:type="dxa"/>
          </w:tcPr>
          <w:p w:rsidR="00DB398F" w:rsidRPr="00BE385D" w:rsidRDefault="00DB398F" w:rsidP="00A25B18">
            <w:proofErr w:type="spellStart"/>
            <w:r w:rsidRPr="00BE385D">
              <w:t>Höhne</w:t>
            </w:r>
            <w:proofErr w:type="spellEnd"/>
            <w:r w:rsidRPr="00BE385D">
              <w:t xml:space="preserve"> [1</w:t>
            </w:r>
            <w:r>
              <w:t>5</w:t>
            </w:r>
            <w:r w:rsidRPr="00BE385D">
              <w:t>]</w:t>
            </w:r>
          </w:p>
        </w:tc>
        <w:tc>
          <w:tcPr>
            <w:tcW w:w="3260" w:type="dxa"/>
          </w:tcPr>
          <w:p w:rsidR="00DB398F" w:rsidRPr="00BE385D" w:rsidRDefault="00DB398F" w:rsidP="00A25B18">
            <w:r w:rsidRPr="00BE385D">
              <w:t xml:space="preserve">Butterfly </w:t>
            </w:r>
            <w:proofErr w:type="spellStart"/>
            <w:r w:rsidRPr="00BE385D">
              <w:t>ScanLab</w:t>
            </w:r>
            <w:proofErr w:type="spellEnd"/>
            <w:r w:rsidRPr="00BE385D">
              <w:t xml:space="preserve"> (Butterfly Network)</w:t>
            </w:r>
          </w:p>
        </w:tc>
      </w:tr>
    </w:tbl>
    <w:p w:rsidR="00DB398F" w:rsidRDefault="00DB398F" w:rsidP="00DB398F"/>
    <w:p w:rsidR="00DB398F" w:rsidRDefault="00DB398F" w:rsidP="00DB398F">
      <w:r>
        <w:br w:type="page"/>
      </w:r>
    </w:p>
    <w:p w:rsidR="00DB398F" w:rsidRPr="00F242A3" w:rsidRDefault="00DB398F" w:rsidP="00DB398F">
      <w:pPr>
        <w:spacing w:before="280" w:after="60"/>
        <w:rPr>
          <w:b/>
          <w:bCs/>
        </w:rPr>
      </w:pPr>
      <w:proofErr w:type="gramStart"/>
      <w:r w:rsidRPr="00F242A3">
        <w:rPr>
          <w:b/>
          <w:bCs/>
        </w:rPr>
        <w:lastRenderedPageBreak/>
        <w:t>ESM 3a.</w:t>
      </w:r>
      <w:proofErr w:type="gramEnd"/>
      <w:r w:rsidRPr="00F242A3">
        <w:rPr>
          <w:b/>
          <w:bCs/>
        </w:rPr>
        <w:t xml:space="preserve"> Risk of bias assessment (</w:t>
      </w:r>
      <w:proofErr w:type="spellStart"/>
      <w:r w:rsidRPr="00F242A3">
        <w:rPr>
          <w:b/>
          <w:bCs/>
        </w:rPr>
        <w:t>RoB</w:t>
      </w:r>
      <w:proofErr w:type="spellEnd"/>
      <w:r w:rsidRPr="00F242A3">
        <w:rPr>
          <w:b/>
          <w:bCs/>
        </w:rPr>
        <w:t xml:space="preserve"> 2) — randomised controlled trials</w:t>
      </w:r>
    </w:p>
    <w:p w:rsidR="00DB398F" w:rsidRPr="000E0A0F" w:rsidRDefault="00DB398F" w:rsidP="00DB398F">
      <w:pPr>
        <w:spacing w:before="40" w:after="140"/>
        <w:rPr>
          <w:sz w:val="20"/>
          <w:szCs w:val="20"/>
        </w:rPr>
      </w:pPr>
      <w:r w:rsidRPr="000E0A0F">
        <w:rPr>
          <w:sz w:val="20"/>
          <w:szCs w:val="20"/>
        </w:rPr>
        <w:t>Domain ratings: Low / Some concerns / High. Overall judgement reflects the most critical domain. ITT = intention to treat.</w:t>
      </w:r>
    </w:p>
    <w:tbl>
      <w:tblPr>
        <w:tblW w:w="10910" w:type="dxa"/>
        <w:tblInd w:w="-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0"/>
        <w:gridCol w:w="2201"/>
        <w:gridCol w:w="2268"/>
        <w:gridCol w:w="2268"/>
        <w:gridCol w:w="2273"/>
      </w:tblGrid>
      <w:tr w:rsidR="00DB398F" w:rsidRPr="00BE385D" w:rsidTr="00A25B18">
        <w:tc>
          <w:tcPr>
            <w:tcW w:w="1900" w:type="dxa"/>
          </w:tcPr>
          <w:p w:rsidR="00DB398F" w:rsidRPr="000E0B9C" w:rsidRDefault="00DB398F" w:rsidP="00A25B18">
            <w:pPr>
              <w:spacing w:after="80"/>
              <w:rPr>
                <w:color w:val="000000" w:themeColor="text1"/>
                <w:sz w:val="20"/>
                <w:szCs w:val="20"/>
              </w:rPr>
            </w:pPr>
            <w:r w:rsidRPr="000E0B9C">
              <w:rPr>
                <w:b/>
                <w:bCs/>
                <w:color w:val="000000" w:themeColor="text1"/>
                <w:sz w:val="20"/>
                <w:szCs w:val="20"/>
              </w:rPr>
              <w:t>Domain</w:t>
            </w:r>
          </w:p>
        </w:tc>
        <w:tc>
          <w:tcPr>
            <w:tcW w:w="2201" w:type="dxa"/>
          </w:tcPr>
          <w:p w:rsidR="00DB398F" w:rsidRPr="000E0B9C" w:rsidRDefault="00DB398F" w:rsidP="00A25B18">
            <w:pPr>
              <w:spacing w:after="80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0E0B9C">
              <w:rPr>
                <w:b/>
                <w:bCs/>
                <w:color w:val="000000" w:themeColor="text1"/>
                <w:sz w:val="20"/>
                <w:szCs w:val="20"/>
              </w:rPr>
              <w:t>Aronovitz</w:t>
            </w:r>
            <w:proofErr w:type="spellEnd"/>
            <w:r w:rsidRPr="000E0B9C">
              <w:rPr>
                <w:b/>
                <w:bCs/>
                <w:color w:val="000000" w:themeColor="text1"/>
                <w:sz w:val="20"/>
                <w:szCs w:val="20"/>
              </w:rPr>
              <w:t xml:space="preserve"> 2024</w:t>
            </w:r>
          </w:p>
        </w:tc>
        <w:tc>
          <w:tcPr>
            <w:tcW w:w="2268" w:type="dxa"/>
          </w:tcPr>
          <w:p w:rsidR="00DB398F" w:rsidRPr="000E0B9C" w:rsidRDefault="00DB398F" w:rsidP="00A25B18">
            <w:pPr>
              <w:spacing w:after="80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0E0B9C">
              <w:rPr>
                <w:b/>
                <w:bCs/>
                <w:color w:val="000000" w:themeColor="text1"/>
                <w:sz w:val="20"/>
                <w:szCs w:val="20"/>
              </w:rPr>
              <w:t>Karni</w:t>
            </w:r>
            <w:proofErr w:type="spellEnd"/>
            <w:r w:rsidRPr="000E0B9C">
              <w:rPr>
                <w:b/>
                <w:bCs/>
                <w:color w:val="000000" w:themeColor="text1"/>
                <w:sz w:val="20"/>
                <w:szCs w:val="20"/>
              </w:rPr>
              <w:t xml:space="preserve"> 2025</w:t>
            </w:r>
          </w:p>
        </w:tc>
        <w:tc>
          <w:tcPr>
            <w:tcW w:w="2268" w:type="dxa"/>
          </w:tcPr>
          <w:p w:rsidR="00DB398F" w:rsidRPr="000E0B9C" w:rsidRDefault="00DB398F" w:rsidP="00A25B18">
            <w:pPr>
              <w:spacing w:after="80"/>
              <w:rPr>
                <w:color w:val="000000" w:themeColor="text1"/>
                <w:sz w:val="20"/>
                <w:szCs w:val="20"/>
              </w:rPr>
            </w:pPr>
            <w:r w:rsidRPr="000E0B9C">
              <w:rPr>
                <w:b/>
                <w:bCs/>
                <w:color w:val="000000" w:themeColor="text1"/>
                <w:sz w:val="20"/>
                <w:szCs w:val="20"/>
              </w:rPr>
              <w:t>Lau 2025</w:t>
            </w:r>
          </w:p>
        </w:tc>
        <w:tc>
          <w:tcPr>
            <w:tcW w:w="2273" w:type="dxa"/>
          </w:tcPr>
          <w:p w:rsidR="00DB398F" w:rsidRPr="000E0B9C" w:rsidRDefault="00DB398F" w:rsidP="00A25B18">
            <w:pPr>
              <w:spacing w:after="80"/>
              <w:rPr>
                <w:color w:val="000000" w:themeColor="text1"/>
                <w:sz w:val="20"/>
                <w:szCs w:val="20"/>
              </w:rPr>
            </w:pPr>
            <w:r w:rsidRPr="000E0B9C">
              <w:rPr>
                <w:b/>
                <w:bCs/>
                <w:color w:val="000000" w:themeColor="text1"/>
                <w:sz w:val="20"/>
                <w:szCs w:val="20"/>
              </w:rPr>
              <w:t>Baum 2023</w:t>
            </w:r>
          </w:p>
        </w:tc>
      </w:tr>
      <w:tr w:rsidR="00DB398F" w:rsidRPr="00BE385D" w:rsidTr="00A25B18">
        <w:tc>
          <w:tcPr>
            <w:tcW w:w="1900" w:type="dxa"/>
          </w:tcPr>
          <w:p w:rsidR="00DB398F" w:rsidRPr="000E0B9C" w:rsidRDefault="00DB398F" w:rsidP="00A25B18">
            <w:pPr>
              <w:spacing w:after="80"/>
              <w:rPr>
                <w:color w:val="000000" w:themeColor="text1"/>
                <w:sz w:val="20"/>
                <w:szCs w:val="20"/>
              </w:rPr>
            </w:pPr>
            <w:r w:rsidRPr="000E0B9C">
              <w:rPr>
                <w:color w:val="000000" w:themeColor="text1"/>
                <w:sz w:val="20"/>
                <w:szCs w:val="20"/>
              </w:rPr>
              <w:t>D1. Randomisation process</w:t>
            </w:r>
          </w:p>
        </w:tc>
        <w:tc>
          <w:tcPr>
            <w:tcW w:w="2201" w:type="dxa"/>
          </w:tcPr>
          <w:p w:rsidR="00DB398F" w:rsidRPr="000E0B9C" w:rsidRDefault="00DB398F" w:rsidP="00A25B18">
            <w:pPr>
              <w:spacing w:after="80"/>
              <w:rPr>
                <w:color w:val="000000" w:themeColor="text1"/>
                <w:sz w:val="20"/>
                <w:szCs w:val="20"/>
              </w:rPr>
            </w:pPr>
            <w:r w:rsidRPr="000E0B9C">
              <w:rPr>
                <w:color w:val="000000" w:themeColor="text1"/>
                <w:sz w:val="20"/>
                <w:szCs w:val="20"/>
              </w:rPr>
              <w:t>Some concerns — training groups of 4–6 randomised rather than individuals; clustering not accounted for; generation and concealment not described in detail</w:t>
            </w:r>
          </w:p>
        </w:tc>
        <w:tc>
          <w:tcPr>
            <w:tcW w:w="2268" w:type="dxa"/>
          </w:tcPr>
          <w:p w:rsidR="00DB398F" w:rsidRPr="000E0B9C" w:rsidRDefault="00DB398F" w:rsidP="00A25B18">
            <w:pPr>
              <w:spacing w:after="80"/>
              <w:rPr>
                <w:color w:val="000000" w:themeColor="text1"/>
                <w:sz w:val="20"/>
                <w:szCs w:val="20"/>
              </w:rPr>
            </w:pPr>
            <w:r w:rsidRPr="000E0B9C">
              <w:rPr>
                <w:color w:val="000000" w:themeColor="text1"/>
                <w:sz w:val="20"/>
                <w:szCs w:val="20"/>
              </w:rPr>
              <w:t>Some concerns — stratified; concealment method unclear</w:t>
            </w:r>
          </w:p>
        </w:tc>
        <w:tc>
          <w:tcPr>
            <w:tcW w:w="2268" w:type="dxa"/>
          </w:tcPr>
          <w:p w:rsidR="00DB398F" w:rsidRPr="000E0B9C" w:rsidRDefault="00DB398F" w:rsidP="00A25B18">
            <w:pPr>
              <w:spacing w:after="80"/>
              <w:rPr>
                <w:color w:val="000000" w:themeColor="text1"/>
                <w:sz w:val="20"/>
                <w:szCs w:val="20"/>
              </w:rPr>
            </w:pPr>
            <w:r w:rsidRPr="000E0B9C">
              <w:rPr>
                <w:color w:val="000000" w:themeColor="text1"/>
                <w:sz w:val="20"/>
                <w:szCs w:val="20"/>
              </w:rPr>
              <w:t>Low — block randomisation (</w:t>
            </w:r>
            <w:proofErr w:type="spellStart"/>
            <w:r w:rsidRPr="000E0B9C">
              <w:rPr>
                <w:color w:val="000000" w:themeColor="text1"/>
                <w:sz w:val="20"/>
                <w:szCs w:val="20"/>
              </w:rPr>
              <w:t>Stata</w:t>
            </w:r>
            <w:proofErr w:type="spellEnd"/>
            <w:r w:rsidRPr="000E0B9C">
              <w:rPr>
                <w:color w:val="000000" w:themeColor="text1"/>
                <w:sz w:val="20"/>
                <w:szCs w:val="20"/>
              </w:rPr>
              <w:t>), sealed envelopes, independent coordinator</w:t>
            </w:r>
          </w:p>
        </w:tc>
        <w:tc>
          <w:tcPr>
            <w:tcW w:w="2273" w:type="dxa"/>
          </w:tcPr>
          <w:p w:rsidR="00DB398F" w:rsidRPr="000E0B9C" w:rsidRDefault="00DB398F" w:rsidP="00A25B18">
            <w:pPr>
              <w:spacing w:after="80"/>
              <w:rPr>
                <w:color w:val="000000" w:themeColor="text1"/>
                <w:sz w:val="20"/>
                <w:szCs w:val="20"/>
              </w:rPr>
            </w:pPr>
            <w:r w:rsidRPr="000E0B9C">
              <w:rPr>
                <w:color w:val="000000" w:themeColor="text1"/>
                <w:sz w:val="20"/>
                <w:szCs w:val="20"/>
              </w:rPr>
              <w:t>Some concerns — number-generating tables at enrolment; allocation concealment not described</w:t>
            </w:r>
          </w:p>
        </w:tc>
      </w:tr>
      <w:tr w:rsidR="00DB398F" w:rsidRPr="00BE385D" w:rsidTr="00A25B18">
        <w:tc>
          <w:tcPr>
            <w:tcW w:w="1900" w:type="dxa"/>
          </w:tcPr>
          <w:p w:rsidR="00DB398F" w:rsidRPr="000E0B9C" w:rsidRDefault="00DB398F" w:rsidP="00A25B18">
            <w:pPr>
              <w:spacing w:after="80"/>
              <w:rPr>
                <w:color w:val="000000" w:themeColor="text1"/>
                <w:sz w:val="20"/>
                <w:szCs w:val="20"/>
              </w:rPr>
            </w:pPr>
            <w:r w:rsidRPr="000E0B9C">
              <w:rPr>
                <w:color w:val="000000" w:themeColor="text1"/>
                <w:sz w:val="20"/>
                <w:szCs w:val="20"/>
              </w:rPr>
              <w:t>D2. Deviations from intended interventions</w:t>
            </w:r>
          </w:p>
        </w:tc>
        <w:tc>
          <w:tcPr>
            <w:tcW w:w="2201" w:type="dxa"/>
          </w:tcPr>
          <w:p w:rsidR="00DB398F" w:rsidRPr="000E0B9C" w:rsidRDefault="00DB398F" w:rsidP="00A25B18">
            <w:pPr>
              <w:spacing w:after="80"/>
              <w:rPr>
                <w:color w:val="000000" w:themeColor="text1"/>
                <w:sz w:val="20"/>
                <w:szCs w:val="20"/>
              </w:rPr>
            </w:pPr>
            <w:r w:rsidRPr="000E0B9C">
              <w:rPr>
                <w:color w:val="000000" w:themeColor="text1"/>
                <w:sz w:val="20"/>
                <w:szCs w:val="20"/>
              </w:rPr>
              <w:t>High — non-adherent participants excluded after allocation</w:t>
            </w:r>
          </w:p>
        </w:tc>
        <w:tc>
          <w:tcPr>
            <w:tcW w:w="2268" w:type="dxa"/>
          </w:tcPr>
          <w:p w:rsidR="00DB398F" w:rsidRPr="000E0B9C" w:rsidRDefault="00DB398F" w:rsidP="00A25B18">
            <w:pPr>
              <w:spacing w:after="80"/>
              <w:rPr>
                <w:color w:val="000000" w:themeColor="text1"/>
                <w:sz w:val="20"/>
                <w:szCs w:val="20"/>
              </w:rPr>
            </w:pPr>
            <w:r w:rsidRPr="000E0B9C">
              <w:rPr>
                <w:color w:val="000000" w:themeColor="text1"/>
                <w:sz w:val="20"/>
                <w:szCs w:val="20"/>
              </w:rPr>
              <w:t>Some concerns — post-randomisation exclusions; per-protocol analysis</w:t>
            </w:r>
          </w:p>
        </w:tc>
        <w:tc>
          <w:tcPr>
            <w:tcW w:w="2268" w:type="dxa"/>
          </w:tcPr>
          <w:p w:rsidR="00DB398F" w:rsidRPr="000E0B9C" w:rsidRDefault="00DB398F" w:rsidP="00A25B18">
            <w:pPr>
              <w:spacing w:after="80"/>
              <w:rPr>
                <w:color w:val="000000" w:themeColor="text1"/>
                <w:sz w:val="20"/>
                <w:szCs w:val="20"/>
              </w:rPr>
            </w:pPr>
            <w:r w:rsidRPr="000E0B9C">
              <w:rPr>
                <w:color w:val="000000" w:themeColor="text1"/>
                <w:sz w:val="20"/>
                <w:szCs w:val="20"/>
              </w:rPr>
              <w:t xml:space="preserve">Low — standardised conditions; blinded </w:t>
            </w:r>
            <w:proofErr w:type="spellStart"/>
            <w:r w:rsidRPr="000E0B9C">
              <w:rPr>
                <w:color w:val="000000" w:themeColor="text1"/>
                <w:sz w:val="20"/>
                <w:szCs w:val="20"/>
              </w:rPr>
              <w:t>raters</w:t>
            </w:r>
            <w:proofErr w:type="spellEnd"/>
            <w:r w:rsidRPr="000E0B9C">
              <w:rPr>
                <w:color w:val="000000" w:themeColor="text1"/>
                <w:sz w:val="20"/>
                <w:szCs w:val="20"/>
              </w:rPr>
              <w:t xml:space="preserve"> throughout</w:t>
            </w:r>
          </w:p>
        </w:tc>
        <w:tc>
          <w:tcPr>
            <w:tcW w:w="2273" w:type="dxa"/>
          </w:tcPr>
          <w:p w:rsidR="00DB398F" w:rsidRPr="000E0B9C" w:rsidRDefault="00DB398F" w:rsidP="00A25B18">
            <w:pPr>
              <w:spacing w:after="80"/>
              <w:rPr>
                <w:color w:val="000000" w:themeColor="text1"/>
                <w:sz w:val="20"/>
                <w:szCs w:val="20"/>
              </w:rPr>
            </w:pPr>
            <w:r w:rsidRPr="000E0B9C">
              <w:rPr>
                <w:color w:val="000000" w:themeColor="text1"/>
                <w:sz w:val="20"/>
                <w:szCs w:val="20"/>
              </w:rPr>
              <w:t xml:space="preserve">Some concerns — device use at participants' discretion; AI arm scanned approximately twice as often (median 5.5 </w:t>
            </w:r>
            <w:proofErr w:type="spellStart"/>
            <w:r w:rsidRPr="000E0B9C">
              <w:rPr>
                <w:color w:val="000000" w:themeColor="text1"/>
                <w:sz w:val="20"/>
                <w:szCs w:val="20"/>
              </w:rPr>
              <w:t>vs</w:t>
            </w:r>
            <w:proofErr w:type="spellEnd"/>
            <w:r w:rsidRPr="000E0B9C">
              <w:rPr>
                <w:color w:val="000000" w:themeColor="text1"/>
                <w:sz w:val="20"/>
                <w:szCs w:val="20"/>
              </w:rPr>
              <w:t xml:space="preserve"> 2; p &lt; 0.01), an imbalance in co-intervention arising from the trial context</w:t>
            </w:r>
          </w:p>
        </w:tc>
      </w:tr>
      <w:tr w:rsidR="00DB398F" w:rsidRPr="00BE385D" w:rsidTr="00A25B18">
        <w:tc>
          <w:tcPr>
            <w:tcW w:w="1900" w:type="dxa"/>
          </w:tcPr>
          <w:p w:rsidR="00DB398F" w:rsidRPr="000E0B9C" w:rsidRDefault="00DB398F" w:rsidP="00A25B18">
            <w:pPr>
              <w:spacing w:after="80"/>
              <w:rPr>
                <w:color w:val="000000" w:themeColor="text1"/>
                <w:sz w:val="20"/>
                <w:szCs w:val="20"/>
              </w:rPr>
            </w:pPr>
            <w:r w:rsidRPr="000E0B9C">
              <w:rPr>
                <w:color w:val="000000" w:themeColor="text1"/>
                <w:sz w:val="20"/>
                <w:szCs w:val="20"/>
              </w:rPr>
              <w:t>D3. Missing outcome data</w:t>
            </w:r>
          </w:p>
        </w:tc>
        <w:tc>
          <w:tcPr>
            <w:tcW w:w="2201" w:type="dxa"/>
          </w:tcPr>
          <w:p w:rsidR="00DB398F" w:rsidRPr="000E0B9C" w:rsidRDefault="00DB398F" w:rsidP="00A25B18">
            <w:pPr>
              <w:spacing w:after="80"/>
              <w:rPr>
                <w:color w:val="000000" w:themeColor="text1"/>
                <w:sz w:val="20"/>
                <w:szCs w:val="20"/>
              </w:rPr>
            </w:pPr>
            <w:r w:rsidRPr="000E0B9C">
              <w:rPr>
                <w:color w:val="000000" w:themeColor="text1"/>
                <w:sz w:val="20"/>
                <w:szCs w:val="20"/>
              </w:rPr>
              <w:t>High — 40/100 excluded; performance-based criteria applied post hoc after randomisation</w:t>
            </w:r>
          </w:p>
        </w:tc>
        <w:tc>
          <w:tcPr>
            <w:tcW w:w="2268" w:type="dxa"/>
          </w:tcPr>
          <w:p w:rsidR="00DB398F" w:rsidRPr="000E0B9C" w:rsidRDefault="00DB398F" w:rsidP="00A25B18">
            <w:pPr>
              <w:spacing w:after="80"/>
              <w:rPr>
                <w:color w:val="000000" w:themeColor="text1"/>
                <w:sz w:val="20"/>
                <w:szCs w:val="20"/>
              </w:rPr>
            </w:pPr>
            <w:r w:rsidRPr="000E0B9C">
              <w:rPr>
                <w:color w:val="000000" w:themeColor="text1"/>
                <w:sz w:val="20"/>
                <w:szCs w:val="20"/>
              </w:rPr>
              <w:t xml:space="preserve">Low — small </w:t>
            </w:r>
            <w:proofErr w:type="spellStart"/>
            <w:r w:rsidRPr="000E0B9C">
              <w:rPr>
                <w:color w:val="000000" w:themeColor="text1"/>
                <w:sz w:val="20"/>
                <w:szCs w:val="20"/>
              </w:rPr>
              <w:t>missingness</w:t>
            </w:r>
            <w:proofErr w:type="spellEnd"/>
            <w:r w:rsidRPr="000E0B9C">
              <w:rPr>
                <w:color w:val="000000" w:themeColor="text1"/>
                <w:sz w:val="20"/>
                <w:szCs w:val="20"/>
              </w:rPr>
              <w:t>; reasons documented</w:t>
            </w:r>
          </w:p>
        </w:tc>
        <w:tc>
          <w:tcPr>
            <w:tcW w:w="2268" w:type="dxa"/>
          </w:tcPr>
          <w:p w:rsidR="00DB398F" w:rsidRPr="000E0B9C" w:rsidRDefault="00DB398F" w:rsidP="00A25B18">
            <w:pPr>
              <w:spacing w:after="80"/>
              <w:rPr>
                <w:color w:val="000000" w:themeColor="text1"/>
                <w:sz w:val="20"/>
                <w:szCs w:val="20"/>
              </w:rPr>
            </w:pPr>
            <w:r w:rsidRPr="000E0B9C">
              <w:rPr>
                <w:color w:val="000000" w:themeColor="text1"/>
                <w:sz w:val="20"/>
                <w:szCs w:val="20"/>
              </w:rPr>
              <w:t>Low — small loss at 3 months; complete-case analysis performed</w:t>
            </w:r>
          </w:p>
        </w:tc>
        <w:tc>
          <w:tcPr>
            <w:tcW w:w="2273" w:type="dxa"/>
          </w:tcPr>
          <w:p w:rsidR="00DB398F" w:rsidRPr="000E0B9C" w:rsidRDefault="00DB398F" w:rsidP="00A25B18">
            <w:pPr>
              <w:spacing w:after="80"/>
              <w:rPr>
                <w:color w:val="000000" w:themeColor="text1"/>
                <w:sz w:val="20"/>
                <w:szCs w:val="20"/>
              </w:rPr>
            </w:pPr>
            <w:r w:rsidRPr="000E0B9C">
              <w:rPr>
                <w:color w:val="000000" w:themeColor="text1"/>
                <w:sz w:val="20"/>
                <w:szCs w:val="20"/>
              </w:rPr>
              <w:t xml:space="preserve">High — differential attrition on the primary outcome (77% AI </w:t>
            </w:r>
            <w:proofErr w:type="spellStart"/>
            <w:r w:rsidRPr="000E0B9C">
              <w:rPr>
                <w:color w:val="000000" w:themeColor="text1"/>
                <w:sz w:val="20"/>
                <w:szCs w:val="20"/>
              </w:rPr>
              <w:t>vs</w:t>
            </w:r>
            <w:proofErr w:type="spellEnd"/>
            <w:r w:rsidRPr="000E0B9C">
              <w:rPr>
                <w:color w:val="000000" w:themeColor="text1"/>
                <w:sz w:val="20"/>
                <w:szCs w:val="20"/>
              </w:rPr>
              <w:t xml:space="preserve"> 95% non-AI); </w:t>
            </w:r>
            <w:proofErr w:type="spellStart"/>
            <w:r w:rsidRPr="000E0B9C">
              <w:rPr>
                <w:color w:val="000000" w:themeColor="text1"/>
                <w:sz w:val="20"/>
                <w:szCs w:val="20"/>
              </w:rPr>
              <w:t>missingness</w:t>
            </w:r>
            <w:proofErr w:type="spellEnd"/>
            <w:r w:rsidRPr="000E0B9C">
              <w:rPr>
                <w:color w:val="000000" w:themeColor="text1"/>
                <w:sz w:val="20"/>
                <w:szCs w:val="20"/>
              </w:rPr>
              <w:t xml:space="preserve"> plausibly related to performance</w:t>
            </w:r>
          </w:p>
        </w:tc>
      </w:tr>
      <w:tr w:rsidR="00DB398F" w:rsidRPr="00BE385D" w:rsidTr="00A25B18">
        <w:tc>
          <w:tcPr>
            <w:tcW w:w="1900" w:type="dxa"/>
          </w:tcPr>
          <w:p w:rsidR="00DB398F" w:rsidRPr="000E0B9C" w:rsidRDefault="00DB398F" w:rsidP="00A25B18">
            <w:pPr>
              <w:spacing w:after="80"/>
              <w:rPr>
                <w:color w:val="000000" w:themeColor="text1"/>
                <w:sz w:val="20"/>
                <w:szCs w:val="20"/>
              </w:rPr>
            </w:pPr>
            <w:r w:rsidRPr="000E0B9C">
              <w:rPr>
                <w:color w:val="000000" w:themeColor="text1"/>
                <w:sz w:val="20"/>
                <w:szCs w:val="20"/>
              </w:rPr>
              <w:t>D4. Measurement of the outcome</w:t>
            </w:r>
          </w:p>
        </w:tc>
        <w:tc>
          <w:tcPr>
            <w:tcW w:w="2201" w:type="dxa"/>
          </w:tcPr>
          <w:p w:rsidR="00DB398F" w:rsidRPr="000E0B9C" w:rsidRDefault="00DB398F" w:rsidP="00A25B18">
            <w:pPr>
              <w:spacing w:after="80"/>
              <w:rPr>
                <w:color w:val="000000" w:themeColor="text1"/>
                <w:sz w:val="20"/>
                <w:szCs w:val="20"/>
              </w:rPr>
            </w:pPr>
            <w:r w:rsidRPr="000E0B9C">
              <w:rPr>
                <w:color w:val="000000" w:themeColor="text1"/>
                <w:sz w:val="20"/>
                <w:szCs w:val="20"/>
              </w:rPr>
              <w:t>Low — quality indicator overlay removed prior to blinded assessment</w:t>
            </w:r>
          </w:p>
        </w:tc>
        <w:tc>
          <w:tcPr>
            <w:tcW w:w="2268" w:type="dxa"/>
          </w:tcPr>
          <w:p w:rsidR="00DB398F" w:rsidRPr="000E0B9C" w:rsidRDefault="00DB398F" w:rsidP="00A25B18">
            <w:pPr>
              <w:spacing w:after="80"/>
              <w:rPr>
                <w:color w:val="000000" w:themeColor="text1"/>
                <w:sz w:val="20"/>
                <w:szCs w:val="20"/>
              </w:rPr>
            </w:pPr>
            <w:r w:rsidRPr="000E0B9C">
              <w:rPr>
                <w:color w:val="000000" w:themeColor="text1"/>
                <w:sz w:val="20"/>
                <w:szCs w:val="20"/>
              </w:rPr>
              <w:t>Low — clips serial-numbered; experienced blinded examiner</w:t>
            </w:r>
          </w:p>
        </w:tc>
        <w:tc>
          <w:tcPr>
            <w:tcW w:w="2268" w:type="dxa"/>
          </w:tcPr>
          <w:p w:rsidR="00DB398F" w:rsidRPr="000E0B9C" w:rsidRDefault="00DB398F" w:rsidP="00A25B18">
            <w:pPr>
              <w:spacing w:after="80"/>
              <w:rPr>
                <w:color w:val="000000" w:themeColor="text1"/>
                <w:sz w:val="20"/>
                <w:szCs w:val="20"/>
              </w:rPr>
            </w:pPr>
            <w:r w:rsidRPr="000E0B9C">
              <w:rPr>
                <w:color w:val="000000" w:themeColor="text1"/>
                <w:sz w:val="20"/>
                <w:szCs w:val="20"/>
              </w:rPr>
              <w:t xml:space="preserve">Low — two independent blinded </w:t>
            </w:r>
            <w:proofErr w:type="spellStart"/>
            <w:r w:rsidRPr="000E0B9C">
              <w:rPr>
                <w:color w:val="000000" w:themeColor="text1"/>
                <w:sz w:val="20"/>
                <w:szCs w:val="20"/>
              </w:rPr>
              <w:t>raters</w:t>
            </w:r>
            <w:proofErr w:type="spellEnd"/>
          </w:p>
        </w:tc>
        <w:tc>
          <w:tcPr>
            <w:tcW w:w="2273" w:type="dxa"/>
          </w:tcPr>
          <w:p w:rsidR="00DB398F" w:rsidRPr="000E0B9C" w:rsidRDefault="00DB398F" w:rsidP="00A25B18">
            <w:pPr>
              <w:spacing w:after="80"/>
              <w:rPr>
                <w:color w:val="000000" w:themeColor="text1"/>
                <w:sz w:val="20"/>
                <w:szCs w:val="20"/>
              </w:rPr>
            </w:pPr>
            <w:r w:rsidRPr="000E0B9C">
              <w:rPr>
                <w:color w:val="000000" w:themeColor="text1"/>
                <w:sz w:val="20"/>
                <w:szCs w:val="20"/>
              </w:rPr>
              <w:t>Low — two blinded reviewers with adjudication; timing measured objectively</w:t>
            </w:r>
          </w:p>
        </w:tc>
      </w:tr>
      <w:tr w:rsidR="00DB398F" w:rsidRPr="00BE385D" w:rsidTr="00A25B18">
        <w:tc>
          <w:tcPr>
            <w:tcW w:w="1900" w:type="dxa"/>
          </w:tcPr>
          <w:p w:rsidR="00DB398F" w:rsidRPr="000E0B9C" w:rsidRDefault="00DB398F" w:rsidP="00A25B18">
            <w:pPr>
              <w:spacing w:after="80"/>
              <w:rPr>
                <w:color w:val="000000" w:themeColor="text1"/>
                <w:sz w:val="20"/>
                <w:szCs w:val="20"/>
              </w:rPr>
            </w:pPr>
            <w:r w:rsidRPr="000E0B9C">
              <w:rPr>
                <w:color w:val="000000" w:themeColor="text1"/>
                <w:sz w:val="20"/>
                <w:szCs w:val="20"/>
              </w:rPr>
              <w:t>D5. Selection of reported results</w:t>
            </w:r>
          </w:p>
        </w:tc>
        <w:tc>
          <w:tcPr>
            <w:tcW w:w="2201" w:type="dxa"/>
          </w:tcPr>
          <w:p w:rsidR="00DB398F" w:rsidRPr="000E0B9C" w:rsidRDefault="00DB398F" w:rsidP="00A25B18">
            <w:pPr>
              <w:spacing w:after="80"/>
              <w:rPr>
                <w:color w:val="000000" w:themeColor="text1"/>
                <w:sz w:val="20"/>
                <w:szCs w:val="20"/>
              </w:rPr>
            </w:pPr>
            <w:r w:rsidRPr="000E0B9C">
              <w:rPr>
                <w:color w:val="000000" w:themeColor="text1"/>
                <w:sz w:val="20"/>
                <w:szCs w:val="20"/>
              </w:rPr>
              <w:t>Some concerns — no pre-specified analysis plan identified</w:t>
            </w:r>
          </w:p>
        </w:tc>
        <w:tc>
          <w:tcPr>
            <w:tcW w:w="2268" w:type="dxa"/>
          </w:tcPr>
          <w:p w:rsidR="00DB398F" w:rsidRPr="000E0B9C" w:rsidRDefault="00DB398F" w:rsidP="00A25B18">
            <w:pPr>
              <w:spacing w:after="80"/>
              <w:rPr>
                <w:color w:val="000000" w:themeColor="text1"/>
                <w:sz w:val="20"/>
                <w:szCs w:val="20"/>
              </w:rPr>
            </w:pPr>
            <w:r w:rsidRPr="000E0B9C">
              <w:rPr>
                <w:color w:val="000000" w:themeColor="text1"/>
                <w:sz w:val="20"/>
                <w:szCs w:val="20"/>
              </w:rPr>
              <w:t>Some concerns — no trial registration identified</w:t>
            </w:r>
          </w:p>
        </w:tc>
        <w:tc>
          <w:tcPr>
            <w:tcW w:w="2268" w:type="dxa"/>
          </w:tcPr>
          <w:p w:rsidR="00DB398F" w:rsidRPr="000E0B9C" w:rsidRDefault="00DB398F" w:rsidP="00A25B18">
            <w:pPr>
              <w:spacing w:after="80"/>
              <w:rPr>
                <w:color w:val="000000" w:themeColor="text1"/>
                <w:sz w:val="20"/>
                <w:szCs w:val="20"/>
              </w:rPr>
            </w:pPr>
            <w:r w:rsidRPr="000E0B9C">
              <w:rPr>
                <w:color w:val="000000" w:themeColor="text1"/>
                <w:sz w:val="20"/>
                <w:szCs w:val="20"/>
              </w:rPr>
              <w:t>Low — pre-registered (ClinicalTrials.gov NCT06355557)</w:t>
            </w:r>
          </w:p>
        </w:tc>
        <w:tc>
          <w:tcPr>
            <w:tcW w:w="2273" w:type="dxa"/>
          </w:tcPr>
          <w:p w:rsidR="00DB398F" w:rsidRPr="000E0B9C" w:rsidRDefault="00DB398F" w:rsidP="00A25B18">
            <w:pPr>
              <w:spacing w:after="80"/>
              <w:rPr>
                <w:color w:val="000000" w:themeColor="text1"/>
                <w:sz w:val="20"/>
                <w:szCs w:val="20"/>
              </w:rPr>
            </w:pPr>
            <w:r w:rsidRPr="000E0B9C">
              <w:rPr>
                <w:color w:val="000000" w:themeColor="text1"/>
                <w:sz w:val="20"/>
                <w:szCs w:val="20"/>
              </w:rPr>
              <w:t>Some concerns — trial registered retrospectively after completion; authors attest design and outcomes were unmodified</w:t>
            </w:r>
          </w:p>
        </w:tc>
      </w:tr>
      <w:tr w:rsidR="00DB398F" w:rsidRPr="00BE385D" w:rsidTr="00A25B18">
        <w:tc>
          <w:tcPr>
            <w:tcW w:w="1900" w:type="dxa"/>
          </w:tcPr>
          <w:p w:rsidR="00DB398F" w:rsidRPr="000E0B9C" w:rsidRDefault="00DB398F" w:rsidP="00A25B18">
            <w:pPr>
              <w:spacing w:after="80"/>
              <w:rPr>
                <w:color w:val="000000" w:themeColor="text1"/>
                <w:sz w:val="20"/>
                <w:szCs w:val="20"/>
              </w:rPr>
            </w:pPr>
            <w:r w:rsidRPr="000E0B9C">
              <w:rPr>
                <w:color w:val="000000" w:themeColor="text1"/>
                <w:sz w:val="20"/>
                <w:szCs w:val="20"/>
              </w:rPr>
              <w:t>Overall</w:t>
            </w:r>
          </w:p>
        </w:tc>
        <w:tc>
          <w:tcPr>
            <w:tcW w:w="2201" w:type="dxa"/>
          </w:tcPr>
          <w:p w:rsidR="00DB398F" w:rsidRPr="000E0B9C" w:rsidRDefault="00DB398F" w:rsidP="00A25B18">
            <w:pPr>
              <w:spacing w:after="80"/>
              <w:rPr>
                <w:color w:val="000000" w:themeColor="text1"/>
                <w:sz w:val="20"/>
                <w:szCs w:val="20"/>
              </w:rPr>
            </w:pPr>
            <w:r w:rsidRPr="000E0B9C">
              <w:rPr>
                <w:color w:val="000000" w:themeColor="text1"/>
                <w:sz w:val="20"/>
                <w:szCs w:val="20"/>
              </w:rPr>
              <w:t>High</w:t>
            </w:r>
          </w:p>
        </w:tc>
        <w:tc>
          <w:tcPr>
            <w:tcW w:w="2268" w:type="dxa"/>
          </w:tcPr>
          <w:p w:rsidR="00DB398F" w:rsidRPr="000E0B9C" w:rsidRDefault="00DB398F" w:rsidP="00A25B18">
            <w:pPr>
              <w:spacing w:after="80"/>
              <w:rPr>
                <w:color w:val="000000" w:themeColor="text1"/>
                <w:sz w:val="20"/>
                <w:szCs w:val="20"/>
              </w:rPr>
            </w:pPr>
            <w:r w:rsidRPr="000E0B9C">
              <w:rPr>
                <w:color w:val="000000" w:themeColor="text1"/>
                <w:sz w:val="20"/>
                <w:szCs w:val="20"/>
              </w:rPr>
              <w:t>Some concerns</w:t>
            </w:r>
          </w:p>
        </w:tc>
        <w:tc>
          <w:tcPr>
            <w:tcW w:w="2268" w:type="dxa"/>
          </w:tcPr>
          <w:p w:rsidR="00DB398F" w:rsidRPr="000E0B9C" w:rsidRDefault="00DB398F" w:rsidP="00A25B18">
            <w:pPr>
              <w:spacing w:after="80"/>
              <w:rPr>
                <w:color w:val="000000" w:themeColor="text1"/>
                <w:sz w:val="20"/>
                <w:szCs w:val="20"/>
              </w:rPr>
            </w:pPr>
            <w:r w:rsidRPr="000E0B9C">
              <w:rPr>
                <w:color w:val="000000" w:themeColor="text1"/>
                <w:sz w:val="20"/>
                <w:szCs w:val="20"/>
              </w:rPr>
              <w:t>Low</w:t>
            </w:r>
          </w:p>
        </w:tc>
        <w:tc>
          <w:tcPr>
            <w:tcW w:w="2273" w:type="dxa"/>
          </w:tcPr>
          <w:p w:rsidR="00DB398F" w:rsidRPr="000E0B9C" w:rsidRDefault="00DB398F" w:rsidP="00A25B18">
            <w:pPr>
              <w:spacing w:after="80"/>
              <w:rPr>
                <w:color w:val="000000" w:themeColor="text1"/>
                <w:sz w:val="20"/>
                <w:szCs w:val="20"/>
              </w:rPr>
            </w:pPr>
            <w:r w:rsidRPr="000E0B9C">
              <w:rPr>
                <w:color w:val="000000" w:themeColor="text1"/>
                <w:sz w:val="20"/>
                <w:szCs w:val="20"/>
              </w:rPr>
              <w:t>High</w:t>
            </w:r>
          </w:p>
        </w:tc>
      </w:tr>
    </w:tbl>
    <w:p w:rsidR="00DB398F" w:rsidRPr="000E0A0F" w:rsidRDefault="00DB398F" w:rsidP="00DB398F">
      <w:pPr>
        <w:spacing w:after="80"/>
        <w:rPr>
          <w:sz w:val="20"/>
          <w:szCs w:val="20"/>
        </w:rPr>
      </w:pPr>
    </w:p>
    <w:p w:rsidR="00DB398F" w:rsidRPr="00F242A3" w:rsidRDefault="00DB398F" w:rsidP="00DB398F">
      <w:pPr>
        <w:spacing w:before="280" w:after="60"/>
      </w:pPr>
      <w:proofErr w:type="gramStart"/>
      <w:r w:rsidRPr="00F242A3">
        <w:rPr>
          <w:b/>
          <w:bCs/>
        </w:rPr>
        <w:t>ESM 3b.</w:t>
      </w:r>
      <w:proofErr w:type="gramEnd"/>
      <w:r w:rsidRPr="00F242A3">
        <w:rPr>
          <w:b/>
          <w:bCs/>
        </w:rPr>
        <w:t xml:space="preserve"> Risk of bias assessment (ROBINS-I) — non-randomised studies</w:t>
      </w:r>
    </w:p>
    <w:p w:rsidR="00DB398F" w:rsidRPr="000E0A0F" w:rsidRDefault="00DB398F" w:rsidP="00DB398F">
      <w:pPr>
        <w:spacing w:before="40" w:after="140"/>
        <w:rPr>
          <w:sz w:val="20"/>
          <w:szCs w:val="20"/>
        </w:rPr>
      </w:pPr>
      <w:r w:rsidRPr="000E0A0F">
        <w:rPr>
          <w:sz w:val="20"/>
          <w:szCs w:val="20"/>
        </w:rPr>
        <w:t>†</w:t>
      </w:r>
      <w:proofErr w:type="spellStart"/>
      <w:r w:rsidRPr="000E0A0F">
        <w:rPr>
          <w:sz w:val="20"/>
          <w:szCs w:val="20"/>
        </w:rPr>
        <w:t>Hurd</w:t>
      </w:r>
      <w:proofErr w:type="spellEnd"/>
      <w:r w:rsidRPr="000E0A0F">
        <w:rPr>
          <w:sz w:val="20"/>
          <w:szCs w:val="20"/>
        </w:rPr>
        <w:t xml:space="preserve"> 2025: non-clinical astronaut-analogue population; results not incorporated in primary medical training synthesis.</w:t>
      </w:r>
    </w:p>
    <w:tbl>
      <w:tblPr>
        <w:tblW w:w="10915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72"/>
        <w:gridCol w:w="3430"/>
        <w:gridCol w:w="4413"/>
      </w:tblGrid>
      <w:tr w:rsidR="00DB398F" w:rsidRPr="000E0A0F" w:rsidTr="00A25B18">
        <w:trPr>
          <w:tblHeader/>
        </w:trPr>
        <w:tc>
          <w:tcPr>
            <w:tcW w:w="307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B398F" w:rsidRPr="000E0A0F" w:rsidRDefault="00DB398F" w:rsidP="00A25B18">
            <w:pPr>
              <w:spacing w:before="30" w:after="30"/>
              <w:rPr>
                <w:sz w:val="20"/>
                <w:szCs w:val="20"/>
              </w:rPr>
            </w:pPr>
            <w:r w:rsidRPr="000E0A0F">
              <w:rPr>
                <w:rFonts w:eastAsia="Arial"/>
                <w:b/>
                <w:bCs/>
                <w:color w:val="FFFFFF"/>
                <w:sz w:val="20"/>
                <w:szCs w:val="20"/>
              </w:rPr>
              <w:t>Domain</w:t>
            </w:r>
          </w:p>
        </w:tc>
        <w:tc>
          <w:tcPr>
            <w:tcW w:w="343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B398F" w:rsidRPr="000E0A0F" w:rsidRDefault="00DB398F" w:rsidP="00A25B18">
            <w:pPr>
              <w:spacing w:before="30" w:after="30"/>
              <w:rPr>
                <w:sz w:val="20"/>
                <w:szCs w:val="20"/>
              </w:rPr>
            </w:pPr>
            <w:proofErr w:type="spellStart"/>
            <w:r w:rsidRPr="000E0A0F">
              <w:rPr>
                <w:rFonts w:eastAsia="Arial"/>
                <w:b/>
                <w:bCs/>
                <w:color w:val="FFFFFF"/>
                <w:sz w:val="20"/>
                <w:szCs w:val="20"/>
              </w:rPr>
              <w:t>Höhne</w:t>
            </w:r>
            <w:proofErr w:type="spellEnd"/>
            <w:r w:rsidRPr="000E0A0F">
              <w:rPr>
                <w:rFonts w:eastAsia="Arial"/>
                <w:b/>
                <w:bCs/>
                <w:color w:val="FFFFFF"/>
                <w:sz w:val="20"/>
                <w:szCs w:val="20"/>
              </w:rPr>
              <w:t xml:space="preserve"> 2025</w:t>
            </w:r>
          </w:p>
        </w:tc>
        <w:tc>
          <w:tcPr>
            <w:tcW w:w="4413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B398F" w:rsidRPr="000E0A0F" w:rsidRDefault="00DB398F" w:rsidP="00A25B18">
            <w:pPr>
              <w:spacing w:before="30" w:after="30"/>
              <w:rPr>
                <w:sz w:val="20"/>
                <w:szCs w:val="20"/>
              </w:rPr>
            </w:pPr>
            <w:proofErr w:type="spellStart"/>
            <w:r w:rsidRPr="000E0A0F">
              <w:rPr>
                <w:rFonts w:eastAsia="Arial"/>
                <w:b/>
                <w:bCs/>
                <w:color w:val="FFFFFF"/>
                <w:sz w:val="20"/>
                <w:szCs w:val="20"/>
              </w:rPr>
              <w:t>Hurd</w:t>
            </w:r>
            <w:proofErr w:type="spellEnd"/>
            <w:r w:rsidRPr="000E0A0F">
              <w:rPr>
                <w:rFonts w:eastAsia="Arial"/>
                <w:b/>
                <w:bCs/>
                <w:color w:val="FFFFFF"/>
                <w:sz w:val="20"/>
                <w:szCs w:val="20"/>
              </w:rPr>
              <w:t xml:space="preserve"> 2025†</w:t>
            </w:r>
          </w:p>
        </w:tc>
      </w:tr>
      <w:tr w:rsidR="00DB398F" w:rsidRPr="000E0A0F" w:rsidTr="00A25B18">
        <w:tc>
          <w:tcPr>
            <w:tcW w:w="307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B398F" w:rsidRPr="000E0A0F" w:rsidRDefault="00DB398F" w:rsidP="00A25B18">
            <w:pPr>
              <w:spacing w:before="30" w:after="30"/>
              <w:rPr>
                <w:sz w:val="20"/>
                <w:szCs w:val="20"/>
              </w:rPr>
            </w:pPr>
            <w:r w:rsidRPr="000E0A0F">
              <w:rPr>
                <w:rFonts w:eastAsia="Arial"/>
                <w:b/>
                <w:bCs/>
                <w:sz w:val="20"/>
                <w:szCs w:val="20"/>
              </w:rPr>
              <w:t>Confounding</w:t>
            </w:r>
          </w:p>
        </w:tc>
        <w:tc>
          <w:tcPr>
            <w:tcW w:w="343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B398F" w:rsidRPr="000E0A0F" w:rsidRDefault="00DB398F" w:rsidP="00A25B18">
            <w:pPr>
              <w:spacing w:before="30" w:after="30"/>
              <w:rPr>
                <w:sz w:val="20"/>
                <w:szCs w:val="20"/>
              </w:rPr>
            </w:pPr>
            <w:r w:rsidRPr="000E0A0F">
              <w:rPr>
                <w:rFonts w:eastAsia="Arial"/>
                <w:sz w:val="20"/>
                <w:szCs w:val="20"/>
              </w:rPr>
              <w:t>Moderate — alternating allocation by enrolment order is predictable</w:t>
            </w:r>
          </w:p>
        </w:tc>
        <w:tc>
          <w:tcPr>
            <w:tcW w:w="4413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B398F" w:rsidRPr="000E0A0F" w:rsidRDefault="00DB398F" w:rsidP="00A25B18">
            <w:pPr>
              <w:spacing w:before="30" w:after="30"/>
              <w:rPr>
                <w:sz w:val="20"/>
                <w:szCs w:val="20"/>
              </w:rPr>
            </w:pPr>
            <w:r w:rsidRPr="000E0A0F">
              <w:rPr>
                <w:rFonts w:eastAsia="Arial"/>
                <w:sz w:val="20"/>
                <w:szCs w:val="20"/>
              </w:rPr>
              <w:t>Serious — allocation mechanism not clearly defined or randomised</w:t>
            </w:r>
          </w:p>
        </w:tc>
      </w:tr>
      <w:tr w:rsidR="00DB398F" w:rsidRPr="000E0A0F" w:rsidTr="00A25B18">
        <w:tc>
          <w:tcPr>
            <w:tcW w:w="307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EF4F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B398F" w:rsidRPr="000E0A0F" w:rsidRDefault="00DB398F" w:rsidP="00A25B18">
            <w:pPr>
              <w:spacing w:before="30" w:after="30"/>
              <w:rPr>
                <w:sz w:val="20"/>
                <w:szCs w:val="20"/>
              </w:rPr>
            </w:pPr>
            <w:r w:rsidRPr="000E0A0F">
              <w:rPr>
                <w:rFonts w:eastAsia="Arial"/>
                <w:b/>
                <w:bCs/>
                <w:sz w:val="20"/>
                <w:szCs w:val="20"/>
              </w:rPr>
              <w:t>Selection of participants</w:t>
            </w:r>
          </w:p>
        </w:tc>
        <w:tc>
          <w:tcPr>
            <w:tcW w:w="343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EF4F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B398F" w:rsidRPr="000E0A0F" w:rsidRDefault="00DB398F" w:rsidP="00A25B18">
            <w:pPr>
              <w:spacing w:before="30" w:after="30"/>
              <w:rPr>
                <w:sz w:val="20"/>
                <w:szCs w:val="20"/>
              </w:rPr>
            </w:pPr>
            <w:r w:rsidRPr="000E0A0F">
              <w:rPr>
                <w:rFonts w:eastAsia="Arial"/>
                <w:sz w:val="20"/>
                <w:szCs w:val="20"/>
              </w:rPr>
              <w:t>Moderate — voluntary participation; allocation tied to enrolment order</w:t>
            </w:r>
          </w:p>
        </w:tc>
        <w:tc>
          <w:tcPr>
            <w:tcW w:w="4413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EF4F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B398F" w:rsidRPr="000E0A0F" w:rsidRDefault="00DB398F" w:rsidP="00A25B18">
            <w:pPr>
              <w:spacing w:before="30" w:after="30"/>
              <w:rPr>
                <w:sz w:val="20"/>
                <w:szCs w:val="20"/>
              </w:rPr>
            </w:pPr>
            <w:r w:rsidRPr="000E0A0F">
              <w:rPr>
                <w:rFonts w:eastAsia="Arial"/>
                <w:sz w:val="20"/>
                <w:szCs w:val="20"/>
              </w:rPr>
              <w:t>Moderate — volunteer sample; arm assignment may correlate with motivation</w:t>
            </w:r>
          </w:p>
        </w:tc>
      </w:tr>
      <w:tr w:rsidR="00DB398F" w:rsidRPr="000E0A0F" w:rsidTr="00A25B18">
        <w:tc>
          <w:tcPr>
            <w:tcW w:w="307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B398F" w:rsidRPr="000E0A0F" w:rsidRDefault="00DB398F" w:rsidP="00A25B18">
            <w:pPr>
              <w:spacing w:before="30" w:after="30"/>
              <w:rPr>
                <w:sz w:val="20"/>
                <w:szCs w:val="20"/>
              </w:rPr>
            </w:pPr>
            <w:r w:rsidRPr="000E0A0F">
              <w:rPr>
                <w:rFonts w:eastAsia="Arial"/>
                <w:b/>
                <w:bCs/>
                <w:sz w:val="20"/>
                <w:szCs w:val="20"/>
              </w:rPr>
              <w:lastRenderedPageBreak/>
              <w:t>Classification of interventions</w:t>
            </w:r>
          </w:p>
        </w:tc>
        <w:tc>
          <w:tcPr>
            <w:tcW w:w="343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B398F" w:rsidRPr="000E0A0F" w:rsidRDefault="00DB398F" w:rsidP="00A25B18">
            <w:pPr>
              <w:spacing w:before="30" w:after="30"/>
              <w:rPr>
                <w:sz w:val="20"/>
                <w:szCs w:val="20"/>
              </w:rPr>
            </w:pPr>
            <w:r w:rsidRPr="000E0A0F">
              <w:rPr>
                <w:rFonts w:eastAsia="Arial"/>
                <w:sz w:val="20"/>
                <w:szCs w:val="20"/>
              </w:rPr>
              <w:t>Low — clearly defined and consistently applied</w:t>
            </w:r>
          </w:p>
        </w:tc>
        <w:tc>
          <w:tcPr>
            <w:tcW w:w="4413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B398F" w:rsidRPr="000E0A0F" w:rsidRDefault="00DB398F" w:rsidP="00A25B18">
            <w:pPr>
              <w:spacing w:before="30" w:after="30"/>
              <w:rPr>
                <w:sz w:val="20"/>
                <w:szCs w:val="20"/>
              </w:rPr>
            </w:pPr>
            <w:r w:rsidRPr="000E0A0F">
              <w:rPr>
                <w:rFonts w:eastAsia="Arial"/>
                <w:sz w:val="20"/>
                <w:szCs w:val="20"/>
              </w:rPr>
              <w:t>Low — clearly defined and consistently applied</w:t>
            </w:r>
          </w:p>
        </w:tc>
      </w:tr>
      <w:tr w:rsidR="00DB398F" w:rsidRPr="000E0A0F" w:rsidTr="00A25B18">
        <w:tc>
          <w:tcPr>
            <w:tcW w:w="307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EF4F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B398F" w:rsidRPr="000E0A0F" w:rsidRDefault="00DB398F" w:rsidP="00A25B18">
            <w:pPr>
              <w:spacing w:before="30" w:after="30"/>
              <w:rPr>
                <w:sz w:val="20"/>
                <w:szCs w:val="20"/>
              </w:rPr>
            </w:pPr>
            <w:r w:rsidRPr="000E0A0F">
              <w:rPr>
                <w:rFonts w:eastAsia="Arial"/>
                <w:b/>
                <w:bCs/>
                <w:sz w:val="20"/>
                <w:szCs w:val="20"/>
              </w:rPr>
              <w:t>Deviations from intended interventions</w:t>
            </w:r>
          </w:p>
        </w:tc>
        <w:tc>
          <w:tcPr>
            <w:tcW w:w="343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EF4F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B398F" w:rsidRPr="000E0A0F" w:rsidRDefault="00DB398F" w:rsidP="00A25B18">
            <w:pPr>
              <w:spacing w:before="30" w:after="30"/>
              <w:rPr>
                <w:sz w:val="20"/>
                <w:szCs w:val="20"/>
              </w:rPr>
            </w:pPr>
            <w:r w:rsidRPr="000E0A0F">
              <w:rPr>
                <w:rFonts w:eastAsia="Arial"/>
                <w:sz w:val="20"/>
                <w:szCs w:val="20"/>
              </w:rPr>
              <w:t>Moderate — self-study hours not tracked; engagement with AI app outside sessions uncontrolled</w:t>
            </w:r>
          </w:p>
        </w:tc>
        <w:tc>
          <w:tcPr>
            <w:tcW w:w="4413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EF4F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B398F" w:rsidRPr="000E0A0F" w:rsidRDefault="00DB398F" w:rsidP="00A25B18">
            <w:pPr>
              <w:spacing w:before="30" w:after="30"/>
              <w:rPr>
                <w:sz w:val="20"/>
                <w:szCs w:val="20"/>
              </w:rPr>
            </w:pPr>
            <w:r w:rsidRPr="000E0A0F">
              <w:rPr>
                <w:rFonts w:eastAsia="Arial"/>
                <w:sz w:val="20"/>
                <w:szCs w:val="20"/>
              </w:rPr>
              <w:t>Moderate — adherence outside structured sessions not controlled</w:t>
            </w:r>
          </w:p>
        </w:tc>
      </w:tr>
      <w:tr w:rsidR="00DB398F" w:rsidRPr="000E0A0F" w:rsidTr="00A25B18">
        <w:tc>
          <w:tcPr>
            <w:tcW w:w="307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B398F" w:rsidRPr="000E0A0F" w:rsidRDefault="00DB398F" w:rsidP="00A25B18">
            <w:pPr>
              <w:spacing w:before="30" w:after="30"/>
              <w:rPr>
                <w:sz w:val="20"/>
                <w:szCs w:val="20"/>
              </w:rPr>
            </w:pPr>
            <w:r w:rsidRPr="000E0A0F">
              <w:rPr>
                <w:rFonts w:eastAsia="Arial"/>
                <w:b/>
                <w:bCs/>
                <w:sz w:val="20"/>
                <w:szCs w:val="20"/>
              </w:rPr>
              <w:t>Missing data</w:t>
            </w:r>
          </w:p>
        </w:tc>
        <w:tc>
          <w:tcPr>
            <w:tcW w:w="343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B398F" w:rsidRPr="000E0A0F" w:rsidRDefault="00DB398F" w:rsidP="00A25B18">
            <w:pPr>
              <w:spacing w:before="30" w:after="30"/>
              <w:rPr>
                <w:sz w:val="20"/>
                <w:szCs w:val="20"/>
              </w:rPr>
            </w:pPr>
            <w:r w:rsidRPr="000E0A0F">
              <w:rPr>
                <w:rFonts w:eastAsia="Arial"/>
                <w:sz w:val="20"/>
                <w:szCs w:val="20"/>
              </w:rPr>
              <w:t>Low — consistent sample sizes; no differential dropout</w:t>
            </w:r>
          </w:p>
        </w:tc>
        <w:tc>
          <w:tcPr>
            <w:tcW w:w="4413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B398F" w:rsidRPr="000E0A0F" w:rsidRDefault="00DB398F" w:rsidP="00A25B18">
            <w:pPr>
              <w:spacing w:before="30" w:after="30"/>
              <w:rPr>
                <w:sz w:val="20"/>
                <w:szCs w:val="20"/>
              </w:rPr>
            </w:pPr>
            <w:r w:rsidRPr="000E0A0F">
              <w:rPr>
                <w:rFonts w:eastAsia="Arial"/>
                <w:sz w:val="20"/>
                <w:szCs w:val="20"/>
              </w:rPr>
              <w:t>Moderate — 73% retained at 8 weeks; reasons for loss not reported</w:t>
            </w:r>
          </w:p>
        </w:tc>
      </w:tr>
      <w:tr w:rsidR="00DB398F" w:rsidRPr="000E0A0F" w:rsidTr="00A25B18">
        <w:tc>
          <w:tcPr>
            <w:tcW w:w="307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EF4F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B398F" w:rsidRPr="000E0A0F" w:rsidRDefault="00DB398F" w:rsidP="00A25B18">
            <w:pPr>
              <w:spacing w:before="30" w:after="30"/>
              <w:rPr>
                <w:sz w:val="20"/>
                <w:szCs w:val="20"/>
              </w:rPr>
            </w:pPr>
            <w:r w:rsidRPr="000E0A0F">
              <w:rPr>
                <w:rFonts w:eastAsia="Arial"/>
                <w:b/>
                <w:bCs/>
                <w:sz w:val="20"/>
                <w:szCs w:val="20"/>
              </w:rPr>
              <w:t>Measurement of outcomes</w:t>
            </w:r>
          </w:p>
        </w:tc>
        <w:tc>
          <w:tcPr>
            <w:tcW w:w="343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EF4F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B398F" w:rsidRPr="000E0A0F" w:rsidRDefault="00DB398F" w:rsidP="00A25B18">
            <w:pPr>
              <w:spacing w:before="30" w:after="30"/>
              <w:rPr>
                <w:sz w:val="20"/>
                <w:szCs w:val="20"/>
              </w:rPr>
            </w:pPr>
            <w:r w:rsidRPr="000E0A0F">
              <w:rPr>
                <w:rFonts w:eastAsia="Arial"/>
                <w:sz w:val="20"/>
                <w:szCs w:val="20"/>
              </w:rPr>
              <w:t>Low — structured OSCE; blinded evaluators</w:t>
            </w:r>
          </w:p>
        </w:tc>
        <w:tc>
          <w:tcPr>
            <w:tcW w:w="4413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EF4F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B398F" w:rsidRPr="000E0A0F" w:rsidRDefault="00DB398F" w:rsidP="00A25B18">
            <w:pPr>
              <w:spacing w:before="30" w:after="30"/>
              <w:rPr>
                <w:sz w:val="20"/>
                <w:szCs w:val="20"/>
              </w:rPr>
            </w:pPr>
            <w:r w:rsidRPr="000E0A0F">
              <w:rPr>
                <w:rFonts w:eastAsia="Arial"/>
                <w:sz w:val="20"/>
                <w:szCs w:val="20"/>
              </w:rPr>
              <w:t>Serious — assessors could plausibly infer group/time from film context</w:t>
            </w:r>
          </w:p>
        </w:tc>
      </w:tr>
      <w:tr w:rsidR="00DB398F" w:rsidRPr="000E0A0F" w:rsidTr="00A25B18">
        <w:tc>
          <w:tcPr>
            <w:tcW w:w="307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B398F" w:rsidRPr="000E0A0F" w:rsidRDefault="00DB398F" w:rsidP="00A25B18">
            <w:pPr>
              <w:spacing w:before="30" w:after="30"/>
              <w:rPr>
                <w:sz w:val="20"/>
                <w:szCs w:val="20"/>
              </w:rPr>
            </w:pPr>
            <w:r w:rsidRPr="000E0A0F">
              <w:rPr>
                <w:rFonts w:eastAsia="Arial"/>
                <w:b/>
                <w:bCs/>
                <w:sz w:val="20"/>
                <w:szCs w:val="20"/>
              </w:rPr>
              <w:t>Selection of reported result</w:t>
            </w:r>
          </w:p>
        </w:tc>
        <w:tc>
          <w:tcPr>
            <w:tcW w:w="343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B398F" w:rsidRPr="000E0A0F" w:rsidRDefault="00DB398F" w:rsidP="00A25B18">
            <w:pPr>
              <w:spacing w:before="30" w:after="30"/>
              <w:rPr>
                <w:sz w:val="20"/>
                <w:szCs w:val="20"/>
              </w:rPr>
            </w:pPr>
            <w:r w:rsidRPr="000E0A0F">
              <w:rPr>
                <w:rFonts w:eastAsia="Arial"/>
                <w:sz w:val="20"/>
                <w:szCs w:val="20"/>
              </w:rPr>
              <w:t>Moderate — no accessible pre-specified analysis plan</w:t>
            </w:r>
          </w:p>
        </w:tc>
        <w:tc>
          <w:tcPr>
            <w:tcW w:w="4413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B398F" w:rsidRPr="000E0A0F" w:rsidRDefault="00DB398F" w:rsidP="00A25B18">
            <w:pPr>
              <w:spacing w:before="30" w:after="30"/>
              <w:rPr>
                <w:sz w:val="20"/>
                <w:szCs w:val="20"/>
              </w:rPr>
            </w:pPr>
            <w:r w:rsidRPr="000E0A0F">
              <w:rPr>
                <w:rFonts w:eastAsia="Arial"/>
                <w:sz w:val="20"/>
                <w:szCs w:val="20"/>
              </w:rPr>
              <w:t>Moderate — multiple outcomes; post-hoc selection of high-quality observations</w:t>
            </w:r>
          </w:p>
        </w:tc>
      </w:tr>
      <w:tr w:rsidR="00DB398F" w:rsidRPr="000E0A0F" w:rsidTr="00A25B18">
        <w:tc>
          <w:tcPr>
            <w:tcW w:w="307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B398F" w:rsidRPr="000E0A0F" w:rsidRDefault="00DB398F" w:rsidP="00A25B18">
            <w:pPr>
              <w:spacing w:before="30" w:after="30"/>
              <w:rPr>
                <w:sz w:val="20"/>
                <w:szCs w:val="20"/>
              </w:rPr>
            </w:pPr>
            <w:r w:rsidRPr="000E0A0F">
              <w:rPr>
                <w:rFonts w:eastAsia="Arial"/>
                <w:b/>
                <w:bCs/>
                <w:sz w:val="20"/>
                <w:szCs w:val="20"/>
              </w:rPr>
              <w:t>Overall</w:t>
            </w:r>
          </w:p>
        </w:tc>
        <w:tc>
          <w:tcPr>
            <w:tcW w:w="343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2CC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B398F" w:rsidRPr="000E0A0F" w:rsidRDefault="00DB398F" w:rsidP="00A25B18">
            <w:pPr>
              <w:spacing w:before="30" w:after="30"/>
              <w:rPr>
                <w:sz w:val="20"/>
                <w:szCs w:val="20"/>
              </w:rPr>
            </w:pPr>
            <w:r w:rsidRPr="000E0A0F">
              <w:rPr>
                <w:rFonts w:eastAsia="Arial"/>
                <w:b/>
                <w:bCs/>
                <w:sz w:val="20"/>
                <w:szCs w:val="20"/>
              </w:rPr>
              <w:t>Moderate</w:t>
            </w:r>
          </w:p>
        </w:tc>
        <w:tc>
          <w:tcPr>
            <w:tcW w:w="4413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CE4D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B398F" w:rsidRPr="000E0A0F" w:rsidRDefault="00DB398F" w:rsidP="00A25B18">
            <w:pPr>
              <w:spacing w:before="30" w:after="30"/>
              <w:rPr>
                <w:sz w:val="20"/>
                <w:szCs w:val="20"/>
              </w:rPr>
            </w:pPr>
            <w:r w:rsidRPr="000E0A0F">
              <w:rPr>
                <w:rFonts w:eastAsia="Arial"/>
                <w:b/>
                <w:bCs/>
                <w:sz w:val="20"/>
                <w:szCs w:val="20"/>
              </w:rPr>
              <w:t>Serious</w:t>
            </w:r>
          </w:p>
        </w:tc>
      </w:tr>
    </w:tbl>
    <w:p w:rsidR="00DB398F" w:rsidRDefault="00DB398F" w:rsidP="00DB398F"/>
    <w:p w:rsidR="00DB398F" w:rsidRDefault="00DB398F" w:rsidP="00DB398F">
      <w:r>
        <w:br w:type="page"/>
      </w:r>
    </w:p>
    <w:p w:rsidR="00DB398F" w:rsidRPr="00F242A3" w:rsidRDefault="00DB398F" w:rsidP="00DB398F">
      <w:pPr>
        <w:spacing w:before="280" w:after="60"/>
      </w:pPr>
      <w:proofErr w:type="gramStart"/>
      <w:r>
        <w:rPr>
          <w:b/>
          <w:bCs/>
        </w:rPr>
        <w:lastRenderedPageBreak/>
        <w:t>ESM 4</w:t>
      </w:r>
      <w:r w:rsidRPr="00F242A3">
        <w:rPr>
          <w:b/>
          <w:bCs/>
        </w:rPr>
        <w:t>.</w:t>
      </w:r>
      <w:proofErr w:type="gramEnd"/>
      <w:r w:rsidRPr="00F242A3">
        <w:rPr>
          <w:b/>
          <w:bCs/>
        </w:rPr>
        <w:t xml:space="preserve"> Standardised effect sizes for key continuous outcomes</w:t>
      </w:r>
    </w:p>
    <w:p w:rsidR="00DB398F" w:rsidRPr="006736BF" w:rsidRDefault="00DB398F" w:rsidP="00DB398F">
      <w:pPr>
        <w:rPr>
          <w:sz w:val="20"/>
          <w:szCs w:val="20"/>
        </w:rPr>
      </w:pPr>
      <w:r w:rsidRPr="006736BF">
        <w:rPr>
          <w:sz w:val="20"/>
          <w:szCs w:val="20"/>
        </w:rPr>
        <w:t xml:space="preserve">Lau 2025: a negative Cohen's d indicates the traditional group scored higher. This is consistent with non-inferiority within the pre-specified margin: non-inferiority was demonstrated because the upper bound of the one-sided 95% confidence interval for the mean difference (Traditional − Intervention), 3.60, fell below the pre-specified margin of 5.0 RACE points. The margin corresponds to a change of one level in image quality rank. Non-inferiority is not equivalence; traditional instruction was numerically superior at </w:t>
      </w:r>
      <w:proofErr w:type="spellStart"/>
      <w:r w:rsidRPr="006736BF">
        <w:rPr>
          <w:sz w:val="20"/>
          <w:szCs w:val="20"/>
        </w:rPr>
        <w:t>all time</w:t>
      </w:r>
      <w:proofErr w:type="spellEnd"/>
      <w:r w:rsidRPr="006736BF">
        <w:rPr>
          <w:sz w:val="20"/>
          <w:szCs w:val="20"/>
        </w:rPr>
        <w:t xml:space="preserve"> points. ‡</w:t>
      </w:r>
      <w:proofErr w:type="spellStart"/>
      <w:r w:rsidRPr="006736BF">
        <w:rPr>
          <w:sz w:val="20"/>
          <w:szCs w:val="20"/>
        </w:rPr>
        <w:t>Karni</w:t>
      </w:r>
      <w:proofErr w:type="spellEnd"/>
      <w:r w:rsidRPr="006736BF">
        <w:rPr>
          <w:sz w:val="20"/>
          <w:szCs w:val="20"/>
        </w:rPr>
        <w:t xml:space="preserve"> 2025: p = 0.016 taken as the primary apical sub-score analysis. ‡‡Baum 2023: all outcomes reported as medians with interquartile ranges; confidence intervals and standardised effect sizes were not reported and cannot be reconstructed from the published summary statistics. **</w:t>
      </w:r>
      <w:proofErr w:type="spellStart"/>
      <w:r w:rsidRPr="006736BF">
        <w:rPr>
          <w:sz w:val="20"/>
          <w:szCs w:val="20"/>
        </w:rPr>
        <w:t>Aronovitz</w:t>
      </w:r>
      <w:proofErr w:type="spellEnd"/>
      <w:r w:rsidRPr="006736BF">
        <w:rPr>
          <w:sz w:val="20"/>
          <w:szCs w:val="20"/>
        </w:rPr>
        <w:t xml:space="preserve"> 2024: high risk of bias — data exploratory only; Cohen's d not applicable to a non-normally distributed primary outcome; rank-</w:t>
      </w:r>
      <w:proofErr w:type="spellStart"/>
      <w:r w:rsidRPr="006736BF">
        <w:rPr>
          <w:sz w:val="20"/>
          <w:szCs w:val="20"/>
        </w:rPr>
        <w:t>biserial</w:t>
      </w:r>
      <w:proofErr w:type="spellEnd"/>
      <w:r w:rsidRPr="006736BF">
        <w:rPr>
          <w:sz w:val="20"/>
          <w:szCs w:val="20"/>
        </w:rPr>
        <w:t xml:space="preserve"> r reported instead. §Non-parametric effect size for Mann–Whitney U. †</w:t>
      </w:r>
      <w:proofErr w:type="spellStart"/>
      <w:r w:rsidRPr="006736BF">
        <w:rPr>
          <w:sz w:val="20"/>
          <w:szCs w:val="20"/>
        </w:rPr>
        <w:t>Hurd</w:t>
      </w:r>
      <w:proofErr w:type="spellEnd"/>
      <w:r w:rsidRPr="006736BF">
        <w:rPr>
          <w:sz w:val="20"/>
          <w:szCs w:val="20"/>
        </w:rPr>
        <w:t xml:space="preserve"> 2025: non-clinical population; variance comparison only.</w:t>
      </w:r>
    </w:p>
    <w:tbl>
      <w:tblPr>
        <w:tblpPr w:leftFromText="180" w:rightFromText="180" w:vertAnchor="text" w:horzAnchor="page" w:tblpX="873" w:tblpY="-1155"/>
        <w:tblW w:w="11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96"/>
        <w:gridCol w:w="1514"/>
        <w:gridCol w:w="1524"/>
        <w:gridCol w:w="1251"/>
        <w:gridCol w:w="1744"/>
        <w:gridCol w:w="1581"/>
        <w:gridCol w:w="924"/>
        <w:gridCol w:w="1420"/>
      </w:tblGrid>
      <w:tr w:rsidR="00DB398F" w:rsidRPr="006736BF" w:rsidTr="00A25B18">
        <w:trPr>
          <w:tblHeader/>
        </w:trPr>
        <w:tc>
          <w:tcPr>
            <w:tcW w:w="1396" w:type="dxa"/>
            <w:shd w:val="clear" w:color="auto" w:fill="E4E4E4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rPr>
                <w:b/>
                <w:bCs/>
              </w:rPr>
              <w:lastRenderedPageBreak/>
              <w:t>Study</w:t>
            </w:r>
          </w:p>
        </w:tc>
        <w:tc>
          <w:tcPr>
            <w:tcW w:w="1514" w:type="dxa"/>
            <w:shd w:val="clear" w:color="auto" w:fill="E4E4E4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rPr>
                <w:b/>
                <w:bCs/>
              </w:rPr>
              <w:t>Outcome</w:t>
            </w:r>
          </w:p>
        </w:tc>
        <w:tc>
          <w:tcPr>
            <w:tcW w:w="1524" w:type="dxa"/>
            <w:shd w:val="clear" w:color="auto" w:fill="E4E4E4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rPr>
                <w:b/>
                <w:bCs/>
              </w:rPr>
              <w:t>AI result</w:t>
            </w:r>
          </w:p>
        </w:tc>
        <w:tc>
          <w:tcPr>
            <w:tcW w:w="1251" w:type="dxa"/>
            <w:shd w:val="clear" w:color="auto" w:fill="E4E4E4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rPr>
                <w:b/>
                <w:bCs/>
              </w:rPr>
              <w:t>Control result</w:t>
            </w:r>
          </w:p>
        </w:tc>
        <w:tc>
          <w:tcPr>
            <w:tcW w:w="1744" w:type="dxa"/>
            <w:shd w:val="clear" w:color="auto" w:fill="E4E4E4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rPr>
                <w:b/>
                <w:bCs/>
              </w:rPr>
              <w:t>Difference (95% CI) [NI margin if applicable]</w:t>
            </w:r>
          </w:p>
        </w:tc>
        <w:tc>
          <w:tcPr>
            <w:tcW w:w="1581" w:type="dxa"/>
            <w:shd w:val="clear" w:color="auto" w:fill="E4E4E4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rPr>
                <w:b/>
                <w:bCs/>
              </w:rPr>
              <w:t>Effect size (95% CI)</w:t>
            </w:r>
          </w:p>
        </w:tc>
        <w:tc>
          <w:tcPr>
            <w:tcW w:w="924" w:type="dxa"/>
            <w:shd w:val="clear" w:color="auto" w:fill="E4E4E4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rPr>
                <w:b/>
                <w:bCs/>
              </w:rPr>
              <w:t>p</w:t>
            </w:r>
          </w:p>
        </w:tc>
        <w:tc>
          <w:tcPr>
            <w:tcW w:w="1420" w:type="dxa"/>
            <w:shd w:val="clear" w:color="auto" w:fill="E4E4E4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rPr>
                <w:b/>
                <w:bCs/>
              </w:rPr>
              <w:t>Direction</w:t>
            </w:r>
          </w:p>
        </w:tc>
      </w:tr>
      <w:tr w:rsidR="00DB398F" w:rsidRPr="006736BF" w:rsidTr="00A25B18">
        <w:trPr>
          <w:gridAfter w:val="1"/>
          <w:wAfter w:w="1420" w:type="dxa"/>
        </w:trPr>
        <w:tc>
          <w:tcPr>
            <w:tcW w:w="9934" w:type="dxa"/>
            <w:gridSpan w:val="7"/>
            <w:shd w:val="clear" w:color="auto" w:fill="F4F4F4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rPr>
                <w:b/>
                <w:bCs/>
              </w:rPr>
              <w:t>Primary synthesis — low to moderate risk of bias</w:t>
            </w:r>
          </w:p>
        </w:tc>
      </w:tr>
      <w:tr w:rsidR="00DB398F" w:rsidRPr="006736BF" w:rsidTr="00A25B18">
        <w:tc>
          <w:tcPr>
            <w:tcW w:w="1396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Lau 2025 [1</w:t>
            </w:r>
            <w:r>
              <w:t>3</w:t>
            </w:r>
            <w:r w:rsidRPr="006736BF">
              <w:t>]*</w:t>
            </w:r>
          </w:p>
        </w:tc>
        <w:tc>
          <w:tcPr>
            <w:tcW w:w="151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RACE total score (max 25) — formal non-inferiority trial; NI margin 5 RACE points</w:t>
            </w:r>
          </w:p>
        </w:tc>
        <w:tc>
          <w:tcPr>
            <w:tcW w:w="152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13.39 (SD 2.79)</w:t>
            </w:r>
          </w:p>
        </w:tc>
        <w:tc>
          <w:tcPr>
            <w:tcW w:w="1251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15.77 (SD 1.89)</w:t>
            </w:r>
          </w:p>
        </w:tc>
        <w:tc>
          <w:tcPr>
            <w:tcW w:w="174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2.38 (Traditional − AI); one-sided 95% CI upper limit 3.60 [NI margin 5.0 — met]</w:t>
            </w:r>
          </w:p>
        </w:tc>
        <w:tc>
          <w:tcPr>
            <w:tcW w:w="1581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d = −1.00 (95% CI −1.63 to −0.37)*</w:t>
            </w:r>
          </w:p>
        </w:tc>
        <w:tc>
          <w:tcPr>
            <w:tcW w:w="92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&lt; 0.001</w:t>
            </w:r>
          </w:p>
        </w:tc>
        <w:tc>
          <w:tcPr>
            <w:tcW w:w="142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Non-inferior within margin; traditional numerically higher</w:t>
            </w:r>
          </w:p>
        </w:tc>
      </w:tr>
      <w:tr w:rsidR="00DB398F" w:rsidRPr="006736BF" w:rsidTr="00A25B18">
        <w:tc>
          <w:tcPr>
            <w:tcW w:w="1396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Lau 2025 [1</w:t>
            </w:r>
            <w:r>
              <w:t>3</w:t>
            </w:r>
            <w:r w:rsidRPr="006736BF">
              <w:t>]</w:t>
            </w:r>
          </w:p>
        </w:tc>
        <w:tc>
          <w:tcPr>
            <w:tcW w:w="151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Images adequate to permit interpretation (immediate post-training)</w:t>
            </w:r>
          </w:p>
        </w:tc>
        <w:tc>
          <w:tcPr>
            <w:tcW w:w="152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50.0% (11/22)</w:t>
            </w:r>
          </w:p>
        </w:tc>
        <w:tc>
          <w:tcPr>
            <w:tcW w:w="1251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81.8% (18/22)</w:t>
            </w:r>
          </w:p>
        </w:tc>
        <w:tc>
          <w:tcPr>
            <w:tcW w:w="174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−31.8 percentage points</w:t>
            </w:r>
          </w:p>
        </w:tc>
        <w:tc>
          <w:tcPr>
            <w:tcW w:w="1581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Not calculable (binary pass–fail)</w:t>
            </w:r>
          </w:p>
        </w:tc>
        <w:tc>
          <w:tcPr>
            <w:tcW w:w="92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0.026</w:t>
            </w:r>
          </w:p>
        </w:tc>
        <w:tc>
          <w:tcPr>
            <w:tcW w:w="142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AI inferior for image adequacy</w:t>
            </w:r>
          </w:p>
        </w:tc>
      </w:tr>
      <w:tr w:rsidR="00DB398F" w:rsidRPr="006736BF" w:rsidTr="00A25B18">
        <w:tc>
          <w:tcPr>
            <w:tcW w:w="1396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proofErr w:type="spellStart"/>
            <w:r w:rsidRPr="006736BF">
              <w:t>Karni</w:t>
            </w:r>
            <w:proofErr w:type="spellEnd"/>
            <w:r w:rsidRPr="006736BF">
              <w:t xml:space="preserve"> 2025 [1</w:t>
            </w:r>
            <w:r>
              <w:t>6</w:t>
            </w:r>
            <w:r w:rsidRPr="006736BF">
              <w:t>]</w:t>
            </w:r>
          </w:p>
        </w:tc>
        <w:tc>
          <w:tcPr>
            <w:tcW w:w="151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Cardiac US Score (overall, max 100%)</w:t>
            </w:r>
          </w:p>
        </w:tc>
        <w:tc>
          <w:tcPr>
            <w:tcW w:w="152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67% (SD 15%)</w:t>
            </w:r>
          </w:p>
        </w:tc>
        <w:tc>
          <w:tcPr>
            <w:tcW w:w="1251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64% (SD 13%)</w:t>
            </w:r>
          </w:p>
        </w:tc>
        <w:tc>
          <w:tcPr>
            <w:tcW w:w="174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+3% (95% CI approx. −7 to +13)</w:t>
            </w:r>
          </w:p>
        </w:tc>
        <w:tc>
          <w:tcPr>
            <w:tcW w:w="1581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d = 0.21 (95% CI −0.38 to 0.81)</w:t>
            </w:r>
          </w:p>
        </w:tc>
        <w:tc>
          <w:tcPr>
            <w:tcW w:w="92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0.37</w:t>
            </w:r>
          </w:p>
        </w:tc>
        <w:tc>
          <w:tcPr>
            <w:tcW w:w="142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No difference</w:t>
            </w:r>
          </w:p>
        </w:tc>
      </w:tr>
      <w:tr w:rsidR="00DB398F" w:rsidRPr="006736BF" w:rsidTr="00A25B18">
        <w:tc>
          <w:tcPr>
            <w:tcW w:w="1396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proofErr w:type="spellStart"/>
            <w:r w:rsidRPr="006736BF">
              <w:t>Karni</w:t>
            </w:r>
            <w:proofErr w:type="spellEnd"/>
            <w:r w:rsidRPr="006736BF">
              <w:t xml:space="preserve"> 2025 [1</w:t>
            </w:r>
            <w:r>
              <w:t>6</w:t>
            </w:r>
            <w:r w:rsidRPr="006736BF">
              <w:t>]</w:t>
            </w:r>
          </w:p>
        </w:tc>
        <w:tc>
          <w:tcPr>
            <w:tcW w:w="151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A4C + A5C combined sub-score (max 100%)</w:t>
            </w:r>
          </w:p>
        </w:tc>
        <w:tc>
          <w:tcPr>
            <w:tcW w:w="152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88% (SD 10%)</w:t>
            </w:r>
          </w:p>
        </w:tc>
        <w:tc>
          <w:tcPr>
            <w:tcW w:w="1251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76% (SD 17%)</w:t>
            </w:r>
          </w:p>
        </w:tc>
        <w:tc>
          <w:tcPr>
            <w:tcW w:w="174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+12% (95% CI approx. +3 to +21)</w:t>
            </w:r>
          </w:p>
        </w:tc>
        <w:tc>
          <w:tcPr>
            <w:tcW w:w="1581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d = 0.85 (95% CI 0.23 to 1.47)‡</w:t>
            </w:r>
          </w:p>
        </w:tc>
        <w:tc>
          <w:tcPr>
            <w:tcW w:w="92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0.016‡</w:t>
            </w:r>
          </w:p>
        </w:tc>
        <w:tc>
          <w:tcPr>
            <w:tcW w:w="142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AI superior</w:t>
            </w:r>
          </w:p>
        </w:tc>
      </w:tr>
      <w:tr w:rsidR="00DB398F" w:rsidRPr="006736BF" w:rsidTr="00A25B18">
        <w:tc>
          <w:tcPr>
            <w:tcW w:w="1396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proofErr w:type="spellStart"/>
            <w:r w:rsidRPr="006736BF">
              <w:t>Höhne</w:t>
            </w:r>
            <w:proofErr w:type="spellEnd"/>
            <w:r w:rsidRPr="006736BF">
              <w:t xml:space="preserve"> 2025 [1</w:t>
            </w:r>
            <w:r>
              <w:t>5</w:t>
            </w:r>
            <w:r w:rsidRPr="006736BF">
              <w:t>]</w:t>
            </w:r>
          </w:p>
        </w:tc>
        <w:tc>
          <w:tcPr>
            <w:tcW w:w="151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OSCE FAST post-test (max 11)</w:t>
            </w:r>
          </w:p>
        </w:tc>
        <w:tc>
          <w:tcPr>
            <w:tcW w:w="152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8.73 (SD 1.38)</w:t>
            </w:r>
          </w:p>
        </w:tc>
        <w:tc>
          <w:tcPr>
            <w:tcW w:w="1251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9.00 (SD 1.12)</w:t>
            </w:r>
          </w:p>
        </w:tc>
        <w:tc>
          <w:tcPr>
            <w:tcW w:w="174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−0.27 (95% CI −0.93 to +0.39)</w:t>
            </w:r>
          </w:p>
        </w:tc>
        <w:tc>
          <w:tcPr>
            <w:tcW w:w="1581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d = −0.22 (95% CI −0.77 to 0.34)</w:t>
            </w:r>
          </w:p>
        </w:tc>
        <w:tc>
          <w:tcPr>
            <w:tcW w:w="92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0.634</w:t>
            </w:r>
          </w:p>
        </w:tc>
        <w:tc>
          <w:tcPr>
            <w:tcW w:w="142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Comparable</w:t>
            </w:r>
          </w:p>
        </w:tc>
      </w:tr>
      <w:tr w:rsidR="00DB398F" w:rsidRPr="006736BF" w:rsidTr="00A25B18">
        <w:tc>
          <w:tcPr>
            <w:tcW w:w="1396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proofErr w:type="spellStart"/>
            <w:r w:rsidRPr="006736BF">
              <w:t>Höhne</w:t>
            </w:r>
            <w:proofErr w:type="spellEnd"/>
            <w:r w:rsidRPr="006736BF">
              <w:t xml:space="preserve"> 2025 [1</w:t>
            </w:r>
            <w:r>
              <w:t>5</w:t>
            </w:r>
            <w:r w:rsidRPr="006736BF">
              <w:t>]</w:t>
            </w:r>
          </w:p>
        </w:tc>
        <w:tc>
          <w:tcPr>
            <w:tcW w:w="151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OSCE Lung post-test (max 11)</w:t>
            </w:r>
          </w:p>
        </w:tc>
        <w:tc>
          <w:tcPr>
            <w:tcW w:w="152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9.23 (SD 1.46)</w:t>
            </w:r>
          </w:p>
        </w:tc>
        <w:tc>
          <w:tcPr>
            <w:tcW w:w="1251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9.17 (SD 1.42)</w:t>
            </w:r>
          </w:p>
        </w:tc>
        <w:tc>
          <w:tcPr>
            <w:tcW w:w="174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+0.06 (95% CI −0.68 to +0.80)</w:t>
            </w:r>
          </w:p>
        </w:tc>
        <w:tc>
          <w:tcPr>
            <w:tcW w:w="1581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d = 0.04 (95% CI −0.62 to 0.54)</w:t>
            </w:r>
          </w:p>
        </w:tc>
        <w:tc>
          <w:tcPr>
            <w:tcW w:w="92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0.843</w:t>
            </w:r>
          </w:p>
        </w:tc>
        <w:tc>
          <w:tcPr>
            <w:tcW w:w="142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Comparable</w:t>
            </w:r>
          </w:p>
        </w:tc>
      </w:tr>
      <w:tr w:rsidR="00DB398F" w:rsidRPr="006736BF" w:rsidTr="00A25B18">
        <w:tc>
          <w:tcPr>
            <w:tcW w:w="1396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Baum 2023 [1</w:t>
            </w:r>
            <w:r>
              <w:t>8</w:t>
            </w:r>
            <w:r w:rsidRPr="006736BF">
              <w:t>]‡‡</w:t>
            </w:r>
          </w:p>
        </w:tc>
        <w:tc>
          <w:tcPr>
            <w:tcW w:w="151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A4C acquisition time at 2 weeks (s)</w:t>
            </w:r>
          </w:p>
        </w:tc>
        <w:tc>
          <w:tcPr>
            <w:tcW w:w="152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57 (IQR 32–75)</w:t>
            </w:r>
          </w:p>
        </w:tc>
        <w:tc>
          <w:tcPr>
            <w:tcW w:w="1251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85 (IQR 50–172)</w:t>
            </w:r>
          </w:p>
        </w:tc>
        <w:tc>
          <w:tcPr>
            <w:tcW w:w="174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Median difference −28 s (non-parametric; CI not reported)</w:t>
            </w:r>
          </w:p>
        </w:tc>
        <w:tc>
          <w:tcPr>
            <w:tcW w:w="1581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Not calculable from reported statistics</w:t>
            </w:r>
          </w:p>
        </w:tc>
        <w:tc>
          <w:tcPr>
            <w:tcW w:w="92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0.01</w:t>
            </w:r>
          </w:p>
        </w:tc>
        <w:tc>
          <w:tcPr>
            <w:tcW w:w="142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AI faster</w:t>
            </w:r>
          </w:p>
        </w:tc>
      </w:tr>
      <w:tr w:rsidR="00DB398F" w:rsidRPr="006736BF" w:rsidTr="00A25B18">
        <w:tc>
          <w:tcPr>
            <w:tcW w:w="1396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Baum 2023 [1</w:t>
            </w:r>
            <w:r>
              <w:t>8</w:t>
            </w:r>
            <w:r w:rsidRPr="006736BF">
              <w:t>]</w:t>
            </w:r>
          </w:p>
        </w:tc>
        <w:tc>
          <w:tcPr>
            <w:tcW w:w="151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A4C acquisition time at baseline (s)</w:t>
            </w:r>
          </w:p>
        </w:tc>
        <w:tc>
          <w:tcPr>
            <w:tcW w:w="152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146 (IQR 98–220)</w:t>
            </w:r>
          </w:p>
        </w:tc>
        <w:tc>
          <w:tcPr>
            <w:tcW w:w="1251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119 (IQR 64–175)</w:t>
            </w:r>
          </w:p>
        </w:tc>
        <w:tc>
          <w:tcPr>
            <w:tcW w:w="174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Comparable at baseline</w:t>
            </w:r>
          </w:p>
        </w:tc>
        <w:tc>
          <w:tcPr>
            <w:tcW w:w="1581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Not calculable</w:t>
            </w:r>
          </w:p>
        </w:tc>
        <w:tc>
          <w:tcPr>
            <w:tcW w:w="92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0.21</w:t>
            </w:r>
          </w:p>
        </w:tc>
        <w:tc>
          <w:tcPr>
            <w:tcW w:w="142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No difference</w:t>
            </w:r>
          </w:p>
        </w:tc>
      </w:tr>
      <w:tr w:rsidR="00DB398F" w:rsidRPr="006736BF" w:rsidTr="00A25B18">
        <w:tc>
          <w:tcPr>
            <w:tcW w:w="1396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Baum 2023 [1</w:t>
            </w:r>
            <w:r>
              <w:t>8</w:t>
            </w:r>
            <w:r w:rsidRPr="006736BF">
              <w:t>]</w:t>
            </w:r>
          </w:p>
        </w:tc>
        <w:tc>
          <w:tcPr>
            <w:tcW w:w="151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Modified RACE image quality at 2 weeks</w:t>
            </w:r>
          </w:p>
        </w:tc>
        <w:tc>
          <w:tcPr>
            <w:tcW w:w="152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4.5 (IQR 2–5.5)</w:t>
            </w:r>
          </w:p>
        </w:tc>
        <w:tc>
          <w:tcPr>
            <w:tcW w:w="1251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2 (IQR 1–3)</w:t>
            </w:r>
          </w:p>
        </w:tc>
        <w:tc>
          <w:tcPr>
            <w:tcW w:w="174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Median difference +2.5 points</w:t>
            </w:r>
          </w:p>
        </w:tc>
        <w:tc>
          <w:tcPr>
            <w:tcW w:w="1581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Not calculable from reported statistics</w:t>
            </w:r>
          </w:p>
        </w:tc>
        <w:tc>
          <w:tcPr>
            <w:tcW w:w="92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&lt; 0.01</w:t>
            </w:r>
          </w:p>
        </w:tc>
        <w:tc>
          <w:tcPr>
            <w:tcW w:w="142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 xml:space="preserve">AI superior (baseline trend p = 0.08 limits </w:t>
            </w:r>
            <w:r w:rsidRPr="006736BF">
              <w:lastRenderedPageBreak/>
              <w:t>inference)</w:t>
            </w:r>
          </w:p>
        </w:tc>
      </w:tr>
      <w:tr w:rsidR="00DB398F" w:rsidRPr="006736BF" w:rsidTr="00A25B18">
        <w:tc>
          <w:tcPr>
            <w:tcW w:w="1396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lastRenderedPageBreak/>
              <w:t>Baum 2023 [1</w:t>
            </w:r>
            <w:r>
              <w:t>8</w:t>
            </w:r>
            <w:r w:rsidRPr="006736BF">
              <w:t>]</w:t>
            </w:r>
          </w:p>
        </w:tc>
        <w:tc>
          <w:tcPr>
            <w:tcW w:w="151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Image assessment score, overall (%)</w:t>
            </w:r>
          </w:p>
        </w:tc>
        <w:tc>
          <w:tcPr>
            <w:tcW w:w="152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100 (IQR 90–100)</w:t>
            </w:r>
          </w:p>
        </w:tc>
        <w:tc>
          <w:tcPr>
            <w:tcW w:w="1251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90 (IQR 80–100)</w:t>
            </w:r>
          </w:p>
        </w:tc>
        <w:tc>
          <w:tcPr>
            <w:tcW w:w="174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Median difference +10 percentage points</w:t>
            </w:r>
          </w:p>
        </w:tc>
        <w:tc>
          <w:tcPr>
            <w:tcW w:w="1581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Not calculable</w:t>
            </w:r>
          </w:p>
        </w:tc>
        <w:tc>
          <w:tcPr>
            <w:tcW w:w="92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0.09</w:t>
            </w:r>
          </w:p>
        </w:tc>
        <w:tc>
          <w:tcPr>
            <w:tcW w:w="142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No difference</w:t>
            </w:r>
          </w:p>
        </w:tc>
      </w:tr>
      <w:tr w:rsidR="00DB398F" w:rsidRPr="006736BF" w:rsidTr="00A25B18">
        <w:tc>
          <w:tcPr>
            <w:tcW w:w="1396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Baum 2023 [1</w:t>
            </w:r>
            <w:r>
              <w:t>8</w:t>
            </w:r>
            <w:r w:rsidRPr="006736BF">
              <w:t>]</w:t>
            </w:r>
          </w:p>
        </w:tc>
        <w:tc>
          <w:tcPr>
            <w:tcW w:w="151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Correct identification of reduced LV systolic function</w:t>
            </w:r>
          </w:p>
        </w:tc>
        <w:tc>
          <w:tcPr>
            <w:tcW w:w="152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85% (17/20)</w:t>
            </w:r>
          </w:p>
        </w:tc>
        <w:tc>
          <w:tcPr>
            <w:tcW w:w="1251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50% (9/18)</w:t>
            </w:r>
          </w:p>
        </w:tc>
        <w:tc>
          <w:tcPr>
            <w:tcW w:w="174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+35 percentage points</w:t>
            </w:r>
          </w:p>
        </w:tc>
        <w:tc>
          <w:tcPr>
            <w:tcW w:w="1581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Not calculable (binary)</w:t>
            </w:r>
          </w:p>
        </w:tc>
        <w:tc>
          <w:tcPr>
            <w:tcW w:w="92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0.02</w:t>
            </w:r>
          </w:p>
        </w:tc>
        <w:tc>
          <w:tcPr>
            <w:tcW w:w="142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AI superior (single sub-item)</w:t>
            </w:r>
          </w:p>
        </w:tc>
      </w:tr>
      <w:tr w:rsidR="00DB398F" w:rsidRPr="006736BF" w:rsidTr="00A25B18">
        <w:tc>
          <w:tcPr>
            <w:tcW w:w="1396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Baum 2023 [1</w:t>
            </w:r>
            <w:r>
              <w:t>8</w:t>
            </w:r>
            <w:r w:rsidRPr="006736BF">
              <w:t>]</w:t>
            </w:r>
          </w:p>
        </w:tc>
        <w:tc>
          <w:tcPr>
            <w:tcW w:w="151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Correct identification of normal LV systolic function</w:t>
            </w:r>
          </w:p>
        </w:tc>
        <w:tc>
          <w:tcPr>
            <w:tcW w:w="152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80% (15/20)</w:t>
            </w:r>
          </w:p>
        </w:tc>
        <w:tc>
          <w:tcPr>
            <w:tcW w:w="1251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83% (15/18)</w:t>
            </w:r>
          </w:p>
        </w:tc>
        <w:tc>
          <w:tcPr>
            <w:tcW w:w="174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−3 percentage points</w:t>
            </w:r>
          </w:p>
        </w:tc>
        <w:tc>
          <w:tcPr>
            <w:tcW w:w="1581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Not calculable (binary)</w:t>
            </w:r>
          </w:p>
        </w:tc>
        <w:tc>
          <w:tcPr>
            <w:tcW w:w="92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0.52</w:t>
            </w:r>
          </w:p>
        </w:tc>
        <w:tc>
          <w:tcPr>
            <w:tcW w:w="142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No difference</w:t>
            </w:r>
          </w:p>
        </w:tc>
      </w:tr>
      <w:tr w:rsidR="00DB398F" w:rsidRPr="006736BF" w:rsidTr="00A25B18">
        <w:tc>
          <w:tcPr>
            <w:tcW w:w="1396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Baum 2023 [1</w:t>
            </w:r>
            <w:r>
              <w:t>8</w:t>
            </w:r>
            <w:r w:rsidRPr="006736BF">
              <w:t>]</w:t>
            </w:r>
          </w:p>
        </w:tc>
        <w:tc>
          <w:tcPr>
            <w:tcW w:w="151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Correct identification of cardiac anatomical features</w:t>
            </w:r>
          </w:p>
        </w:tc>
        <w:tc>
          <w:tcPr>
            <w:tcW w:w="152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90% (18/20)</w:t>
            </w:r>
          </w:p>
        </w:tc>
        <w:tc>
          <w:tcPr>
            <w:tcW w:w="1251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89% (16/18)</w:t>
            </w:r>
          </w:p>
        </w:tc>
        <w:tc>
          <w:tcPr>
            <w:tcW w:w="174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+1 percentage point</w:t>
            </w:r>
          </w:p>
        </w:tc>
        <w:tc>
          <w:tcPr>
            <w:tcW w:w="1581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Not calculable (binary)</w:t>
            </w:r>
          </w:p>
        </w:tc>
        <w:tc>
          <w:tcPr>
            <w:tcW w:w="92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0.91</w:t>
            </w:r>
          </w:p>
        </w:tc>
        <w:tc>
          <w:tcPr>
            <w:tcW w:w="142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No difference</w:t>
            </w:r>
          </w:p>
        </w:tc>
      </w:tr>
      <w:tr w:rsidR="00DB398F" w:rsidRPr="006736BF" w:rsidTr="00A25B18">
        <w:tc>
          <w:tcPr>
            <w:tcW w:w="1396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Baum 2023 [1</w:t>
            </w:r>
            <w:r>
              <w:t>8</w:t>
            </w:r>
            <w:r w:rsidRPr="006736BF">
              <w:t>]</w:t>
            </w:r>
          </w:p>
        </w:tc>
        <w:tc>
          <w:tcPr>
            <w:tcW w:w="151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Device usage frequency over 2 weeks (co-intervention)</w:t>
            </w:r>
          </w:p>
        </w:tc>
        <w:tc>
          <w:tcPr>
            <w:tcW w:w="152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5.5 (IQR 4–10)</w:t>
            </w:r>
          </w:p>
        </w:tc>
        <w:tc>
          <w:tcPr>
            <w:tcW w:w="1251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2 (IQR 0–4)</w:t>
            </w:r>
          </w:p>
        </w:tc>
        <w:tc>
          <w:tcPr>
            <w:tcW w:w="174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Median difference +3.5 uses</w:t>
            </w:r>
          </w:p>
        </w:tc>
        <w:tc>
          <w:tcPr>
            <w:tcW w:w="1581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Not calculable</w:t>
            </w:r>
          </w:p>
        </w:tc>
        <w:tc>
          <w:tcPr>
            <w:tcW w:w="92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&lt; 0.01</w:t>
            </w:r>
          </w:p>
        </w:tc>
        <w:tc>
          <w:tcPr>
            <w:tcW w:w="142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Confounds intervention with practice dose</w:t>
            </w:r>
          </w:p>
        </w:tc>
      </w:tr>
      <w:tr w:rsidR="00DB398F" w:rsidRPr="006736BF" w:rsidTr="00A25B18">
        <w:trPr>
          <w:gridAfter w:val="1"/>
          <w:wAfter w:w="1420" w:type="dxa"/>
        </w:trPr>
        <w:tc>
          <w:tcPr>
            <w:tcW w:w="9934" w:type="dxa"/>
            <w:gridSpan w:val="7"/>
            <w:shd w:val="clear" w:color="auto" w:fill="F4F4F4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rPr>
                <w:b/>
                <w:bCs/>
              </w:rPr>
              <w:t>Exploratory — high risk of bias (do not inform primary conclusions)</w:t>
            </w:r>
          </w:p>
        </w:tc>
      </w:tr>
      <w:tr w:rsidR="00DB398F" w:rsidRPr="006736BF" w:rsidTr="00A25B18">
        <w:tc>
          <w:tcPr>
            <w:tcW w:w="1396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proofErr w:type="spellStart"/>
            <w:r w:rsidRPr="006736BF">
              <w:t>Aronovitz</w:t>
            </w:r>
            <w:proofErr w:type="spellEnd"/>
            <w:r w:rsidRPr="006736BF">
              <w:t xml:space="preserve"> 2024 [1</w:t>
            </w:r>
            <w:r>
              <w:t>4</w:t>
            </w:r>
            <w:r w:rsidRPr="006736BF">
              <w:t>]**</w:t>
            </w:r>
          </w:p>
        </w:tc>
        <w:tc>
          <w:tcPr>
            <w:tcW w:w="151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6-minute exam total score (max 31) — non-normally distributed; Mann–Whitney U</w:t>
            </w:r>
          </w:p>
        </w:tc>
        <w:tc>
          <w:tcPr>
            <w:tcW w:w="152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Median 26</w:t>
            </w:r>
          </w:p>
        </w:tc>
        <w:tc>
          <w:tcPr>
            <w:tcW w:w="1251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Median 22</w:t>
            </w:r>
          </w:p>
        </w:tc>
        <w:tc>
          <w:tcPr>
            <w:tcW w:w="174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Not calculable (non-normal; NI margin not pre-specified)</w:t>
            </w:r>
          </w:p>
        </w:tc>
        <w:tc>
          <w:tcPr>
            <w:tcW w:w="1581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r = 0.37 (rank-</w:t>
            </w:r>
            <w:proofErr w:type="spellStart"/>
            <w:r w:rsidRPr="006736BF">
              <w:t>biserial</w:t>
            </w:r>
            <w:proofErr w:type="spellEnd"/>
            <w:r w:rsidRPr="006736BF">
              <w:t>)§</w:t>
            </w:r>
          </w:p>
        </w:tc>
        <w:tc>
          <w:tcPr>
            <w:tcW w:w="92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0.002</w:t>
            </w:r>
          </w:p>
        </w:tc>
        <w:tc>
          <w:tcPr>
            <w:tcW w:w="142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AI superior** (likely inflated)</w:t>
            </w:r>
          </w:p>
        </w:tc>
      </w:tr>
      <w:tr w:rsidR="00DB398F" w:rsidRPr="006736BF" w:rsidTr="00A25B18">
        <w:trPr>
          <w:gridAfter w:val="1"/>
          <w:wAfter w:w="1420" w:type="dxa"/>
        </w:trPr>
        <w:tc>
          <w:tcPr>
            <w:tcW w:w="9934" w:type="dxa"/>
            <w:gridSpan w:val="7"/>
            <w:shd w:val="clear" w:color="auto" w:fill="F4F4F4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rPr>
                <w:b/>
                <w:bCs/>
              </w:rPr>
              <w:t>Non-clinical exploratory — not incorporated in medical training synthesis</w:t>
            </w:r>
          </w:p>
        </w:tc>
      </w:tr>
      <w:tr w:rsidR="00DB398F" w:rsidRPr="006736BF" w:rsidTr="00A25B18">
        <w:tc>
          <w:tcPr>
            <w:tcW w:w="1396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proofErr w:type="spellStart"/>
            <w:r w:rsidRPr="006736BF">
              <w:t>Hurd</w:t>
            </w:r>
            <w:proofErr w:type="spellEnd"/>
            <w:r w:rsidRPr="006736BF">
              <w:t xml:space="preserve"> 2025 [1</w:t>
            </w:r>
            <w:r>
              <w:t>7</w:t>
            </w:r>
            <w:r w:rsidRPr="006736BF">
              <w:t>]†</w:t>
            </w:r>
          </w:p>
        </w:tc>
        <w:tc>
          <w:tcPr>
            <w:tcW w:w="151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Bladder volume variability (</w:t>
            </w:r>
            <w:proofErr w:type="spellStart"/>
            <w:r w:rsidRPr="006736BF">
              <w:t>Levene's</w:t>
            </w:r>
            <w:proofErr w:type="spellEnd"/>
            <w:r w:rsidRPr="006736BF">
              <w:t xml:space="preserve"> test — variance comparison only)</w:t>
            </w:r>
          </w:p>
        </w:tc>
        <w:tc>
          <w:tcPr>
            <w:tcW w:w="152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Lower variance</w:t>
            </w:r>
          </w:p>
        </w:tc>
        <w:tc>
          <w:tcPr>
            <w:tcW w:w="1251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Higher variance</w:t>
            </w:r>
          </w:p>
        </w:tc>
        <w:tc>
          <w:tcPr>
            <w:tcW w:w="174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Variance comparison (mean difference not applicable)</w:t>
            </w:r>
          </w:p>
        </w:tc>
        <w:tc>
          <w:tcPr>
            <w:tcW w:w="1581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N/A (variance outcome)</w:t>
            </w:r>
          </w:p>
        </w:tc>
        <w:tc>
          <w:tcPr>
            <w:tcW w:w="92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0.004</w:t>
            </w:r>
          </w:p>
        </w:tc>
        <w:tc>
          <w:tcPr>
            <w:tcW w:w="142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DB398F" w:rsidRPr="006736BF" w:rsidRDefault="00DB398F" w:rsidP="00A25B18">
            <w:r w:rsidRPr="006736BF">
              <w:t>AI superior for measurement consistency†</w:t>
            </w:r>
          </w:p>
        </w:tc>
      </w:tr>
    </w:tbl>
    <w:p w:rsidR="00DB398F" w:rsidRPr="00F242A3" w:rsidRDefault="00DB398F" w:rsidP="00DB398F">
      <w:r>
        <w:lastRenderedPageBreak/>
        <w:br w:type="page"/>
      </w:r>
    </w:p>
    <w:p w:rsidR="00DB398F" w:rsidRPr="00F242A3" w:rsidRDefault="00DB398F" w:rsidP="00DB398F">
      <w:pPr>
        <w:spacing w:before="280" w:after="60"/>
      </w:pPr>
      <w:proofErr w:type="gramStart"/>
      <w:r w:rsidRPr="00F242A3">
        <w:rPr>
          <w:b/>
          <w:bCs/>
        </w:rPr>
        <w:lastRenderedPageBreak/>
        <w:t>ESM 5.</w:t>
      </w:r>
      <w:proofErr w:type="gramEnd"/>
      <w:r w:rsidRPr="00F242A3">
        <w:rPr>
          <w:b/>
          <w:bCs/>
        </w:rPr>
        <w:t xml:space="preserve">  Immediate versus delayed effects and retention patterns (studies with follow-up &gt; 7 days)</w:t>
      </w:r>
    </w:p>
    <w:tbl>
      <w:tblPr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00"/>
        <w:gridCol w:w="1800"/>
        <w:gridCol w:w="2120"/>
        <w:gridCol w:w="2120"/>
        <w:gridCol w:w="3528"/>
      </w:tblGrid>
      <w:tr w:rsidR="00DB398F" w:rsidRPr="000E0A0F" w:rsidTr="00A25B18">
        <w:trPr>
          <w:tblHeader/>
        </w:trPr>
        <w:tc>
          <w:tcPr>
            <w:tcW w:w="1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B398F" w:rsidRPr="000E0A0F" w:rsidRDefault="00DB398F" w:rsidP="00A25B18">
            <w:pPr>
              <w:spacing w:before="30" w:after="30"/>
              <w:rPr>
                <w:sz w:val="20"/>
                <w:szCs w:val="20"/>
              </w:rPr>
            </w:pPr>
            <w:r w:rsidRPr="000E0A0F">
              <w:rPr>
                <w:rFonts w:eastAsia="Arial"/>
                <w:b/>
                <w:bCs/>
                <w:color w:val="FFFFFF"/>
                <w:sz w:val="20"/>
                <w:szCs w:val="20"/>
              </w:rPr>
              <w:t>Study</w:t>
            </w:r>
          </w:p>
        </w:tc>
        <w:tc>
          <w:tcPr>
            <w:tcW w:w="18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B398F" w:rsidRPr="000E0A0F" w:rsidRDefault="00DB398F" w:rsidP="00A25B18">
            <w:pPr>
              <w:spacing w:before="30" w:after="30"/>
              <w:rPr>
                <w:sz w:val="20"/>
                <w:szCs w:val="20"/>
              </w:rPr>
            </w:pPr>
            <w:r w:rsidRPr="000E0A0F">
              <w:rPr>
                <w:rFonts w:eastAsia="Arial"/>
                <w:b/>
                <w:bCs/>
                <w:color w:val="FFFFFF"/>
                <w:sz w:val="20"/>
                <w:szCs w:val="20"/>
              </w:rPr>
              <w:t>Outcome / follow-up</w:t>
            </w:r>
          </w:p>
        </w:tc>
        <w:tc>
          <w:tcPr>
            <w:tcW w:w="212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B398F" w:rsidRPr="000E0A0F" w:rsidRDefault="00DB398F" w:rsidP="00A25B18">
            <w:pPr>
              <w:spacing w:before="30" w:after="3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tag w:val="goog_rdk_22"/>
                <w:id w:val="-468932251"/>
              </w:sdtPr>
              <w:sdtContent>
                <w:r w:rsidRPr="000E0A0F">
                  <w:rPr>
                    <w:rFonts w:eastAsia="Arial Unicode MS"/>
                    <w:b/>
                    <w:bCs/>
                    <w:color w:val="FFFFFF"/>
                    <w:sz w:val="20"/>
                    <w:szCs w:val="20"/>
                  </w:rPr>
                  <w:t>AI: baseline → follow-up</w:t>
                </w:r>
              </w:sdtContent>
            </w:sdt>
          </w:p>
        </w:tc>
        <w:tc>
          <w:tcPr>
            <w:tcW w:w="212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B398F" w:rsidRPr="000E0A0F" w:rsidRDefault="00DB398F" w:rsidP="00A25B18">
            <w:pPr>
              <w:spacing w:before="30" w:after="3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tag w:val="goog_rdk_23"/>
                <w:id w:val="-1074193903"/>
              </w:sdtPr>
              <w:sdtContent>
                <w:r w:rsidRPr="000E0A0F">
                  <w:rPr>
                    <w:rFonts w:eastAsia="Arial Unicode MS"/>
                    <w:b/>
                    <w:bCs/>
                    <w:color w:val="FFFFFF"/>
                    <w:sz w:val="20"/>
                    <w:szCs w:val="20"/>
                  </w:rPr>
                  <w:t>Control: baseline → follow-up</w:t>
                </w:r>
              </w:sdtContent>
            </w:sdt>
          </w:p>
        </w:tc>
        <w:tc>
          <w:tcPr>
            <w:tcW w:w="352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B398F" w:rsidRPr="000E0A0F" w:rsidRDefault="00DB398F" w:rsidP="00A25B18">
            <w:pPr>
              <w:spacing w:before="30" w:after="30"/>
              <w:rPr>
                <w:sz w:val="20"/>
                <w:szCs w:val="20"/>
              </w:rPr>
            </w:pPr>
            <w:r w:rsidRPr="000E0A0F">
              <w:rPr>
                <w:rFonts w:eastAsia="Arial"/>
                <w:b/>
                <w:bCs/>
                <w:color w:val="FFFFFF"/>
                <w:sz w:val="20"/>
                <w:szCs w:val="20"/>
              </w:rPr>
              <w:t>Interpretation</w:t>
            </w:r>
          </w:p>
        </w:tc>
      </w:tr>
      <w:tr w:rsidR="00DB398F" w:rsidRPr="000E0A0F" w:rsidTr="00A25B18">
        <w:tc>
          <w:tcPr>
            <w:tcW w:w="1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B398F" w:rsidRPr="000E0A0F" w:rsidRDefault="00DB398F" w:rsidP="00A25B18">
            <w:pPr>
              <w:spacing w:before="30" w:after="30"/>
              <w:rPr>
                <w:sz w:val="20"/>
                <w:szCs w:val="20"/>
              </w:rPr>
            </w:pPr>
            <w:r w:rsidRPr="000E0A0F">
              <w:rPr>
                <w:rFonts w:eastAsia="Arial"/>
                <w:b/>
                <w:bCs/>
                <w:sz w:val="20"/>
                <w:szCs w:val="20"/>
              </w:rPr>
              <w:t>Lau 2025 [</w:t>
            </w:r>
            <w:r>
              <w:rPr>
                <w:rFonts w:eastAsia="Arial"/>
                <w:b/>
                <w:bCs/>
                <w:sz w:val="20"/>
                <w:szCs w:val="20"/>
              </w:rPr>
              <w:t>13</w:t>
            </w:r>
            <w:r w:rsidRPr="000E0A0F">
              <w:rPr>
                <w:rFonts w:eastAsia="Arial"/>
                <w:b/>
                <w:bCs/>
                <w:sz w:val="20"/>
                <w:szCs w:val="20"/>
              </w:rPr>
              <w:t>]</w:t>
            </w:r>
          </w:p>
        </w:tc>
        <w:tc>
          <w:tcPr>
            <w:tcW w:w="18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B398F" w:rsidRPr="000E0A0F" w:rsidRDefault="00DB398F" w:rsidP="00A25B18">
            <w:pPr>
              <w:spacing w:before="30" w:after="30"/>
              <w:rPr>
                <w:sz w:val="20"/>
                <w:szCs w:val="20"/>
              </w:rPr>
            </w:pPr>
            <w:r w:rsidRPr="000E0A0F">
              <w:rPr>
                <w:rFonts w:eastAsia="Arial"/>
                <w:sz w:val="20"/>
                <w:szCs w:val="20"/>
              </w:rPr>
              <w:t>RACE score (0–25); 3-month follow-up (no interim practice permitted)</w:t>
            </w:r>
          </w:p>
        </w:tc>
        <w:tc>
          <w:tcPr>
            <w:tcW w:w="212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B398F" w:rsidRPr="000E0A0F" w:rsidRDefault="00DB398F" w:rsidP="00A25B18">
            <w:pPr>
              <w:spacing w:before="30" w:after="3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tag w:val="goog_rdk_24"/>
                <w:id w:val="1392689879"/>
              </w:sdtPr>
              <w:sdtContent>
                <w:r w:rsidRPr="000E0A0F">
                  <w:rPr>
                    <w:rFonts w:eastAsia="Arial Unicode MS"/>
                    <w:sz w:val="20"/>
                    <w:szCs w:val="20"/>
                  </w:rPr>
                  <w:t>13.39 → 13.24 (Δ −0.15; within-group p = 0.907)</w:t>
                </w:r>
              </w:sdtContent>
            </w:sdt>
          </w:p>
        </w:tc>
        <w:tc>
          <w:tcPr>
            <w:tcW w:w="212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B398F" w:rsidRPr="000E0A0F" w:rsidRDefault="00DB398F" w:rsidP="00A25B18">
            <w:pPr>
              <w:spacing w:before="30" w:after="3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tag w:val="goog_rdk_25"/>
                <w:id w:val="-1536004758"/>
              </w:sdtPr>
              <w:sdtContent>
                <w:r w:rsidRPr="000E0A0F">
                  <w:rPr>
                    <w:rFonts w:eastAsia="Arial Unicode MS"/>
                    <w:sz w:val="20"/>
                    <w:szCs w:val="20"/>
                  </w:rPr>
                  <w:t>15.77 → 14.89 (Δ −0.88; within-group p = 0.194)</w:t>
                </w:r>
              </w:sdtContent>
            </w:sdt>
          </w:p>
        </w:tc>
        <w:tc>
          <w:tcPr>
            <w:tcW w:w="352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B398F" w:rsidRPr="000E0A0F" w:rsidRDefault="00DB398F" w:rsidP="00A25B18">
            <w:pPr>
              <w:spacing w:before="20" w:after="20"/>
              <w:rPr>
                <w:sz w:val="20"/>
                <w:szCs w:val="20"/>
              </w:rPr>
            </w:pPr>
            <w:r w:rsidRPr="000E0A0F">
              <w:rPr>
                <w:rFonts w:eastAsia="Arial"/>
                <w:sz w:val="20"/>
                <w:szCs w:val="20"/>
              </w:rPr>
              <w:t xml:space="preserve">Stable retention in both groups; no differential decay (between-group ANOVA p = 0.483). Traditional group maintained numerically higher RACE scores at all </w:t>
            </w:r>
            <w:proofErr w:type="spellStart"/>
            <w:r w:rsidRPr="000E0A0F">
              <w:rPr>
                <w:rFonts w:eastAsia="Arial"/>
                <w:sz w:val="20"/>
                <w:szCs w:val="20"/>
              </w:rPr>
              <w:t>timepoints</w:t>
            </w:r>
            <w:proofErr w:type="spellEnd"/>
            <w:r w:rsidRPr="000E0A0F">
              <w:rPr>
                <w:rFonts w:eastAsia="Arial"/>
                <w:sz w:val="20"/>
                <w:szCs w:val="20"/>
              </w:rPr>
              <w:t>.</w:t>
            </w:r>
          </w:p>
          <w:p w:rsidR="00DB398F" w:rsidRPr="000E0A0F" w:rsidRDefault="00DB398F" w:rsidP="00A25B18">
            <w:pPr>
              <w:spacing w:before="20" w:after="20"/>
              <w:rPr>
                <w:sz w:val="20"/>
                <w:szCs w:val="20"/>
              </w:rPr>
            </w:pPr>
            <w:r w:rsidRPr="000E0A0F">
              <w:rPr>
                <w:rFonts w:eastAsia="Arial"/>
                <w:b/>
                <w:bCs/>
                <w:sz w:val="20"/>
                <w:szCs w:val="20"/>
              </w:rPr>
              <w:t xml:space="preserve">Note: </w:t>
            </w:r>
            <w:r w:rsidRPr="000E0A0F">
              <w:rPr>
                <w:rFonts w:eastAsia="Arial"/>
                <w:sz w:val="20"/>
                <w:szCs w:val="20"/>
              </w:rPr>
              <w:t>Image interpretation pass rates declined markedly in all groups at 3 months (Traditional 36.4%; AI 19.0%; VR 13.6%). Differences were not statistically significant but represent a clinically important pattern warranting prospective evaluation with adequate power.</w:t>
            </w:r>
          </w:p>
        </w:tc>
      </w:tr>
      <w:tr w:rsidR="00DB398F" w:rsidRPr="000E0A0F" w:rsidTr="00A25B18">
        <w:tc>
          <w:tcPr>
            <w:tcW w:w="1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B398F" w:rsidRPr="00BE385D" w:rsidRDefault="00DB398F" w:rsidP="00A25B18">
            <w:pPr>
              <w:spacing w:before="30" w:after="30"/>
              <w:rPr>
                <w:b/>
                <w:bCs/>
                <w:sz w:val="20"/>
                <w:szCs w:val="20"/>
              </w:rPr>
            </w:pPr>
            <w:proofErr w:type="spellStart"/>
            <w:r w:rsidRPr="000E0A0F">
              <w:rPr>
                <w:rFonts w:eastAsia="Arial"/>
                <w:b/>
                <w:bCs/>
                <w:sz w:val="20"/>
                <w:szCs w:val="20"/>
              </w:rPr>
              <w:t>Hurd</w:t>
            </w:r>
            <w:proofErr w:type="spellEnd"/>
            <w:r w:rsidRPr="000E0A0F">
              <w:rPr>
                <w:rFonts w:eastAsia="Arial"/>
                <w:b/>
                <w:bCs/>
                <w:sz w:val="20"/>
                <w:szCs w:val="20"/>
              </w:rPr>
              <w:t xml:space="preserve"> 2025 [1</w:t>
            </w:r>
            <w:r>
              <w:rPr>
                <w:rFonts w:eastAsia="Arial"/>
                <w:b/>
                <w:bCs/>
                <w:sz w:val="20"/>
                <w:szCs w:val="20"/>
              </w:rPr>
              <w:t>7</w:t>
            </w:r>
            <w:r w:rsidRPr="000E0A0F">
              <w:rPr>
                <w:rFonts w:eastAsia="Arial"/>
                <w:b/>
                <w:bCs/>
                <w:sz w:val="20"/>
                <w:szCs w:val="20"/>
              </w:rPr>
              <w:t>]†</w:t>
            </w:r>
          </w:p>
        </w:tc>
        <w:tc>
          <w:tcPr>
            <w:tcW w:w="18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B398F" w:rsidRPr="00BE385D" w:rsidRDefault="00DB398F" w:rsidP="00A25B18">
            <w:pPr>
              <w:spacing w:before="30" w:after="30"/>
              <w:rPr>
                <w:sz w:val="20"/>
                <w:szCs w:val="20"/>
              </w:rPr>
            </w:pPr>
            <w:r w:rsidRPr="000E0A0F">
              <w:rPr>
                <w:rFonts w:eastAsia="Arial"/>
                <w:sz w:val="20"/>
                <w:szCs w:val="20"/>
              </w:rPr>
              <w:t>Bladder volume variability + SUS; 2-week and 8-week follow-up</w:t>
            </w:r>
          </w:p>
        </w:tc>
        <w:tc>
          <w:tcPr>
            <w:tcW w:w="212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B398F" w:rsidRPr="00BE385D" w:rsidRDefault="00DB398F" w:rsidP="00A25B18">
            <w:pPr>
              <w:spacing w:before="30" w:after="30"/>
              <w:rPr>
                <w:sz w:val="20"/>
                <w:szCs w:val="20"/>
              </w:rPr>
            </w:pPr>
            <w:r w:rsidRPr="000E0A0F">
              <w:rPr>
                <w:rFonts w:eastAsia="Arial"/>
                <w:sz w:val="20"/>
                <w:szCs w:val="20"/>
              </w:rPr>
              <w:t xml:space="preserve">Lower variability at 2 </w:t>
            </w:r>
            <w:proofErr w:type="spellStart"/>
            <w:r w:rsidRPr="000E0A0F">
              <w:rPr>
                <w:rFonts w:eastAsia="Arial"/>
                <w:sz w:val="20"/>
                <w:szCs w:val="20"/>
              </w:rPr>
              <w:t>wk</w:t>
            </w:r>
            <w:proofErr w:type="spellEnd"/>
            <w:r w:rsidRPr="000E0A0F">
              <w:rPr>
                <w:rFonts w:eastAsia="Arial"/>
                <w:sz w:val="20"/>
                <w:szCs w:val="20"/>
              </w:rPr>
              <w:t xml:space="preserve"> (p = 0.009) and aggregated (p = 0.004); SUS maintained</w:t>
            </w:r>
          </w:p>
        </w:tc>
        <w:tc>
          <w:tcPr>
            <w:tcW w:w="212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B398F" w:rsidRPr="00BE385D" w:rsidRDefault="00DB398F" w:rsidP="00A25B18">
            <w:pPr>
              <w:spacing w:before="30" w:after="30"/>
              <w:rPr>
                <w:sz w:val="20"/>
                <w:szCs w:val="20"/>
              </w:rPr>
            </w:pPr>
            <w:r w:rsidRPr="000E0A0F">
              <w:rPr>
                <w:rFonts w:eastAsia="Arial"/>
                <w:sz w:val="20"/>
                <w:szCs w:val="20"/>
              </w:rPr>
              <w:t>Higher variability throughout; SUS declined significantly over time</w:t>
            </w:r>
          </w:p>
        </w:tc>
        <w:tc>
          <w:tcPr>
            <w:tcW w:w="352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B398F" w:rsidRPr="000E0A0F" w:rsidRDefault="00DB398F" w:rsidP="00A25B18">
            <w:pPr>
              <w:spacing w:before="20" w:after="20"/>
              <w:rPr>
                <w:sz w:val="20"/>
                <w:szCs w:val="20"/>
              </w:rPr>
            </w:pPr>
            <w:r w:rsidRPr="000E0A0F">
              <w:rPr>
                <w:rFonts w:eastAsia="Arial"/>
                <w:sz w:val="20"/>
                <w:szCs w:val="20"/>
              </w:rPr>
              <w:t>AI maintained measurement consistency and perceived usability over 8 weeks. Repeated data-collection sessions likely confound retention interpretation.</w:t>
            </w:r>
          </w:p>
          <w:p w:rsidR="00DB398F" w:rsidRPr="00BE385D" w:rsidRDefault="00DB398F" w:rsidP="00A25B18">
            <w:pPr>
              <w:spacing w:before="20" w:after="20"/>
              <w:rPr>
                <w:sz w:val="20"/>
                <w:szCs w:val="20"/>
              </w:rPr>
            </w:pPr>
            <w:r w:rsidRPr="000E0A0F">
              <w:rPr>
                <w:rFonts w:eastAsia="Arial"/>
                <w:sz w:val="20"/>
                <w:szCs w:val="20"/>
              </w:rPr>
              <w:t xml:space="preserve">† Not </w:t>
            </w:r>
            <w:proofErr w:type="spellStart"/>
            <w:r w:rsidRPr="000E0A0F">
              <w:rPr>
                <w:rFonts w:eastAsia="Arial"/>
                <w:sz w:val="20"/>
                <w:szCs w:val="20"/>
              </w:rPr>
              <w:t>generalisable</w:t>
            </w:r>
            <w:proofErr w:type="spellEnd"/>
            <w:r w:rsidRPr="000E0A0F">
              <w:rPr>
                <w:rFonts w:eastAsia="Arial"/>
                <w:sz w:val="20"/>
                <w:szCs w:val="20"/>
              </w:rPr>
              <w:t xml:space="preserve"> to medical trainees.</w:t>
            </w:r>
          </w:p>
        </w:tc>
      </w:tr>
      <w:tr w:rsidR="00DB398F" w:rsidRPr="000E0A0F" w:rsidTr="00A25B18">
        <w:tc>
          <w:tcPr>
            <w:tcW w:w="12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B398F" w:rsidRPr="00BE385D" w:rsidRDefault="00DB398F" w:rsidP="00A25B18">
            <w:pPr>
              <w:spacing w:before="30" w:after="30"/>
              <w:rPr>
                <w:rFonts w:eastAsia="Arial"/>
                <w:b/>
                <w:bCs/>
                <w:sz w:val="20"/>
                <w:szCs w:val="20"/>
              </w:rPr>
            </w:pPr>
            <w:r w:rsidRPr="00BE385D">
              <w:rPr>
                <w:b/>
                <w:bCs/>
                <w:sz w:val="20"/>
                <w:szCs w:val="20"/>
              </w:rPr>
              <w:t>Baum 2023 [1</w:t>
            </w:r>
            <w:r>
              <w:rPr>
                <w:b/>
                <w:bCs/>
                <w:sz w:val="20"/>
                <w:szCs w:val="20"/>
              </w:rPr>
              <w:t>8</w:t>
            </w:r>
            <w:r w:rsidRPr="00BE385D">
              <w:rPr>
                <w:b/>
                <w:bCs/>
                <w:sz w:val="20"/>
                <w:szCs w:val="20"/>
              </w:rPr>
              <w:t>]</w:t>
            </w:r>
          </w:p>
        </w:tc>
        <w:tc>
          <w:tcPr>
            <w:tcW w:w="180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B398F" w:rsidRPr="00BE385D" w:rsidRDefault="00DB398F" w:rsidP="00A25B18">
            <w:pPr>
              <w:spacing w:before="30" w:after="30"/>
              <w:rPr>
                <w:rFonts w:eastAsia="Arial"/>
                <w:sz w:val="20"/>
                <w:szCs w:val="20"/>
              </w:rPr>
            </w:pPr>
            <w:r w:rsidRPr="00BE385D">
              <w:rPr>
                <w:sz w:val="20"/>
                <w:szCs w:val="20"/>
              </w:rPr>
              <w:t>A4C acquisition time and modified RACE image quality; 2-week follow-up</w:t>
            </w:r>
          </w:p>
        </w:tc>
        <w:tc>
          <w:tcPr>
            <w:tcW w:w="212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B398F" w:rsidRPr="00BE385D" w:rsidRDefault="00DB398F" w:rsidP="00A25B18">
            <w:pPr>
              <w:spacing w:before="30" w:after="30"/>
              <w:rPr>
                <w:sz w:val="20"/>
                <w:szCs w:val="20"/>
              </w:rPr>
            </w:pPr>
            <w:r w:rsidRPr="00BE385D">
              <w:rPr>
                <w:sz w:val="20"/>
                <w:szCs w:val="20"/>
              </w:rPr>
              <w:t>Time 146 s → 57 s (within-group p &lt; 0.01); quality 3 → 4.5</w:t>
            </w:r>
          </w:p>
        </w:tc>
        <w:tc>
          <w:tcPr>
            <w:tcW w:w="212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B398F" w:rsidRPr="00BE385D" w:rsidRDefault="00DB398F" w:rsidP="00A25B18">
            <w:pPr>
              <w:spacing w:before="30" w:after="30"/>
              <w:rPr>
                <w:sz w:val="20"/>
                <w:szCs w:val="20"/>
              </w:rPr>
            </w:pPr>
            <w:r w:rsidRPr="00BE385D">
              <w:rPr>
                <w:sz w:val="20"/>
                <w:szCs w:val="20"/>
              </w:rPr>
              <w:t>Time 119 s → 85 s (within-group p = 0.26); quality 2 → 2</w:t>
            </w:r>
          </w:p>
        </w:tc>
        <w:tc>
          <w:tcPr>
            <w:tcW w:w="352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DB398F" w:rsidRPr="00BE385D" w:rsidRDefault="00DB398F" w:rsidP="00A25B18">
            <w:pPr>
              <w:spacing w:before="20" w:after="20"/>
              <w:rPr>
                <w:rFonts w:eastAsia="Arial"/>
                <w:sz w:val="20"/>
                <w:szCs w:val="20"/>
              </w:rPr>
            </w:pPr>
            <w:r w:rsidRPr="00BE385D">
              <w:rPr>
                <w:sz w:val="20"/>
                <w:szCs w:val="20"/>
              </w:rPr>
              <w:t xml:space="preserve">Improvement within the AI arm only. Follow-up of 2 weeks is below the 7-day threshold applied elsewhere in this table but is far shorter than the retention intervals in Lau 2025 and </w:t>
            </w:r>
            <w:proofErr w:type="spellStart"/>
            <w:r w:rsidRPr="00BE385D">
              <w:rPr>
                <w:sz w:val="20"/>
                <w:szCs w:val="20"/>
              </w:rPr>
              <w:t>Hurd</w:t>
            </w:r>
            <w:proofErr w:type="spellEnd"/>
            <w:r w:rsidRPr="00BE385D">
              <w:rPr>
                <w:sz w:val="20"/>
                <w:szCs w:val="20"/>
              </w:rPr>
              <w:t xml:space="preserve"> 2025, and provides no information on durability. Participants scanned real patients during the interval, so the change reflects supervised-free clinical practice with the device rather than retention of a taught skill.</w:t>
            </w:r>
          </w:p>
        </w:tc>
      </w:tr>
    </w:tbl>
    <w:p w:rsidR="00DB398F" w:rsidRDefault="00DB398F" w:rsidP="00DB398F"/>
    <w:p w:rsidR="004553FF" w:rsidRDefault="00DB398F">
      <w:bookmarkStart w:id="0" w:name="_GoBack"/>
      <w:bookmarkEnd w:id="0"/>
    </w:p>
    <w:sectPr w:rsidR="004553FF">
      <w:footerReference w:type="even" r:id="rId5"/>
      <w:footerReference w:type="default" r:id="rId6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lay">
    <w:charset w:val="4D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10870780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FA1BDC" w:rsidRDefault="00DB398F" w:rsidP="008D4ED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FA1BDC" w:rsidRDefault="00DB398F" w:rsidP="00FA1BDC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-124926602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FA1BDC" w:rsidRDefault="00DB398F" w:rsidP="008D4ED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9</w:t>
        </w:r>
        <w:r>
          <w:rPr>
            <w:rStyle w:val="PageNumber"/>
          </w:rPr>
          <w:fldChar w:fldCharType="end"/>
        </w:r>
      </w:p>
    </w:sdtContent>
  </w:sdt>
  <w:p w:rsidR="005755DB" w:rsidRDefault="00DB398F" w:rsidP="00FA1BDC">
    <w:pPr>
      <w:ind w:right="360"/>
      <w:jc w:val="cen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98F"/>
    <w:rsid w:val="002045B9"/>
    <w:rsid w:val="005D20EC"/>
    <w:rsid w:val="00DB3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39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398F"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398F"/>
    <w:rPr>
      <w:rFonts w:ascii="Play" w:eastAsia="Play" w:hAnsi="Play" w:cs="Play"/>
      <w:color w:val="0F4761"/>
      <w:sz w:val="40"/>
      <w:szCs w:val="40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DB398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398F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PageNumber">
    <w:name w:val="page number"/>
    <w:basedOn w:val="DefaultParagraphFont"/>
    <w:uiPriority w:val="99"/>
    <w:semiHidden/>
    <w:unhideWhenUsed/>
    <w:rsid w:val="00DB398F"/>
  </w:style>
  <w:style w:type="paragraph" w:styleId="BalloonText">
    <w:name w:val="Balloon Text"/>
    <w:basedOn w:val="Normal"/>
    <w:link w:val="BalloonTextChar"/>
    <w:uiPriority w:val="99"/>
    <w:semiHidden/>
    <w:unhideWhenUsed/>
    <w:rsid w:val="00DB39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398F"/>
    <w:rPr>
      <w:rFonts w:ascii="Tahoma" w:eastAsia="Times New Roman" w:hAnsi="Tahoma" w:cs="Tahoma"/>
      <w:sz w:val="16"/>
      <w:szCs w:val="16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39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398F"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398F"/>
    <w:rPr>
      <w:rFonts w:ascii="Play" w:eastAsia="Play" w:hAnsi="Play" w:cs="Play"/>
      <w:color w:val="0F4761"/>
      <w:sz w:val="40"/>
      <w:szCs w:val="40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DB398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398F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PageNumber">
    <w:name w:val="page number"/>
    <w:basedOn w:val="DefaultParagraphFont"/>
    <w:uiPriority w:val="99"/>
    <w:semiHidden/>
    <w:unhideWhenUsed/>
    <w:rsid w:val="00DB398F"/>
  </w:style>
  <w:style w:type="paragraph" w:styleId="BalloonText">
    <w:name w:val="Balloon Text"/>
    <w:basedOn w:val="Normal"/>
    <w:link w:val="BalloonTextChar"/>
    <w:uiPriority w:val="99"/>
    <w:semiHidden/>
    <w:unhideWhenUsed/>
    <w:rsid w:val="00DB39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398F"/>
    <w:rPr>
      <w:rFonts w:ascii="Tahoma" w:eastAsia="Times New Roman" w:hAnsi="Tahoma" w:cs="Tahoma"/>
      <w:sz w:val="16"/>
      <w:szCs w:val="16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1777</Words>
  <Characters>10133</Characters>
  <Application>Microsoft Office Word</Application>
  <DocSecurity>0</DocSecurity>
  <Lines>84</Lines>
  <Paragraphs>23</Paragraphs>
  <ScaleCrop>false</ScaleCrop>
  <Company/>
  <LinksUpToDate>false</LinksUpToDate>
  <CharactersWithSpaces>11887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Arikrishnan Saminathan (Integra)</dc:creator>
  <cp:lastModifiedBy>Arikrishnan Saminathan (Integra)</cp:lastModifiedBy>
  <cp:revision>1</cp:revision>
  <dcterms:created xsi:type="dcterms:W3CDTF">2026-08-28T11:06:00Z</dcterms:created>
  <dcterms:modified xsi:type="dcterms:W3CDTF">2026-08-28T11:08:00Z</dcterms:modified>
</cp:coreProperties>
</file>