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F6F4" w14:textId="77777777" w:rsidR="007071BF" w:rsidRDefault="003B0960" w:rsidP="001426ED">
      <w:pPr>
        <w:spacing w:after="120" w:line="360" w:lineRule="auto"/>
      </w:pPr>
      <w:r>
        <w:rPr>
          <w:rFonts w:ascii="Times New Roman" w:hAnsi="Times New Roman"/>
          <w:b/>
          <w:sz w:val="20"/>
        </w:rPr>
        <w:t>Supplementary Table 1. Technical characteristics of included reports on anti-infective drug removal during therapeutic plasma exchange</w:t>
      </w:r>
    </w:p>
    <w:tbl>
      <w:tblPr>
        <w:tblStyle w:val="Gitternetztabelle1hell"/>
        <w:tblW w:w="0" w:type="auto"/>
        <w:tblLayout w:type="fixed"/>
        <w:tblLook w:val="04A0" w:firstRow="1" w:lastRow="0" w:firstColumn="1" w:lastColumn="0" w:noHBand="0" w:noVBand="1"/>
      </w:tblPr>
      <w:tblGrid>
        <w:gridCol w:w="652"/>
        <w:gridCol w:w="1899"/>
        <w:gridCol w:w="368"/>
        <w:gridCol w:w="1162"/>
        <w:gridCol w:w="1701"/>
        <w:gridCol w:w="1048"/>
        <w:gridCol w:w="1048"/>
        <w:gridCol w:w="1502"/>
        <w:gridCol w:w="1275"/>
        <w:gridCol w:w="1417"/>
        <w:gridCol w:w="2239"/>
      </w:tblGrid>
      <w:tr w:rsidR="00B56B00" w:rsidRPr="00EA0CD1" w14:paraId="4ADF182F" w14:textId="77777777" w:rsidTr="008D4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A74D572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Reference</w:t>
            </w:r>
          </w:p>
        </w:tc>
        <w:tc>
          <w:tcPr>
            <w:tcW w:w="1899" w:type="dxa"/>
            <w:vAlign w:val="center"/>
          </w:tcPr>
          <w:p w14:paraId="3F2D31FC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Anti-infective</w:t>
            </w:r>
          </w:p>
        </w:tc>
        <w:tc>
          <w:tcPr>
            <w:tcW w:w="368" w:type="dxa"/>
            <w:vAlign w:val="center"/>
          </w:tcPr>
          <w:p w14:paraId="43E35388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</w:t>
            </w:r>
          </w:p>
        </w:tc>
        <w:tc>
          <w:tcPr>
            <w:tcW w:w="1162" w:type="dxa"/>
            <w:vAlign w:val="center"/>
          </w:tcPr>
          <w:p w14:paraId="03087116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Study type</w:t>
            </w:r>
          </w:p>
        </w:tc>
        <w:tc>
          <w:tcPr>
            <w:tcW w:w="1701" w:type="dxa"/>
            <w:vAlign w:val="center"/>
          </w:tcPr>
          <w:p w14:paraId="75E702F3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Exchanged plasma volume [mL]</w:t>
            </w:r>
          </w:p>
        </w:tc>
        <w:tc>
          <w:tcPr>
            <w:tcW w:w="1048" w:type="dxa"/>
            <w:vAlign w:val="center"/>
          </w:tcPr>
          <w:p w14:paraId="3A6919B1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Plasma volume ratio</w:t>
            </w:r>
          </w:p>
        </w:tc>
        <w:tc>
          <w:tcPr>
            <w:tcW w:w="1048" w:type="dxa"/>
            <w:vAlign w:val="center"/>
          </w:tcPr>
          <w:p w14:paraId="6D0B7DFB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Number of TPE</w:t>
            </w:r>
          </w:p>
        </w:tc>
        <w:tc>
          <w:tcPr>
            <w:tcW w:w="1502" w:type="dxa"/>
            <w:vAlign w:val="center"/>
          </w:tcPr>
          <w:p w14:paraId="6CECE87D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TPE-drug interval</w:t>
            </w:r>
          </w:p>
        </w:tc>
        <w:tc>
          <w:tcPr>
            <w:tcW w:w="1275" w:type="dxa"/>
            <w:vAlign w:val="center"/>
          </w:tcPr>
          <w:p w14:paraId="579FE93D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Duration of TPE [min]</w:t>
            </w:r>
          </w:p>
        </w:tc>
        <w:tc>
          <w:tcPr>
            <w:tcW w:w="1417" w:type="dxa"/>
            <w:vAlign w:val="center"/>
          </w:tcPr>
          <w:p w14:paraId="2CC39D4E" w14:textId="77777777" w:rsidR="007071BF" w:rsidRDefault="003B096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Reported drug removal [%]</w:t>
            </w:r>
          </w:p>
        </w:tc>
        <w:tc>
          <w:tcPr>
            <w:tcW w:w="2239" w:type="dxa"/>
            <w:vAlign w:val="center"/>
          </w:tcPr>
          <w:p w14:paraId="67769280" w14:textId="773DB802" w:rsidR="007071BF" w:rsidRDefault="00221330" w:rsidP="008D4C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Additional</w:t>
            </w:r>
            <w:r w:rsidR="003B0960">
              <w:rPr>
                <w:rFonts w:ascii="Times New Roman" w:hAnsi="Times New Roman"/>
                <w:sz w:val="17"/>
              </w:rPr>
              <w:t xml:space="preserve"> extracorporeal therapy</w:t>
            </w:r>
          </w:p>
        </w:tc>
      </w:tr>
      <w:tr w:rsidR="001260D8" w:rsidRPr="00EA0CD1" w14:paraId="415B145A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6BAF9B30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[31]</w:t>
            </w:r>
          </w:p>
        </w:tc>
        <w:tc>
          <w:tcPr>
            <w:tcW w:w="1899" w:type="dxa"/>
            <w:vAlign w:val="center"/>
          </w:tcPr>
          <w:p w14:paraId="4AE171A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Acyclovir</w:t>
            </w:r>
          </w:p>
        </w:tc>
        <w:tc>
          <w:tcPr>
            <w:tcW w:w="368" w:type="dxa"/>
            <w:vAlign w:val="center"/>
          </w:tcPr>
          <w:p w14:paraId="45D1FF3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2437C76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0AE8A02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50 mL/kg</w:t>
            </w:r>
          </w:p>
        </w:tc>
        <w:tc>
          <w:tcPr>
            <w:tcW w:w="1048" w:type="dxa"/>
            <w:vAlign w:val="center"/>
          </w:tcPr>
          <w:p w14:paraId="19545EF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54CD0EE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  <w:tc>
          <w:tcPr>
            <w:tcW w:w="1502" w:type="dxa"/>
            <w:vAlign w:val="center"/>
          </w:tcPr>
          <w:p w14:paraId="59C1FC4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 h</w:t>
            </w:r>
          </w:p>
        </w:tc>
        <w:tc>
          <w:tcPr>
            <w:tcW w:w="1275" w:type="dxa"/>
            <w:vAlign w:val="center"/>
          </w:tcPr>
          <w:p w14:paraId="01F7FE6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120</w:t>
            </w:r>
          </w:p>
        </w:tc>
        <w:tc>
          <w:tcPr>
            <w:tcW w:w="1417" w:type="dxa"/>
            <w:vAlign w:val="center"/>
          </w:tcPr>
          <w:p w14:paraId="21E730E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2239" w:type="dxa"/>
            <w:vAlign w:val="center"/>
          </w:tcPr>
          <w:p w14:paraId="3D4CAB7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3C624707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5E28A0E7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[32]</w:t>
            </w:r>
          </w:p>
        </w:tc>
        <w:tc>
          <w:tcPr>
            <w:tcW w:w="1899" w:type="dxa"/>
            <w:vAlign w:val="center"/>
          </w:tcPr>
          <w:p w14:paraId="57B1A07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Amikacin</w:t>
            </w:r>
          </w:p>
        </w:tc>
        <w:tc>
          <w:tcPr>
            <w:tcW w:w="368" w:type="dxa"/>
            <w:vAlign w:val="center"/>
          </w:tcPr>
          <w:p w14:paraId="5465302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8F4E98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76AF19E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3315</w:t>
            </w:r>
          </w:p>
        </w:tc>
        <w:tc>
          <w:tcPr>
            <w:tcW w:w="1048" w:type="dxa"/>
            <w:vAlign w:val="center"/>
          </w:tcPr>
          <w:p w14:paraId="3681D8E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2E6A3CD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3CAC6BF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21.6 h</w:t>
            </w:r>
          </w:p>
        </w:tc>
        <w:tc>
          <w:tcPr>
            <w:tcW w:w="1275" w:type="dxa"/>
            <w:vAlign w:val="center"/>
          </w:tcPr>
          <w:p w14:paraId="3DB7434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90</w:t>
            </w:r>
          </w:p>
        </w:tc>
        <w:tc>
          <w:tcPr>
            <w:tcW w:w="1417" w:type="dxa"/>
            <w:vAlign w:val="center"/>
          </w:tcPr>
          <w:p w14:paraId="3A9D562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2.09</w:t>
            </w:r>
          </w:p>
        </w:tc>
        <w:tc>
          <w:tcPr>
            <w:tcW w:w="2239" w:type="dxa"/>
            <w:vAlign w:val="center"/>
          </w:tcPr>
          <w:p w14:paraId="41001CE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6D8B557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214BA159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[33]</w:t>
            </w:r>
          </w:p>
        </w:tc>
        <w:tc>
          <w:tcPr>
            <w:tcW w:w="1899" w:type="dxa"/>
            <w:vAlign w:val="center"/>
          </w:tcPr>
          <w:p w14:paraId="6D79A9F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Amoxicillin</w:t>
            </w:r>
          </w:p>
        </w:tc>
        <w:tc>
          <w:tcPr>
            <w:tcW w:w="368" w:type="dxa"/>
            <w:vAlign w:val="center"/>
          </w:tcPr>
          <w:p w14:paraId="6F79A83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2937373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464D64B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2200</w:t>
            </w:r>
          </w:p>
        </w:tc>
        <w:tc>
          <w:tcPr>
            <w:tcW w:w="1048" w:type="dxa"/>
            <w:vAlign w:val="center"/>
          </w:tcPr>
          <w:p w14:paraId="221C808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A7B13D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1502" w:type="dxa"/>
            <w:vAlign w:val="center"/>
          </w:tcPr>
          <w:p w14:paraId="1EB5927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during continuous infusion</w:t>
            </w:r>
          </w:p>
        </w:tc>
        <w:tc>
          <w:tcPr>
            <w:tcW w:w="1275" w:type="dxa"/>
            <w:vAlign w:val="center"/>
          </w:tcPr>
          <w:p w14:paraId="36C1049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25DA36D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69.52</w:t>
            </w:r>
          </w:p>
        </w:tc>
        <w:tc>
          <w:tcPr>
            <w:tcW w:w="2239" w:type="dxa"/>
            <w:vAlign w:val="center"/>
          </w:tcPr>
          <w:p w14:paraId="3F7717C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ECMO; CVVHDF</w:t>
            </w:r>
          </w:p>
        </w:tc>
      </w:tr>
      <w:tr w:rsidR="001260D8" w:rsidRPr="00EA0CD1" w14:paraId="3926F824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52B1A857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[34]</w:t>
            </w:r>
          </w:p>
        </w:tc>
        <w:tc>
          <w:tcPr>
            <w:tcW w:w="1899" w:type="dxa"/>
            <w:vAlign w:val="center"/>
          </w:tcPr>
          <w:p w14:paraId="0493F45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Amphotericin B deoxycholate</w:t>
            </w:r>
          </w:p>
        </w:tc>
        <w:tc>
          <w:tcPr>
            <w:tcW w:w="368" w:type="dxa"/>
            <w:vAlign w:val="center"/>
          </w:tcPr>
          <w:p w14:paraId="3B1256B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994CC5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6C712CF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4CD681A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5C39BF8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1502" w:type="dxa"/>
            <w:vAlign w:val="center"/>
          </w:tcPr>
          <w:p w14:paraId="2E76B88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72 h</w:t>
            </w:r>
          </w:p>
        </w:tc>
        <w:tc>
          <w:tcPr>
            <w:tcW w:w="1275" w:type="dxa"/>
            <w:vAlign w:val="center"/>
          </w:tcPr>
          <w:p w14:paraId="1B90E16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2023797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13.5</w:t>
            </w:r>
          </w:p>
        </w:tc>
        <w:tc>
          <w:tcPr>
            <w:tcW w:w="2239" w:type="dxa"/>
            <w:vAlign w:val="center"/>
          </w:tcPr>
          <w:p w14:paraId="0BF7B6A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2B508C59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270A3DE5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[35]</w:t>
            </w:r>
          </w:p>
        </w:tc>
        <w:tc>
          <w:tcPr>
            <w:tcW w:w="1899" w:type="dxa"/>
            <w:vAlign w:val="center"/>
          </w:tcPr>
          <w:p w14:paraId="4EF5323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Amphotericin B deoxycholate</w:t>
            </w:r>
          </w:p>
        </w:tc>
        <w:tc>
          <w:tcPr>
            <w:tcW w:w="368" w:type="dxa"/>
            <w:vAlign w:val="center"/>
          </w:tcPr>
          <w:p w14:paraId="2F9522E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0768E27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5DC4D44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311B5C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978C19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1502" w:type="dxa"/>
            <w:vAlign w:val="center"/>
          </w:tcPr>
          <w:p w14:paraId="68A8375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36 h</w:t>
            </w:r>
          </w:p>
        </w:tc>
        <w:tc>
          <w:tcPr>
            <w:tcW w:w="1275" w:type="dxa"/>
            <w:vAlign w:val="center"/>
          </w:tcPr>
          <w:p w14:paraId="1860E5B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585A86A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2239" w:type="dxa"/>
            <w:vAlign w:val="center"/>
          </w:tcPr>
          <w:p w14:paraId="23EBE22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33B9AC53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4C250E6B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[36]</w:t>
            </w:r>
          </w:p>
        </w:tc>
        <w:tc>
          <w:tcPr>
            <w:tcW w:w="1899" w:type="dxa"/>
            <w:vAlign w:val="center"/>
          </w:tcPr>
          <w:p w14:paraId="44A701C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Amphotericin B liposomal</w:t>
            </w:r>
          </w:p>
        </w:tc>
        <w:tc>
          <w:tcPr>
            <w:tcW w:w="368" w:type="dxa"/>
            <w:vAlign w:val="center"/>
          </w:tcPr>
          <w:p w14:paraId="55FC002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3F9E3E8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34D22FB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7E7C60E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49F7D2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759204C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38 h</w:t>
            </w:r>
          </w:p>
        </w:tc>
        <w:tc>
          <w:tcPr>
            <w:tcW w:w="1275" w:type="dxa"/>
            <w:vAlign w:val="center"/>
          </w:tcPr>
          <w:p w14:paraId="7DCE59E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120</w:t>
            </w:r>
          </w:p>
        </w:tc>
        <w:tc>
          <w:tcPr>
            <w:tcW w:w="1417" w:type="dxa"/>
            <w:vAlign w:val="center"/>
          </w:tcPr>
          <w:p w14:paraId="705BC67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40</w:t>
            </w:r>
          </w:p>
        </w:tc>
        <w:tc>
          <w:tcPr>
            <w:tcW w:w="2239" w:type="dxa"/>
            <w:vAlign w:val="center"/>
          </w:tcPr>
          <w:p w14:paraId="0BD98B1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Hemodialysis</w:t>
            </w:r>
          </w:p>
        </w:tc>
      </w:tr>
      <w:tr w:rsidR="001260D8" w:rsidRPr="00EA0CD1" w14:paraId="34847606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7514C41E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[37]</w:t>
            </w:r>
          </w:p>
        </w:tc>
        <w:tc>
          <w:tcPr>
            <w:tcW w:w="1899" w:type="dxa"/>
            <w:vAlign w:val="center"/>
          </w:tcPr>
          <w:p w14:paraId="38B4962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Ampicillin</w:t>
            </w:r>
          </w:p>
        </w:tc>
        <w:tc>
          <w:tcPr>
            <w:tcW w:w="368" w:type="dxa"/>
            <w:vAlign w:val="center"/>
          </w:tcPr>
          <w:p w14:paraId="02F2301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15</w:t>
            </w:r>
          </w:p>
        </w:tc>
        <w:tc>
          <w:tcPr>
            <w:tcW w:w="1162" w:type="dxa"/>
            <w:vAlign w:val="center"/>
          </w:tcPr>
          <w:p w14:paraId="202C945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694486B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115–450</w:t>
            </w:r>
          </w:p>
        </w:tc>
        <w:tc>
          <w:tcPr>
            <w:tcW w:w="1048" w:type="dxa"/>
            <w:vAlign w:val="center"/>
          </w:tcPr>
          <w:p w14:paraId="04F1A7B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048" w:type="dxa"/>
            <w:vAlign w:val="center"/>
          </w:tcPr>
          <w:p w14:paraId="45BB49D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observation</w:t>
            </w:r>
          </w:p>
        </w:tc>
        <w:tc>
          <w:tcPr>
            <w:tcW w:w="1502" w:type="dxa"/>
            <w:vAlign w:val="center"/>
          </w:tcPr>
          <w:p w14:paraId="3D0D298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2–10 h</w:t>
            </w:r>
          </w:p>
        </w:tc>
        <w:tc>
          <w:tcPr>
            <w:tcW w:w="1275" w:type="dxa"/>
            <w:vAlign w:val="center"/>
          </w:tcPr>
          <w:p w14:paraId="3CFE16A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40–105</w:t>
            </w:r>
          </w:p>
        </w:tc>
        <w:tc>
          <w:tcPr>
            <w:tcW w:w="1417" w:type="dxa"/>
            <w:vAlign w:val="center"/>
          </w:tcPr>
          <w:p w14:paraId="7AB6CD0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4.05–79.4</w:t>
            </w:r>
          </w:p>
        </w:tc>
        <w:tc>
          <w:tcPr>
            <w:tcW w:w="2239" w:type="dxa"/>
            <w:vAlign w:val="center"/>
          </w:tcPr>
          <w:p w14:paraId="51E40AF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D6490EE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58B0A00A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[38]</w:t>
            </w:r>
          </w:p>
        </w:tc>
        <w:tc>
          <w:tcPr>
            <w:tcW w:w="1899" w:type="dxa"/>
            <w:vAlign w:val="center"/>
          </w:tcPr>
          <w:p w14:paraId="0AF8940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Cefepime</w:t>
            </w:r>
          </w:p>
        </w:tc>
        <w:tc>
          <w:tcPr>
            <w:tcW w:w="368" w:type="dxa"/>
            <w:vAlign w:val="center"/>
          </w:tcPr>
          <w:p w14:paraId="7D527AD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</w:t>
            </w:r>
          </w:p>
        </w:tc>
        <w:tc>
          <w:tcPr>
            <w:tcW w:w="1162" w:type="dxa"/>
            <w:vAlign w:val="center"/>
          </w:tcPr>
          <w:p w14:paraId="603FAF2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06300AD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2500–3500</w:t>
            </w:r>
          </w:p>
        </w:tc>
        <w:tc>
          <w:tcPr>
            <w:tcW w:w="1048" w:type="dxa"/>
            <w:vAlign w:val="center"/>
          </w:tcPr>
          <w:p w14:paraId="7C1BD9F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538634C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5EA43C0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1.5 h</w:t>
            </w:r>
          </w:p>
        </w:tc>
        <w:tc>
          <w:tcPr>
            <w:tcW w:w="1275" w:type="dxa"/>
            <w:vAlign w:val="center"/>
          </w:tcPr>
          <w:p w14:paraId="5D9F515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94–209</w:t>
            </w:r>
          </w:p>
        </w:tc>
        <w:tc>
          <w:tcPr>
            <w:tcW w:w="1417" w:type="dxa"/>
            <w:vAlign w:val="center"/>
          </w:tcPr>
          <w:p w14:paraId="4400B2C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2.1–6.7</w:t>
            </w:r>
          </w:p>
        </w:tc>
        <w:tc>
          <w:tcPr>
            <w:tcW w:w="2239" w:type="dxa"/>
            <w:vAlign w:val="center"/>
          </w:tcPr>
          <w:p w14:paraId="69D64D6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07AF1D9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7618E7DA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[39]</w:t>
            </w:r>
          </w:p>
        </w:tc>
        <w:tc>
          <w:tcPr>
            <w:tcW w:w="1899" w:type="dxa"/>
            <w:vAlign w:val="center"/>
          </w:tcPr>
          <w:p w14:paraId="34839DE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Ceftazidime</w:t>
            </w:r>
          </w:p>
        </w:tc>
        <w:tc>
          <w:tcPr>
            <w:tcW w:w="368" w:type="dxa"/>
            <w:vAlign w:val="center"/>
          </w:tcPr>
          <w:p w14:paraId="384D0BD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</w:t>
            </w:r>
          </w:p>
        </w:tc>
        <w:tc>
          <w:tcPr>
            <w:tcW w:w="1162" w:type="dxa"/>
            <w:vAlign w:val="center"/>
          </w:tcPr>
          <w:p w14:paraId="7ECD2DE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206699C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2050–2150</w:t>
            </w:r>
          </w:p>
        </w:tc>
        <w:tc>
          <w:tcPr>
            <w:tcW w:w="1048" w:type="dxa"/>
            <w:vAlign w:val="center"/>
          </w:tcPr>
          <w:p w14:paraId="1B25932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B8AF35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6CA5547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15–120 min</w:t>
            </w:r>
          </w:p>
        </w:tc>
        <w:tc>
          <w:tcPr>
            <w:tcW w:w="1275" w:type="dxa"/>
            <w:vAlign w:val="center"/>
          </w:tcPr>
          <w:p w14:paraId="1DA59A7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60–110</w:t>
            </w:r>
          </w:p>
        </w:tc>
        <w:tc>
          <w:tcPr>
            <w:tcW w:w="1417" w:type="dxa"/>
            <w:vAlign w:val="center"/>
          </w:tcPr>
          <w:p w14:paraId="7522B2C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2–9</w:t>
            </w:r>
          </w:p>
        </w:tc>
        <w:tc>
          <w:tcPr>
            <w:tcW w:w="2239" w:type="dxa"/>
            <w:vAlign w:val="center"/>
          </w:tcPr>
          <w:p w14:paraId="4F321C7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2DAF5568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79CEBE6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[40]</w:t>
            </w:r>
          </w:p>
        </w:tc>
        <w:tc>
          <w:tcPr>
            <w:tcW w:w="1899" w:type="dxa"/>
            <w:vAlign w:val="center"/>
          </w:tcPr>
          <w:p w14:paraId="7A1296C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Ceftriaxone</w:t>
            </w:r>
          </w:p>
        </w:tc>
        <w:tc>
          <w:tcPr>
            <w:tcW w:w="368" w:type="dxa"/>
            <w:vAlign w:val="center"/>
          </w:tcPr>
          <w:p w14:paraId="362ED09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3D05269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09A5703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3000</w:t>
            </w:r>
          </w:p>
        </w:tc>
        <w:tc>
          <w:tcPr>
            <w:tcW w:w="1048" w:type="dxa"/>
            <w:vAlign w:val="center"/>
          </w:tcPr>
          <w:p w14:paraId="2ACF3BF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B3C0C8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1502" w:type="dxa"/>
            <w:vAlign w:val="center"/>
          </w:tcPr>
          <w:p w14:paraId="79B89D4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 h</w:t>
            </w:r>
          </w:p>
        </w:tc>
        <w:tc>
          <w:tcPr>
            <w:tcW w:w="1275" w:type="dxa"/>
            <w:vAlign w:val="center"/>
          </w:tcPr>
          <w:p w14:paraId="3A76CD1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150</w:t>
            </w:r>
          </w:p>
        </w:tc>
        <w:tc>
          <w:tcPr>
            <w:tcW w:w="1417" w:type="dxa"/>
            <w:vAlign w:val="center"/>
          </w:tcPr>
          <w:p w14:paraId="7AA5CD0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5.4</w:t>
            </w:r>
          </w:p>
        </w:tc>
        <w:tc>
          <w:tcPr>
            <w:tcW w:w="2239" w:type="dxa"/>
            <w:vAlign w:val="center"/>
          </w:tcPr>
          <w:p w14:paraId="45B78D2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0FF3B10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A6C45C2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[41]</w:t>
            </w:r>
          </w:p>
        </w:tc>
        <w:tc>
          <w:tcPr>
            <w:tcW w:w="1899" w:type="dxa"/>
            <w:vAlign w:val="center"/>
          </w:tcPr>
          <w:p w14:paraId="66BCE82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Ceftriaxone</w:t>
            </w:r>
          </w:p>
        </w:tc>
        <w:tc>
          <w:tcPr>
            <w:tcW w:w="368" w:type="dxa"/>
            <w:vAlign w:val="center"/>
          </w:tcPr>
          <w:p w14:paraId="7824429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</w:t>
            </w:r>
          </w:p>
        </w:tc>
        <w:tc>
          <w:tcPr>
            <w:tcW w:w="1162" w:type="dxa"/>
            <w:vAlign w:val="center"/>
          </w:tcPr>
          <w:p w14:paraId="221A994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71781D1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2800–4300</w:t>
            </w:r>
          </w:p>
        </w:tc>
        <w:tc>
          <w:tcPr>
            <w:tcW w:w="1048" w:type="dxa"/>
            <w:vAlign w:val="center"/>
          </w:tcPr>
          <w:p w14:paraId="280056A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008AB6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PK observation</w:t>
            </w:r>
          </w:p>
        </w:tc>
        <w:tc>
          <w:tcPr>
            <w:tcW w:w="1502" w:type="dxa"/>
            <w:vAlign w:val="center"/>
          </w:tcPr>
          <w:p w14:paraId="57A4F98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 or 6 h</w:t>
            </w:r>
          </w:p>
        </w:tc>
        <w:tc>
          <w:tcPr>
            <w:tcW w:w="1275" w:type="dxa"/>
            <w:vAlign w:val="center"/>
          </w:tcPr>
          <w:p w14:paraId="6F0622E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65–150</w:t>
            </w:r>
          </w:p>
        </w:tc>
        <w:tc>
          <w:tcPr>
            <w:tcW w:w="1417" w:type="dxa"/>
            <w:vAlign w:val="center"/>
          </w:tcPr>
          <w:p w14:paraId="59752CB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8.2–33</w:t>
            </w:r>
          </w:p>
        </w:tc>
        <w:tc>
          <w:tcPr>
            <w:tcW w:w="2239" w:type="dxa"/>
            <w:vAlign w:val="center"/>
          </w:tcPr>
          <w:p w14:paraId="7F404E0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6453C2F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A89B5D8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[42]</w:t>
            </w:r>
          </w:p>
        </w:tc>
        <w:tc>
          <w:tcPr>
            <w:tcW w:w="1899" w:type="dxa"/>
            <w:vAlign w:val="center"/>
          </w:tcPr>
          <w:p w14:paraId="501201E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Chloramphenicol</w:t>
            </w:r>
          </w:p>
        </w:tc>
        <w:tc>
          <w:tcPr>
            <w:tcW w:w="368" w:type="dxa"/>
            <w:vAlign w:val="center"/>
          </w:tcPr>
          <w:p w14:paraId="5DE0AE7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0F93305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1CB1D97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5400 total</w:t>
            </w:r>
          </w:p>
        </w:tc>
        <w:tc>
          <w:tcPr>
            <w:tcW w:w="1048" w:type="dxa"/>
            <w:vAlign w:val="center"/>
          </w:tcPr>
          <w:p w14:paraId="6DF060A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9B7D56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multiple</w:t>
            </w:r>
          </w:p>
        </w:tc>
        <w:tc>
          <w:tcPr>
            <w:tcW w:w="1502" w:type="dxa"/>
            <w:vAlign w:val="center"/>
          </w:tcPr>
          <w:p w14:paraId="5C81E2C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29 h</w:t>
            </w:r>
          </w:p>
        </w:tc>
        <w:tc>
          <w:tcPr>
            <w:tcW w:w="1275" w:type="dxa"/>
            <w:vAlign w:val="center"/>
          </w:tcPr>
          <w:p w14:paraId="7DE68FE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112BDBC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2239" w:type="dxa"/>
            <w:vAlign w:val="center"/>
          </w:tcPr>
          <w:p w14:paraId="5A9A233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4DAF3292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922BD0E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[33]</w:t>
            </w:r>
          </w:p>
        </w:tc>
        <w:tc>
          <w:tcPr>
            <w:tcW w:w="1899" w:type="dxa"/>
            <w:vAlign w:val="center"/>
          </w:tcPr>
          <w:p w14:paraId="14BB7DB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Clindamycin</w:t>
            </w:r>
          </w:p>
        </w:tc>
        <w:tc>
          <w:tcPr>
            <w:tcW w:w="368" w:type="dxa"/>
            <w:vAlign w:val="center"/>
          </w:tcPr>
          <w:p w14:paraId="77D338E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7D3A410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3EDD2DA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2200</w:t>
            </w:r>
          </w:p>
        </w:tc>
        <w:tc>
          <w:tcPr>
            <w:tcW w:w="1048" w:type="dxa"/>
            <w:vAlign w:val="center"/>
          </w:tcPr>
          <w:p w14:paraId="462DAC4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137BBC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1502" w:type="dxa"/>
            <w:vAlign w:val="center"/>
          </w:tcPr>
          <w:p w14:paraId="322B5E7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during continuous infusion</w:t>
            </w:r>
          </w:p>
        </w:tc>
        <w:tc>
          <w:tcPr>
            <w:tcW w:w="1275" w:type="dxa"/>
            <w:vAlign w:val="center"/>
          </w:tcPr>
          <w:p w14:paraId="44D2E1C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692C692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42.25</w:t>
            </w:r>
          </w:p>
        </w:tc>
        <w:tc>
          <w:tcPr>
            <w:tcW w:w="2239" w:type="dxa"/>
            <w:vAlign w:val="center"/>
          </w:tcPr>
          <w:p w14:paraId="67CA0F0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ECMO; CVVHDF</w:t>
            </w:r>
          </w:p>
        </w:tc>
      </w:tr>
      <w:tr w:rsidR="001260D8" w:rsidRPr="00EA0CD1" w14:paraId="47043B9E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5533D943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[43]</w:t>
            </w:r>
          </w:p>
        </w:tc>
        <w:tc>
          <w:tcPr>
            <w:tcW w:w="1899" w:type="dxa"/>
            <w:vAlign w:val="center"/>
          </w:tcPr>
          <w:p w14:paraId="4122D17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Flumequine</w:t>
            </w:r>
          </w:p>
        </w:tc>
        <w:tc>
          <w:tcPr>
            <w:tcW w:w="368" w:type="dxa"/>
            <w:vAlign w:val="center"/>
          </w:tcPr>
          <w:p w14:paraId="6FCA417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  <w:tc>
          <w:tcPr>
            <w:tcW w:w="1162" w:type="dxa"/>
            <w:vAlign w:val="center"/>
          </w:tcPr>
          <w:p w14:paraId="3D3EEC9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32064B4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2500–4100</w:t>
            </w:r>
          </w:p>
        </w:tc>
        <w:tc>
          <w:tcPr>
            <w:tcW w:w="1048" w:type="dxa"/>
            <w:vAlign w:val="center"/>
          </w:tcPr>
          <w:p w14:paraId="368272A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1–1.5</w:t>
            </w:r>
          </w:p>
        </w:tc>
        <w:tc>
          <w:tcPr>
            <w:tcW w:w="1048" w:type="dxa"/>
            <w:vAlign w:val="center"/>
          </w:tcPr>
          <w:p w14:paraId="4576442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6521FFF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20 h</w:t>
            </w:r>
          </w:p>
        </w:tc>
        <w:tc>
          <w:tcPr>
            <w:tcW w:w="1275" w:type="dxa"/>
            <w:vAlign w:val="center"/>
          </w:tcPr>
          <w:p w14:paraId="646642A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~120</w:t>
            </w:r>
          </w:p>
        </w:tc>
        <w:tc>
          <w:tcPr>
            <w:tcW w:w="1417" w:type="dxa"/>
            <w:vAlign w:val="center"/>
          </w:tcPr>
          <w:p w14:paraId="421723C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5.8–14.8</w:t>
            </w:r>
          </w:p>
        </w:tc>
        <w:tc>
          <w:tcPr>
            <w:tcW w:w="2239" w:type="dxa"/>
            <w:vAlign w:val="center"/>
          </w:tcPr>
          <w:p w14:paraId="0CC39A5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0961AFA8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86FF198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[44]</w:t>
            </w:r>
          </w:p>
        </w:tc>
        <w:tc>
          <w:tcPr>
            <w:tcW w:w="1899" w:type="dxa"/>
            <w:vAlign w:val="center"/>
          </w:tcPr>
          <w:p w14:paraId="49941BD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Ganciclovir</w:t>
            </w:r>
          </w:p>
        </w:tc>
        <w:tc>
          <w:tcPr>
            <w:tcW w:w="368" w:type="dxa"/>
            <w:vAlign w:val="center"/>
          </w:tcPr>
          <w:p w14:paraId="51FD468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7C88463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12FAB8A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3555</w:t>
            </w:r>
          </w:p>
        </w:tc>
        <w:tc>
          <w:tcPr>
            <w:tcW w:w="1048" w:type="dxa"/>
            <w:vAlign w:val="center"/>
          </w:tcPr>
          <w:p w14:paraId="3789835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180FA8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 analyzed</w:t>
            </w:r>
          </w:p>
        </w:tc>
        <w:tc>
          <w:tcPr>
            <w:tcW w:w="1502" w:type="dxa"/>
            <w:vAlign w:val="center"/>
          </w:tcPr>
          <w:p w14:paraId="3C16BC1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4F39C18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75C21A5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7.8</w:t>
            </w:r>
          </w:p>
        </w:tc>
        <w:tc>
          <w:tcPr>
            <w:tcW w:w="2239" w:type="dxa"/>
            <w:vAlign w:val="center"/>
          </w:tcPr>
          <w:p w14:paraId="3279E56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CVVHDF</w:t>
            </w:r>
          </w:p>
        </w:tc>
      </w:tr>
      <w:tr w:rsidR="001260D8" w:rsidRPr="00EA0CD1" w14:paraId="2048759D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39C6559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[45]</w:t>
            </w:r>
          </w:p>
        </w:tc>
        <w:tc>
          <w:tcPr>
            <w:tcW w:w="1899" w:type="dxa"/>
            <w:vAlign w:val="center"/>
          </w:tcPr>
          <w:p w14:paraId="21E8CC5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Gentamicin</w:t>
            </w:r>
          </w:p>
        </w:tc>
        <w:tc>
          <w:tcPr>
            <w:tcW w:w="368" w:type="dxa"/>
            <w:vAlign w:val="center"/>
          </w:tcPr>
          <w:p w14:paraId="7AF40A9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  <w:tc>
          <w:tcPr>
            <w:tcW w:w="1162" w:type="dxa"/>
            <w:vAlign w:val="center"/>
          </w:tcPr>
          <w:p w14:paraId="7F47D6D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0208E92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2AE5D6F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048" w:type="dxa"/>
            <w:vAlign w:val="center"/>
          </w:tcPr>
          <w:p w14:paraId="4E755C8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  <w:tc>
          <w:tcPr>
            <w:tcW w:w="1502" w:type="dxa"/>
            <w:vAlign w:val="center"/>
          </w:tcPr>
          <w:p w14:paraId="076AEBB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9.5 h</w:t>
            </w:r>
          </w:p>
        </w:tc>
        <w:tc>
          <w:tcPr>
            <w:tcW w:w="1275" w:type="dxa"/>
            <w:vAlign w:val="center"/>
          </w:tcPr>
          <w:p w14:paraId="2BE1114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54.3</w:t>
            </w:r>
          </w:p>
        </w:tc>
        <w:tc>
          <w:tcPr>
            <w:tcW w:w="1417" w:type="dxa"/>
            <w:vAlign w:val="center"/>
          </w:tcPr>
          <w:p w14:paraId="74600C0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18.5</w:t>
            </w:r>
          </w:p>
        </w:tc>
        <w:tc>
          <w:tcPr>
            <w:tcW w:w="2239" w:type="dxa"/>
            <w:vAlign w:val="center"/>
          </w:tcPr>
          <w:p w14:paraId="23B98C4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070CE83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6D4C362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[46]</w:t>
            </w:r>
          </w:p>
        </w:tc>
        <w:tc>
          <w:tcPr>
            <w:tcW w:w="1899" w:type="dxa"/>
            <w:vAlign w:val="center"/>
          </w:tcPr>
          <w:p w14:paraId="7B5834A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Gentamicin</w:t>
            </w:r>
          </w:p>
        </w:tc>
        <w:tc>
          <w:tcPr>
            <w:tcW w:w="368" w:type="dxa"/>
            <w:vAlign w:val="center"/>
          </w:tcPr>
          <w:p w14:paraId="01E9EC4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</w:t>
            </w:r>
          </w:p>
        </w:tc>
        <w:tc>
          <w:tcPr>
            <w:tcW w:w="1162" w:type="dxa"/>
            <w:vAlign w:val="center"/>
          </w:tcPr>
          <w:p w14:paraId="0619229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0D512F2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7E8A1D3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048" w:type="dxa"/>
            <w:vAlign w:val="center"/>
          </w:tcPr>
          <w:p w14:paraId="139054F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2318C70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0898009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55</w:t>
            </w:r>
          </w:p>
        </w:tc>
        <w:tc>
          <w:tcPr>
            <w:tcW w:w="1417" w:type="dxa"/>
            <w:vAlign w:val="center"/>
          </w:tcPr>
          <w:p w14:paraId="4A5C027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25.7</w:t>
            </w:r>
          </w:p>
        </w:tc>
        <w:tc>
          <w:tcPr>
            <w:tcW w:w="2239" w:type="dxa"/>
            <w:vAlign w:val="center"/>
          </w:tcPr>
          <w:p w14:paraId="46D765F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19083348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2AF607E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lastRenderedPageBreak/>
              <w:t>[47]</w:t>
            </w:r>
          </w:p>
        </w:tc>
        <w:tc>
          <w:tcPr>
            <w:tcW w:w="1899" w:type="dxa"/>
            <w:vAlign w:val="center"/>
          </w:tcPr>
          <w:p w14:paraId="6D1580A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Gentamicin</w:t>
            </w:r>
          </w:p>
        </w:tc>
        <w:tc>
          <w:tcPr>
            <w:tcW w:w="368" w:type="dxa"/>
            <w:vAlign w:val="center"/>
          </w:tcPr>
          <w:p w14:paraId="6CF4D64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  <w:tc>
          <w:tcPr>
            <w:tcW w:w="1162" w:type="dxa"/>
            <w:vAlign w:val="center"/>
          </w:tcPr>
          <w:p w14:paraId="07CCBBA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5447E47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90 mL/kg × 2</w:t>
            </w:r>
          </w:p>
        </w:tc>
        <w:tc>
          <w:tcPr>
            <w:tcW w:w="1048" w:type="dxa"/>
            <w:vAlign w:val="center"/>
          </w:tcPr>
          <w:p w14:paraId="65155BA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048" w:type="dxa"/>
            <w:vAlign w:val="center"/>
          </w:tcPr>
          <w:p w14:paraId="7F6B455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  <w:tc>
          <w:tcPr>
            <w:tcW w:w="1502" w:type="dxa"/>
            <w:vAlign w:val="center"/>
          </w:tcPr>
          <w:p w14:paraId="514F91E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7 h</w:t>
            </w:r>
          </w:p>
        </w:tc>
        <w:tc>
          <w:tcPr>
            <w:tcW w:w="1275" w:type="dxa"/>
            <w:vAlign w:val="center"/>
          </w:tcPr>
          <w:p w14:paraId="749D952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56</w:t>
            </w:r>
          </w:p>
        </w:tc>
        <w:tc>
          <w:tcPr>
            <w:tcW w:w="1417" w:type="dxa"/>
            <w:vAlign w:val="center"/>
          </w:tcPr>
          <w:p w14:paraId="5C6FB62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4.95</w:t>
            </w:r>
          </w:p>
        </w:tc>
        <w:tc>
          <w:tcPr>
            <w:tcW w:w="2239" w:type="dxa"/>
            <w:vAlign w:val="center"/>
          </w:tcPr>
          <w:p w14:paraId="44AC175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354B174E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6AA4205A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[37]</w:t>
            </w:r>
          </w:p>
        </w:tc>
        <w:tc>
          <w:tcPr>
            <w:tcW w:w="1899" w:type="dxa"/>
            <w:vAlign w:val="center"/>
          </w:tcPr>
          <w:p w14:paraId="357A1CA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Gentamicin</w:t>
            </w:r>
          </w:p>
        </w:tc>
        <w:tc>
          <w:tcPr>
            <w:tcW w:w="368" w:type="dxa"/>
            <w:vAlign w:val="center"/>
          </w:tcPr>
          <w:p w14:paraId="28AAD59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15</w:t>
            </w:r>
          </w:p>
        </w:tc>
        <w:tc>
          <w:tcPr>
            <w:tcW w:w="1162" w:type="dxa"/>
            <w:vAlign w:val="center"/>
          </w:tcPr>
          <w:p w14:paraId="3CD1CDC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57D08B7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115–450</w:t>
            </w:r>
          </w:p>
        </w:tc>
        <w:tc>
          <w:tcPr>
            <w:tcW w:w="1048" w:type="dxa"/>
            <w:vAlign w:val="center"/>
          </w:tcPr>
          <w:p w14:paraId="7683EA5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048" w:type="dxa"/>
            <w:vAlign w:val="center"/>
          </w:tcPr>
          <w:p w14:paraId="3DC2D53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observation</w:t>
            </w:r>
          </w:p>
        </w:tc>
        <w:tc>
          <w:tcPr>
            <w:tcW w:w="1502" w:type="dxa"/>
            <w:vAlign w:val="center"/>
          </w:tcPr>
          <w:p w14:paraId="767A7A5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2–10 h</w:t>
            </w:r>
          </w:p>
        </w:tc>
        <w:tc>
          <w:tcPr>
            <w:tcW w:w="1275" w:type="dxa"/>
            <w:vAlign w:val="center"/>
          </w:tcPr>
          <w:p w14:paraId="53B35F6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40–105</w:t>
            </w:r>
          </w:p>
        </w:tc>
        <w:tc>
          <w:tcPr>
            <w:tcW w:w="1417" w:type="dxa"/>
            <w:vAlign w:val="center"/>
          </w:tcPr>
          <w:p w14:paraId="235EB9B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16.6–60</w:t>
            </w:r>
          </w:p>
        </w:tc>
        <w:tc>
          <w:tcPr>
            <w:tcW w:w="2239" w:type="dxa"/>
            <w:vAlign w:val="center"/>
          </w:tcPr>
          <w:p w14:paraId="0407AB8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346B1137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CC9E1F5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[32]</w:t>
            </w:r>
          </w:p>
        </w:tc>
        <w:tc>
          <w:tcPr>
            <w:tcW w:w="1899" w:type="dxa"/>
            <w:vAlign w:val="center"/>
          </w:tcPr>
          <w:p w14:paraId="07EE269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Meropenem</w:t>
            </w:r>
          </w:p>
        </w:tc>
        <w:tc>
          <w:tcPr>
            <w:tcW w:w="368" w:type="dxa"/>
            <w:vAlign w:val="center"/>
          </w:tcPr>
          <w:p w14:paraId="564AECE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162" w:type="dxa"/>
            <w:vAlign w:val="center"/>
          </w:tcPr>
          <w:p w14:paraId="136F64C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3379569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3381–4455</w:t>
            </w:r>
          </w:p>
        </w:tc>
        <w:tc>
          <w:tcPr>
            <w:tcW w:w="1048" w:type="dxa"/>
            <w:vAlign w:val="center"/>
          </w:tcPr>
          <w:p w14:paraId="50FAEEB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45A3B30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observation</w:t>
            </w:r>
          </w:p>
        </w:tc>
        <w:tc>
          <w:tcPr>
            <w:tcW w:w="1502" w:type="dxa"/>
            <w:vAlign w:val="center"/>
          </w:tcPr>
          <w:p w14:paraId="3416D16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2.8–5.3 h</w:t>
            </w:r>
          </w:p>
        </w:tc>
        <w:tc>
          <w:tcPr>
            <w:tcW w:w="1275" w:type="dxa"/>
            <w:vAlign w:val="center"/>
          </w:tcPr>
          <w:p w14:paraId="6A6C446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90–130</w:t>
            </w:r>
          </w:p>
        </w:tc>
        <w:tc>
          <w:tcPr>
            <w:tcW w:w="1417" w:type="dxa"/>
            <w:vAlign w:val="center"/>
          </w:tcPr>
          <w:p w14:paraId="56899B3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1.37–2.16</w:t>
            </w:r>
          </w:p>
        </w:tc>
        <w:tc>
          <w:tcPr>
            <w:tcW w:w="2239" w:type="dxa"/>
            <w:vAlign w:val="center"/>
          </w:tcPr>
          <w:p w14:paraId="78140E0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E6E5F61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A802966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[48]</w:t>
            </w:r>
          </w:p>
        </w:tc>
        <w:tc>
          <w:tcPr>
            <w:tcW w:w="1899" w:type="dxa"/>
            <w:vAlign w:val="center"/>
          </w:tcPr>
          <w:p w14:paraId="71C0ED4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Meropenem</w:t>
            </w:r>
          </w:p>
        </w:tc>
        <w:tc>
          <w:tcPr>
            <w:tcW w:w="368" w:type="dxa"/>
            <w:vAlign w:val="center"/>
          </w:tcPr>
          <w:p w14:paraId="115C3BC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</w:t>
            </w:r>
          </w:p>
        </w:tc>
        <w:tc>
          <w:tcPr>
            <w:tcW w:w="1162" w:type="dxa"/>
            <w:vAlign w:val="center"/>
          </w:tcPr>
          <w:p w14:paraId="1A6DF99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080BF2F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2408–4874</w:t>
            </w:r>
          </w:p>
        </w:tc>
        <w:tc>
          <w:tcPr>
            <w:tcW w:w="1048" w:type="dxa"/>
            <w:vAlign w:val="center"/>
          </w:tcPr>
          <w:p w14:paraId="4D74A58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EFFF86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0CEA3E2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 (at TPE start)</w:t>
            </w:r>
          </w:p>
        </w:tc>
        <w:tc>
          <w:tcPr>
            <w:tcW w:w="1275" w:type="dxa"/>
            <w:vAlign w:val="center"/>
          </w:tcPr>
          <w:p w14:paraId="115EF56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105–191</w:t>
            </w:r>
          </w:p>
        </w:tc>
        <w:tc>
          <w:tcPr>
            <w:tcW w:w="1417" w:type="dxa"/>
            <w:vAlign w:val="center"/>
          </w:tcPr>
          <w:p w14:paraId="02F9096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4.15–40.66</w:t>
            </w:r>
          </w:p>
        </w:tc>
        <w:tc>
          <w:tcPr>
            <w:tcW w:w="2239" w:type="dxa"/>
            <w:vAlign w:val="center"/>
          </w:tcPr>
          <w:p w14:paraId="26E947A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398166AB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4B4E064C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[49]</w:t>
            </w:r>
          </w:p>
        </w:tc>
        <w:tc>
          <w:tcPr>
            <w:tcW w:w="1899" w:type="dxa"/>
            <w:vAlign w:val="center"/>
          </w:tcPr>
          <w:p w14:paraId="0B54675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Micafungin</w:t>
            </w:r>
          </w:p>
        </w:tc>
        <w:tc>
          <w:tcPr>
            <w:tcW w:w="368" w:type="dxa"/>
            <w:vAlign w:val="center"/>
          </w:tcPr>
          <w:p w14:paraId="400CD39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71D112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4128F1B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3200</w:t>
            </w:r>
          </w:p>
        </w:tc>
        <w:tc>
          <w:tcPr>
            <w:tcW w:w="1048" w:type="dxa"/>
            <w:vAlign w:val="center"/>
          </w:tcPr>
          <w:p w14:paraId="5ACD074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048" w:type="dxa"/>
            <w:vAlign w:val="center"/>
          </w:tcPr>
          <w:p w14:paraId="069D829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1502" w:type="dxa"/>
            <w:vAlign w:val="center"/>
          </w:tcPr>
          <w:p w14:paraId="63A8ADF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2.5 h</w:t>
            </w:r>
          </w:p>
        </w:tc>
        <w:tc>
          <w:tcPr>
            <w:tcW w:w="1275" w:type="dxa"/>
            <w:vAlign w:val="center"/>
          </w:tcPr>
          <w:p w14:paraId="5927541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480</w:t>
            </w:r>
          </w:p>
        </w:tc>
        <w:tc>
          <w:tcPr>
            <w:tcW w:w="1417" w:type="dxa"/>
            <w:vAlign w:val="center"/>
          </w:tcPr>
          <w:p w14:paraId="54D100D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40</w:t>
            </w:r>
          </w:p>
        </w:tc>
        <w:tc>
          <w:tcPr>
            <w:tcW w:w="2239" w:type="dxa"/>
            <w:vAlign w:val="center"/>
          </w:tcPr>
          <w:p w14:paraId="711B25A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6A9D698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44C7BAC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[50]</w:t>
            </w:r>
          </w:p>
        </w:tc>
        <w:tc>
          <w:tcPr>
            <w:tcW w:w="1899" w:type="dxa"/>
            <w:vAlign w:val="center"/>
          </w:tcPr>
          <w:p w14:paraId="75314F3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Piperacillin</w:t>
            </w:r>
          </w:p>
        </w:tc>
        <w:tc>
          <w:tcPr>
            <w:tcW w:w="368" w:type="dxa"/>
            <w:vAlign w:val="center"/>
          </w:tcPr>
          <w:p w14:paraId="7FBA14F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20C2B23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683C2FF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2479</w:t>
            </w:r>
          </w:p>
        </w:tc>
        <w:tc>
          <w:tcPr>
            <w:tcW w:w="1048" w:type="dxa"/>
            <w:vAlign w:val="center"/>
          </w:tcPr>
          <w:p w14:paraId="6808E8D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8D9D00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502" w:type="dxa"/>
            <w:vAlign w:val="center"/>
          </w:tcPr>
          <w:p w14:paraId="170E9EC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 (continuous infusion)</w:t>
            </w:r>
          </w:p>
        </w:tc>
        <w:tc>
          <w:tcPr>
            <w:tcW w:w="1275" w:type="dxa"/>
            <w:vAlign w:val="center"/>
          </w:tcPr>
          <w:p w14:paraId="26EDB99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81.5</w:t>
            </w:r>
          </w:p>
        </w:tc>
        <w:tc>
          <w:tcPr>
            <w:tcW w:w="1417" w:type="dxa"/>
            <w:vAlign w:val="center"/>
          </w:tcPr>
          <w:p w14:paraId="08F4CCE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</w:t>
            </w:r>
          </w:p>
        </w:tc>
        <w:tc>
          <w:tcPr>
            <w:tcW w:w="2239" w:type="dxa"/>
            <w:vAlign w:val="center"/>
          </w:tcPr>
          <w:p w14:paraId="3264F8C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30039E1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C9A644E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[51]</w:t>
            </w:r>
          </w:p>
        </w:tc>
        <w:tc>
          <w:tcPr>
            <w:tcW w:w="1899" w:type="dxa"/>
            <w:vAlign w:val="center"/>
          </w:tcPr>
          <w:p w14:paraId="6A06CB1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Teicoplanin</w:t>
            </w:r>
          </w:p>
        </w:tc>
        <w:tc>
          <w:tcPr>
            <w:tcW w:w="368" w:type="dxa"/>
            <w:vAlign w:val="center"/>
          </w:tcPr>
          <w:p w14:paraId="21A9370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</w:t>
            </w:r>
          </w:p>
        </w:tc>
        <w:tc>
          <w:tcPr>
            <w:tcW w:w="1162" w:type="dxa"/>
            <w:vAlign w:val="center"/>
          </w:tcPr>
          <w:p w14:paraId="73AFBD1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37F5D6C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2660–5486</w:t>
            </w:r>
          </w:p>
        </w:tc>
        <w:tc>
          <w:tcPr>
            <w:tcW w:w="1048" w:type="dxa"/>
            <w:vAlign w:val="center"/>
          </w:tcPr>
          <w:p w14:paraId="6D3D456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29CEB6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patient</w:t>
            </w:r>
          </w:p>
        </w:tc>
        <w:tc>
          <w:tcPr>
            <w:tcW w:w="1502" w:type="dxa"/>
            <w:vAlign w:val="center"/>
          </w:tcPr>
          <w:p w14:paraId="38FF4D2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1275" w:type="dxa"/>
            <w:vAlign w:val="center"/>
          </w:tcPr>
          <w:p w14:paraId="353F5AE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5A8F67A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11.1–28.6</w:t>
            </w:r>
          </w:p>
        </w:tc>
        <w:tc>
          <w:tcPr>
            <w:tcW w:w="2239" w:type="dxa"/>
            <w:vAlign w:val="center"/>
          </w:tcPr>
          <w:p w14:paraId="4A881E5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966B5CB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AB963E0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[32]</w:t>
            </w:r>
          </w:p>
        </w:tc>
        <w:tc>
          <w:tcPr>
            <w:tcW w:w="1899" w:type="dxa"/>
            <w:vAlign w:val="center"/>
          </w:tcPr>
          <w:p w14:paraId="55395AD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Teicoplanin</w:t>
            </w:r>
          </w:p>
        </w:tc>
        <w:tc>
          <w:tcPr>
            <w:tcW w:w="368" w:type="dxa"/>
            <w:vAlign w:val="center"/>
          </w:tcPr>
          <w:p w14:paraId="145FF65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079BBC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19256AC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4293–4455</w:t>
            </w:r>
          </w:p>
        </w:tc>
        <w:tc>
          <w:tcPr>
            <w:tcW w:w="1048" w:type="dxa"/>
            <w:vAlign w:val="center"/>
          </w:tcPr>
          <w:p w14:paraId="4B7F2C7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8D8A91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observation</w:t>
            </w:r>
          </w:p>
        </w:tc>
        <w:tc>
          <w:tcPr>
            <w:tcW w:w="1502" w:type="dxa"/>
            <w:vAlign w:val="center"/>
          </w:tcPr>
          <w:p w14:paraId="5ADBC07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17.2–25.8 h</w:t>
            </w:r>
          </w:p>
        </w:tc>
        <w:tc>
          <w:tcPr>
            <w:tcW w:w="1275" w:type="dxa"/>
            <w:vAlign w:val="center"/>
          </w:tcPr>
          <w:p w14:paraId="3B74027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113–130</w:t>
            </w:r>
          </w:p>
        </w:tc>
        <w:tc>
          <w:tcPr>
            <w:tcW w:w="1417" w:type="dxa"/>
            <w:vAlign w:val="center"/>
          </w:tcPr>
          <w:p w14:paraId="6C8EF8D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1.25–5.4</w:t>
            </w:r>
          </w:p>
        </w:tc>
        <w:tc>
          <w:tcPr>
            <w:tcW w:w="2239" w:type="dxa"/>
            <w:vAlign w:val="center"/>
          </w:tcPr>
          <w:p w14:paraId="43ECAAF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28A5A36A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24590936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[52]</w:t>
            </w:r>
          </w:p>
        </w:tc>
        <w:tc>
          <w:tcPr>
            <w:tcW w:w="1899" w:type="dxa"/>
            <w:vAlign w:val="center"/>
          </w:tcPr>
          <w:p w14:paraId="06C315A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Tobramycin</w:t>
            </w:r>
          </w:p>
        </w:tc>
        <w:tc>
          <w:tcPr>
            <w:tcW w:w="368" w:type="dxa"/>
            <w:vAlign w:val="center"/>
          </w:tcPr>
          <w:p w14:paraId="0521F0D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022083A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34667B1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1700–2170</w:t>
            </w:r>
          </w:p>
        </w:tc>
        <w:tc>
          <w:tcPr>
            <w:tcW w:w="1048" w:type="dxa"/>
            <w:vAlign w:val="center"/>
          </w:tcPr>
          <w:p w14:paraId="5A8C5B9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55A2E94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502" w:type="dxa"/>
            <w:vAlign w:val="center"/>
          </w:tcPr>
          <w:p w14:paraId="65DD1E5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h; 18 h</w:t>
            </w:r>
          </w:p>
        </w:tc>
        <w:tc>
          <w:tcPr>
            <w:tcW w:w="1275" w:type="dxa"/>
            <w:vAlign w:val="center"/>
          </w:tcPr>
          <w:p w14:paraId="6EE0E01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4402BEC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6.8–10.8</w:t>
            </w:r>
          </w:p>
        </w:tc>
        <w:tc>
          <w:tcPr>
            <w:tcW w:w="2239" w:type="dxa"/>
            <w:vAlign w:val="center"/>
          </w:tcPr>
          <w:p w14:paraId="385ED1D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Hemodialysis</w:t>
            </w:r>
          </w:p>
        </w:tc>
      </w:tr>
      <w:tr w:rsidR="001260D8" w:rsidRPr="00EA0CD1" w14:paraId="10D7B13D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757ADFB6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[53]</w:t>
            </w:r>
          </w:p>
        </w:tc>
        <w:tc>
          <w:tcPr>
            <w:tcW w:w="1899" w:type="dxa"/>
            <w:vAlign w:val="center"/>
          </w:tcPr>
          <w:p w14:paraId="05E550E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Tobramycin</w:t>
            </w:r>
          </w:p>
        </w:tc>
        <w:tc>
          <w:tcPr>
            <w:tcW w:w="368" w:type="dxa"/>
            <w:vAlign w:val="center"/>
          </w:tcPr>
          <w:p w14:paraId="495CF36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0DF26F3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28A15EA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5850</w:t>
            </w:r>
          </w:p>
        </w:tc>
        <w:tc>
          <w:tcPr>
            <w:tcW w:w="1048" w:type="dxa"/>
            <w:vAlign w:val="center"/>
          </w:tcPr>
          <w:p w14:paraId="51BA20E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C8D737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0993A0D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 h</w:t>
            </w:r>
          </w:p>
        </w:tc>
        <w:tc>
          <w:tcPr>
            <w:tcW w:w="1275" w:type="dxa"/>
            <w:vAlign w:val="center"/>
          </w:tcPr>
          <w:p w14:paraId="7F8EB88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138</w:t>
            </w:r>
          </w:p>
        </w:tc>
        <w:tc>
          <w:tcPr>
            <w:tcW w:w="1417" w:type="dxa"/>
            <w:vAlign w:val="center"/>
          </w:tcPr>
          <w:p w14:paraId="21497A5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35.5</w:t>
            </w:r>
          </w:p>
        </w:tc>
        <w:tc>
          <w:tcPr>
            <w:tcW w:w="2239" w:type="dxa"/>
            <w:vAlign w:val="center"/>
          </w:tcPr>
          <w:p w14:paraId="1AE651A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5DE8754C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DB739C4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[54]</w:t>
            </w:r>
          </w:p>
        </w:tc>
        <w:tc>
          <w:tcPr>
            <w:tcW w:w="1899" w:type="dxa"/>
            <w:vAlign w:val="center"/>
          </w:tcPr>
          <w:p w14:paraId="392FEE6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Tobramycin</w:t>
            </w:r>
          </w:p>
        </w:tc>
        <w:tc>
          <w:tcPr>
            <w:tcW w:w="368" w:type="dxa"/>
            <w:vAlign w:val="center"/>
          </w:tcPr>
          <w:p w14:paraId="7EDA4D0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162" w:type="dxa"/>
            <w:vAlign w:val="center"/>
          </w:tcPr>
          <w:p w14:paraId="17C9A3F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2DA40AF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1565–2057</w:t>
            </w:r>
          </w:p>
        </w:tc>
        <w:tc>
          <w:tcPr>
            <w:tcW w:w="1048" w:type="dxa"/>
            <w:vAlign w:val="center"/>
          </w:tcPr>
          <w:p w14:paraId="0946074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5E918B8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 total</w:t>
            </w:r>
          </w:p>
        </w:tc>
        <w:tc>
          <w:tcPr>
            <w:tcW w:w="1502" w:type="dxa"/>
            <w:vAlign w:val="center"/>
          </w:tcPr>
          <w:p w14:paraId="10A1988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226428A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7778C42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4.3–6.1</w:t>
            </w:r>
          </w:p>
        </w:tc>
        <w:tc>
          <w:tcPr>
            <w:tcW w:w="2239" w:type="dxa"/>
            <w:vAlign w:val="center"/>
          </w:tcPr>
          <w:p w14:paraId="6F0996B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B8D3EDB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9E8DE12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[55]</w:t>
            </w:r>
          </w:p>
        </w:tc>
        <w:tc>
          <w:tcPr>
            <w:tcW w:w="1899" w:type="dxa"/>
            <w:vAlign w:val="center"/>
          </w:tcPr>
          <w:p w14:paraId="359C1CE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Vancomycin</w:t>
            </w:r>
          </w:p>
        </w:tc>
        <w:tc>
          <w:tcPr>
            <w:tcW w:w="368" w:type="dxa"/>
            <w:vAlign w:val="center"/>
          </w:tcPr>
          <w:p w14:paraId="410C8A0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1918016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48FB154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36D03F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83ED2A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502" w:type="dxa"/>
            <w:vAlign w:val="center"/>
          </w:tcPr>
          <w:p w14:paraId="4D24576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0639617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625BAB7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27</w:t>
            </w:r>
          </w:p>
        </w:tc>
        <w:tc>
          <w:tcPr>
            <w:tcW w:w="2239" w:type="dxa"/>
            <w:vAlign w:val="center"/>
          </w:tcPr>
          <w:p w14:paraId="71CD499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Hemodialysis</w:t>
            </w:r>
          </w:p>
        </w:tc>
      </w:tr>
      <w:tr w:rsidR="001260D8" w:rsidRPr="00EA0CD1" w14:paraId="18D70DE5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24B15477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[56]</w:t>
            </w:r>
          </w:p>
        </w:tc>
        <w:tc>
          <w:tcPr>
            <w:tcW w:w="1899" w:type="dxa"/>
            <w:vAlign w:val="center"/>
          </w:tcPr>
          <w:p w14:paraId="42022B4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Vancomycin</w:t>
            </w:r>
          </w:p>
        </w:tc>
        <w:tc>
          <w:tcPr>
            <w:tcW w:w="368" w:type="dxa"/>
            <w:vAlign w:val="center"/>
          </w:tcPr>
          <w:p w14:paraId="684318A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</w:t>
            </w:r>
          </w:p>
        </w:tc>
        <w:tc>
          <w:tcPr>
            <w:tcW w:w="1162" w:type="dxa"/>
            <w:vAlign w:val="center"/>
          </w:tcPr>
          <w:p w14:paraId="7115EB6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</w:t>
            </w:r>
          </w:p>
        </w:tc>
        <w:tc>
          <w:tcPr>
            <w:tcW w:w="1701" w:type="dxa"/>
            <w:vAlign w:val="center"/>
          </w:tcPr>
          <w:p w14:paraId="70F3B5D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2719–5704</w:t>
            </w:r>
          </w:p>
        </w:tc>
        <w:tc>
          <w:tcPr>
            <w:tcW w:w="1048" w:type="dxa"/>
            <w:vAlign w:val="center"/>
          </w:tcPr>
          <w:p w14:paraId="5094C00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048" w:type="dxa"/>
            <w:vAlign w:val="center"/>
          </w:tcPr>
          <w:p w14:paraId="7597467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patient</w:t>
            </w:r>
          </w:p>
        </w:tc>
        <w:tc>
          <w:tcPr>
            <w:tcW w:w="1502" w:type="dxa"/>
            <w:vAlign w:val="center"/>
          </w:tcPr>
          <w:p w14:paraId="477774C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0–134.25 h</w:t>
            </w:r>
          </w:p>
        </w:tc>
        <w:tc>
          <w:tcPr>
            <w:tcW w:w="1275" w:type="dxa"/>
            <w:vAlign w:val="center"/>
          </w:tcPr>
          <w:p w14:paraId="4CC915E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80–180</w:t>
            </w:r>
          </w:p>
        </w:tc>
        <w:tc>
          <w:tcPr>
            <w:tcW w:w="1417" w:type="dxa"/>
            <w:vAlign w:val="center"/>
          </w:tcPr>
          <w:p w14:paraId="595AC7B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3.2–9.5</w:t>
            </w:r>
          </w:p>
        </w:tc>
        <w:tc>
          <w:tcPr>
            <w:tcW w:w="2239" w:type="dxa"/>
            <w:vAlign w:val="center"/>
          </w:tcPr>
          <w:p w14:paraId="0AAC8E2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184F7516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0D3CD0DA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[57]</w:t>
            </w:r>
          </w:p>
        </w:tc>
        <w:tc>
          <w:tcPr>
            <w:tcW w:w="1899" w:type="dxa"/>
            <w:vAlign w:val="center"/>
          </w:tcPr>
          <w:p w14:paraId="7124F9A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Vancomycin</w:t>
            </w:r>
          </w:p>
        </w:tc>
        <w:tc>
          <w:tcPr>
            <w:tcW w:w="368" w:type="dxa"/>
            <w:vAlign w:val="center"/>
          </w:tcPr>
          <w:p w14:paraId="328B9B2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30CBBBE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12F532A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63A4724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6BFF5B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  <w:tc>
          <w:tcPr>
            <w:tcW w:w="1502" w:type="dxa"/>
            <w:vAlign w:val="center"/>
          </w:tcPr>
          <w:p w14:paraId="7D41451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4C05641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05DEB30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27</w:t>
            </w:r>
          </w:p>
        </w:tc>
        <w:tc>
          <w:tcPr>
            <w:tcW w:w="2239" w:type="dxa"/>
            <w:vAlign w:val="center"/>
          </w:tcPr>
          <w:p w14:paraId="4B87157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0A61BE11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3B4B9453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[58]</w:t>
            </w:r>
          </w:p>
        </w:tc>
        <w:tc>
          <w:tcPr>
            <w:tcW w:w="1899" w:type="dxa"/>
            <w:vAlign w:val="center"/>
          </w:tcPr>
          <w:p w14:paraId="5D860AF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Vancomycin</w:t>
            </w:r>
          </w:p>
        </w:tc>
        <w:tc>
          <w:tcPr>
            <w:tcW w:w="368" w:type="dxa"/>
            <w:vAlign w:val="center"/>
          </w:tcPr>
          <w:p w14:paraId="7A60A01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67EB83A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5127698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3487</w:t>
            </w:r>
          </w:p>
        </w:tc>
        <w:tc>
          <w:tcPr>
            <w:tcW w:w="1048" w:type="dxa"/>
            <w:vAlign w:val="center"/>
          </w:tcPr>
          <w:p w14:paraId="7008262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3AD66C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2E4D102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24 h</w:t>
            </w:r>
          </w:p>
        </w:tc>
        <w:tc>
          <w:tcPr>
            <w:tcW w:w="1275" w:type="dxa"/>
            <w:vAlign w:val="center"/>
          </w:tcPr>
          <w:p w14:paraId="5D71678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120</w:t>
            </w:r>
          </w:p>
        </w:tc>
        <w:tc>
          <w:tcPr>
            <w:tcW w:w="1417" w:type="dxa"/>
            <w:vAlign w:val="center"/>
          </w:tcPr>
          <w:p w14:paraId="629EA60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2239" w:type="dxa"/>
            <w:vAlign w:val="center"/>
          </w:tcPr>
          <w:p w14:paraId="7B55170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4F3C33D5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62C54726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[59]</w:t>
            </w:r>
          </w:p>
        </w:tc>
        <w:tc>
          <w:tcPr>
            <w:tcW w:w="1899" w:type="dxa"/>
            <w:vAlign w:val="center"/>
          </w:tcPr>
          <w:p w14:paraId="454766C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Vancomycin</w:t>
            </w:r>
          </w:p>
        </w:tc>
        <w:tc>
          <w:tcPr>
            <w:tcW w:w="368" w:type="dxa"/>
            <w:vAlign w:val="center"/>
          </w:tcPr>
          <w:p w14:paraId="5F3DCDC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610D53E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5759306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3100</w:t>
            </w:r>
          </w:p>
        </w:tc>
        <w:tc>
          <w:tcPr>
            <w:tcW w:w="1048" w:type="dxa"/>
            <w:vAlign w:val="center"/>
          </w:tcPr>
          <w:p w14:paraId="13A34EBE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048" w:type="dxa"/>
            <w:vAlign w:val="center"/>
          </w:tcPr>
          <w:p w14:paraId="7B1088A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14</w:t>
            </w:r>
          </w:p>
        </w:tc>
        <w:tc>
          <w:tcPr>
            <w:tcW w:w="1502" w:type="dxa"/>
            <w:vAlign w:val="center"/>
          </w:tcPr>
          <w:p w14:paraId="4456EF91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275" w:type="dxa"/>
            <w:vAlign w:val="center"/>
          </w:tcPr>
          <w:p w14:paraId="56316E6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417" w:type="dxa"/>
            <w:vAlign w:val="center"/>
          </w:tcPr>
          <w:p w14:paraId="416578B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48.5</w:t>
            </w:r>
          </w:p>
        </w:tc>
        <w:tc>
          <w:tcPr>
            <w:tcW w:w="2239" w:type="dxa"/>
            <w:vAlign w:val="center"/>
          </w:tcPr>
          <w:p w14:paraId="6CD5557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15C2D546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539D5369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[32]</w:t>
            </w:r>
          </w:p>
        </w:tc>
        <w:tc>
          <w:tcPr>
            <w:tcW w:w="1899" w:type="dxa"/>
            <w:vAlign w:val="center"/>
          </w:tcPr>
          <w:p w14:paraId="5595C59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Voriconazole</w:t>
            </w:r>
          </w:p>
        </w:tc>
        <w:tc>
          <w:tcPr>
            <w:tcW w:w="368" w:type="dxa"/>
            <w:vAlign w:val="center"/>
          </w:tcPr>
          <w:p w14:paraId="6DCA725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0A918C2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0CBAD3D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4293–4455</w:t>
            </w:r>
          </w:p>
        </w:tc>
        <w:tc>
          <w:tcPr>
            <w:tcW w:w="1048" w:type="dxa"/>
            <w:vAlign w:val="center"/>
          </w:tcPr>
          <w:p w14:paraId="765DBBD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4FD088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 per observation</w:t>
            </w:r>
          </w:p>
        </w:tc>
        <w:tc>
          <w:tcPr>
            <w:tcW w:w="1502" w:type="dxa"/>
            <w:vAlign w:val="center"/>
          </w:tcPr>
          <w:p w14:paraId="7A3D8EB0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0.3–7.8 h</w:t>
            </w:r>
          </w:p>
        </w:tc>
        <w:tc>
          <w:tcPr>
            <w:tcW w:w="1275" w:type="dxa"/>
            <w:vAlign w:val="center"/>
          </w:tcPr>
          <w:p w14:paraId="2698001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113–130</w:t>
            </w:r>
          </w:p>
        </w:tc>
        <w:tc>
          <w:tcPr>
            <w:tcW w:w="1417" w:type="dxa"/>
            <w:vAlign w:val="center"/>
          </w:tcPr>
          <w:p w14:paraId="3048E38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9.26–16.15</w:t>
            </w:r>
          </w:p>
        </w:tc>
        <w:tc>
          <w:tcPr>
            <w:tcW w:w="2239" w:type="dxa"/>
            <w:vAlign w:val="center"/>
          </w:tcPr>
          <w:p w14:paraId="774E669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52F611F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6E7CA23D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[60]</w:t>
            </w:r>
          </w:p>
        </w:tc>
        <w:tc>
          <w:tcPr>
            <w:tcW w:w="1899" w:type="dxa"/>
            <w:vAlign w:val="center"/>
          </w:tcPr>
          <w:p w14:paraId="3E68E6C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Voriconazole</w:t>
            </w:r>
          </w:p>
        </w:tc>
        <w:tc>
          <w:tcPr>
            <w:tcW w:w="368" w:type="dxa"/>
            <w:vAlign w:val="center"/>
          </w:tcPr>
          <w:p w14:paraId="59699032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1CDA15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08B32B8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3445</w:t>
            </w:r>
          </w:p>
        </w:tc>
        <w:tc>
          <w:tcPr>
            <w:tcW w:w="1048" w:type="dxa"/>
            <w:vAlign w:val="center"/>
          </w:tcPr>
          <w:p w14:paraId="5C9A626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29BD699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13</w:t>
            </w:r>
          </w:p>
        </w:tc>
        <w:tc>
          <w:tcPr>
            <w:tcW w:w="1502" w:type="dxa"/>
            <w:vAlign w:val="center"/>
          </w:tcPr>
          <w:p w14:paraId="6287FEA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2.5 h</w:t>
            </w:r>
          </w:p>
        </w:tc>
        <w:tc>
          <w:tcPr>
            <w:tcW w:w="1275" w:type="dxa"/>
            <w:vAlign w:val="center"/>
          </w:tcPr>
          <w:p w14:paraId="1641F743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115</w:t>
            </w:r>
          </w:p>
        </w:tc>
        <w:tc>
          <w:tcPr>
            <w:tcW w:w="1417" w:type="dxa"/>
            <w:vAlign w:val="center"/>
          </w:tcPr>
          <w:p w14:paraId="7BB77298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2239" w:type="dxa"/>
            <w:vAlign w:val="center"/>
          </w:tcPr>
          <w:p w14:paraId="47B4265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6231497D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65ADBEB9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t>[61]</w:t>
            </w:r>
          </w:p>
        </w:tc>
        <w:tc>
          <w:tcPr>
            <w:tcW w:w="1899" w:type="dxa"/>
            <w:vAlign w:val="center"/>
          </w:tcPr>
          <w:p w14:paraId="557A9E9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Voriconazole</w:t>
            </w:r>
          </w:p>
        </w:tc>
        <w:tc>
          <w:tcPr>
            <w:tcW w:w="368" w:type="dxa"/>
            <w:vAlign w:val="center"/>
          </w:tcPr>
          <w:p w14:paraId="5C22E97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42632F3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Case report</w:t>
            </w:r>
          </w:p>
        </w:tc>
        <w:tc>
          <w:tcPr>
            <w:tcW w:w="1701" w:type="dxa"/>
            <w:vAlign w:val="center"/>
          </w:tcPr>
          <w:p w14:paraId="7216C7D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3300–3600</w:t>
            </w:r>
          </w:p>
        </w:tc>
        <w:tc>
          <w:tcPr>
            <w:tcW w:w="1048" w:type="dxa"/>
            <w:vAlign w:val="center"/>
          </w:tcPr>
          <w:p w14:paraId="6EFD56C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07F7CC4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502" w:type="dxa"/>
            <w:vAlign w:val="center"/>
          </w:tcPr>
          <w:p w14:paraId="486425C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5 min</w:t>
            </w:r>
          </w:p>
        </w:tc>
        <w:tc>
          <w:tcPr>
            <w:tcW w:w="1275" w:type="dxa"/>
            <w:vAlign w:val="center"/>
          </w:tcPr>
          <w:p w14:paraId="450AB576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120–150</w:t>
            </w:r>
          </w:p>
        </w:tc>
        <w:tc>
          <w:tcPr>
            <w:tcW w:w="1417" w:type="dxa"/>
            <w:vAlign w:val="center"/>
          </w:tcPr>
          <w:p w14:paraId="46E04C1B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0.02</w:t>
            </w:r>
          </w:p>
        </w:tc>
        <w:tc>
          <w:tcPr>
            <w:tcW w:w="2239" w:type="dxa"/>
            <w:vAlign w:val="center"/>
          </w:tcPr>
          <w:p w14:paraId="25D4724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  <w:tr w:rsidR="001260D8" w:rsidRPr="00EA0CD1" w14:paraId="1A923531" w14:textId="77777777" w:rsidTr="008D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  <w:vAlign w:val="center"/>
          </w:tcPr>
          <w:p w14:paraId="17DD1AA0" w14:textId="77777777" w:rsidR="007071BF" w:rsidRDefault="003B0960" w:rsidP="008D4C45">
            <w:pPr>
              <w:spacing w:line="360" w:lineRule="auto"/>
              <w:jc w:val="center"/>
            </w:pPr>
            <w:r>
              <w:rPr>
                <w:rFonts w:ascii="Times New Roman" w:hAnsi="Times New Roman"/>
                <w:sz w:val="17"/>
              </w:rPr>
              <w:lastRenderedPageBreak/>
              <w:t>[62]</w:t>
            </w:r>
          </w:p>
        </w:tc>
        <w:tc>
          <w:tcPr>
            <w:tcW w:w="1899" w:type="dxa"/>
            <w:vAlign w:val="center"/>
          </w:tcPr>
          <w:p w14:paraId="18533A47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Zidovudine</w:t>
            </w:r>
          </w:p>
        </w:tc>
        <w:tc>
          <w:tcPr>
            <w:tcW w:w="368" w:type="dxa"/>
            <w:vAlign w:val="center"/>
          </w:tcPr>
          <w:p w14:paraId="4BEF7A94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162" w:type="dxa"/>
            <w:vAlign w:val="center"/>
          </w:tcPr>
          <w:p w14:paraId="3D3E4FD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PK study / case report</w:t>
            </w:r>
          </w:p>
        </w:tc>
        <w:tc>
          <w:tcPr>
            <w:tcW w:w="1701" w:type="dxa"/>
            <w:vAlign w:val="center"/>
          </w:tcPr>
          <w:p w14:paraId="1A8AB1CC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2913</w:t>
            </w:r>
          </w:p>
        </w:tc>
        <w:tc>
          <w:tcPr>
            <w:tcW w:w="1048" w:type="dxa"/>
            <w:vAlign w:val="center"/>
          </w:tcPr>
          <w:p w14:paraId="55D390C9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  <w:tc>
          <w:tcPr>
            <w:tcW w:w="1048" w:type="dxa"/>
            <w:vAlign w:val="center"/>
          </w:tcPr>
          <w:p w14:paraId="3066594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1502" w:type="dxa"/>
            <w:vAlign w:val="center"/>
          </w:tcPr>
          <w:p w14:paraId="617B7545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4 h</w:t>
            </w:r>
          </w:p>
        </w:tc>
        <w:tc>
          <w:tcPr>
            <w:tcW w:w="1275" w:type="dxa"/>
            <w:vAlign w:val="center"/>
          </w:tcPr>
          <w:p w14:paraId="584EC3AA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60</w:t>
            </w:r>
          </w:p>
        </w:tc>
        <w:tc>
          <w:tcPr>
            <w:tcW w:w="1417" w:type="dxa"/>
            <w:vAlign w:val="center"/>
          </w:tcPr>
          <w:p w14:paraId="60B5244D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0.01</w:t>
            </w:r>
          </w:p>
        </w:tc>
        <w:tc>
          <w:tcPr>
            <w:tcW w:w="2239" w:type="dxa"/>
            <w:vAlign w:val="center"/>
          </w:tcPr>
          <w:p w14:paraId="203E8C1F" w14:textId="77777777" w:rsidR="007071BF" w:rsidRDefault="003B0960" w:rsidP="008D4C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7"/>
              </w:rPr>
              <w:t>NR</w:t>
            </w:r>
          </w:p>
        </w:tc>
      </w:tr>
    </w:tbl>
    <w:p w14:paraId="6166A719" w14:textId="77777777" w:rsidR="00221330" w:rsidRPr="008D4C45" w:rsidRDefault="009E458E" w:rsidP="001426ED">
      <w:pPr>
        <w:spacing w:before="80" w:after="120" w:line="360" w:lineRule="auto"/>
        <w:rPr>
          <w:rFonts w:ascii="Times New Roman" w:hAnsi="Times New Roman"/>
          <w:sz w:val="20"/>
          <w:szCs w:val="28"/>
        </w:rPr>
      </w:pPr>
      <w:r w:rsidRPr="008D4C45">
        <w:rPr>
          <w:rFonts w:ascii="Times New Roman" w:hAnsi="Times New Roman"/>
          <w:i/>
          <w:iCs/>
          <w:sz w:val="20"/>
          <w:szCs w:val="28"/>
        </w:rPr>
        <w:t>Abbreviations</w:t>
      </w:r>
      <w:r w:rsidRPr="008D4C45">
        <w:rPr>
          <w:rFonts w:ascii="Times New Roman" w:hAnsi="Times New Roman"/>
          <w:sz w:val="20"/>
          <w:szCs w:val="28"/>
        </w:rPr>
        <w:t xml:space="preserve">: TPE, therapeutic plasma exchange; PK, pharmacokinetic; NR, not reported; ECMO, extracorporeal membrane oxygenation; CVVHDF, continuous veno-venous hemodiafiltration. </w:t>
      </w:r>
    </w:p>
    <w:p w14:paraId="760F478E" w14:textId="15C92A40" w:rsidR="009E458E" w:rsidRPr="008D4C45" w:rsidRDefault="009E458E" w:rsidP="001426ED">
      <w:pPr>
        <w:spacing w:before="80" w:after="120" w:line="360" w:lineRule="auto"/>
        <w:rPr>
          <w:sz w:val="32"/>
          <w:szCs w:val="28"/>
        </w:rPr>
      </w:pPr>
      <w:r w:rsidRPr="008D4C45">
        <w:rPr>
          <w:rFonts w:ascii="Times New Roman" w:hAnsi="Times New Roman"/>
          <w:sz w:val="20"/>
          <w:szCs w:val="28"/>
        </w:rPr>
        <w:t>Each row represents one source/anti-infective combination. Ranges indicate the lowest and highest values extracted from the respective report.</w:t>
      </w:r>
    </w:p>
    <w:sectPr w:rsidR="009E458E" w:rsidRPr="008D4C45" w:rsidSect="008D4C45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51"/>
    <w:rsid w:val="000D2BE8"/>
    <w:rsid w:val="001260D8"/>
    <w:rsid w:val="001426ED"/>
    <w:rsid w:val="00221330"/>
    <w:rsid w:val="00267129"/>
    <w:rsid w:val="003B0960"/>
    <w:rsid w:val="003F2E8F"/>
    <w:rsid w:val="00507B28"/>
    <w:rsid w:val="007071BF"/>
    <w:rsid w:val="008B395C"/>
    <w:rsid w:val="008D4AA8"/>
    <w:rsid w:val="008D4C45"/>
    <w:rsid w:val="008E1956"/>
    <w:rsid w:val="008E3682"/>
    <w:rsid w:val="009E458E"/>
    <w:rsid w:val="009F18F5"/>
    <w:rsid w:val="00B56B00"/>
    <w:rsid w:val="00D402E0"/>
    <w:rsid w:val="00DF4E0B"/>
    <w:rsid w:val="00E12A51"/>
    <w:rsid w:val="00EA0CD1"/>
    <w:rsid w:val="00F1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8F75"/>
  <w15:chartTrackingRefBased/>
  <w15:docId w15:val="{841296A0-7CAB-4D56-BA57-E6616612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2BE8"/>
    <w:rPr>
      <w:rFonts w:ascii="Arial" w:hAnsi="Arial"/>
      <w:sz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2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2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2A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2A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2A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2A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2A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2A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2A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4">
    <w:name w:val="Plain Table 4"/>
    <w:basedOn w:val="NormaleTabelle"/>
    <w:uiPriority w:val="44"/>
    <w:rsid w:val="003F2E8F"/>
    <w:pPr>
      <w:spacing w:after="0" w:line="240" w:lineRule="auto"/>
    </w:pPr>
    <w:rPr>
      <w:rFonts w:ascii="Cambria" w:hAnsi="Cambria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E12A5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2A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2A5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2A51"/>
    <w:rPr>
      <w:rFonts w:eastAsiaTheme="majorEastAsia" w:cstheme="majorBidi"/>
      <w:i/>
      <w:iCs/>
      <w:color w:val="0F4761" w:themeColor="accent1" w:themeShade="BF"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2A51"/>
    <w:rPr>
      <w:rFonts w:eastAsiaTheme="majorEastAsia" w:cstheme="majorBidi"/>
      <w:color w:val="0F4761" w:themeColor="accent1" w:themeShade="BF"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2A51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2A51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2A51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2A51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12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2A5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2A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2A5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E12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2A51"/>
    <w:rPr>
      <w:rFonts w:ascii="Arial" w:hAnsi="Arial"/>
      <w:i/>
      <w:iCs/>
      <w:color w:val="404040" w:themeColor="text1" w:themeTint="BF"/>
      <w:sz w:val="24"/>
      <w:lang w:val="en-US"/>
    </w:rPr>
  </w:style>
  <w:style w:type="paragraph" w:styleId="Listenabsatz">
    <w:name w:val="List Paragraph"/>
    <w:basedOn w:val="Standard"/>
    <w:uiPriority w:val="34"/>
    <w:qFormat/>
    <w:rsid w:val="00E12A5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2A5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2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2A51"/>
    <w:rPr>
      <w:rFonts w:ascii="Arial" w:hAnsi="Arial"/>
      <w:i/>
      <w:iCs/>
      <w:color w:val="0F4761" w:themeColor="accent1" w:themeShade="BF"/>
      <w:sz w:val="24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E12A5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1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E12A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teraturverzeichnis">
    <w:name w:val="Bibliography"/>
    <w:basedOn w:val="Standard"/>
    <w:next w:val="Standard"/>
    <w:uiPriority w:val="37"/>
    <w:unhideWhenUsed/>
    <w:rsid w:val="00EA0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Maj-Britt Nachtigall</dc:creator>
  <cp:keywords/>
  <dc:description/>
  <cp:lastModifiedBy>Maj-Britt Nachtigall</cp:lastModifiedBy>
  <cp:revision>4</cp:revision>
  <dcterms:created xsi:type="dcterms:W3CDTF">2026-08-16T15:59:00Z</dcterms:created>
  <dcterms:modified xsi:type="dcterms:W3CDTF">2026-08-16T16:05:00Z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id="pgYtN4zZ"/&gt;&lt;style id="http://www.zotero.org/styles/springer-vancouver-brackets" locale="en-US" hasBibliography="1" bibliographyStyleHasBeenSet="1"/&gt;&lt;prefs&gt;&lt;pref name="fieldType" value="Field"/&gt;&lt;/p</vt:lpwstr>
  </property>
  <property fmtid="{D5CDD505-2E9C-101B-9397-08002B2CF9AE}" pid="3" name="ZOTERO_PREF_2">
    <vt:lpwstr>refs&gt;&lt;/data&gt;</vt:lpwstr>
  </property>
</Properties>
</file>