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Arial" w:hAnsi="Arial" w:eastAsia="Arial"/>
          <w:b/>
          <w:i w:val="0"/>
          <w:sz w:val="28"/>
        </w:rPr>
        <w:t>ADDITIONAL FILE 1</w:t>
        <w:br/>
        <w:t>Full PubMed and Embase search strategies</w:t>
      </w:r>
    </w:p>
    <w:p>
      <w:pPr>
        <w:jc w:val="center"/>
      </w:pPr>
      <w:r>
        <w:rPr>
          <w:rFonts w:ascii="Arial" w:hAnsi="Arial" w:eastAsia="Arial"/>
          <w:b w:val="0"/>
          <w:i w:val="0"/>
          <w:sz w:val="18"/>
        </w:rPr>
        <w:t>Physiology-informed management of peripheral VA ECMO in adults with cardiogenic shock: a narrative review and four-domain framework for integrated bedside assessment</w:t>
      </w:r>
    </w:p>
    <w:p>
      <w:pPr/>
      <w:r>
        <w:rPr>
          <w:rFonts w:ascii="Arial" w:hAnsi="Arial" w:eastAsia="Arial"/>
          <w:i/>
          <w:sz w:val="16"/>
        </w:rPr>
        <w:t>Documentation updated: 21 August 2026; live database execution date for PubMed and Embase: 16 August 2026; historical reference-level verification log: 28 July 2026; References 16–19 and 29 were added to the manuscript during the present revision after the historical reference-level verification log and were therefore not assessed in that historical log.</w:t>
      </w:r>
    </w:p>
    <w:p>
      <w:pPr>
        <w:pStyle w:val="3"/>
      </w:pPr>
      <w:r>
        <w:rPr>
          <w:rFonts w:ascii="Arial" w:hAnsi="Arial" w:eastAsia="Arial"/>
          <w:b/>
          <w:i w:val="0"/>
          <w:sz w:val="22"/>
        </w:rPr>
        <w:t>Purpose and scope</w:t>
      </w:r>
    </w:p>
    <w:p>
      <w:pPr/>
      <w:r>
        <w:rPr>
          <w:rFonts w:ascii="Arial" w:hAnsi="Arial" w:eastAsia="Arial"/>
          <w:b w:val="0"/>
          <w:i w:val="0"/>
          <w:sz w:val="18"/>
        </w:rPr>
        <w:t>This additional file documents a purposive narrative search and its limitations. It is not a systematic-review protocol or a PRISMA record. Exploratory reading first formed four provisional physiological domains; PubMed and Embase searches then broadened, challenged and delimited that structure. The final manuscript cites 45 sources. Retrieval counts describe database retrieval or indexing verification only, not title/abstract screening, full-text assessment or exclusion counts.</w:t>
      </w:r>
    </w:p>
    <w:p>
      <w:pPr>
        <w:pStyle w:val="3"/>
      </w:pPr>
      <w:r>
        <w:rPr>
          <w:rFonts w:ascii="Arial" w:hAnsi="Arial" w:eastAsia="Arial"/>
          <w:b/>
          <w:i w:val="0"/>
          <w:sz w:val="22"/>
        </w:rPr>
        <w:t>Search overview</w:t>
      </w:r>
    </w:p>
    <w:tbl>
      <w:tblPr>
        <w:tblStyle w:val="33"/>
        <w:tblW w:type="auto" w:w="0"/>
        <w:tblLayout w:type="autofit"/>
        <w:tblLook w:firstColumn="1" w:firstRow="1" w:lastColumn="0" w:lastRow="0" w:noHBand="0" w:noVBand="1" w:val="04A0"/>
      </w:tblPr>
      <w:tblGrid>
        <w:gridCol w:w="5616"/>
        <w:gridCol w:w="5616"/>
      </w:tblGrid>
      <w:tr>
        <w:trPr>
          <w:tblHeader w:val="true"/>
        </w:trP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6"/>
              </w:rPr>
              <w:t>Item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6"/>
              </w:rPr>
              <w:t>Record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Database platform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PubMed (NCBI); Embase.com (Elsevier)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Execution dates</w:t>
            </w:r>
          </w:p>
        </w:tc>
        <w:tc>
          <w:tcPr>
            <w:tcW w:type="dxa" w:w="5616"/>
            <w:vAlign w:val="center"/>
          </w:tcPr>
          <w:p>
            <w:r>
              <w:rPr>
                <w:rFonts w:ascii="Arial" w:hAnsi="Arial" w:eastAsia="Arial"/>
                <w:i w:val="0"/>
                <w:sz w:val="16"/>
              </w:rPr>
              <w:t>Live retrieval: PubMed and Embase 16 August 2026; historical reference-level verification log 28 July 2026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Publication-date range</w:t>
            </w:r>
          </w:p>
        </w:tc>
        <w:tc>
          <w:tcPr>
            <w:tcW w:type="dxa" w:w="5616"/>
            <w:vAlign w:val="center"/>
          </w:tcPr>
          <w:p>
            <w:r>
              <w:rPr>
                <w:rFonts w:ascii="Arial" w:hAnsi="Arial" w:eastAsia="Arial"/>
                <w:i w:val="0"/>
                <w:sz w:val="16"/>
              </w:rPr>
              <w:t>PubMed: direct limit from 1 January 2010 to 30 June 2026; Embase: publication-year limit 2010–2026; because record-level date filtering and exclusion logs were not retained, no reproducible date-window total is reported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Limits</w:t>
            </w:r>
          </w:p>
        </w:tc>
        <w:tc>
          <w:tcPr>
            <w:tcW w:type="dxa" w:w="5616"/>
            <w:vAlign w:val="center"/>
          </w:tcPr>
          <w:p>
            <w:r>
              <w:rPr>
                <w:rFonts w:ascii="Arial" w:hAnsi="Arial" w:eastAsia="Arial"/>
                <w:i w:val="0"/>
                <w:sz w:val="16"/>
              </w:rPr>
              <w:t>English; PubMed directly limited to 1 January 2010 to 30 June 2026; Embase limited to publication years 2010–2026; adult eligibility applied during purposive selection.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Target population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Adults receiving VA ECMO for cardiogenic shock; relevant indirect evidence was retained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Retrieved records</w:t>
            </w:r>
          </w:p>
        </w:tc>
        <w:tc>
          <w:tcPr>
            <w:tcW w:type="dxa" w:w="5616"/>
            <w:vAlign w:val="center"/>
          </w:tcPr>
          <w:p>
            <w:r>
              <w:rPr>
                <w:rFonts w:ascii="Arial" w:hAnsi="Arial" w:eastAsia="Arial"/>
                <w:i w:val="0"/>
                <w:sz w:val="16"/>
              </w:rPr>
              <w:t>PubMed: 14,104; Embase: 56,509 under the 2010–2026 publication-year limit. Because record-level date filtering and exclusion logs were not retained, no reproducible Embase count restricted to publications up to 30 June 2026 is reported. These are database retrieval counts, not study-screening counts.</w:t>
            </w:r>
          </w:p>
        </w:tc>
      </w:tr>
    </w:tbl>
    <w:p>
      <w:pPr>
        <w:pStyle w:val="3"/>
      </w:pPr>
      <w:r>
        <w:rPr>
          <w:rFonts w:ascii="Arial" w:hAnsi="Arial" w:eastAsia="Arial"/>
          <w:b/>
          <w:i w:val="0"/>
          <w:sz w:val="22"/>
        </w:rPr>
        <w:t>Exact PubMed query</w:t>
      </w:r>
    </w:p>
    <w:p>
      <w:pPr/>
      <w:r>
        <w:rPr>
          <w:rFonts w:ascii="Arial" w:hAnsi="Arial" w:eastAsia="Arial"/>
          <w:b w:val="0"/>
          <w:i w:val="0"/>
          <w:sz w:val="14"/>
        </w:rPr>
        <w:t>((("Extracorporeal Membrane Oxygenation"[Mesh] OR ECMO[tiab] OR VA-ECMO[tiab] OR venoarterial ECMO[tiab] OR veno-arterial ECMO[tiab]) AND (unloading[tiab] OR loading[tiab] OR "differential hypox*"[tiab] OR hypox*[tiab] OR oxygen[tiab] OR hyperox*[tiab] OR temperature[tiab] OR hypotherm*[tiab] OR coagulation[tiab] OR coagulopath*[tiab] OR anticoag*[tiab] OR monitoring[tiab] OR prognosis[tiab] OR prediction[tiab] OR IABP[tiab] OR Impella[tiab] OR microaxial[tiab] OR wean*[tiab] OR bundle[tiab] OR score[tiab] OR randomized[tiab] OR randomised[tiab] OR guideline[pt] OR recommendation*[tiab] OR "extracorporeal life support"[tiab])) OR (("Shock, Cardiogenic"[Mesh] OR "cardiogenic shock"[tiab]) AND ("intra-aortic balloon pump"[tiab] OR IABP[tiab] OR Impella[tiab] OR microaxial[tiab])) OR ("Hypothermia, Induced"[Mesh] AND "Out-of-Hospital Cardiac Arrest"[Mesh])) AND english[lang] AND ("2010/01/01"[Date - Publication] : "2026/06/30"[Date - Publication])</w:t>
      </w:r>
    </w:p>
    <w:p>
      <w:pPr>
        <w:pStyle w:val="3"/>
      </w:pPr>
      <w:r>
        <w:rPr>
          <w:rFonts w:ascii="Arial" w:hAnsi="Arial" w:eastAsia="Arial"/>
          <w:b/>
          <w:i w:val="0"/>
          <w:sz w:val="22"/>
        </w:rPr>
        <w:t>Exact Embase query</w:t>
      </w:r>
    </w:p>
    <w:p>
      <w:pPr/>
      <w:r>
        <w:rPr>
          <w:rFonts w:ascii="Arial" w:hAnsi="Arial" w:eastAsia="Arial"/>
          <w:i w:val="0"/>
          <w:sz w:val="14"/>
        </w:rPr>
        <w:t>((('extracorporeal oxygenation'/exp OR ecmo:ti,ab,kw OR 'va ecmo':ti,ab,kw OR 'va-ecmo':ti,ab,kw OR 'venoarterial ecmo':ti,ab,kw OR 'veno-arterial ecmo':ti,ab,kw OR 'extracorporeal organ support':ti,ab,kw OR 'veno-arterial extracorporeal organ support':ti,ab,kw) AND (unload*:ti,ab,kw OR load*:ti,ab,kw OR 'differential hypoxemia':ti,ab,kw OR 'differential hypoxaemia':ti,ab,kw OR hypox*:ti,ab,kw OR oxygen*:ti,ab,kw OR hyperox*:ti,ab,kw OR temperature*:ti,ab,kw OR hypotherm*:ti,ab,kw OR coagulation:ti,ab,kw OR coagulopath*:ti,ab,kw OR anticoag*:ti,ab,kw OR monitor*:ti,ab,kw OR prognos*:ti,ab,kw OR predict*:ti,ab,kw OR iabp:ti,ab,kw OR impella:ti,ab,kw OR microaxial*:ti,ab,kw OR wean*:ti,ab,kw OR bundle*:ti,ab,kw OR score*:ti,ab,kw OR random*:ti,ab,kw OR guideline*:ti,ab,kw OR recommendation*:ti,ab,kw OR 'extracorporeal life support':ti,ab,kw)) OR (('cardiogenic shock'/exp OR 'cardiogenic shock':ti,ab,kw) AND ('intraaortic balloon pump'/exp OR 'intra-aortic balloon pump':ti,ab,kw OR iabp:ti,ab,kw OR impella:ti,ab,kw OR microaxial*:ti,ab,kw)) OR (('induced hypothermia'/exp OR hypotherm*:ti,ab,kw) AND ('out of hospital cardiac arrest'/exp OR 'out-of-hospital cardiac arrest':ti,ab,kw OR ohca:ti,ab,kw))) AND [english]/lim AND [2010-2026]/py</w:t>
      </w:r>
    </w:p>
    <w:p>
      <w:pPr>
        <w:pStyle w:val="3"/>
      </w:pPr>
      <w:r>
        <w:rPr>
          <w:rFonts w:ascii="Arial" w:hAnsi="Arial" w:eastAsia="Arial"/>
          <w:b/>
          <w:i w:val="0"/>
          <w:sz w:val="22"/>
        </w:rPr>
        <w:t>Search concepts</w:t>
      </w:r>
    </w:p>
    <w:tbl>
      <w:tblPr>
        <w:tblStyle w:val="33"/>
        <w:tblW w:type="auto" w:w="0"/>
        <w:tblLayout w:type="autofit"/>
        <w:tblLook w:firstColumn="1" w:firstRow="1" w:lastColumn="0" w:lastRow="0" w:noHBand="0" w:noVBand="1" w:val="04A0"/>
      </w:tblPr>
      <w:tblGrid>
        <w:gridCol w:w="5616"/>
        <w:gridCol w:w="5616"/>
      </w:tblGrid>
      <w:tr>
        <w:trPr>
          <w:tblHeader w:val="true"/>
        </w:trP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4"/>
              </w:rPr>
              <w:t>Search branch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4"/>
              </w:rPr>
              <w:t>Terms as searched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4"/>
              </w:rPr>
              <w:t>VA-ECMO concept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4"/>
              </w:rPr>
              <w:t>PubMed: "Extracorporeal Membrane Oxygenation"[Mesh] plus ECMO/VA-ECMO free text; Embase: 'extracorporeal oxygenation'/exp plus extracorporeal organ support free text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4"/>
              </w:rPr>
              <w:t>Physiological and management domains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4"/>
              </w:rPr>
              <w:t>unloading/loading; differential hypoxaemia; oxygen exposure; temperature; coagulation and anticoagulation; monitoring; prognosis; prediction; unloading devices; weaning; bundles; scores; guidance and recommendations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4"/>
              </w:rPr>
              <w:t>Cardiogenic shock/device branch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4"/>
              </w:rPr>
              <w:t>cardiogenic shock combined with intra-aortic balloon pump, IABP, Impella, or microaxial-flow-pump terms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4"/>
              </w:rPr>
              <w:t>Indirect temperature-evidence branch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4"/>
              </w:rPr>
              <w:t>induced hypothermia combined with out-of-hospital cardiac-arrest terms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4"/>
              </w:rPr>
              <w:t>Search limits</w:t>
            </w:r>
          </w:p>
        </w:tc>
        <w:tc>
          <w:tcPr>
            <w:tcW w:type="dxa" w:w="5616"/>
            <w:vAlign w:val="center"/>
          </w:tcPr>
          <w:p>
            <w:r>
              <w:rPr>
                <w:rFonts w:ascii="Arial" w:hAnsi="Arial" w:eastAsia="Arial"/>
                <w:i w:val="0"/>
                <w:sz w:val="14"/>
              </w:rPr>
              <w:t>English; PubMed: 1 January 2010 to 30 June 2026; Embase: publication-year limit 2010–2026; adult eligibility applied during purposive selection.</w:t>
            </w:r>
          </w:p>
        </w:tc>
      </w:tr>
    </w:tbl>
    <w:p>
      <w:pPr/>
      <w:r>
        <w:rPr>
          <w:rFonts w:ascii="Arial" w:hAnsi="Arial" w:eastAsia="Arial"/>
          <w:b w:val="0"/>
          <w:i/>
          <w:sz w:val="16"/>
        </w:rPr>
        <w:t>Terminology note: variant and historical terms, including differential hypoxaemia, hypoxemia/hypoxaemia, coagulopathy, prognosis and prediction, were retained only as retrieval synonyms or challenge terms. They do not define the final terminology, the four-domain structure or a current predictive or decision-support tool.</w:t>
      </w:r>
    </w:p>
    <w:p>
      <w:pPr>
        <w:pStyle w:val="3"/>
      </w:pPr>
      <w:r>
        <w:rPr>
          <w:rFonts w:ascii="Arial" w:hAnsi="Arial" w:eastAsia="Arial"/>
          <w:b/>
          <w:i w:val="0"/>
          <w:sz w:val="22"/>
        </w:rPr>
        <w:t>Selection and synthesis</w:t>
      </w:r>
    </w:p>
    <w:p>
      <w:pPr>
        <w:pStyle w:val="16"/>
      </w:pPr>
      <w:r>
        <w:rPr>
          <w:rFonts w:ascii="Arial" w:hAnsi="Arial" w:eastAsia="Arial"/>
          <w:b w:val="0"/>
          <w:i w:val="0"/>
          <w:sz w:val="17"/>
        </w:rPr>
        <w:t>Studies were selected purposively for their contribution to physiological questions, cross-domain treatment trade-offs, monitoring or management options, and uncertainty.</w:t>
      </w:r>
    </w:p>
    <w:p>
      <w:pPr>
        <w:pStyle w:val="16"/>
      </w:pPr>
      <w:r>
        <w:rPr>
          <w:rFonts w:ascii="Arial" w:hAnsi="Arial" w:eastAsia="Arial"/>
          <w:b w:val="0"/>
          <w:i w:val="0"/>
          <w:sz w:val="17"/>
        </w:rPr>
        <w:t>Randomised trials, prospective studies, major observational cohorts, systematic reviews and current consensus documents were prioritised.</w:t>
      </w:r>
    </w:p>
    <w:p>
      <w:pPr>
        <w:pStyle w:val="16"/>
      </w:pPr>
      <w:r>
        <w:rPr>
          <w:rFonts w:ascii="Arial" w:hAnsi="Arial" w:eastAsia="Arial"/>
          <w:b w:val="0"/>
          <w:i w:val="0"/>
          <w:sz w:val="17"/>
        </w:rPr>
        <w:t>Experimental, bench and other indirect studies were retained when direct adult peripheral VA ECMO evidence was limited, and their directness was labelled in the manuscript.</w:t>
      </w:r>
    </w:p>
    <w:p>
      <w:pPr>
        <w:pStyle w:val="16"/>
      </w:pPr>
      <w:r>
        <w:rPr>
          <w:rFonts w:ascii="Arial" w:hAnsi="Arial" w:eastAsia="Arial"/>
          <w:b w:val="0"/>
          <w:i w:val="0"/>
          <w:sz w:val="17"/>
        </w:rPr>
        <w:t>FL conducted the database searches and initial study selection and rechecked the eligibility of the final included set; CM independently checked the eligibility of that same final set. Any disagreements were resolved through discussion. Independent duplicate screening of all retrieved records, formal risk-of-bias assessment and quantitative synthesis were not performed.</w:t>
      </w:r>
    </w:p>
    <w:p>
      <w:pPr>
        <w:pStyle w:val="3"/>
      </w:pPr>
      <w:r>
        <w:rPr>
          <w:rFonts w:ascii="Arial" w:hAnsi="Arial" w:eastAsia="Arial"/>
          <w:b/>
          <w:i w:val="0"/>
          <w:sz w:val="22"/>
        </w:rPr>
        <w:t>Search results and verification</w:t>
      </w:r>
    </w:p>
    <w:p>
      <w:pPr/>
      <w:r>
        <w:rPr>
          <w:rFonts w:ascii="Arial" w:hAnsi="Arial" w:eastAsia="Arial"/>
          <w:i w:val="0"/>
          <w:sz w:val="18"/>
        </w:rPr>
        <w:t>The Embase search used a 2010–2026 publication-year limit. Original record-level exports and date-filtering, deduplication and exclusion logs were not fully retained; therefore, no reproducible count restricted to publications up to 30 June 2026 is reported, no PRISMA-style screening flow is retrospectively reconstructed, and unretained screening stages are not treated as zero. Retrieval and indexing checks do not establish search completeness or unbiased study identification. The selection-accounting summary below and the non-PRISMA schematic distinguish known retrieval counts from unretained selection stages. Retrospective retrieval of cited DOI-resolved references was used only to check sensitivity to the authors' known evidence set.</w:t>
      </w:r>
    </w:p>
    <w:p>
      <w:pPr>
        <w:pStyle w:val="3"/>
      </w:pPr>
      <w:r>
        <w:rPr>
          <w:rFonts w:ascii="Arial" w:hAnsi="Arial" w:eastAsia="Arial"/>
          <w:b/>
          <w:i w:val="0"/>
          <w:sz w:val="22"/>
        </w:rPr>
        <w:t>Selection accounting (not a PRISMA flow)</w:t>
      </w:r>
    </w:p>
    <w:tbl>
      <w:tblPr>
        <w:tblStyle w:val="33"/>
        <w:tblW w:type="auto" w:w="0"/>
        <w:tblLayout w:type="autofit"/>
        <w:tblLook w:firstColumn="1" w:firstRow="1" w:lastColumn="0" w:lastRow="0" w:noHBand="0" w:noVBand="1" w:val="04A0"/>
      </w:tblPr>
      <w:tblGrid>
        <w:gridCol w:w="5616"/>
        <w:gridCol w:w="5616"/>
      </w:tblGrid>
      <w:tr>
        <w:trPr>
          <w:tblHeader w:val="true"/>
        </w:trP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Stage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6"/>
              </w:rPr>
              <w:t>Known count and status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Database retrieval</w:t>
            </w:r>
          </w:p>
        </w:tc>
        <w:tc>
          <w:tcPr>
            <w:tcW w:type="dxa" w:w="5616"/>
            <w:vAlign w:val="center"/>
          </w:tcPr>
          <w:p>
            <w:r>
              <w:rPr>
                <w:rFonts w:ascii="Arial" w:hAnsi="Arial" w:eastAsia="Arial"/>
                <w:i w:val="0"/>
                <w:sz w:val="16"/>
              </w:rPr>
              <w:t>PubMed 14,104; Embase 56,509 under the 2010–2026 publication-year limit. Because record-level date filtering and exclusion logs were not retained, no reproducible date-window total is reported. Retrieval count, not screening count.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Formal duplicate screening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Not performed for all retrieved records; number screened was not retained.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Full-text assessment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Not recorded as a formal stage; number assessed was not retained.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Exclusions and reasons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Record-level exclusion log was not retained; numbers and reasons were not retained.</w:t>
            </w:r>
          </w:p>
        </w:tc>
      </w:tr>
      <w:tr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Final cited sources</w:t>
            </w:r>
          </w:p>
        </w:tc>
        <w:tc>
          <w:tcPr>
            <w:tcW w:type="dxa" w:w="5616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6"/>
              </w:rPr>
              <w:t>45 purposively selected sources, mapped in Additional Table S2; this count was not flow-derived.</w:t>
            </w:r>
          </w:p>
        </w:tc>
      </w:tr>
    </w:tbl>
    <w:p>
      <w:pPr/>
      <w:r>
        <w:rPr>
          <w:rFonts w:ascii="Arial" w:hAnsi="Arial" w:eastAsia="Arial"/>
          <w:b w:val="0"/>
          <w:i/>
          <w:sz w:val="16"/>
        </w:rPr>
        <w:t>These unretained items are methodological record gaps; they do not mean that no judgement occurred and should not be interpreted as zero screening or exclusion counts.</w:t>
      </w:r>
    </w:p>
    <w:p>
      <w:pPr>
        <w:pStyle w:val="3"/>
      </w:pPr>
      <w:r>
        <w:rPr>
          <w:rFonts w:ascii="Arial" w:hAnsi="Arial" w:eastAsia="Arial"/>
          <w:b/>
          <w:i w:val="0"/>
          <w:sz w:val="22"/>
        </w:rPr>
        <w:t>Additional Table S1. Reference-level verification for the 45 cited sources</w:t>
      </w:r>
    </w:p>
    <w:p>
      <w:pPr/>
      <w:r>
        <w:rPr>
          <w:rFonts w:ascii="Arial" w:hAnsi="Arial" w:eastAsia="Arial"/>
          <w:b w:val="0"/>
          <w:i/>
          <w:sz w:val="16"/>
        </w:rPr>
        <w:t>This table reports a retrospective indexing and retrieval check; it is not a screening log.</w:t>
      </w:r>
    </w:p>
    <w:tbl>
      <w:tblPr>
        <w:tblStyle w:val="33"/>
        <w:tblW w:type="auto" w:w="0"/>
        <w:tblLayout w:type="autofit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  <w:gridCol w:w="1872"/>
      </w:tblGrid>
      <w:tr>
        <w:trPr>
          <w:tblHeader w:val="true"/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3"/>
              </w:rPr>
              <w:t>Reference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3"/>
              </w:rPr>
              <w:t>DOI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3"/>
              </w:rPr>
              <w:t>PubMed subject query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3"/>
              </w:rPr>
              <w:t>Embase indexing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3"/>
              </w:rPr>
              <w:t>Embase subject query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sz w:val="13"/>
              </w:rPr>
              <w:t>Verification note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10.1056/NEJMra2312086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2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10.1056/NEJMoa2307227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3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10.1161/CIRCULATIONAHA.122.062949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4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10.1016/j.aicoj.2026.100038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5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10.1161/CIRCULATIONAHA.120.048792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6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10.1002/ejhf.668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7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10.31083/RCM39992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8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10.1016/j.bvth.2025.100064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No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N/A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Retrieved by PubMed; no Embase record was retained in the verification log.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9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10.1016/j.thromres.2025.109358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10.3389/fmed.2024.1335826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11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10.1097/SHK.0000000000002038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12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10.1161/CIRCHEARTFAILURE.122.010328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13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10.1001/jama.2021.24776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14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10.1016/j.jacc.2018.10.085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15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10.1016/j.jchf.2018.09.009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16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10.1016/j.jacc.2025.06.048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This source was added during the present revision after the historical log was completed and therefore was not assessed in that log.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17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10.1002/ccd.30951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This source was added during the present revision after the historical log was completed and therefore was not assessed in that log.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18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10.1016/j.resuscitation.2024.110475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This source was added during the present revision after the historical log was completed and therefore was not assessed in that log.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19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10.3390/bioengineering12030237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This source was added during the present revision after the historical log was completed and therefore was not assessed in that log.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20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10.1093/icvts/ivaa284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21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10.1002/ehf2.13479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22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10.1186/s12872-023-03465-8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23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10.1097/SHK.0000000000002184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24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10.3389/fcvm.2022.1104357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25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10.1186/s12872-026-05811-y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26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10.1155/cdr/3669575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27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10.1056/NEJMoa2312572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28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10.1177/02676591221090667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29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10.1186/s13054-023-04703-3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Not assessed in the historical verification log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This source was added during the present revision after the historical log was completed and therefore was not assessed in that log.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30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10.1111/aor.70016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31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10.1007/s00134-024-07333-7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32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10.1177/02676591211056567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33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10.5090/jcs.22.151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No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N/A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Retrieved by PubMed; no Embase record was retained in the verification log.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34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10.1016/j.resuscitation.2023.110071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35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10.1056/NEJMoa1310519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36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10.1016/j.resuscitation.2024.110235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37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10.1016/j.ajem.2023.05.027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38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10.1371/journal.pone.0342473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39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10.1097/MAT.0000000000002415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40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10.3390/jcm15062337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41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10.1177/02676591261464905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42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10.1080/07853890.2025.2542439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43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10.1002/ejhf.3398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44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10.1097/MAT.0000000000002395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 w:eastAsia="Arial"/>
                <w:i w:val="0"/>
                <w:sz w:val="13"/>
              </w:rPr>
              <w:t>Indexed and retrieved by the documented subject query.</w:t>
            </w:r>
          </w:p>
        </w:tc>
      </w:tr>
      <w:tr>
        <w:trPr>
          <w:cantSplit/>
        </w:trPr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45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10.1016/j.eclinm.2025.103423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Yes</w:t>
            </w:r>
          </w:p>
        </w:tc>
        <w:tc>
          <w:tcPr>
            <w:tcW w:type="dxa" w:w="1872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sz w:val="13"/>
              </w:rPr>
              <w:t>Indexed and retrieved by the documented subject query.</w:t>
            </w:r>
          </w:p>
        </w:tc>
      </w:tr>
    </w:tbl>
    <w:p>
      <w:pPr/>
      <w:r>
        <w:rPr>
          <w:rFonts w:ascii="Arial" w:hAnsi="Arial" w:eastAsia="Arial"/>
          <w:b w:val="0"/>
          <w:i/>
          <w:sz w:val="16"/>
        </w:rPr>
        <w:t>Note: This retrospective check describes retrieval of the final cited sources by the documented queries; it does not establish search completeness, unbiased identification or a reproducible screening pathway.</w:t>
      </w:r>
    </w:p>
    <w:sectPr>
      <w:pgSz w:w="12240" w:h="15840" w:orient="landscape"/>
      <w:pgMar w:top="504" w:right="504" w:bottom="504" w:left="504" w:header="360" w:footer="36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8C11B">
    <w:pPr>
      <w:pStyle w:val="24"/>
      <w:keepNext w:val="0"/>
      <w:widowControl/>
      <w:spacing w:before="0" w:after="0" w:line="240" w:lineRule="auto"/>
      <w:jc w:val="center"/>
    </w:pPr>
    <w:r>
      <w:rPr>
        <w:rFonts w:ascii="Arial" w:hAnsi="Arial" w:eastAsia="Arial"/>
        <w:color w:val="52606D"/>
        <w:sz w:val="15"/>
        <w:lang w:val="en-GB"/>
      </w:rPr>
      <w:t xml:space="preserve">Additional File 1  |  PubMed and Embase search strategies  |  </w:t>
    </w:r>
    <w:r>
      <w:rPr>
        <w:rFonts w:ascii="Arial" w:hAnsi="Arial" w:eastAsia="Arial"/>
        <w:color w:val="52606D"/>
        <w:sz w:val="15"/>
        <w:lang w:val="en-GB"/>
      </w:rPr>
      <w:fldChar w:fldCharType="begin"/>
    </w:r>
    <w:r>
      <w:rPr>
        <w:rFonts w:ascii="Arial" w:hAnsi="Arial" w:eastAsia="Arial"/>
        <w:color w:val="52606D"/>
        <w:sz w:val="15"/>
        <w:lang w:val="en-GB"/>
      </w:rPr>
      <w:instrText xml:space="preserve"> PAGE </w:instrText>
    </w:r>
    <w:r>
      <w:rPr>
        <w:rFonts w:ascii="Arial" w:hAnsi="Arial" w:eastAsia="Arial"/>
        <w:color w:val="52606D"/>
        <w:sz w:val="15"/>
        <w:lang w:val="en-GB"/>
      </w:rPr>
      <w:fldChar w:fldCharType="separate"/>
    </w:r>
    <w:r>
      <w:rPr>
        <w:rFonts w:ascii="Arial" w:hAnsi="Arial" w:eastAsia="Arial"/>
        <w:color w:val="52606D"/>
        <w:sz w:val="15"/>
        <w:lang w:val="en-GB"/>
      </w:rPr>
      <w:t>1</w:t>
    </w:r>
    <w:r>
      <w:rPr>
        <w:rFonts w:ascii="Arial" w:hAnsi="Arial" w:eastAsia="Arial"/>
        <w:color w:val="52606D"/>
        <w:sz w:val="15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2DF47CF"/>
    <w:rsid w:val="32F459E2"/>
    <w:rsid w:val="3C8D7A42"/>
    <w:rsid w:val="4749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Arial" w:hAnsi="Arial" w:eastAsia="Arial" w:cstheme="minorBidi"/>
      <w:color w:val="1D2733"/>
      <w:sz w:val="19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file 1: Full PubMed and Embase search strategies</dc:title>
  <dc:subject>Physiology-informed management of peripheral VA ECMO in adults with cardiogenic shock: a narrative review and four-domain framework for integrated bedside assessment</dc:subject>
  <dc:creator>Fujin Luo</dc:creator>
  <cp:keywords/>
  <dc:description/>
  <cp:lastModifiedBy>Fujin Luo</cp:lastModifiedBy>
  <cp:revision>1</cp:revision>
  <dcterms:created xsi:type="dcterms:W3CDTF">2026-09-01T12:32:51Z</dcterms:created>
  <dcterms:modified xsi:type="dcterms:W3CDTF">2026-09-01T12:32:51Z</dcterms:modified>
  <cp:category/>
</cp:coreProperties>
</file>