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6D8AA">
      <w:pPr>
        <w:pStyle w:val="3"/>
      </w:pPr>
      <w:r>
        <w:rPr>
          <w:rFonts w:ascii="Times New Roman" w:hAnsi="Times New Roman" w:eastAsia="Times New Roman"/>
          <w:b/>
          <w:i w:val="0"/>
          <w:sz w:val="28"/>
        </w:rPr>
        <w:t>Supplementary File 2. Supplementary Methods</w:t>
      </w:r>
    </w:p>
    <w:p w14:paraId="3866ABE0">
      <w:pPr>
        <w:pStyle w:val="3"/>
        <w:jc w:val="both"/>
      </w:pPr>
      <w:r>
        <w:rPr>
          <w:rFonts w:ascii="Times New Roman" w:hAnsi="Times New Roman" w:eastAsia="Times New Roman"/>
          <w:b/>
          <w:i w:val="0"/>
          <w:sz w:val="26"/>
        </w:rPr>
        <w:t>Data Extraction</w:t>
      </w:r>
      <w:bookmarkStart w:id="0" w:name="_GoBack"/>
      <w:bookmarkEnd w:id="0"/>
    </w:p>
    <w:p w14:paraId="7B287CC5">
      <w:pPr>
        <w:jc w:val="both"/>
      </w:pPr>
      <w:r>
        <w:rPr>
          <w:rFonts w:ascii="Times New Roman" w:hAnsi="Times New Roman" w:eastAsia="Times New Roman"/>
          <w:b w:val="0"/>
          <w:i w:val="0"/>
          <w:sz w:val="24"/>
        </w:rPr>
        <w:t>Two reviewers independently extracted data using a standardized form (YL, YD). For each study, we extracted author, year, country, design, clinical setting, ventilation status, reported ventilatory conditions, sedation or paralysis status when reported, sample size or number of test conditions, preload-challenge type, reference standard, responder definition, EtCO</w:t>
      </w:r>
      <w:r>
        <w:rPr>
          <w:rFonts w:ascii="Times New Roman" w:hAnsi="Times New Roman" w:eastAsia="Times New Roman"/>
          <w:b w:val="0"/>
          <w:i w:val="0"/>
          <w:sz w:val="24"/>
          <w:vertAlign w:val="subscript"/>
        </w:rPr>
        <w:t>2</w:t>
      </w:r>
      <w:r>
        <w:rPr>
          <w:rFonts w:ascii="Times New Roman" w:hAnsi="Times New Roman" w:eastAsia="Times New Roman"/>
          <w:b w:val="0"/>
          <w:i w:val="0"/>
          <w:sz w:val="24"/>
        </w:rPr>
        <w:t xml:space="preserve"> index, threshold, sensitivity, specificity, AUC, and 2×2 data when available. Fluid responsiveness was defined according to a study-specific independent hemodynamic reference standard, namely an increase in cardiac output, cardiac index, stroke volume, stroke volume index, or LVOT-VTI after preload challenge. A patient or diagnostic condition was classified as fluid responsive when the reference-standard measure met the study-specific threshold; no common responder threshold was imposed. The measure and threshold were extracted as reported and are summarized in Supplementary Table 1.</w:t>
      </w:r>
    </w:p>
    <w:p w14:paraId="7C67461D">
      <w:pPr>
        <w:jc w:val="both"/>
      </w:pPr>
      <w:r>
        <w:rPr>
          <w:rFonts w:ascii="Times New Roman" w:hAnsi="Times New Roman" w:eastAsia="Times New Roman"/>
          <w:b w:val="0"/>
          <w:i w:val="0"/>
          <w:sz w:val="24"/>
        </w:rPr>
        <w:t>Detailed respiratory variables included tidal volume, respiratory rate, minute ventilation, PEEP, plateau pressure, driving pressure, neuromuscular blockade, patient-ventilator synchrony, and spontaneous respiratory effort. Minute ventilation and patient-ventilator synchrony were recorded only when directly reported or explicitly described; otherwise, they were coded as not reported. Ventilatory context, including stable ventilator settings, absent spontaneous effort, deep sedation, or neuromuscular blockade, was recorded separately when reported and was not used to infer unreported values.</w:t>
      </w:r>
    </w:p>
    <w:p w14:paraId="54FA1357">
      <w:pPr>
        <w:jc w:val="both"/>
      </w:pPr>
      <w:r>
        <w:rPr>
          <w:rFonts w:ascii="Times New Roman" w:hAnsi="Times New Roman" w:eastAsia="Times New Roman"/>
          <w:b w:val="0"/>
          <w:i w:val="0"/>
          <w:sz w:val="24"/>
        </w:rPr>
        <w:t>If a study reported multiple EtCO</w:t>
      </w:r>
      <w:r>
        <w:rPr>
          <w:rFonts w:ascii="Times New Roman" w:hAnsi="Times New Roman" w:eastAsia="Times New Roman"/>
          <w:b w:val="0"/>
          <w:i w:val="0"/>
          <w:sz w:val="24"/>
          <w:vertAlign w:val="subscript"/>
        </w:rPr>
        <w:t>2</w:t>
      </w:r>
      <w:r>
        <w:rPr>
          <w:rFonts w:ascii="Times New Roman" w:hAnsi="Times New Roman" w:eastAsia="Times New Roman"/>
          <w:b w:val="0"/>
          <w:i w:val="0"/>
          <w:sz w:val="24"/>
        </w:rPr>
        <w:t xml:space="preserve"> thresholds or multiple preload-challenge conditions from the same cohort, one primary EtCO₂/PETCO₂ result</w:t>
      </w:r>
      <w:r>
        <w:rPr>
          <w:rFonts w:ascii="Times New Roman" w:hAnsi="Times New Roman" w:eastAsia="Times New Roman"/>
          <w:b w:val="0"/>
          <w:i w:val="0"/>
          <w:sz w:val="24"/>
          <w:vertAlign w:val="subscript"/>
        </w:rPr>
        <w:t/>
      </w:r>
      <w:r>
        <w:rPr>
          <w:rFonts w:ascii="Times New Roman" w:hAnsi="Times New Roman" w:eastAsia="Times New Roman"/>
          <w:b w:val="0"/>
          <w:i w:val="0"/>
          <w:sz w:val="24"/>
        </w:rPr>
        <w:t xml:space="preserve"> was selected for the main analysis. The primary result was chosen according to the article's stated main result, the clinically most relevant preload challenge, or the Youden-optimal threshold when no prespecified primary threshold was reported. Alternative thresholds and repeated preload-challenge conditions were retained for exploratory analyses only and were not treated as independent studies in the primary synthesis.</w:t>
      </w:r>
    </w:p>
    <w:p w14:paraId="73866399">
      <w:pPr>
        <w:spacing w:after="120"/>
        <w:jc w:val="both"/>
        <w:rPr>
          <w:b w:val="0"/>
          <w:bCs/>
        </w:rPr>
      </w:pPr>
      <w:r>
        <w:rPr>
          <w:rFonts w:ascii="Times New Roman" w:hAnsi="Times New Roman" w:eastAsia="Times New Roman"/>
          <w:b/>
          <w:i w:val="0"/>
          <w:sz w:val="24"/>
        </w:rPr>
        <w:t>Definitions of mechanical and controlled ventilation:</w:t>
      </w:r>
      <w:r>
        <w:rPr>
          <w:rFonts w:ascii="Times New Roman" w:hAnsi="Times New Roman" w:eastAsia="Times New Roman"/>
          <w:b w:val="0"/>
          <w:i w:val="0"/>
          <w:sz w:val="24"/>
        </w:rPr>
        <w:t xml:space="preserve"> Eligibility was based on original reports of mechanically ventilated adults. The ventilation-status field retained the terminology used in each original report. Controlled mechanical ventilation was recorded only when explicitly reported as such; otherwise, the broader classification of mechanical ventilation was retained. Ventilatory mode, stable settings, sedation or paralysis, and spontaneous respiratory effort were extracted separately and were not used to infer controlled ventilation.</w:t>
      </w:r>
    </w:p>
    <w:p w14:paraId="16A6DD44">
      <w:pPr>
        <w:keepLines/>
        <w:spacing w:after="120"/>
        <w:jc w:val="both"/>
        <w:rPr>
          <w:b w:val="0"/>
          <w:bCs/>
        </w:rPr>
      </w:pPr>
      <w:r>
        <w:rPr>
          <w:rFonts w:ascii="Times New Roman" w:hAnsi="Times New Roman" w:eastAsia="Times New Roman"/>
          <w:b/>
          <w:bCs/>
          <w:i w:val="0"/>
          <w:sz w:val="24"/>
        </w:rPr>
        <w:t>Patient-level and condition-level (challenge/test-level) analyses:</w:t>
      </w:r>
      <w:r>
        <w:rPr>
          <w:rFonts w:ascii="Times New Roman" w:hAnsi="Times New Roman" w:eastAsia="Times New Roman"/>
          <w:b w:val="0"/>
          <w:bCs/>
          <w:i w:val="0"/>
          <w:sz w:val="24"/>
        </w:rPr>
        <w:t xml:space="preserve"> Patient-level analyses used one diagnostic classification per patient. Condition-level analyses used each reported preload-challenge/threshold condition as an observation, allowing repeated observations from the same or overlapping patient cohorts. The analysis unit assigned to each study is shown in Supplementary Table 1.</w:t>
      </w:r>
    </w:p>
    <w:p w14:paraId="2D4B3F47">
      <w:pPr>
        <w:spacing w:after="120"/>
        <w:jc w:val="both"/>
        <w:rPr>
          <w:b w:val="0"/>
          <w:bCs/>
        </w:rPr>
      </w:pPr>
      <w:r>
        <w:rPr>
          <w:rFonts w:ascii="Times New Roman" w:hAnsi="Times New Roman" w:eastAsia="Times New Roman"/>
          <w:b/>
          <w:bCs/>
          <w:i w:val="0"/>
          <w:sz w:val="24"/>
        </w:rPr>
        <w:t>Relative and absolute thresholds:</w:t>
      </w:r>
      <w:r>
        <w:rPr>
          <w:rFonts w:ascii="Times New Roman" w:hAnsi="Times New Roman" w:eastAsia="Times New Roman"/>
          <w:b w:val="0"/>
          <w:bCs/>
          <w:i w:val="0"/>
          <w:sz w:val="24"/>
        </w:rPr>
        <w:t xml:space="preserve"> Relative thresholds were percentage or proportional EtCO</w:t>
      </w:r>
      <w:r>
        <w:rPr>
          <w:rFonts w:ascii="Times New Roman" w:hAnsi="Times New Roman" w:eastAsia="Times New Roman"/>
          <w:b w:val="0"/>
          <w:bCs/>
          <w:i w:val="0"/>
          <w:sz w:val="24"/>
          <w:vertAlign w:val="subscript"/>
        </w:rPr>
        <w:t>2</w:t>
      </w:r>
      <w:r>
        <w:rPr>
          <w:rFonts w:ascii="Times New Roman" w:hAnsi="Times New Roman" w:eastAsia="Times New Roman"/>
          <w:b w:val="0"/>
          <w:bCs/>
          <w:i w:val="0"/>
          <w:sz w:val="24"/>
        </w:rPr>
        <w:t>/PETCO</w:t>
      </w:r>
      <w:r>
        <w:rPr>
          <w:rFonts w:ascii="Times New Roman" w:hAnsi="Times New Roman" w:eastAsia="Times New Roman"/>
          <w:b w:val="0"/>
          <w:bCs/>
          <w:i w:val="0"/>
          <w:sz w:val="24"/>
          <w:vertAlign w:val="subscript"/>
        </w:rPr>
        <w:t>2</w:t>
      </w:r>
      <w:r>
        <w:rPr>
          <w:rFonts w:ascii="Times New Roman" w:hAnsi="Times New Roman" w:eastAsia="Times New Roman"/>
          <w:b w:val="0"/>
          <w:bCs/>
          <w:i w:val="0"/>
          <w:sz w:val="24"/>
        </w:rPr>
        <w:t xml:space="preserve"> changes. Absolute thresholds were changes expressed in mmHg.</w:t>
      </w:r>
    </w:p>
    <w:p w14:paraId="206FDD51">
      <w:pPr>
        <w:jc w:val="both"/>
      </w:pPr>
      <w:r>
        <w:rPr>
          <w:rFonts w:ascii="Times New Roman" w:hAnsi="Times New Roman" w:eastAsia="Times New Roman"/>
          <w:b w:val="0"/>
          <w:i w:val="0"/>
          <w:sz w:val="24"/>
        </w:rPr>
        <w:t>Disagreements between the two reviewers were resolved by discussion with a third author (GC).</w:t>
      </w:r>
    </w:p>
    <w:p w14:paraId="2C7BBA6D">
      <w:pPr>
        <w:pStyle w:val="3"/>
        <w:jc w:val="both"/>
      </w:pPr>
      <w:r>
        <w:rPr>
          <w:rFonts w:ascii="Times New Roman" w:hAnsi="Times New Roman" w:eastAsia="Times New Roman"/>
          <w:b/>
          <w:i w:val="0"/>
          <w:sz w:val="26"/>
        </w:rPr>
        <w:t>Statistical Analysis</w:t>
      </w:r>
    </w:p>
    <w:p w14:paraId="24239619">
      <w:pPr>
        <w:pStyle w:val="4"/>
        <w:jc w:val="both"/>
      </w:pPr>
      <w:r>
        <w:rPr>
          <w:rFonts w:ascii="Times New Roman" w:hAnsi="Times New Roman" w:eastAsia="Times New Roman"/>
          <w:b/>
          <w:i w:val="0"/>
          <w:sz w:val="24"/>
        </w:rPr>
        <w:t>Primary 2×2 diagnostic synthesis</w:t>
      </w:r>
    </w:p>
    <w:p w14:paraId="0B68E51F">
      <w:pPr>
        <w:jc w:val="both"/>
      </w:pPr>
      <w:r>
        <w:rPr>
          <w:rFonts w:ascii="Times New Roman" w:hAnsi="Times New Roman" w:eastAsia="Times New Roman"/>
          <w:b w:val="0"/>
          <w:i w:val="0"/>
          <w:sz w:val="24"/>
        </w:rPr>
        <w:t>All statistical analyses and figure generation were performed by GC using R version 4.6.0 (R Foundation for Statistical Computing, Vienna, Austria). The main 2×2 diagnostic synthesis used one primary EtCO</w:t>
      </w:r>
      <w:r>
        <w:rPr>
          <w:rFonts w:ascii="Times New Roman" w:hAnsi="Times New Roman" w:eastAsia="Times New Roman"/>
          <w:b w:val="0"/>
          <w:i w:val="0"/>
          <w:sz w:val="24"/>
          <w:vertAlign w:val="subscript"/>
        </w:rPr>
        <w:t>2</w:t>
      </w:r>
      <w:r>
        <w:rPr>
          <w:rFonts w:ascii="Times New Roman" w:hAnsi="Times New Roman" w:eastAsia="Times New Roman"/>
          <w:b w:val="0"/>
          <w:i w:val="0"/>
          <w:sz w:val="24"/>
        </w:rPr>
        <w:t>/PETCO</w:t>
      </w:r>
      <w:r>
        <w:rPr>
          <w:rFonts w:ascii="Times New Roman" w:hAnsi="Times New Roman" w:eastAsia="Times New Roman"/>
          <w:b w:val="0"/>
          <w:i w:val="0"/>
          <w:sz w:val="24"/>
          <w:vertAlign w:val="subscript"/>
        </w:rPr>
        <w:t>2</w:t>
      </w:r>
      <w:r>
        <w:rPr>
          <w:rFonts w:ascii="Times New Roman" w:hAnsi="Times New Roman" w:eastAsia="Times New Roman"/>
          <w:b w:val="0"/>
          <w:i w:val="0"/>
          <w:sz w:val="24"/>
        </w:rPr>
        <w:t xml:space="preserve"> result per independent study involving mechanically ventilated adults. Pooled sensitivity and specificity were estimated using a bivariate random-effects model within the Reitsma/HSROC framework. From this model, we derived the SROC curve, summary operating point, likelihood ratios, and diagnostic odds ratio. Fagan probability estimates were calculated from the model-derived likelihood ratios.</w:t>
      </w:r>
    </w:p>
    <w:p w14:paraId="0B68E520">
      <w:pPr>
        <w:jc w:val="both"/>
      </w:pPr>
      <w:r>
        <w:rPr>
          <w:rFonts w:ascii="Times New Roman" w:hAnsi="Times New Roman" w:eastAsia="Times New Roman"/>
          <w:b w:val="0"/>
          <w:i w:val="0"/>
          <w:sz w:val="24"/>
        </w:rPr>
        <w:t>Coupled forest plots displayed study-level sensitivity and specificity. Threshold effects were assessed using Spearman correlation between logit sensitivity and logit false-positive rate, and small-study effects were evaluated using Deeks' funnel plot. Likelihood-ratio scatter plots visualized rule-in and rule-out value, whereas Galbraith/radial plots provided exploratory displays of study-level heterogeneity in log diagnostic odds ratio.</w:t>
      </w:r>
    </w:p>
    <w:p w14:paraId="72FDA1B4">
      <w:pPr>
        <w:pStyle w:val="4"/>
        <w:jc w:val="both"/>
      </w:pPr>
      <w:r>
        <w:rPr>
          <w:rFonts w:ascii="Times New Roman" w:hAnsi="Times New Roman" w:eastAsia="Times New Roman"/>
          <w:b/>
          <w:i w:val="0"/>
          <w:sz w:val="24"/>
        </w:rPr>
        <w:t>AUC synthesis and subgroup analyses</w:t>
      </w:r>
    </w:p>
    <w:p w14:paraId="08CAF0C7">
      <w:pPr>
        <w:jc w:val="both"/>
      </w:pPr>
      <w:r>
        <w:rPr>
          <w:rFonts w:ascii="Times New Roman" w:hAnsi="Times New Roman" w:eastAsia="Times New Roman"/>
          <w:b w:val="0"/>
          <w:i w:val="0"/>
          <w:sz w:val="24"/>
        </w:rPr>
        <w:t>Reported AUCs were synthesized after logit transformation using a REML random-effects model and back-transformed for presentation. Subgroup analyses were performed only when at least two independent studies or at least two repeated conditions were available in a stratum. Main independent-study subgroup analyses examined preload-challenge method, threshold scale, clinical population, analysis unit, and sample-size category. Fluid volume and cutoff category were examined only in exploratory repeated-condition analyses.</w:t>
      </w:r>
    </w:p>
    <w:p w14:paraId="2A2D3980">
      <w:pPr>
        <w:pStyle w:val="4"/>
        <w:jc w:val="both"/>
      </w:pPr>
      <w:r>
        <w:rPr>
          <w:rFonts w:ascii="Times New Roman" w:hAnsi="Times New Roman" w:eastAsia="Times New Roman"/>
          <w:b/>
          <w:i w:val="0"/>
          <w:sz w:val="24"/>
        </w:rPr>
        <w:t>Meta-regression and repeated-condition analyses</w:t>
      </w:r>
    </w:p>
    <w:p w14:paraId="56E3C673">
      <w:pPr>
        <w:jc w:val="both"/>
      </w:pPr>
      <w:r>
        <w:rPr>
          <w:rFonts w:ascii="Times New Roman" w:hAnsi="Times New Roman" w:eastAsia="Times New Roman"/>
          <w:b w:val="0"/>
          <w:i w:val="0"/>
          <w:sz w:val="24"/>
        </w:rPr>
        <w:t>Univariable meta-regression was performed using REML random-effects models with inverse-variance weighting. The model target was log diagnostic odds ratio for the main 2×2 dataset; reported AUCs were logit-transformed before meta-regression in the AUC dataset. Publication year, reference-standard category, and other prespecified study-level or condition-level moderators were explored. For each model, we recorded the number of included studies or conditions, residual τ², residual I², and the range of random-effects model weights.</w:t>
      </w:r>
    </w:p>
    <w:p w14:paraId="2FFD5ED1">
      <w:pPr>
        <w:jc w:val="both"/>
      </w:pPr>
      <w:r>
        <w:rPr>
          <w:rFonts w:ascii="Times New Roman" w:hAnsi="Times New Roman" w:eastAsia="Times New Roman"/>
          <w:b w:val="0"/>
          <w:i w:val="0"/>
          <w:sz w:val="24"/>
        </w:rPr>
        <w:t>The primary bivariate/HSROC model was retained for the main synthesis because sensitivity and specificity are correlated diagnostic outcomes requiring joint modeling. A covariate-extended bivariate/HSROC model was not fitted because the main 2×2 dataset included only 18 independent studies, several moderator strata were sparse, some 2×2 tables required reconstruction, and study-level moderators were interrelated and potentially confounded.</w:t>
      </w:r>
    </w:p>
    <w:p w14:paraId="2FFD5ED2">
      <w:pPr>
        <w:jc w:val="both"/>
      </w:pPr>
      <w:r>
        <w:rPr>
          <w:rFonts w:ascii="Times New Roman" w:hAnsi="Times New Roman" w:eastAsia="Times New Roman"/>
          <w:b w:val="0"/>
          <w:i w:val="0"/>
          <w:sz w:val="24"/>
        </w:rPr>
        <w:t>Repeated-condition analyses included non-independent observations without patient-level covariance information for adjustment; summary-measure meta-regressions were therefore considered exploratory. Ventilation variables were summarized descriptively because the review was restricted to mechanically ventilated adults and reporting of specific ventilatory conditions was incomplete.</w:t>
      </w:r>
    </w:p>
    <w:p w14:paraId="43699EBD">
      <w:pPr>
        <w:pStyle w:val="4"/>
        <w:jc w:val="both"/>
      </w:pPr>
      <w:r>
        <w:rPr>
          <w:rFonts w:ascii="Times New Roman" w:hAnsi="Times New Roman" w:eastAsia="Times New Roman"/>
          <w:b/>
          <w:i w:val="0"/>
          <w:sz w:val="24"/>
        </w:rPr>
        <w:t>Sensitivity analyses</w:t>
      </w:r>
    </w:p>
    <w:p w14:paraId="5DC2E013">
      <w:pPr>
        <w:jc w:val="both"/>
      </w:pPr>
      <w:r>
        <w:rPr>
          <w:rFonts w:ascii="Times New Roman" w:hAnsi="Times New Roman" w:eastAsia="Times New Roman"/>
          <w:b w:val="0"/>
          <w:i w:val="0"/>
          <w:sz w:val="24"/>
        </w:rPr>
        <w:t>Sensitivity analyses assessed robustness by excluding approximate 2×2 reconstructions, restricting the dataset to patient-level studies, excluding studies at high risk of bias for the index test, and sequentially removing one study at a time.</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Cambria">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yM2EzYmNhYzBjODVhMGUwY2ExZWE4M2VmMzAyMWEifQ=="/>
  </w:docVars>
  <w:rsids>
    <w:rsidRoot w:val="00B47730"/>
    <w:rsid w:val="00034616"/>
    <w:rsid w:val="0006063C"/>
    <w:rsid w:val="0015074B"/>
    <w:rsid w:val="0029639D"/>
    <w:rsid w:val="00326F90"/>
    <w:rsid w:val="00AA1D8D"/>
    <w:rsid w:val="00B47730"/>
    <w:rsid w:val="00CB0664"/>
    <w:rsid w:val="00FC693F"/>
    <w:rsid w:val="07F371F5"/>
    <w:rsid w:val="222F7657"/>
    <w:rsid w:val="267B1B90"/>
    <w:rsid w:val="36671E8D"/>
    <w:rsid w:val="454534FA"/>
    <w:rsid w:val="6AF6512C"/>
    <w:rsid w:val="7D1D24C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1F4E79"/>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1F4E79"/>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1F4E79"/>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867</Words>
  <Characters>6051</Characters>
  <Lines>0</Lines>
  <Paragraphs>0</Paragraphs>
  <TotalTime>14</TotalTime>
  <ScaleCrop>false</ScaleCrop>
  <LinksUpToDate>false</LinksUpToDate>
  <CharactersWithSpaces>6898</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陈先森 Anesthetist</cp:lastModifiedBy>
  <dcterms:modified xsi:type="dcterms:W3CDTF">2026-08-31T02:10:27Z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751F4E11F7454ABD93C34F74BC443CCF_12</vt:lpwstr>
  </property>
</Properties>
</file>