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4B883E" w14:textId="77777777" w:rsidR="00F32B5C" w:rsidRPr="002C129C" w:rsidRDefault="00556A92">
      <w:pPr>
        <w:pStyle w:val="TitleCustom"/>
        <w:jc w:val="center"/>
        <w:rPr>
          <w:rFonts w:asciiTheme="majorHAnsi" w:hAnsiTheme="majorHAnsi" w:cstheme="majorHAnsi"/>
          <w:bCs/>
          <w:color w:val="00B0F0"/>
          <w:sz w:val="36"/>
          <w:szCs w:val="36"/>
          <w:lang w:val="en-GB"/>
        </w:rPr>
      </w:pPr>
      <w:bookmarkStart w:id="0" w:name="_GoBack"/>
      <w:bookmarkEnd w:id="0"/>
      <w:r w:rsidRPr="002C129C">
        <w:rPr>
          <w:rFonts w:asciiTheme="majorHAnsi" w:hAnsiTheme="majorHAnsi" w:cstheme="majorHAnsi"/>
          <w:bCs/>
          <w:color w:val="00B0F0"/>
          <w:sz w:val="36"/>
          <w:szCs w:val="36"/>
          <w:lang w:val="en-GB"/>
        </w:rPr>
        <w:t>Supplementary Material</w:t>
      </w:r>
    </w:p>
    <w:p w14:paraId="3DB656B7" w14:textId="77777777" w:rsidR="00F32B5C" w:rsidRPr="002C129C" w:rsidRDefault="00556A92">
      <w:pPr>
        <w:jc w:val="center"/>
        <w:rPr>
          <w:rFonts w:asciiTheme="majorHAnsi" w:hAnsiTheme="majorHAnsi" w:cstheme="majorHAnsi"/>
          <w:b/>
          <w:bCs/>
          <w:sz w:val="32"/>
          <w:szCs w:val="32"/>
          <w:lang w:val="en-GB"/>
        </w:rPr>
      </w:pPr>
      <w:r w:rsidRPr="002C129C">
        <w:rPr>
          <w:rFonts w:asciiTheme="majorHAnsi" w:hAnsiTheme="majorHAnsi" w:cstheme="majorHAnsi"/>
          <w:b/>
          <w:bCs/>
          <w:sz w:val="32"/>
          <w:szCs w:val="32"/>
          <w:lang w:val="en-GB"/>
        </w:rPr>
        <w:t>Towards personalised protein prescription in critically ill patients during metabolic stress and recovery: a narrative review and proposed future research directions</w:t>
      </w:r>
    </w:p>
    <w:p w14:paraId="17297A0F" w14:textId="77777777" w:rsidR="00F32B5C" w:rsidRPr="002C129C" w:rsidRDefault="00556A92">
      <w:pPr>
        <w:jc w:val="center"/>
        <w:rPr>
          <w:rFonts w:asciiTheme="majorHAnsi" w:hAnsiTheme="majorHAnsi" w:cstheme="majorHAnsi"/>
          <w:szCs w:val="24"/>
          <w:lang w:val="en-GB"/>
        </w:rPr>
      </w:pPr>
      <w:r w:rsidRPr="002C129C">
        <w:rPr>
          <w:rFonts w:asciiTheme="majorHAnsi" w:hAnsiTheme="majorHAnsi" w:cstheme="majorHAnsi"/>
          <w:szCs w:val="24"/>
          <w:lang w:val="en-GB"/>
        </w:rPr>
        <w:t xml:space="preserve">Arthur R. H. van Zanten, MD, PhD; Christian Stoppe, MD; Imre W. K. </w:t>
      </w:r>
      <w:proofErr w:type="spellStart"/>
      <w:r w:rsidRPr="002C129C">
        <w:rPr>
          <w:rFonts w:asciiTheme="majorHAnsi" w:hAnsiTheme="majorHAnsi" w:cstheme="majorHAnsi"/>
          <w:szCs w:val="24"/>
          <w:lang w:val="en-GB"/>
        </w:rPr>
        <w:t>Kouw</w:t>
      </w:r>
      <w:proofErr w:type="spellEnd"/>
      <w:r w:rsidRPr="002C129C">
        <w:rPr>
          <w:rFonts w:asciiTheme="majorHAnsi" w:hAnsiTheme="majorHAnsi" w:cstheme="majorHAnsi"/>
          <w:szCs w:val="24"/>
          <w:lang w:val="en-GB"/>
        </w:rPr>
        <w:t xml:space="preserve">, PhD; </w:t>
      </w:r>
      <w:proofErr w:type="spellStart"/>
      <w:r w:rsidRPr="002C129C">
        <w:rPr>
          <w:rFonts w:asciiTheme="majorHAnsi" w:hAnsiTheme="majorHAnsi" w:cstheme="majorHAnsi"/>
          <w:szCs w:val="24"/>
          <w:lang w:val="en-GB"/>
        </w:rPr>
        <w:t>Zheng-Yii</w:t>
      </w:r>
      <w:proofErr w:type="spellEnd"/>
      <w:r w:rsidRPr="002C129C">
        <w:rPr>
          <w:rFonts w:asciiTheme="majorHAnsi" w:hAnsiTheme="majorHAnsi" w:cstheme="majorHAnsi"/>
          <w:szCs w:val="24"/>
          <w:lang w:val="en-GB"/>
        </w:rPr>
        <w:t xml:space="preserve"> Lee, PhD; Charles C. H. Lew, PhD; Lu Ke, MD, PhD; Jean-Marc Tadié, MD, PhD; Wolfgang H. Hartl, MD</w:t>
      </w:r>
    </w:p>
    <w:p w14:paraId="673F581A" w14:textId="77777777" w:rsidR="002C129C" w:rsidRPr="002C129C" w:rsidRDefault="002C129C" w:rsidP="002C129C">
      <w:pPr>
        <w:pStyle w:val="TitleCustom"/>
        <w:rPr>
          <w:rFonts w:asciiTheme="majorHAnsi" w:hAnsiTheme="majorHAnsi" w:cstheme="majorHAnsi"/>
          <w:bCs/>
          <w:color w:val="00B0F0"/>
          <w:sz w:val="36"/>
          <w:szCs w:val="36"/>
          <w:lang w:val="en-GB"/>
        </w:rPr>
      </w:pPr>
    </w:p>
    <w:p w14:paraId="2D3C412E" w14:textId="3D6F05D4" w:rsidR="00F32B5C" w:rsidRPr="002C129C" w:rsidRDefault="00556A92" w:rsidP="002C129C">
      <w:pPr>
        <w:pStyle w:val="TitleCustom"/>
        <w:rPr>
          <w:rFonts w:asciiTheme="majorHAnsi" w:hAnsiTheme="majorHAnsi" w:cstheme="majorHAnsi"/>
          <w:bCs/>
          <w:color w:val="00B0F0"/>
          <w:sz w:val="36"/>
          <w:szCs w:val="36"/>
          <w:lang w:val="en-GB"/>
        </w:rPr>
      </w:pPr>
      <w:r w:rsidRPr="002C129C">
        <w:rPr>
          <w:rFonts w:asciiTheme="majorHAnsi" w:hAnsiTheme="majorHAnsi" w:cstheme="majorHAnsi"/>
          <w:bCs/>
          <w:color w:val="00B0F0"/>
          <w:sz w:val="36"/>
          <w:szCs w:val="36"/>
          <w:lang w:val="en-GB"/>
        </w:rPr>
        <w:t>Supplementary Methods</w:t>
      </w:r>
    </w:p>
    <w:p w14:paraId="7B9D503C" w14:textId="57EA59C1" w:rsidR="00F32B5C" w:rsidRPr="002C129C" w:rsidRDefault="00556A92">
      <w:pPr>
        <w:pStyle w:val="Heading2Custom"/>
        <w:rPr>
          <w:rFonts w:asciiTheme="majorHAnsi" w:hAnsiTheme="majorHAnsi" w:cstheme="majorHAnsi"/>
          <w:bCs/>
          <w:sz w:val="28"/>
          <w:szCs w:val="28"/>
          <w:lang w:val="en-GB"/>
        </w:rPr>
      </w:pPr>
      <w:r w:rsidRPr="002C129C">
        <w:rPr>
          <w:rFonts w:asciiTheme="majorHAnsi" w:hAnsiTheme="majorHAnsi" w:cstheme="majorHAnsi"/>
          <w:bCs/>
          <w:sz w:val="28"/>
          <w:szCs w:val="28"/>
          <w:lang w:val="en-GB"/>
        </w:rPr>
        <w:t>Literature search and evidence identification</w:t>
      </w:r>
    </w:p>
    <w:p w14:paraId="5D1BF56C" w14:textId="77777777" w:rsidR="00F32B5C" w:rsidRPr="002C129C" w:rsidRDefault="00556A92" w:rsidP="002C129C">
      <w:pPr>
        <w:spacing w:line="276" w:lineRule="auto"/>
        <w:rPr>
          <w:rFonts w:asciiTheme="majorHAnsi" w:hAnsiTheme="majorHAnsi" w:cstheme="majorHAnsi"/>
          <w:szCs w:val="24"/>
          <w:lang w:val="en-GB"/>
        </w:rPr>
      </w:pPr>
      <w:r w:rsidRPr="002C129C">
        <w:rPr>
          <w:rFonts w:asciiTheme="majorHAnsi" w:hAnsiTheme="majorHAnsi" w:cstheme="majorHAnsi"/>
          <w:szCs w:val="24"/>
          <w:lang w:val="en-GB"/>
        </w:rPr>
        <w:t>T</w:t>
      </w:r>
      <w:r w:rsidRPr="002C129C">
        <w:rPr>
          <w:rFonts w:asciiTheme="majorHAnsi" w:hAnsiTheme="majorHAnsi" w:cstheme="majorHAnsi"/>
          <w:szCs w:val="24"/>
          <w:lang w:val="en-GB"/>
        </w:rPr>
        <w:t>he primary PubMed/MEDLINE search was executed on 24 August 2026 and covered publications from 1 January 2016 to 30 July 2026. The core free-text query was: (("critical illness"[Title/Abstract] OR "critically ill"[Title/Abstract] OR "intensive care"[Title/A</w:t>
      </w:r>
      <w:r w:rsidRPr="002C129C">
        <w:rPr>
          <w:rFonts w:asciiTheme="majorHAnsi" w:hAnsiTheme="majorHAnsi" w:cstheme="majorHAnsi"/>
          <w:szCs w:val="24"/>
          <w:lang w:val="en-GB"/>
        </w:rPr>
        <w:t xml:space="preserve">bstract] OR ICU[Title/Abstract]) AND (protein*[Title/Abstract] OR "amino acid"[Title/Abstract] OR "amino acids"[Title/Abstract])). PubMed filters were then applied for adults (19+ years) and article type (Randomized Controlled Trial, Systematic Review, or </w:t>
      </w:r>
      <w:r w:rsidRPr="002C129C">
        <w:rPr>
          <w:rFonts w:asciiTheme="majorHAnsi" w:hAnsiTheme="majorHAnsi" w:cstheme="majorHAnsi"/>
          <w:szCs w:val="24"/>
          <w:lang w:val="en-GB"/>
        </w:rPr>
        <w:t>Meta-Analysis), with the publication-date range specified above. The search returned 306 records. After title screening, 66 records were considered potentially relevant and their abstracts were assessed. Fifty-five reports were selected for full-text asses</w:t>
      </w:r>
      <w:r w:rsidRPr="002C129C">
        <w:rPr>
          <w:rFonts w:asciiTheme="majorHAnsi" w:hAnsiTheme="majorHAnsi" w:cstheme="majorHAnsi"/>
          <w:szCs w:val="24"/>
          <w:lang w:val="en-GB"/>
        </w:rPr>
        <w:t>sment: 20 were directly relevant to the principal clinical evidence synthesis and 35 provided complementary mechanistic, physiological or contextual evidence.</w:t>
      </w:r>
    </w:p>
    <w:p w14:paraId="2C97F84D" w14:textId="77777777" w:rsidR="002C129C" w:rsidRPr="002C129C" w:rsidRDefault="002C129C" w:rsidP="002C129C">
      <w:pPr>
        <w:spacing w:line="276" w:lineRule="auto"/>
        <w:rPr>
          <w:rFonts w:asciiTheme="majorHAnsi" w:hAnsiTheme="majorHAnsi" w:cstheme="majorHAnsi"/>
          <w:szCs w:val="24"/>
          <w:lang w:val="en-GB"/>
        </w:rPr>
      </w:pPr>
    </w:p>
    <w:p w14:paraId="14A3122B" w14:textId="279F7D55" w:rsidR="00F32B5C" w:rsidRPr="002C129C" w:rsidRDefault="00556A92" w:rsidP="002C129C">
      <w:pPr>
        <w:spacing w:line="276" w:lineRule="auto"/>
        <w:rPr>
          <w:rFonts w:asciiTheme="majorHAnsi" w:hAnsiTheme="majorHAnsi" w:cstheme="majorHAnsi"/>
          <w:szCs w:val="24"/>
          <w:lang w:val="en-GB"/>
        </w:rPr>
      </w:pPr>
      <w:r>
        <w:rPr>
          <w:rFonts w:asciiTheme="majorHAnsi" w:hAnsiTheme="majorHAnsi" w:cstheme="majorHAnsi"/>
          <w:szCs w:val="24"/>
          <w:lang w:val="en-GB"/>
        </w:rPr>
        <w:t>A second, targeted search stage was used to identify mechanistic and contextual evidence require</w:t>
      </w:r>
      <w:r>
        <w:rPr>
          <w:rFonts w:asciiTheme="majorHAnsi" w:hAnsiTheme="majorHAnsi" w:cstheme="majorHAnsi"/>
          <w:szCs w:val="24"/>
          <w:lang w:val="en-GB"/>
        </w:rPr>
        <w:t>d to interpret the clinical findings and formulate prospective research hypotheses. Targeted searches addressed muscle protein synthesis and anabolic resistance; body composition, fat-free mass and dosing denominators; acute kidney injury and renal replace</w:t>
      </w:r>
      <w:r>
        <w:rPr>
          <w:rFonts w:asciiTheme="majorHAnsi" w:hAnsiTheme="majorHAnsi" w:cstheme="majorHAnsi"/>
          <w:szCs w:val="24"/>
          <w:lang w:val="en-GB"/>
        </w:rPr>
        <w:t>ment therapy; urea and the urea-to-creatinine ratio; phosphate and metabolic response; gastrointestinal function; rehabilitation, mobilisation and exercise; and post-ICU recovery. Backward reference-list screening of key trials, systematic reviews, guideli</w:t>
      </w:r>
      <w:r>
        <w:rPr>
          <w:rFonts w:asciiTheme="majorHAnsi" w:hAnsiTheme="majorHAnsi" w:cstheme="majorHAnsi"/>
          <w:szCs w:val="24"/>
          <w:lang w:val="en-GB"/>
        </w:rPr>
        <w:t xml:space="preserve">nes and relevant narrative reviews was used to identify additional landmark or mechanistic studies. Preclinical studies were not systematically searched and were included only selectively where required to support specific physiological concepts. Targeted </w:t>
      </w:r>
      <w:r>
        <w:rPr>
          <w:rFonts w:asciiTheme="majorHAnsi" w:hAnsiTheme="majorHAnsi" w:cstheme="majorHAnsi"/>
          <w:szCs w:val="24"/>
          <w:lang w:val="en-GB"/>
        </w:rPr>
        <w:t>contextual searches were updated during revision to incorporate directly relevant evidence published after the primary search cut-off.</w:t>
      </w:r>
    </w:p>
    <w:p w14:paraId="7ADAFF3F" w14:textId="77777777" w:rsidR="002C129C" w:rsidRPr="002C129C" w:rsidRDefault="002C129C" w:rsidP="002C129C">
      <w:pPr>
        <w:spacing w:line="276" w:lineRule="auto"/>
        <w:rPr>
          <w:rFonts w:asciiTheme="majorHAnsi" w:hAnsiTheme="majorHAnsi" w:cstheme="majorHAnsi"/>
          <w:szCs w:val="24"/>
          <w:lang w:val="en-GB"/>
        </w:rPr>
      </w:pPr>
    </w:p>
    <w:p w14:paraId="4EFCBE9B" w14:textId="46EFDC15" w:rsidR="00F32B5C" w:rsidRPr="002C129C" w:rsidRDefault="00556A92" w:rsidP="002C129C">
      <w:pPr>
        <w:spacing w:line="276" w:lineRule="auto"/>
        <w:rPr>
          <w:rFonts w:asciiTheme="majorHAnsi" w:hAnsiTheme="majorHAnsi" w:cstheme="majorHAnsi"/>
          <w:szCs w:val="24"/>
          <w:lang w:val="en-GB"/>
        </w:rPr>
      </w:pPr>
      <w:r w:rsidRPr="002C129C">
        <w:rPr>
          <w:rFonts w:asciiTheme="majorHAnsi" w:hAnsiTheme="majorHAnsi" w:cstheme="majorHAnsi"/>
          <w:szCs w:val="24"/>
          <w:lang w:val="en-GB"/>
        </w:rPr>
        <w:t>This evidence-identification strategy was designed to support a narrative synthesis rather than an exhaustive systematic</w:t>
      </w:r>
      <w:r w:rsidRPr="002C129C">
        <w:rPr>
          <w:rFonts w:asciiTheme="majorHAnsi" w:hAnsiTheme="majorHAnsi" w:cstheme="majorHAnsi"/>
          <w:szCs w:val="24"/>
          <w:lang w:val="en-GB"/>
        </w:rPr>
        <w:t xml:space="preserve"> review. Independent duplicate screening, formal risk-of-bias assessment and prospective registration were therefore not undertaken.</w:t>
      </w:r>
    </w:p>
    <w:p w14:paraId="50F90160" w14:textId="77777777" w:rsidR="002C129C" w:rsidRPr="002C129C" w:rsidRDefault="002C129C">
      <w:pPr>
        <w:rPr>
          <w:rFonts w:asciiTheme="majorHAnsi" w:hAnsiTheme="majorHAnsi" w:cstheme="majorHAnsi"/>
          <w:szCs w:val="24"/>
          <w:lang w:val="en-GB"/>
        </w:rPr>
      </w:pPr>
    </w:p>
    <w:p w14:paraId="512928FC" w14:textId="206ADE3C" w:rsidR="00F32B5C" w:rsidRPr="002C129C" w:rsidRDefault="00556A92">
      <w:pPr>
        <w:pStyle w:val="TitleCustom"/>
        <w:rPr>
          <w:rFonts w:asciiTheme="majorHAnsi" w:hAnsiTheme="majorHAnsi" w:cstheme="majorHAnsi"/>
          <w:bCs/>
          <w:sz w:val="28"/>
          <w:szCs w:val="28"/>
          <w:lang w:val="en-GB"/>
        </w:rPr>
      </w:pPr>
      <w:r w:rsidRPr="002C129C">
        <w:rPr>
          <w:rFonts w:asciiTheme="majorHAnsi" w:hAnsiTheme="majorHAnsi" w:cstheme="majorHAnsi"/>
          <w:bCs/>
          <w:sz w:val="28"/>
          <w:szCs w:val="28"/>
          <w:lang w:val="en-GB"/>
        </w:rPr>
        <w:lastRenderedPageBreak/>
        <w:t>Supplementary Table S1. Terminology relevant to muscle and nutritional phenotyping in critical illness</w:t>
      </w:r>
    </w:p>
    <w:p w14:paraId="1F593702" w14:textId="77777777" w:rsidR="002C129C" w:rsidRPr="002C129C" w:rsidRDefault="002C129C">
      <w:pPr>
        <w:pStyle w:val="TitleCustom"/>
        <w:rPr>
          <w:rFonts w:asciiTheme="majorHAnsi" w:hAnsiTheme="majorHAnsi" w:cstheme="majorHAnsi"/>
          <w:sz w:val="24"/>
          <w:szCs w:val="24"/>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798"/>
        <w:gridCol w:w="3792"/>
        <w:gridCol w:w="1270"/>
      </w:tblGrid>
      <w:tr w:rsidR="00F32B5C" w:rsidRPr="002C129C" w14:paraId="1A88D1AA" w14:textId="77777777" w:rsidTr="002C129C">
        <w:trPr>
          <w:jc w:val="center"/>
        </w:trPr>
        <w:tc>
          <w:tcPr>
            <w:tcW w:w="2336" w:type="dxa"/>
          </w:tcPr>
          <w:p w14:paraId="33161BDF" w14:textId="77777777" w:rsidR="00F32B5C" w:rsidRPr="002C129C" w:rsidRDefault="00556A92" w:rsidP="002C129C">
            <w:pPr>
              <w:spacing w:line="276" w:lineRule="auto"/>
              <w:rPr>
                <w:rFonts w:asciiTheme="majorHAnsi" w:hAnsiTheme="majorHAnsi" w:cstheme="majorHAnsi"/>
                <w:b/>
                <w:bCs/>
                <w:sz w:val="18"/>
                <w:szCs w:val="18"/>
                <w:lang w:val="en-GB"/>
              </w:rPr>
            </w:pPr>
            <w:r w:rsidRPr="002C129C">
              <w:rPr>
                <w:rFonts w:asciiTheme="majorHAnsi" w:hAnsiTheme="majorHAnsi" w:cstheme="majorHAnsi"/>
                <w:b/>
                <w:bCs/>
                <w:sz w:val="18"/>
                <w:szCs w:val="18"/>
                <w:lang w:val="en-GB"/>
              </w:rPr>
              <w:t>Concept</w:t>
            </w:r>
          </w:p>
        </w:tc>
        <w:tc>
          <w:tcPr>
            <w:tcW w:w="2798" w:type="dxa"/>
          </w:tcPr>
          <w:p w14:paraId="7238090F" w14:textId="77777777" w:rsidR="00F32B5C" w:rsidRPr="002C129C" w:rsidRDefault="00556A92" w:rsidP="002C129C">
            <w:pPr>
              <w:spacing w:line="276" w:lineRule="auto"/>
              <w:rPr>
                <w:rFonts w:asciiTheme="majorHAnsi" w:hAnsiTheme="majorHAnsi" w:cstheme="majorHAnsi"/>
                <w:b/>
                <w:bCs/>
                <w:sz w:val="18"/>
                <w:szCs w:val="18"/>
                <w:lang w:val="en-GB"/>
              </w:rPr>
            </w:pPr>
            <w:r w:rsidRPr="002C129C">
              <w:rPr>
                <w:rFonts w:asciiTheme="majorHAnsi" w:hAnsiTheme="majorHAnsi" w:cstheme="majorHAnsi"/>
                <w:b/>
                <w:bCs/>
                <w:sz w:val="18"/>
                <w:szCs w:val="18"/>
                <w:lang w:val="en-GB"/>
              </w:rPr>
              <w:t>Concise de</w:t>
            </w:r>
            <w:r w:rsidRPr="002C129C">
              <w:rPr>
                <w:rFonts w:asciiTheme="majorHAnsi" w:hAnsiTheme="majorHAnsi" w:cstheme="majorHAnsi"/>
                <w:b/>
                <w:bCs/>
                <w:sz w:val="18"/>
                <w:szCs w:val="18"/>
                <w:lang w:val="en-GB"/>
              </w:rPr>
              <w:t>finition</w:t>
            </w:r>
          </w:p>
        </w:tc>
        <w:tc>
          <w:tcPr>
            <w:tcW w:w="3792" w:type="dxa"/>
          </w:tcPr>
          <w:p w14:paraId="6AC0767D" w14:textId="77777777" w:rsidR="00F32B5C" w:rsidRPr="002C129C" w:rsidRDefault="00556A92" w:rsidP="002C129C">
            <w:pPr>
              <w:spacing w:line="276" w:lineRule="auto"/>
              <w:rPr>
                <w:rFonts w:asciiTheme="majorHAnsi" w:hAnsiTheme="majorHAnsi" w:cstheme="majorHAnsi"/>
                <w:b/>
                <w:bCs/>
                <w:sz w:val="18"/>
                <w:szCs w:val="18"/>
                <w:lang w:val="en-GB"/>
              </w:rPr>
            </w:pPr>
            <w:r w:rsidRPr="002C129C">
              <w:rPr>
                <w:rFonts w:asciiTheme="majorHAnsi" w:hAnsiTheme="majorHAnsi" w:cstheme="majorHAnsi"/>
                <w:b/>
                <w:bCs/>
                <w:sz w:val="18"/>
                <w:szCs w:val="18"/>
                <w:lang w:val="en-GB"/>
              </w:rPr>
              <w:t>Important distinction in critical illness</w:t>
            </w:r>
          </w:p>
        </w:tc>
        <w:tc>
          <w:tcPr>
            <w:tcW w:w="1270" w:type="dxa"/>
          </w:tcPr>
          <w:p w14:paraId="748E84C8" w14:textId="77777777" w:rsidR="00F32B5C" w:rsidRPr="002C129C" w:rsidRDefault="00556A92" w:rsidP="002C129C">
            <w:pPr>
              <w:spacing w:line="276" w:lineRule="auto"/>
              <w:rPr>
                <w:rFonts w:asciiTheme="majorHAnsi" w:hAnsiTheme="majorHAnsi" w:cstheme="majorHAnsi"/>
                <w:b/>
                <w:bCs/>
                <w:sz w:val="18"/>
                <w:szCs w:val="18"/>
                <w:lang w:val="en-GB"/>
              </w:rPr>
            </w:pPr>
            <w:r w:rsidRPr="002C129C">
              <w:rPr>
                <w:rFonts w:asciiTheme="majorHAnsi" w:hAnsiTheme="majorHAnsi" w:cstheme="majorHAnsi"/>
                <w:b/>
                <w:bCs/>
                <w:sz w:val="18"/>
                <w:szCs w:val="18"/>
                <w:lang w:val="en-GB"/>
              </w:rPr>
              <w:t>Reference(s)</w:t>
            </w:r>
          </w:p>
        </w:tc>
      </w:tr>
      <w:tr w:rsidR="00F32B5C" w:rsidRPr="002C129C" w14:paraId="2C97EDA4" w14:textId="77777777" w:rsidTr="002C129C">
        <w:trPr>
          <w:jc w:val="center"/>
        </w:trPr>
        <w:tc>
          <w:tcPr>
            <w:tcW w:w="2336" w:type="dxa"/>
          </w:tcPr>
          <w:p w14:paraId="0DE0148B" w14:textId="77777777" w:rsidR="00F32B5C" w:rsidRPr="002C129C" w:rsidRDefault="00556A92" w:rsidP="002C129C">
            <w:pPr>
              <w:spacing w:line="276" w:lineRule="auto"/>
              <w:rPr>
                <w:rFonts w:asciiTheme="majorHAnsi" w:hAnsiTheme="majorHAnsi" w:cstheme="majorHAnsi"/>
                <w:b/>
                <w:bCs/>
                <w:sz w:val="18"/>
                <w:szCs w:val="18"/>
                <w:lang w:val="en-GB"/>
              </w:rPr>
            </w:pPr>
            <w:r w:rsidRPr="002C129C">
              <w:rPr>
                <w:rFonts w:asciiTheme="majorHAnsi" w:hAnsiTheme="majorHAnsi" w:cstheme="majorHAnsi"/>
                <w:b/>
                <w:bCs/>
                <w:sz w:val="18"/>
                <w:szCs w:val="18"/>
                <w:lang w:val="en-GB"/>
              </w:rPr>
              <w:t>Malnutrition</w:t>
            </w:r>
          </w:p>
        </w:tc>
        <w:tc>
          <w:tcPr>
            <w:tcW w:w="2798" w:type="dxa"/>
          </w:tcPr>
          <w:p w14:paraId="6880CB4C" w14:textId="77777777" w:rsidR="00F32B5C" w:rsidRPr="002C129C" w:rsidRDefault="00556A92" w:rsidP="002C129C">
            <w:pPr>
              <w:spacing w:line="276" w:lineRule="auto"/>
              <w:rPr>
                <w:rFonts w:asciiTheme="majorHAnsi" w:hAnsiTheme="majorHAnsi" w:cstheme="majorHAnsi"/>
                <w:sz w:val="18"/>
                <w:szCs w:val="18"/>
                <w:lang w:val="en-GB"/>
              </w:rPr>
            </w:pPr>
            <w:r w:rsidRPr="002C129C">
              <w:rPr>
                <w:rFonts w:asciiTheme="majorHAnsi" w:hAnsiTheme="majorHAnsi" w:cstheme="majorHAnsi"/>
                <w:sz w:val="18"/>
                <w:szCs w:val="18"/>
                <w:lang w:val="en-GB"/>
              </w:rPr>
              <w:t xml:space="preserve">A diagnosis based on evidence of a phenotypic criterion (e.g. weight loss, low BMI or reduced muscle mass) together with an aetiologic criterion (reduced intake/assimilation or </w:t>
            </w:r>
            <w:r w:rsidRPr="002C129C">
              <w:rPr>
                <w:rFonts w:asciiTheme="majorHAnsi" w:hAnsiTheme="majorHAnsi" w:cstheme="majorHAnsi"/>
                <w:sz w:val="18"/>
                <w:szCs w:val="18"/>
                <w:lang w:val="en-GB"/>
              </w:rPr>
              <w:t>inflammation/disease burden) after nutrition-risk screening.</w:t>
            </w:r>
          </w:p>
        </w:tc>
        <w:tc>
          <w:tcPr>
            <w:tcW w:w="3792" w:type="dxa"/>
          </w:tcPr>
          <w:p w14:paraId="3004024B" w14:textId="77777777" w:rsidR="00F32B5C" w:rsidRPr="002C129C" w:rsidRDefault="00556A92" w:rsidP="002C129C">
            <w:pPr>
              <w:spacing w:line="276" w:lineRule="auto"/>
              <w:rPr>
                <w:rFonts w:asciiTheme="majorHAnsi" w:hAnsiTheme="majorHAnsi" w:cstheme="majorHAnsi"/>
                <w:sz w:val="18"/>
                <w:szCs w:val="18"/>
                <w:lang w:val="en-GB"/>
              </w:rPr>
            </w:pPr>
            <w:r w:rsidRPr="002C129C">
              <w:rPr>
                <w:rFonts w:asciiTheme="majorHAnsi" w:hAnsiTheme="majorHAnsi" w:cstheme="majorHAnsi"/>
                <w:sz w:val="18"/>
                <w:szCs w:val="18"/>
                <w:lang w:val="en-GB"/>
              </w:rPr>
              <w:t>Acute inflammation is common in ICU patients; diagnosis should not be inferred from a single laboratory or body-composition value.</w:t>
            </w:r>
          </w:p>
        </w:tc>
        <w:tc>
          <w:tcPr>
            <w:tcW w:w="1270" w:type="dxa"/>
          </w:tcPr>
          <w:p w14:paraId="24D8CF5D" w14:textId="77777777" w:rsidR="00F32B5C" w:rsidRPr="002C129C" w:rsidRDefault="00556A92" w:rsidP="002C129C">
            <w:pPr>
              <w:spacing w:line="276" w:lineRule="auto"/>
              <w:rPr>
                <w:rFonts w:asciiTheme="majorHAnsi" w:hAnsiTheme="majorHAnsi" w:cstheme="majorHAnsi"/>
                <w:sz w:val="18"/>
                <w:szCs w:val="18"/>
                <w:lang w:val="en-GB"/>
              </w:rPr>
            </w:pPr>
            <w:r>
              <w:rPr>
                <w:rFonts w:asciiTheme="majorHAnsi" w:hAnsiTheme="majorHAnsi" w:cstheme="majorHAnsi"/>
                <w:sz w:val="18"/>
                <w:szCs w:val="18"/>
                <w:lang w:val="en-GB"/>
              </w:rPr>
              <w:t>[62]</w:t>
            </w:r>
          </w:p>
        </w:tc>
      </w:tr>
      <w:tr w:rsidR="00F32B5C" w:rsidRPr="002C129C" w14:paraId="087226D9" w14:textId="77777777" w:rsidTr="002C129C">
        <w:trPr>
          <w:jc w:val="center"/>
        </w:trPr>
        <w:tc>
          <w:tcPr>
            <w:tcW w:w="2336" w:type="dxa"/>
          </w:tcPr>
          <w:p w14:paraId="5B8471A9" w14:textId="77777777" w:rsidR="00F32B5C" w:rsidRPr="002C129C" w:rsidRDefault="00556A92" w:rsidP="002C129C">
            <w:pPr>
              <w:spacing w:line="276" w:lineRule="auto"/>
              <w:rPr>
                <w:rFonts w:asciiTheme="majorHAnsi" w:hAnsiTheme="majorHAnsi" w:cstheme="majorHAnsi"/>
                <w:b/>
                <w:bCs/>
                <w:sz w:val="18"/>
                <w:szCs w:val="18"/>
                <w:lang w:val="en-GB"/>
              </w:rPr>
            </w:pPr>
            <w:r w:rsidRPr="002C129C">
              <w:rPr>
                <w:rFonts w:asciiTheme="majorHAnsi" w:hAnsiTheme="majorHAnsi" w:cstheme="majorHAnsi"/>
                <w:b/>
                <w:bCs/>
                <w:sz w:val="18"/>
                <w:szCs w:val="18"/>
                <w:lang w:val="en-GB"/>
              </w:rPr>
              <w:t>Sarcopenia</w:t>
            </w:r>
          </w:p>
        </w:tc>
        <w:tc>
          <w:tcPr>
            <w:tcW w:w="2798" w:type="dxa"/>
          </w:tcPr>
          <w:p w14:paraId="03094C5F" w14:textId="77777777" w:rsidR="00F32B5C" w:rsidRPr="002C129C" w:rsidRDefault="00556A92" w:rsidP="002C129C">
            <w:pPr>
              <w:spacing w:line="276" w:lineRule="auto"/>
              <w:rPr>
                <w:rFonts w:asciiTheme="majorHAnsi" w:hAnsiTheme="majorHAnsi" w:cstheme="majorHAnsi"/>
                <w:sz w:val="18"/>
                <w:szCs w:val="18"/>
                <w:lang w:val="en-GB"/>
              </w:rPr>
            </w:pPr>
            <w:r w:rsidRPr="002C129C">
              <w:rPr>
                <w:rFonts w:asciiTheme="majorHAnsi" w:hAnsiTheme="majorHAnsi" w:cstheme="majorHAnsi"/>
                <w:sz w:val="18"/>
                <w:szCs w:val="18"/>
                <w:lang w:val="en-GB"/>
              </w:rPr>
              <w:t>A muscle disease in which low muscle strength is the key characteristic; low muscle quantity or quality confirms the diagnosis and poor physical performance indicates severe sarcopenia.</w:t>
            </w:r>
          </w:p>
        </w:tc>
        <w:tc>
          <w:tcPr>
            <w:tcW w:w="3792" w:type="dxa"/>
          </w:tcPr>
          <w:p w14:paraId="16C3822D" w14:textId="77777777" w:rsidR="00F32B5C" w:rsidRPr="002C129C" w:rsidRDefault="00556A92" w:rsidP="002C129C">
            <w:pPr>
              <w:spacing w:line="276" w:lineRule="auto"/>
              <w:rPr>
                <w:rFonts w:asciiTheme="majorHAnsi" w:hAnsiTheme="majorHAnsi" w:cstheme="majorHAnsi"/>
                <w:sz w:val="18"/>
                <w:szCs w:val="18"/>
                <w:lang w:val="en-GB"/>
              </w:rPr>
            </w:pPr>
            <w:r w:rsidRPr="002C129C">
              <w:rPr>
                <w:rFonts w:asciiTheme="majorHAnsi" w:hAnsiTheme="majorHAnsi" w:cstheme="majorHAnsi"/>
                <w:sz w:val="18"/>
                <w:szCs w:val="18"/>
                <w:lang w:val="en-GB"/>
              </w:rPr>
              <w:t>Pre-existing sarcopenia is distinct from acute ICU-related muscle loss</w:t>
            </w:r>
            <w:r w:rsidRPr="002C129C">
              <w:rPr>
                <w:rFonts w:asciiTheme="majorHAnsi" w:hAnsiTheme="majorHAnsi" w:cstheme="majorHAnsi"/>
                <w:sz w:val="18"/>
                <w:szCs w:val="18"/>
                <w:lang w:val="en-GB"/>
              </w:rPr>
              <w:t>. Low muscle mass alone is not synonymous with sarcopenia.</w:t>
            </w:r>
          </w:p>
        </w:tc>
        <w:tc>
          <w:tcPr>
            <w:tcW w:w="1270" w:type="dxa"/>
          </w:tcPr>
          <w:p w14:paraId="6565AB86" w14:textId="77777777" w:rsidR="00F32B5C" w:rsidRPr="002C129C" w:rsidRDefault="00556A92" w:rsidP="002C129C">
            <w:pPr>
              <w:spacing w:line="276" w:lineRule="auto"/>
              <w:rPr>
                <w:rFonts w:asciiTheme="majorHAnsi" w:hAnsiTheme="majorHAnsi" w:cstheme="majorHAnsi"/>
                <w:sz w:val="18"/>
                <w:szCs w:val="18"/>
                <w:lang w:val="en-GB"/>
              </w:rPr>
            </w:pPr>
            <w:r>
              <w:rPr>
                <w:rFonts w:asciiTheme="majorHAnsi" w:hAnsiTheme="majorHAnsi" w:cstheme="majorHAnsi"/>
                <w:sz w:val="18"/>
                <w:szCs w:val="18"/>
                <w:lang w:val="en-GB"/>
              </w:rPr>
              <w:t>[21,63]</w:t>
            </w:r>
          </w:p>
        </w:tc>
      </w:tr>
      <w:tr w:rsidR="00F32B5C" w:rsidRPr="002C129C" w14:paraId="7D4A7B82" w14:textId="77777777" w:rsidTr="002C129C">
        <w:trPr>
          <w:jc w:val="center"/>
        </w:trPr>
        <w:tc>
          <w:tcPr>
            <w:tcW w:w="2336" w:type="dxa"/>
          </w:tcPr>
          <w:p w14:paraId="1E490D47" w14:textId="77777777" w:rsidR="00F32B5C" w:rsidRPr="002C129C" w:rsidRDefault="00556A92" w:rsidP="002C129C">
            <w:pPr>
              <w:spacing w:line="276" w:lineRule="auto"/>
              <w:rPr>
                <w:rFonts w:asciiTheme="majorHAnsi" w:hAnsiTheme="majorHAnsi" w:cstheme="majorHAnsi"/>
                <w:b/>
                <w:bCs/>
                <w:sz w:val="18"/>
                <w:szCs w:val="18"/>
                <w:lang w:val="en-GB"/>
              </w:rPr>
            </w:pPr>
            <w:r w:rsidRPr="002C129C">
              <w:rPr>
                <w:rFonts w:asciiTheme="majorHAnsi" w:hAnsiTheme="majorHAnsi" w:cstheme="majorHAnsi"/>
                <w:b/>
                <w:bCs/>
                <w:sz w:val="18"/>
                <w:szCs w:val="18"/>
                <w:lang w:val="en-GB"/>
              </w:rPr>
              <w:t>ICU-acquired weakness</w:t>
            </w:r>
          </w:p>
        </w:tc>
        <w:tc>
          <w:tcPr>
            <w:tcW w:w="2798" w:type="dxa"/>
          </w:tcPr>
          <w:p w14:paraId="738F2A57" w14:textId="77777777" w:rsidR="00F32B5C" w:rsidRPr="002C129C" w:rsidRDefault="00556A92" w:rsidP="002C129C">
            <w:pPr>
              <w:spacing w:line="276" w:lineRule="auto"/>
              <w:rPr>
                <w:rFonts w:asciiTheme="majorHAnsi" w:hAnsiTheme="majorHAnsi" w:cstheme="majorHAnsi"/>
                <w:sz w:val="18"/>
                <w:szCs w:val="18"/>
                <w:lang w:val="en-GB"/>
              </w:rPr>
            </w:pPr>
            <w:r w:rsidRPr="002C129C">
              <w:rPr>
                <w:rFonts w:asciiTheme="majorHAnsi" w:hAnsiTheme="majorHAnsi" w:cstheme="majorHAnsi"/>
                <w:sz w:val="18"/>
                <w:szCs w:val="18"/>
                <w:lang w:val="en-GB"/>
              </w:rPr>
              <w:t>New, diffuse and usually symmetrical weakness developing during critical illness without another plausible cause; it may reflect critical illness polyneuropathy, myop</w:t>
            </w:r>
            <w:r w:rsidRPr="002C129C">
              <w:rPr>
                <w:rFonts w:asciiTheme="majorHAnsi" w:hAnsiTheme="majorHAnsi" w:cstheme="majorHAnsi"/>
                <w:sz w:val="18"/>
                <w:szCs w:val="18"/>
                <w:lang w:val="en-GB"/>
              </w:rPr>
              <w:t>athy or both.</w:t>
            </w:r>
          </w:p>
        </w:tc>
        <w:tc>
          <w:tcPr>
            <w:tcW w:w="3792" w:type="dxa"/>
          </w:tcPr>
          <w:p w14:paraId="56584BBB" w14:textId="77777777" w:rsidR="00F32B5C" w:rsidRPr="002C129C" w:rsidRDefault="00556A92" w:rsidP="002C129C">
            <w:pPr>
              <w:spacing w:line="276" w:lineRule="auto"/>
              <w:rPr>
                <w:rFonts w:asciiTheme="majorHAnsi" w:hAnsiTheme="majorHAnsi" w:cstheme="majorHAnsi"/>
                <w:sz w:val="18"/>
                <w:szCs w:val="18"/>
                <w:lang w:val="en-GB"/>
              </w:rPr>
            </w:pPr>
            <w:r w:rsidRPr="002C129C">
              <w:rPr>
                <w:rFonts w:asciiTheme="majorHAnsi" w:hAnsiTheme="majorHAnsi" w:cstheme="majorHAnsi"/>
                <w:sz w:val="18"/>
                <w:szCs w:val="18"/>
                <w:lang w:val="en-GB"/>
              </w:rPr>
              <w:t>A clinical/neuromuscular syndrome rather than a body-composition diagnosis; assessment generally requires an awake and cooperative patient.</w:t>
            </w:r>
          </w:p>
        </w:tc>
        <w:tc>
          <w:tcPr>
            <w:tcW w:w="1270" w:type="dxa"/>
          </w:tcPr>
          <w:p w14:paraId="145E3601" w14:textId="77777777" w:rsidR="00F32B5C" w:rsidRPr="002C129C" w:rsidRDefault="00556A92" w:rsidP="002C129C">
            <w:pPr>
              <w:spacing w:line="276" w:lineRule="auto"/>
              <w:rPr>
                <w:rFonts w:asciiTheme="majorHAnsi" w:hAnsiTheme="majorHAnsi" w:cstheme="majorHAnsi"/>
                <w:sz w:val="18"/>
                <w:szCs w:val="18"/>
                <w:lang w:val="en-GB"/>
              </w:rPr>
            </w:pPr>
            <w:r>
              <w:rPr>
                <w:rFonts w:asciiTheme="majorHAnsi" w:hAnsiTheme="majorHAnsi" w:cstheme="majorHAnsi"/>
                <w:sz w:val="18"/>
                <w:szCs w:val="18"/>
                <w:lang w:val="en-GB"/>
              </w:rPr>
              <w:t>[25,26]</w:t>
            </w:r>
          </w:p>
        </w:tc>
      </w:tr>
      <w:tr w:rsidR="00F32B5C" w:rsidRPr="002C129C" w14:paraId="754FE9BD" w14:textId="77777777" w:rsidTr="002C129C">
        <w:trPr>
          <w:jc w:val="center"/>
        </w:trPr>
        <w:tc>
          <w:tcPr>
            <w:tcW w:w="2336" w:type="dxa"/>
          </w:tcPr>
          <w:p w14:paraId="2D711E71" w14:textId="77777777" w:rsidR="00F32B5C" w:rsidRPr="002C129C" w:rsidRDefault="00556A92" w:rsidP="002C129C">
            <w:pPr>
              <w:spacing w:line="276" w:lineRule="auto"/>
              <w:rPr>
                <w:rFonts w:asciiTheme="majorHAnsi" w:hAnsiTheme="majorHAnsi" w:cstheme="majorHAnsi"/>
                <w:b/>
                <w:bCs/>
                <w:sz w:val="18"/>
                <w:szCs w:val="18"/>
                <w:lang w:val="en-GB"/>
              </w:rPr>
            </w:pPr>
            <w:r w:rsidRPr="002C129C">
              <w:rPr>
                <w:rFonts w:asciiTheme="majorHAnsi" w:hAnsiTheme="majorHAnsi" w:cstheme="majorHAnsi"/>
                <w:b/>
                <w:bCs/>
                <w:sz w:val="18"/>
                <w:szCs w:val="18"/>
                <w:lang w:val="en-GB"/>
              </w:rPr>
              <w:t>Frailty</w:t>
            </w:r>
          </w:p>
        </w:tc>
        <w:tc>
          <w:tcPr>
            <w:tcW w:w="2798" w:type="dxa"/>
          </w:tcPr>
          <w:p w14:paraId="67A9A466" w14:textId="77777777" w:rsidR="00F32B5C" w:rsidRPr="002C129C" w:rsidRDefault="00556A92" w:rsidP="002C129C">
            <w:pPr>
              <w:spacing w:line="276" w:lineRule="auto"/>
              <w:rPr>
                <w:rFonts w:asciiTheme="majorHAnsi" w:hAnsiTheme="majorHAnsi" w:cstheme="majorHAnsi"/>
                <w:sz w:val="18"/>
                <w:szCs w:val="18"/>
                <w:lang w:val="en-GB"/>
              </w:rPr>
            </w:pPr>
            <w:r w:rsidRPr="002C129C">
              <w:rPr>
                <w:rFonts w:asciiTheme="majorHAnsi" w:hAnsiTheme="majorHAnsi" w:cstheme="majorHAnsi"/>
                <w:sz w:val="18"/>
                <w:szCs w:val="18"/>
                <w:lang w:val="en-GB"/>
              </w:rPr>
              <w:t>A state of reduced physiological reserve and increased vulnerability to stressors; th</w:t>
            </w:r>
            <w:r w:rsidRPr="002C129C">
              <w:rPr>
                <w:rFonts w:asciiTheme="majorHAnsi" w:hAnsiTheme="majorHAnsi" w:cstheme="majorHAnsi"/>
                <w:sz w:val="18"/>
                <w:szCs w:val="18"/>
                <w:lang w:val="en-GB"/>
              </w:rPr>
              <w:t>e classic physical phenotype includes weakness, slowness, low activity, exhaustion and unintentional weight loss.</w:t>
            </w:r>
          </w:p>
        </w:tc>
        <w:tc>
          <w:tcPr>
            <w:tcW w:w="3792" w:type="dxa"/>
          </w:tcPr>
          <w:p w14:paraId="7214C49A" w14:textId="77777777" w:rsidR="00F32B5C" w:rsidRPr="002C129C" w:rsidRDefault="00556A92" w:rsidP="002C129C">
            <w:pPr>
              <w:spacing w:line="276" w:lineRule="auto"/>
              <w:rPr>
                <w:rFonts w:asciiTheme="majorHAnsi" w:hAnsiTheme="majorHAnsi" w:cstheme="majorHAnsi"/>
                <w:sz w:val="18"/>
                <w:szCs w:val="18"/>
                <w:lang w:val="en-GB"/>
              </w:rPr>
            </w:pPr>
            <w:r w:rsidRPr="002C129C">
              <w:rPr>
                <w:rFonts w:asciiTheme="majorHAnsi" w:hAnsiTheme="majorHAnsi" w:cstheme="majorHAnsi"/>
                <w:sz w:val="18"/>
                <w:szCs w:val="18"/>
                <w:lang w:val="en-GB"/>
              </w:rPr>
              <w:t>Frailty is multidimensional and is not equivalent to malnutrition, sarcopenia or low muscularity.</w:t>
            </w:r>
          </w:p>
        </w:tc>
        <w:tc>
          <w:tcPr>
            <w:tcW w:w="1270" w:type="dxa"/>
          </w:tcPr>
          <w:p w14:paraId="21C74933" w14:textId="77777777" w:rsidR="00F32B5C" w:rsidRPr="002C129C" w:rsidRDefault="00556A92" w:rsidP="002C129C">
            <w:pPr>
              <w:spacing w:line="276" w:lineRule="auto"/>
              <w:rPr>
                <w:rFonts w:asciiTheme="majorHAnsi" w:hAnsiTheme="majorHAnsi" w:cstheme="majorHAnsi"/>
                <w:sz w:val="18"/>
                <w:szCs w:val="18"/>
                <w:lang w:val="en-GB"/>
              </w:rPr>
            </w:pPr>
            <w:r>
              <w:rPr>
                <w:rFonts w:asciiTheme="majorHAnsi" w:hAnsiTheme="majorHAnsi" w:cstheme="majorHAnsi"/>
                <w:sz w:val="18"/>
                <w:szCs w:val="18"/>
                <w:lang w:val="en-GB"/>
              </w:rPr>
              <w:t>[64]</w:t>
            </w:r>
          </w:p>
        </w:tc>
      </w:tr>
      <w:tr w:rsidR="00F32B5C" w:rsidRPr="002C129C" w14:paraId="2A2EB907" w14:textId="77777777" w:rsidTr="002C129C">
        <w:trPr>
          <w:jc w:val="center"/>
        </w:trPr>
        <w:tc>
          <w:tcPr>
            <w:tcW w:w="2336" w:type="dxa"/>
          </w:tcPr>
          <w:p w14:paraId="15C6EB0D" w14:textId="77777777" w:rsidR="00F32B5C" w:rsidRPr="002C129C" w:rsidRDefault="00556A92" w:rsidP="002C129C">
            <w:pPr>
              <w:spacing w:line="276" w:lineRule="auto"/>
              <w:rPr>
                <w:rFonts w:asciiTheme="majorHAnsi" w:hAnsiTheme="majorHAnsi" w:cstheme="majorHAnsi"/>
                <w:b/>
                <w:bCs/>
                <w:sz w:val="18"/>
                <w:szCs w:val="18"/>
                <w:lang w:val="en-GB"/>
              </w:rPr>
            </w:pPr>
            <w:r w:rsidRPr="002C129C">
              <w:rPr>
                <w:rFonts w:asciiTheme="majorHAnsi" w:hAnsiTheme="majorHAnsi" w:cstheme="majorHAnsi"/>
                <w:b/>
                <w:bCs/>
                <w:sz w:val="18"/>
                <w:szCs w:val="18"/>
                <w:lang w:val="en-GB"/>
              </w:rPr>
              <w:t>Cachexia</w:t>
            </w:r>
          </w:p>
        </w:tc>
        <w:tc>
          <w:tcPr>
            <w:tcW w:w="2798" w:type="dxa"/>
          </w:tcPr>
          <w:p w14:paraId="0B342113" w14:textId="77777777" w:rsidR="00F32B5C" w:rsidRPr="002C129C" w:rsidRDefault="00556A92" w:rsidP="002C129C">
            <w:pPr>
              <w:spacing w:line="276" w:lineRule="auto"/>
              <w:rPr>
                <w:rFonts w:asciiTheme="majorHAnsi" w:hAnsiTheme="majorHAnsi" w:cstheme="majorHAnsi"/>
                <w:sz w:val="18"/>
                <w:szCs w:val="18"/>
                <w:lang w:val="en-GB"/>
              </w:rPr>
            </w:pPr>
            <w:r w:rsidRPr="002C129C">
              <w:rPr>
                <w:rFonts w:asciiTheme="majorHAnsi" w:hAnsiTheme="majorHAnsi" w:cstheme="majorHAnsi"/>
                <w:sz w:val="18"/>
                <w:szCs w:val="18"/>
                <w:lang w:val="en-GB"/>
              </w:rPr>
              <w:t xml:space="preserve">A complex metabolic syndrome </w:t>
            </w:r>
            <w:r w:rsidRPr="002C129C">
              <w:rPr>
                <w:rFonts w:asciiTheme="majorHAnsi" w:hAnsiTheme="majorHAnsi" w:cstheme="majorHAnsi"/>
                <w:sz w:val="18"/>
                <w:szCs w:val="18"/>
                <w:lang w:val="en-GB"/>
              </w:rPr>
              <w:t>associated with underlying illness and characterised by loss of muscle with or without loss of fat mass, commonly accompanied by weight loss and inflammatory/metabolic disturbance.</w:t>
            </w:r>
          </w:p>
        </w:tc>
        <w:tc>
          <w:tcPr>
            <w:tcW w:w="3792" w:type="dxa"/>
          </w:tcPr>
          <w:p w14:paraId="69E59716" w14:textId="77777777" w:rsidR="00F32B5C" w:rsidRPr="002C129C" w:rsidRDefault="00556A92" w:rsidP="002C129C">
            <w:pPr>
              <w:spacing w:line="276" w:lineRule="auto"/>
              <w:rPr>
                <w:rFonts w:asciiTheme="majorHAnsi" w:hAnsiTheme="majorHAnsi" w:cstheme="majorHAnsi"/>
                <w:sz w:val="18"/>
                <w:szCs w:val="18"/>
                <w:lang w:val="en-GB"/>
              </w:rPr>
            </w:pPr>
            <w:r w:rsidRPr="002C129C">
              <w:rPr>
                <w:rFonts w:asciiTheme="majorHAnsi" w:hAnsiTheme="majorHAnsi" w:cstheme="majorHAnsi"/>
                <w:sz w:val="18"/>
                <w:szCs w:val="18"/>
                <w:lang w:val="en-GB"/>
              </w:rPr>
              <w:t>Cachexia is not synonymous with inadequate nutritional intake and may not b</w:t>
            </w:r>
            <w:r w:rsidRPr="002C129C">
              <w:rPr>
                <w:rFonts w:asciiTheme="majorHAnsi" w:hAnsiTheme="majorHAnsi" w:cstheme="majorHAnsi"/>
                <w:sz w:val="18"/>
                <w:szCs w:val="18"/>
                <w:lang w:val="en-GB"/>
              </w:rPr>
              <w:t>e fully reversed by nutrition alone.</w:t>
            </w:r>
          </w:p>
        </w:tc>
        <w:tc>
          <w:tcPr>
            <w:tcW w:w="1270" w:type="dxa"/>
          </w:tcPr>
          <w:p w14:paraId="27E2283F" w14:textId="77777777" w:rsidR="00F32B5C" w:rsidRPr="002C129C" w:rsidRDefault="00556A92" w:rsidP="002C129C">
            <w:pPr>
              <w:spacing w:line="276" w:lineRule="auto"/>
              <w:rPr>
                <w:rFonts w:asciiTheme="majorHAnsi" w:hAnsiTheme="majorHAnsi" w:cstheme="majorHAnsi"/>
                <w:sz w:val="18"/>
                <w:szCs w:val="18"/>
                <w:lang w:val="en-GB"/>
              </w:rPr>
            </w:pPr>
            <w:r>
              <w:rPr>
                <w:rFonts w:asciiTheme="majorHAnsi" w:hAnsiTheme="majorHAnsi" w:cstheme="majorHAnsi"/>
                <w:sz w:val="18"/>
                <w:szCs w:val="18"/>
                <w:lang w:val="en-GB"/>
              </w:rPr>
              <w:t>[65]</w:t>
            </w:r>
          </w:p>
        </w:tc>
      </w:tr>
      <w:tr w:rsidR="00F32B5C" w:rsidRPr="002C129C" w14:paraId="40DDFE4B" w14:textId="77777777" w:rsidTr="002C129C">
        <w:trPr>
          <w:jc w:val="center"/>
        </w:trPr>
        <w:tc>
          <w:tcPr>
            <w:tcW w:w="2336" w:type="dxa"/>
          </w:tcPr>
          <w:p w14:paraId="5D7D0799" w14:textId="77777777" w:rsidR="00F32B5C" w:rsidRPr="002C129C" w:rsidRDefault="00556A92" w:rsidP="002C129C">
            <w:pPr>
              <w:spacing w:line="276" w:lineRule="auto"/>
              <w:rPr>
                <w:rFonts w:asciiTheme="majorHAnsi" w:hAnsiTheme="majorHAnsi" w:cstheme="majorHAnsi"/>
                <w:b/>
                <w:bCs/>
                <w:sz w:val="18"/>
                <w:szCs w:val="18"/>
                <w:lang w:val="en-GB"/>
              </w:rPr>
            </w:pPr>
            <w:r w:rsidRPr="002C129C">
              <w:rPr>
                <w:rFonts w:asciiTheme="majorHAnsi" w:hAnsiTheme="majorHAnsi" w:cstheme="majorHAnsi"/>
                <w:b/>
                <w:bCs/>
                <w:sz w:val="18"/>
                <w:szCs w:val="18"/>
                <w:lang w:val="en-GB"/>
              </w:rPr>
              <w:t>Low muscularity</w:t>
            </w:r>
          </w:p>
        </w:tc>
        <w:tc>
          <w:tcPr>
            <w:tcW w:w="2798" w:type="dxa"/>
          </w:tcPr>
          <w:p w14:paraId="2099726B" w14:textId="77777777" w:rsidR="00F32B5C" w:rsidRPr="002C129C" w:rsidRDefault="00556A92" w:rsidP="002C129C">
            <w:pPr>
              <w:spacing w:line="276" w:lineRule="auto"/>
              <w:rPr>
                <w:rFonts w:asciiTheme="majorHAnsi" w:hAnsiTheme="majorHAnsi" w:cstheme="majorHAnsi"/>
                <w:sz w:val="18"/>
                <w:szCs w:val="18"/>
                <w:lang w:val="en-GB"/>
              </w:rPr>
            </w:pPr>
            <w:r w:rsidRPr="002C129C">
              <w:rPr>
                <w:rFonts w:asciiTheme="majorHAnsi" w:hAnsiTheme="majorHAnsi" w:cstheme="majorHAnsi"/>
                <w:sz w:val="18"/>
                <w:szCs w:val="18"/>
                <w:lang w:val="en-GB"/>
              </w:rPr>
              <w:t>Low muscle quantity identified by imaging or body-composition assessment relative to a specified reference or cut-off.</w:t>
            </w:r>
          </w:p>
        </w:tc>
        <w:tc>
          <w:tcPr>
            <w:tcW w:w="3792" w:type="dxa"/>
          </w:tcPr>
          <w:p w14:paraId="39C733AF" w14:textId="77777777" w:rsidR="00F32B5C" w:rsidRPr="002C129C" w:rsidRDefault="00556A92" w:rsidP="002C129C">
            <w:pPr>
              <w:spacing w:line="276" w:lineRule="auto"/>
              <w:rPr>
                <w:rFonts w:asciiTheme="majorHAnsi" w:hAnsiTheme="majorHAnsi" w:cstheme="majorHAnsi"/>
                <w:sz w:val="18"/>
                <w:szCs w:val="18"/>
                <w:lang w:val="en-GB"/>
              </w:rPr>
            </w:pPr>
            <w:r w:rsidRPr="002C129C">
              <w:rPr>
                <w:rFonts w:asciiTheme="majorHAnsi" w:hAnsiTheme="majorHAnsi" w:cstheme="majorHAnsi"/>
                <w:sz w:val="18"/>
                <w:szCs w:val="18"/>
                <w:lang w:val="en-GB"/>
              </w:rPr>
              <w:t>A descriptive phenotype rather than a disease diagnosis; thresholds vary by me</w:t>
            </w:r>
            <w:r w:rsidRPr="002C129C">
              <w:rPr>
                <w:rFonts w:asciiTheme="majorHAnsi" w:hAnsiTheme="majorHAnsi" w:cstheme="majorHAnsi"/>
                <w:sz w:val="18"/>
                <w:szCs w:val="18"/>
                <w:lang w:val="en-GB"/>
              </w:rPr>
              <w:t>thod, muscle site, sex and population.</w:t>
            </w:r>
          </w:p>
        </w:tc>
        <w:tc>
          <w:tcPr>
            <w:tcW w:w="1270" w:type="dxa"/>
          </w:tcPr>
          <w:p w14:paraId="2A169EFC" w14:textId="77777777" w:rsidR="00F32B5C" w:rsidRPr="002C129C" w:rsidRDefault="00556A92" w:rsidP="002C129C">
            <w:pPr>
              <w:spacing w:line="276" w:lineRule="auto"/>
              <w:rPr>
                <w:rFonts w:asciiTheme="majorHAnsi" w:hAnsiTheme="majorHAnsi" w:cstheme="majorHAnsi"/>
                <w:sz w:val="18"/>
                <w:szCs w:val="18"/>
                <w:lang w:val="en-GB"/>
              </w:rPr>
            </w:pPr>
            <w:r>
              <w:rPr>
                <w:rFonts w:asciiTheme="majorHAnsi" w:hAnsiTheme="majorHAnsi" w:cstheme="majorHAnsi"/>
                <w:sz w:val="18"/>
                <w:szCs w:val="18"/>
                <w:lang w:val="en-GB"/>
              </w:rPr>
              <w:t>[19-21,55,56]</w:t>
            </w:r>
          </w:p>
        </w:tc>
      </w:tr>
      <w:tr w:rsidR="00F32B5C" w:rsidRPr="002C129C" w14:paraId="2A820605" w14:textId="77777777" w:rsidTr="002C129C">
        <w:trPr>
          <w:jc w:val="center"/>
        </w:trPr>
        <w:tc>
          <w:tcPr>
            <w:tcW w:w="2336" w:type="dxa"/>
          </w:tcPr>
          <w:p w14:paraId="1F71476F" w14:textId="77777777" w:rsidR="00F32B5C" w:rsidRPr="002C129C" w:rsidRDefault="00556A92" w:rsidP="002C129C">
            <w:pPr>
              <w:spacing w:line="276" w:lineRule="auto"/>
              <w:rPr>
                <w:rFonts w:asciiTheme="majorHAnsi" w:hAnsiTheme="majorHAnsi" w:cstheme="majorHAnsi"/>
                <w:b/>
                <w:bCs/>
                <w:sz w:val="18"/>
                <w:szCs w:val="18"/>
                <w:lang w:val="en-GB"/>
              </w:rPr>
            </w:pPr>
            <w:r w:rsidRPr="002C129C">
              <w:rPr>
                <w:rFonts w:asciiTheme="majorHAnsi" w:hAnsiTheme="majorHAnsi" w:cstheme="majorHAnsi"/>
                <w:b/>
                <w:bCs/>
                <w:sz w:val="18"/>
                <w:szCs w:val="18"/>
                <w:lang w:val="en-GB"/>
              </w:rPr>
              <w:t>Obesity / sarcopenic obesity</w:t>
            </w:r>
          </w:p>
        </w:tc>
        <w:tc>
          <w:tcPr>
            <w:tcW w:w="2798" w:type="dxa"/>
          </w:tcPr>
          <w:p w14:paraId="57CE2C0A" w14:textId="77777777" w:rsidR="00F32B5C" w:rsidRPr="002C129C" w:rsidRDefault="00556A92" w:rsidP="002C129C">
            <w:pPr>
              <w:spacing w:line="276" w:lineRule="auto"/>
              <w:rPr>
                <w:rFonts w:asciiTheme="majorHAnsi" w:hAnsiTheme="majorHAnsi" w:cstheme="majorHAnsi"/>
                <w:sz w:val="18"/>
                <w:szCs w:val="18"/>
                <w:lang w:val="en-GB"/>
              </w:rPr>
            </w:pPr>
            <w:r>
              <w:rPr>
                <w:rFonts w:asciiTheme="majorHAnsi" w:hAnsiTheme="majorHAnsi" w:cstheme="majorHAnsi"/>
                <w:sz w:val="18"/>
                <w:szCs w:val="18"/>
                <w:lang w:val="en-GB"/>
              </w:rPr>
              <w:t>Excess adiposity, with sarcopenic obesity referring to coexisting excess adiposity and impaired muscle mass and function.</w:t>
            </w:r>
          </w:p>
        </w:tc>
        <w:tc>
          <w:tcPr>
            <w:tcW w:w="3792" w:type="dxa"/>
          </w:tcPr>
          <w:p w14:paraId="1B7C56C0" w14:textId="77777777" w:rsidR="00F32B5C" w:rsidRPr="002C129C" w:rsidRDefault="00556A92" w:rsidP="002C129C">
            <w:pPr>
              <w:spacing w:line="276" w:lineRule="auto"/>
              <w:rPr>
                <w:rFonts w:asciiTheme="majorHAnsi" w:hAnsiTheme="majorHAnsi" w:cstheme="majorHAnsi"/>
                <w:sz w:val="18"/>
                <w:szCs w:val="18"/>
                <w:lang w:val="en-GB"/>
              </w:rPr>
            </w:pPr>
            <w:r w:rsidRPr="002C129C">
              <w:rPr>
                <w:rFonts w:asciiTheme="majorHAnsi" w:hAnsiTheme="majorHAnsi" w:cstheme="majorHAnsi"/>
                <w:sz w:val="18"/>
                <w:szCs w:val="18"/>
                <w:lang w:val="en-GB"/>
              </w:rPr>
              <w:t>Actual body weight may be a poor dosing denominator</w:t>
            </w:r>
            <w:r w:rsidRPr="002C129C">
              <w:rPr>
                <w:rFonts w:asciiTheme="majorHAnsi" w:hAnsiTheme="majorHAnsi" w:cstheme="majorHAnsi"/>
                <w:sz w:val="18"/>
                <w:szCs w:val="18"/>
                <w:lang w:val="en-GB"/>
              </w:rPr>
              <w:t>, but no alternative body-composition-based protein prescription has yet improved patient-centred outcomes in an RCT.</w:t>
            </w:r>
          </w:p>
        </w:tc>
        <w:tc>
          <w:tcPr>
            <w:tcW w:w="1270" w:type="dxa"/>
          </w:tcPr>
          <w:p w14:paraId="0C18B26F" w14:textId="77777777" w:rsidR="00F32B5C" w:rsidRPr="002C129C" w:rsidRDefault="00556A92" w:rsidP="002C129C">
            <w:pPr>
              <w:spacing w:line="276" w:lineRule="auto"/>
              <w:rPr>
                <w:rFonts w:asciiTheme="majorHAnsi" w:hAnsiTheme="majorHAnsi" w:cstheme="majorHAnsi"/>
                <w:sz w:val="18"/>
                <w:szCs w:val="18"/>
                <w:lang w:val="en-GB"/>
              </w:rPr>
            </w:pPr>
            <w:r>
              <w:rPr>
                <w:rFonts w:asciiTheme="majorHAnsi" w:hAnsiTheme="majorHAnsi" w:cstheme="majorHAnsi"/>
                <w:sz w:val="18"/>
                <w:szCs w:val="18"/>
                <w:lang w:val="en-GB"/>
              </w:rPr>
              <w:t>[60,61,66]</w:t>
            </w:r>
          </w:p>
        </w:tc>
      </w:tr>
    </w:tbl>
    <w:p w14:paraId="493F8FAF" w14:textId="77777777" w:rsidR="002C129C" w:rsidRPr="002C129C" w:rsidRDefault="002C129C">
      <w:pPr>
        <w:pStyle w:val="TitleCustom"/>
        <w:rPr>
          <w:rFonts w:asciiTheme="majorHAnsi" w:hAnsiTheme="majorHAnsi" w:cstheme="majorHAnsi"/>
          <w:b w:val="0"/>
          <w:sz w:val="24"/>
          <w:szCs w:val="24"/>
          <w:lang w:val="en-GB"/>
        </w:rPr>
      </w:pPr>
    </w:p>
    <w:p w14:paraId="6489CE77" w14:textId="6715120A" w:rsidR="002C129C" w:rsidRPr="00B83631" w:rsidRDefault="00B83631">
      <w:pPr>
        <w:spacing w:after="200" w:line="276" w:lineRule="auto"/>
        <w:rPr>
          <w:rFonts w:asciiTheme="majorHAnsi" w:hAnsiTheme="majorHAnsi" w:cstheme="majorHAnsi"/>
          <w:sz w:val="20"/>
          <w:szCs w:val="20"/>
          <w:lang w:val="en-GB"/>
        </w:rPr>
      </w:pPr>
      <w:r w:rsidRPr="00B83631">
        <w:rPr>
          <w:rFonts w:asciiTheme="majorHAnsi" w:hAnsiTheme="majorHAnsi" w:cstheme="majorHAnsi"/>
          <w:b/>
          <w:sz w:val="20"/>
          <w:szCs w:val="20"/>
        </w:rPr>
        <w:t xml:space="preserve">Abbreviations: </w:t>
      </w:r>
      <w:r w:rsidRPr="00B83631">
        <w:rPr>
          <w:rFonts w:asciiTheme="majorHAnsi" w:hAnsiTheme="majorHAnsi" w:cstheme="majorHAnsi"/>
          <w:bCs/>
          <w:sz w:val="20"/>
          <w:szCs w:val="20"/>
        </w:rPr>
        <w:t xml:space="preserve">BMI, body mass index; ICU, intensive care unit; RCT, </w:t>
      </w:r>
      <w:proofErr w:type="spellStart"/>
      <w:r w:rsidRPr="00B83631">
        <w:rPr>
          <w:rFonts w:asciiTheme="majorHAnsi" w:hAnsiTheme="majorHAnsi" w:cstheme="majorHAnsi"/>
          <w:bCs/>
          <w:sz w:val="20"/>
          <w:szCs w:val="20"/>
        </w:rPr>
        <w:t>randomised</w:t>
      </w:r>
      <w:proofErr w:type="spellEnd"/>
      <w:r w:rsidRPr="00B83631">
        <w:rPr>
          <w:rFonts w:asciiTheme="majorHAnsi" w:hAnsiTheme="majorHAnsi" w:cstheme="majorHAnsi"/>
          <w:bCs/>
          <w:sz w:val="20"/>
          <w:szCs w:val="20"/>
        </w:rPr>
        <w:t xml:space="preserve"> controlled trial.</w:t>
      </w:r>
      <w:r w:rsidR="002C129C" w:rsidRPr="00B83631">
        <w:rPr>
          <w:rFonts w:asciiTheme="majorHAnsi" w:hAnsiTheme="majorHAnsi" w:cstheme="majorHAnsi"/>
          <w:b/>
          <w:sz w:val="20"/>
          <w:szCs w:val="20"/>
          <w:lang w:val="en-GB"/>
        </w:rPr>
        <w:br w:type="page"/>
      </w:r>
    </w:p>
    <w:p w14:paraId="592DC269" w14:textId="2677FF4C" w:rsidR="00F32B5C" w:rsidRPr="002C129C" w:rsidRDefault="00556A92">
      <w:pPr>
        <w:pStyle w:val="TitleCustom"/>
        <w:rPr>
          <w:rFonts w:asciiTheme="majorHAnsi" w:hAnsiTheme="majorHAnsi" w:cstheme="majorHAnsi"/>
          <w:bCs/>
          <w:sz w:val="28"/>
          <w:szCs w:val="28"/>
          <w:lang w:val="en-GB"/>
        </w:rPr>
      </w:pPr>
      <w:r>
        <w:rPr>
          <w:rFonts w:asciiTheme="majorHAnsi" w:hAnsiTheme="majorHAnsi" w:cstheme="majorHAnsi"/>
          <w:bCs/>
          <w:sz w:val="28"/>
          <w:szCs w:val="28"/>
          <w:lang w:val="en-GB"/>
        </w:rPr>
        <w:lastRenderedPageBreak/>
        <w:t xml:space="preserve">Supplementary Table S2. </w:t>
      </w:r>
      <w:r>
        <w:rPr>
          <w:rFonts w:asciiTheme="majorHAnsi" w:hAnsiTheme="majorHAnsi" w:cstheme="majorHAnsi"/>
          <w:bCs/>
          <w:sz w:val="28"/>
          <w:szCs w:val="28"/>
          <w:lang w:val="en-GB"/>
        </w:rPr>
        <w:t>Methods used to assess muscle mass and body composition and their main limitations in critically ill patients</w:t>
      </w:r>
    </w:p>
    <w:p w14:paraId="6D36A35B" w14:textId="77777777" w:rsidR="002C129C" w:rsidRPr="002C129C" w:rsidRDefault="002C129C">
      <w:pPr>
        <w:pStyle w:val="TitleCustom"/>
        <w:rPr>
          <w:rFonts w:asciiTheme="majorHAnsi" w:hAnsiTheme="majorHAnsi" w:cstheme="majorHAnsi"/>
          <w:bCs/>
          <w:sz w:val="28"/>
          <w:szCs w:val="28"/>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9"/>
        <w:gridCol w:w="2159"/>
        <w:gridCol w:w="1817"/>
        <w:gridCol w:w="2086"/>
        <w:gridCol w:w="2411"/>
      </w:tblGrid>
      <w:tr w:rsidR="00F32B5C" w:rsidRPr="002C129C" w14:paraId="061F7CD8" w14:textId="77777777" w:rsidTr="002C129C">
        <w:trPr>
          <w:jc w:val="center"/>
        </w:trPr>
        <w:tc>
          <w:tcPr>
            <w:tcW w:w="3028" w:type="dxa"/>
          </w:tcPr>
          <w:p w14:paraId="4B8812C1" w14:textId="77777777" w:rsidR="00F32B5C" w:rsidRPr="002C129C" w:rsidRDefault="00556A92" w:rsidP="002C129C">
            <w:pPr>
              <w:spacing w:line="276" w:lineRule="auto"/>
              <w:rPr>
                <w:rFonts w:asciiTheme="majorHAnsi" w:hAnsiTheme="majorHAnsi" w:cstheme="majorHAnsi"/>
                <w:b/>
                <w:bCs/>
                <w:sz w:val="18"/>
                <w:szCs w:val="18"/>
                <w:lang w:val="en-GB"/>
              </w:rPr>
            </w:pPr>
            <w:r w:rsidRPr="002C129C">
              <w:rPr>
                <w:rFonts w:asciiTheme="majorHAnsi" w:hAnsiTheme="majorHAnsi" w:cstheme="majorHAnsi"/>
                <w:b/>
                <w:bCs/>
                <w:sz w:val="18"/>
                <w:szCs w:val="18"/>
                <w:lang w:val="en-GB"/>
              </w:rPr>
              <w:t>Method</w:t>
            </w:r>
          </w:p>
        </w:tc>
        <w:tc>
          <w:tcPr>
            <w:tcW w:w="3028" w:type="dxa"/>
          </w:tcPr>
          <w:p w14:paraId="3E44636F" w14:textId="77777777" w:rsidR="00F32B5C" w:rsidRPr="002C129C" w:rsidRDefault="00556A92" w:rsidP="002C129C">
            <w:pPr>
              <w:spacing w:line="276" w:lineRule="auto"/>
              <w:rPr>
                <w:rFonts w:asciiTheme="majorHAnsi" w:hAnsiTheme="majorHAnsi" w:cstheme="majorHAnsi"/>
                <w:b/>
                <w:bCs/>
                <w:sz w:val="18"/>
                <w:szCs w:val="18"/>
                <w:lang w:val="en-GB"/>
              </w:rPr>
            </w:pPr>
            <w:r w:rsidRPr="002C129C">
              <w:rPr>
                <w:rFonts w:asciiTheme="majorHAnsi" w:hAnsiTheme="majorHAnsi" w:cstheme="majorHAnsi"/>
                <w:b/>
                <w:bCs/>
                <w:sz w:val="18"/>
                <w:szCs w:val="18"/>
                <w:lang w:val="en-GB"/>
              </w:rPr>
              <w:t>What it assesses</w:t>
            </w:r>
          </w:p>
        </w:tc>
        <w:tc>
          <w:tcPr>
            <w:tcW w:w="3028" w:type="dxa"/>
          </w:tcPr>
          <w:p w14:paraId="60A773B0" w14:textId="77777777" w:rsidR="00F32B5C" w:rsidRPr="002C129C" w:rsidRDefault="00556A92" w:rsidP="002C129C">
            <w:pPr>
              <w:spacing w:line="276" w:lineRule="auto"/>
              <w:rPr>
                <w:rFonts w:asciiTheme="majorHAnsi" w:hAnsiTheme="majorHAnsi" w:cstheme="majorHAnsi"/>
                <w:b/>
                <w:bCs/>
                <w:sz w:val="18"/>
                <w:szCs w:val="18"/>
                <w:lang w:val="en-GB"/>
              </w:rPr>
            </w:pPr>
            <w:r w:rsidRPr="002C129C">
              <w:rPr>
                <w:rFonts w:asciiTheme="majorHAnsi" w:hAnsiTheme="majorHAnsi" w:cstheme="majorHAnsi"/>
                <w:b/>
                <w:bCs/>
                <w:sz w:val="18"/>
                <w:szCs w:val="18"/>
                <w:lang w:val="en-GB"/>
              </w:rPr>
              <w:t>Strengths</w:t>
            </w:r>
          </w:p>
        </w:tc>
        <w:tc>
          <w:tcPr>
            <w:tcW w:w="3028" w:type="dxa"/>
          </w:tcPr>
          <w:p w14:paraId="130E0307" w14:textId="77777777" w:rsidR="00F32B5C" w:rsidRPr="002C129C" w:rsidRDefault="00556A92" w:rsidP="002C129C">
            <w:pPr>
              <w:spacing w:line="276" w:lineRule="auto"/>
              <w:rPr>
                <w:rFonts w:asciiTheme="majorHAnsi" w:hAnsiTheme="majorHAnsi" w:cstheme="majorHAnsi"/>
                <w:b/>
                <w:bCs/>
                <w:sz w:val="18"/>
                <w:szCs w:val="18"/>
                <w:lang w:val="en-GB"/>
              </w:rPr>
            </w:pPr>
            <w:r w:rsidRPr="002C129C">
              <w:rPr>
                <w:rFonts w:asciiTheme="majorHAnsi" w:hAnsiTheme="majorHAnsi" w:cstheme="majorHAnsi"/>
                <w:b/>
                <w:bCs/>
                <w:sz w:val="18"/>
                <w:szCs w:val="18"/>
                <w:lang w:val="en-GB"/>
              </w:rPr>
              <w:t>Principal limitations in critical illness</w:t>
            </w:r>
          </w:p>
        </w:tc>
        <w:tc>
          <w:tcPr>
            <w:tcW w:w="3028" w:type="dxa"/>
          </w:tcPr>
          <w:p w14:paraId="1B96E016" w14:textId="77777777" w:rsidR="00F32B5C" w:rsidRPr="002C129C" w:rsidRDefault="00556A92" w:rsidP="002C129C">
            <w:pPr>
              <w:spacing w:line="276" w:lineRule="auto"/>
              <w:rPr>
                <w:rFonts w:asciiTheme="majorHAnsi" w:hAnsiTheme="majorHAnsi" w:cstheme="majorHAnsi"/>
                <w:b/>
                <w:bCs/>
                <w:sz w:val="18"/>
                <w:szCs w:val="18"/>
                <w:lang w:val="en-GB"/>
              </w:rPr>
            </w:pPr>
            <w:r w:rsidRPr="002C129C">
              <w:rPr>
                <w:rFonts w:asciiTheme="majorHAnsi" w:hAnsiTheme="majorHAnsi" w:cstheme="majorHAnsi"/>
                <w:b/>
                <w:bCs/>
                <w:sz w:val="18"/>
                <w:szCs w:val="18"/>
                <w:lang w:val="en-GB"/>
              </w:rPr>
              <w:t>Current role</w:t>
            </w:r>
          </w:p>
        </w:tc>
      </w:tr>
      <w:tr w:rsidR="00F32B5C" w:rsidRPr="002C129C" w14:paraId="5BA860C8" w14:textId="77777777" w:rsidTr="002C129C">
        <w:trPr>
          <w:jc w:val="center"/>
        </w:trPr>
        <w:tc>
          <w:tcPr>
            <w:tcW w:w="3028" w:type="dxa"/>
          </w:tcPr>
          <w:p w14:paraId="01051D93" w14:textId="77777777" w:rsidR="00F32B5C" w:rsidRPr="002C129C" w:rsidRDefault="00556A92" w:rsidP="002C129C">
            <w:pPr>
              <w:spacing w:line="276" w:lineRule="auto"/>
              <w:rPr>
                <w:rFonts w:asciiTheme="majorHAnsi" w:hAnsiTheme="majorHAnsi" w:cstheme="majorHAnsi"/>
                <w:b/>
                <w:bCs/>
                <w:sz w:val="18"/>
                <w:szCs w:val="18"/>
                <w:lang w:val="en-GB"/>
              </w:rPr>
            </w:pPr>
            <w:r w:rsidRPr="002C129C">
              <w:rPr>
                <w:rFonts w:asciiTheme="majorHAnsi" w:hAnsiTheme="majorHAnsi" w:cstheme="majorHAnsi"/>
                <w:b/>
                <w:bCs/>
                <w:sz w:val="18"/>
                <w:szCs w:val="18"/>
                <w:lang w:val="en-GB"/>
              </w:rPr>
              <w:t>Computed tomography (CT)</w:t>
            </w:r>
          </w:p>
        </w:tc>
        <w:tc>
          <w:tcPr>
            <w:tcW w:w="3028" w:type="dxa"/>
          </w:tcPr>
          <w:p w14:paraId="3C4C3F3C" w14:textId="77777777" w:rsidR="00F32B5C" w:rsidRPr="002C129C" w:rsidRDefault="00556A92" w:rsidP="002C129C">
            <w:pPr>
              <w:spacing w:line="276" w:lineRule="auto"/>
              <w:rPr>
                <w:rFonts w:asciiTheme="majorHAnsi" w:hAnsiTheme="majorHAnsi" w:cstheme="majorHAnsi"/>
                <w:sz w:val="18"/>
                <w:szCs w:val="18"/>
                <w:lang w:val="en-GB"/>
              </w:rPr>
            </w:pPr>
            <w:r w:rsidRPr="002C129C">
              <w:rPr>
                <w:rFonts w:asciiTheme="majorHAnsi" w:hAnsiTheme="majorHAnsi" w:cstheme="majorHAnsi"/>
                <w:sz w:val="18"/>
                <w:szCs w:val="18"/>
                <w:lang w:val="en-GB"/>
              </w:rPr>
              <w:t xml:space="preserve">Cross-sectional skeletal </w:t>
            </w:r>
            <w:r w:rsidRPr="002C129C">
              <w:rPr>
                <w:rFonts w:asciiTheme="majorHAnsi" w:hAnsiTheme="majorHAnsi" w:cstheme="majorHAnsi"/>
                <w:sz w:val="18"/>
                <w:szCs w:val="18"/>
                <w:lang w:val="en-GB"/>
              </w:rPr>
              <w:t>muscle area and radiodensity/quality, usually at predefined anatomical levels.</w:t>
            </w:r>
          </w:p>
        </w:tc>
        <w:tc>
          <w:tcPr>
            <w:tcW w:w="3028" w:type="dxa"/>
          </w:tcPr>
          <w:p w14:paraId="5422A86E" w14:textId="77777777" w:rsidR="00F32B5C" w:rsidRPr="002C129C" w:rsidRDefault="00556A92" w:rsidP="002C129C">
            <w:pPr>
              <w:spacing w:line="276" w:lineRule="auto"/>
              <w:rPr>
                <w:rFonts w:asciiTheme="majorHAnsi" w:hAnsiTheme="majorHAnsi" w:cstheme="majorHAnsi"/>
                <w:sz w:val="18"/>
                <w:szCs w:val="18"/>
                <w:lang w:val="en-GB"/>
              </w:rPr>
            </w:pPr>
            <w:r w:rsidRPr="002C129C">
              <w:rPr>
                <w:rFonts w:asciiTheme="majorHAnsi" w:hAnsiTheme="majorHAnsi" w:cstheme="majorHAnsi"/>
                <w:sz w:val="18"/>
                <w:szCs w:val="18"/>
                <w:lang w:val="en-GB"/>
              </w:rPr>
              <w:t>High anatomical detail; opportunistic use of clinically acquired scans; established research methodology.</w:t>
            </w:r>
          </w:p>
        </w:tc>
        <w:tc>
          <w:tcPr>
            <w:tcW w:w="3028" w:type="dxa"/>
          </w:tcPr>
          <w:p w14:paraId="50A45BC7" w14:textId="77777777" w:rsidR="00F32B5C" w:rsidRPr="002C129C" w:rsidRDefault="00556A92" w:rsidP="002C129C">
            <w:pPr>
              <w:spacing w:line="276" w:lineRule="auto"/>
              <w:rPr>
                <w:rFonts w:asciiTheme="majorHAnsi" w:hAnsiTheme="majorHAnsi" w:cstheme="majorHAnsi"/>
                <w:sz w:val="18"/>
                <w:szCs w:val="18"/>
                <w:lang w:val="en-GB"/>
              </w:rPr>
            </w:pPr>
            <w:r w:rsidRPr="002C129C">
              <w:rPr>
                <w:rFonts w:asciiTheme="majorHAnsi" w:hAnsiTheme="majorHAnsi" w:cstheme="majorHAnsi"/>
                <w:sz w:val="18"/>
                <w:szCs w:val="18"/>
                <w:lang w:val="en-GB"/>
              </w:rPr>
              <w:t>Not obtained for nutrition monitoring; timing and anatomical level vary</w:t>
            </w:r>
            <w:r w:rsidRPr="002C129C">
              <w:rPr>
                <w:rFonts w:asciiTheme="majorHAnsi" w:hAnsiTheme="majorHAnsi" w:cstheme="majorHAnsi"/>
                <w:sz w:val="18"/>
                <w:szCs w:val="18"/>
                <w:lang w:val="en-GB"/>
              </w:rPr>
              <w:t>; radiation/transport preclude protocolised serial measurement; cut-offs are population dependent.</w:t>
            </w:r>
          </w:p>
        </w:tc>
        <w:tc>
          <w:tcPr>
            <w:tcW w:w="3028" w:type="dxa"/>
          </w:tcPr>
          <w:p w14:paraId="4C61B6A3" w14:textId="77777777" w:rsidR="00F32B5C" w:rsidRPr="002C129C" w:rsidRDefault="00556A92" w:rsidP="002C129C">
            <w:pPr>
              <w:spacing w:line="276" w:lineRule="auto"/>
              <w:rPr>
                <w:rFonts w:asciiTheme="majorHAnsi" w:hAnsiTheme="majorHAnsi" w:cstheme="majorHAnsi"/>
                <w:sz w:val="18"/>
                <w:szCs w:val="18"/>
                <w:lang w:val="en-GB"/>
              </w:rPr>
            </w:pPr>
            <w:r>
              <w:rPr>
                <w:rFonts w:asciiTheme="majorHAnsi" w:hAnsiTheme="majorHAnsi" w:cstheme="majorHAnsi"/>
                <w:sz w:val="18"/>
                <w:szCs w:val="18"/>
                <w:lang w:val="en-GB"/>
              </w:rPr>
              <w:t>Phenotyping and retrospective/prospective research; not validated to determine an individual protein requirement [40,55].</w:t>
            </w:r>
          </w:p>
        </w:tc>
      </w:tr>
      <w:tr w:rsidR="00F32B5C" w:rsidRPr="002C129C" w14:paraId="32077DCF" w14:textId="77777777" w:rsidTr="002C129C">
        <w:trPr>
          <w:jc w:val="center"/>
        </w:trPr>
        <w:tc>
          <w:tcPr>
            <w:tcW w:w="3028" w:type="dxa"/>
          </w:tcPr>
          <w:p w14:paraId="6595C321" w14:textId="77777777" w:rsidR="00F32B5C" w:rsidRPr="002C129C" w:rsidRDefault="00556A92" w:rsidP="002C129C">
            <w:pPr>
              <w:spacing w:line="276" w:lineRule="auto"/>
              <w:rPr>
                <w:rFonts w:asciiTheme="majorHAnsi" w:hAnsiTheme="majorHAnsi" w:cstheme="majorHAnsi"/>
                <w:b/>
                <w:bCs/>
                <w:sz w:val="18"/>
                <w:szCs w:val="18"/>
                <w:lang w:val="en-GB"/>
              </w:rPr>
            </w:pPr>
            <w:r w:rsidRPr="002C129C">
              <w:rPr>
                <w:rFonts w:asciiTheme="majorHAnsi" w:hAnsiTheme="majorHAnsi" w:cstheme="majorHAnsi"/>
                <w:b/>
                <w:bCs/>
                <w:sz w:val="18"/>
                <w:szCs w:val="18"/>
                <w:lang w:val="en-GB"/>
              </w:rPr>
              <w:t>Muscle ultrasound</w:t>
            </w:r>
          </w:p>
        </w:tc>
        <w:tc>
          <w:tcPr>
            <w:tcW w:w="3028" w:type="dxa"/>
          </w:tcPr>
          <w:p w14:paraId="3D6BA719" w14:textId="77777777" w:rsidR="00F32B5C" w:rsidRPr="002C129C" w:rsidRDefault="00556A92" w:rsidP="002C129C">
            <w:pPr>
              <w:spacing w:line="276" w:lineRule="auto"/>
              <w:rPr>
                <w:rFonts w:asciiTheme="majorHAnsi" w:hAnsiTheme="majorHAnsi" w:cstheme="majorHAnsi"/>
                <w:sz w:val="18"/>
                <w:szCs w:val="18"/>
                <w:lang w:val="en-GB"/>
              </w:rPr>
            </w:pPr>
            <w:r w:rsidRPr="002C129C">
              <w:rPr>
                <w:rFonts w:asciiTheme="majorHAnsi" w:hAnsiTheme="majorHAnsi" w:cstheme="majorHAnsi"/>
                <w:sz w:val="18"/>
                <w:szCs w:val="18"/>
                <w:lang w:val="en-GB"/>
              </w:rPr>
              <w:t>Muscle thickness</w:t>
            </w:r>
            <w:r w:rsidRPr="002C129C">
              <w:rPr>
                <w:rFonts w:asciiTheme="majorHAnsi" w:hAnsiTheme="majorHAnsi" w:cstheme="majorHAnsi"/>
                <w:sz w:val="18"/>
                <w:szCs w:val="18"/>
                <w:lang w:val="en-GB"/>
              </w:rPr>
              <w:t>, cross-sectional area, echogenicity and architecture.</w:t>
            </w:r>
          </w:p>
        </w:tc>
        <w:tc>
          <w:tcPr>
            <w:tcW w:w="3028" w:type="dxa"/>
          </w:tcPr>
          <w:p w14:paraId="65F64950" w14:textId="77777777" w:rsidR="00F32B5C" w:rsidRPr="002C129C" w:rsidRDefault="00556A92" w:rsidP="002C129C">
            <w:pPr>
              <w:spacing w:line="276" w:lineRule="auto"/>
              <w:rPr>
                <w:rFonts w:asciiTheme="majorHAnsi" w:hAnsiTheme="majorHAnsi" w:cstheme="majorHAnsi"/>
                <w:sz w:val="18"/>
                <w:szCs w:val="18"/>
                <w:lang w:val="en-GB"/>
              </w:rPr>
            </w:pPr>
            <w:r w:rsidRPr="002C129C">
              <w:rPr>
                <w:rFonts w:asciiTheme="majorHAnsi" w:hAnsiTheme="majorHAnsi" w:cstheme="majorHAnsi"/>
                <w:sz w:val="18"/>
                <w:szCs w:val="18"/>
                <w:lang w:val="en-GB"/>
              </w:rPr>
              <w:t>Bedside, repeatable and radiation free.</w:t>
            </w:r>
          </w:p>
        </w:tc>
        <w:tc>
          <w:tcPr>
            <w:tcW w:w="3028" w:type="dxa"/>
          </w:tcPr>
          <w:p w14:paraId="34677D19" w14:textId="77777777" w:rsidR="00F32B5C" w:rsidRPr="002C129C" w:rsidRDefault="00556A92" w:rsidP="002C129C">
            <w:pPr>
              <w:spacing w:line="276" w:lineRule="auto"/>
              <w:rPr>
                <w:rFonts w:asciiTheme="majorHAnsi" w:hAnsiTheme="majorHAnsi" w:cstheme="majorHAnsi"/>
                <w:sz w:val="18"/>
                <w:szCs w:val="18"/>
                <w:lang w:val="en-GB"/>
              </w:rPr>
            </w:pPr>
            <w:r w:rsidRPr="002C129C">
              <w:rPr>
                <w:rFonts w:asciiTheme="majorHAnsi" w:hAnsiTheme="majorHAnsi" w:cstheme="majorHAnsi"/>
                <w:sz w:val="18"/>
                <w:szCs w:val="18"/>
                <w:lang w:val="en-GB"/>
              </w:rPr>
              <w:t>Operator and protocol dependent; compression, positioning and oedema affect measurements; standardisation and reference thresholds remain incomplete.</w:t>
            </w:r>
          </w:p>
        </w:tc>
        <w:tc>
          <w:tcPr>
            <w:tcW w:w="3028" w:type="dxa"/>
          </w:tcPr>
          <w:p w14:paraId="0136E54D" w14:textId="77777777" w:rsidR="00F32B5C" w:rsidRPr="002C129C" w:rsidRDefault="00556A92" w:rsidP="002C129C">
            <w:pPr>
              <w:spacing w:line="276" w:lineRule="auto"/>
              <w:rPr>
                <w:rFonts w:asciiTheme="majorHAnsi" w:hAnsiTheme="majorHAnsi" w:cstheme="majorHAnsi"/>
                <w:sz w:val="18"/>
                <w:szCs w:val="18"/>
                <w:lang w:val="en-GB"/>
              </w:rPr>
            </w:pPr>
            <w:r>
              <w:rPr>
                <w:rFonts w:asciiTheme="majorHAnsi" w:hAnsiTheme="majorHAnsi" w:cstheme="majorHAnsi"/>
                <w:sz w:val="18"/>
                <w:szCs w:val="18"/>
                <w:lang w:val="en-GB"/>
              </w:rPr>
              <w:t xml:space="preserve">Serial </w:t>
            </w:r>
            <w:r>
              <w:rPr>
                <w:rFonts w:asciiTheme="majorHAnsi" w:hAnsiTheme="majorHAnsi" w:cstheme="majorHAnsi"/>
                <w:sz w:val="18"/>
                <w:szCs w:val="18"/>
                <w:lang w:val="en-GB"/>
              </w:rPr>
              <w:t>structural assessment in research and selected practice; not a stand-alone dosing tool [56].</w:t>
            </w:r>
          </w:p>
        </w:tc>
      </w:tr>
      <w:tr w:rsidR="00F32B5C" w:rsidRPr="002C129C" w14:paraId="68BE6C61" w14:textId="77777777" w:rsidTr="002C129C">
        <w:trPr>
          <w:jc w:val="center"/>
        </w:trPr>
        <w:tc>
          <w:tcPr>
            <w:tcW w:w="3028" w:type="dxa"/>
          </w:tcPr>
          <w:p w14:paraId="647248F0" w14:textId="77777777" w:rsidR="00F32B5C" w:rsidRPr="002C129C" w:rsidRDefault="00556A92" w:rsidP="002C129C">
            <w:pPr>
              <w:spacing w:line="276" w:lineRule="auto"/>
              <w:rPr>
                <w:rFonts w:asciiTheme="majorHAnsi" w:hAnsiTheme="majorHAnsi" w:cstheme="majorHAnsi"/>
                <w:b/>
                <w:bCs/>
                <w:sz w:val="18"/>
                <w:szCs w:val="18"/>
                <w:lang w:val="en-GB"/>
              </w:rPr>
            </w:pPr>
            <w:r w:rsidRPr="002C129C">
              <w:rPr>
                <w:rFonts w:asciiTheme="majorHAnsi" w:hAnsiTheme="majorHAnsi" w:cstheme="majorHAnsi"/>
                <w:b/>
                <w:bCs/>
                <w:sz w:val="18"/>
                <w:szCs w:val="18"/>
                <w:lang w:val="en-GB"/>
              </w:rPr>
              <w:t>Bioelectrical impedance analysis (BIA)</w:t>
            </w:r>
          </w:p>
        </w:tc>
        <w:tc>
          <w:tcPr>
            <w:tcW w:w="3028" w:type="dxa"/>
          </w:tcPr>
          <w:p w14:paraId="0F650342" w14:textId="77777777" w:rsidR="00F32B5C" w:rsidRPr="002C129C" w:rsidRDefault="00556A92" w:rsidP="002C129C">
            <w:pPr>
              <w:spacing w:line="276" w:lineRule="auto"/>
              <w:rPr>
                <w:rFonts w:asciiTheme="majorHAnsi" w:hAnsiTheme="majorHAnsi" w:cstheme="majorHAnsi"/>
                <w:sz w:val="18"/>
                <w:szCs w:val="18"/>
                <w:lang w:val="en-GB"/>
              </w:rPr>
            </w:pPr>
            <w:r w:rsidRPr="002C129C">
              <w:rPr>
                <w:rFonts w:asciiTheme="majorHAnsi" w:hAnsiTheme="majorHAnsi" w:cstheme="majorHAnsi"/>
                <w:sz w:val="18"/>
                <w:szCs w:val="18"/>
                <w:lang w:val="en-GB"/>
              </w:rPr>
              <w:t>Estimates body water, fat-free mass and related electrical measures such as phase angle.</w:t>
            </w:r>
          </w:p>
        </w:tc>
        <w:tc>
          <w:tcPr>
            <w:tcW w:w="3028" w:type="dxa"/>
          </w:tcPr>
          <w:p w14:paraId="313AB19A" w14:textId="77777777" w:rsidR="00F32B5C" w:rsidRPr="002C129C" w:rsidRDefault="00556A92" w:rsidP="002C129C">
            <w:pPr>
              <w:spacing w:line="276" w:lineRule="auto"/>
              <w:rPr>
                <w:rFonts w:asciiTheme="majorHAnsi" w:hAnsiTheme="majorHAnsi" w:cstheme="majorHAnsi"/>
                <w:sz w:val="18"/>
                <w:szCs w:val="18"/>
                <w:lang w:val="en-GB"/>
              </w:rPr>
            </w:pPr>
            <w:r w:rsidRPr="002C129C">
              <w:rPr>
                <w:rFonts w:asciiTheme="majorHAnsi" w:hAnsiTheme="majorHAnsi" w:cstheme="majorHAnsi"/>
                <w:sz w:val="18"/>
                <w:szCs w:val="18"/>
                <w:lang w:val="en-GB"/>
              </w:rPr>
              <w:t>Rapid, bedside and potentially rep</w:t>
            </w:r>
            <w:r w:rsidRPr="002C129C">
              <w:rPr>
                <w:rFonts w:asciiTheme="majorHAnsi" w:hAnsiTheme="majorHAnsi" w:cstheme="majorHAnsi"/>
                <w:sz w:val="18"/>
                <w:szCs w:val="18"/>
                <w:lang w:val="en-GB"/>
              </w:rPr>
              <w:t>eatable.</w:t>
            </w:r>
          </w:p>
        </w:tc>
        <w:tc>
          <w:tcPr>
            <w:tcW w:w="3028" w:type="dxa"/>
          </w:tcPr>
          <w:p w14:paraId="33BC2462" w14:textId="77777777" w:rsidR="00F32B5C" w:rsidRPr="002C129C" w:rsidRDefault="00556A92" w:rsidP="002C129C">
            <w:pPr>
              <w:spacing w:line="276" w:lineRule="auto"/>
              <w:rPr>
                <w:rFonts w:asciiTheme="majorHAnsi" w:hAnsiTheme="majorHAnsi" w:cstheme="majorHAnsi"/>
                <w:sz w:val="18"/>
                <w:szCs w:val="18"/>
                <w:lang w:val="en-GB"/>
              </w:rPr>
            </w:pPr>
            <w:r w:rsidRPr="002C129C">
              <w:rPr>
                <w:rFonts w:asciiTheme="majorHAnsi" w:hAnsiTheme="majorHAnsi" w:cstheme="majorHAnsi"/>
                <w:sz w:val="18"/>
                <w:szCs w:val="18"/>
                <w:lang w:val="en-GB"/>
              </w:rPr>
              <w:t>Strongly influenced by fluid shifts, electrode placement, device and prediction equation; assumptions may be violated during critical illness.</w:t>
            </w:r>
          </w:p>
        </w:tc>
        <w:tc>
          <w:tcPr>
            <w:tcW w:w="3028" w:type="dxa"/>
          </w:tcPr>
          <w:p w14:paraId="53CC895C" w14:textId="77777777" w:rsidR="00F32B5C" w:rsidRPr="002C129C" w:rsidRDefault="00556A92" w:rsidP="002C129C">
            <w:pPr>
              <w:spacing w:line="276" w:lineRule="auto"/>
              <w:rPr>
                <w:rFonts w:asciiTheme="majorHAnsi" w:hAnsiTheme="majorHAnsi" w:cstheme="majorHAnsi"/>
                <w:sz w:val="18"/>
                <w:szCs w:val="18"/>
                <w:lang w:val="en-GB"/>
              </w:rPr>
            </w:pPr>
            <w:r>
              <w:rPr>
                <w:rFonts w:asciiTheme="majorHAnsi" w:hAnsiTheme="majorHAnsi" w:cstheme="majorHAnsi"/>
                <w:sz w:val="18"/>
                <w:szCs w:val="18"/>
                <w:lang w:val="en-GB"/>
              </w:rPr>
              <w:t xml:space="preserve">Phenotyping and trajectory assessment when methods are standardised; not validated to calculate protein </w:t>
            </w:r>
            <w:r>
              <w:rPr>
                <w:rFonts w:asciiTheme="majorHAnsi" w:hAnsiTheme="majorHAnsi" w:cstheme="majorHAnsi"/>
                <w:sz w:val="18"/>
                <w:szCs w:val="18"/>
                <w:lang w:val="en-GB"/>
              </w:rPr>
              <w:t>requirement [57,58,60].</w:t>
            </w:r>
          </w:p>
        </w:tc>
      </w:tr>
      <w:tr w:rsidR="00F32B5C" w:rsidRPr="002C129C" w14:paraId="09AF390C" w14:textId="77777777" w:rsidTr="002C129C">
        <w:trPr>
          <w:jc w:val="center"/>
        </w:trPr>
        <w:tc>
          <w:tcPr>
            <w:tcW w:w="3028" w:type="dxa"/>
          </w:tcPr>
          <w:p w14:paraId="6C50BCE5" w14:textId="77777777" w:rsidR="00F32B5C" w:rsidRPr="002C129C" w:rsidRDefault="00556A92" w:rsidP="002C129C">
            <w:pPr>
              <w:spacing w:line="276" w:lineRule="auto"/>
              <w:rPr>
                <w:rFonts w:asciiTheme="majorHAnsi" w:hAnsiTheme="majorHAnsi" w:cstheme="majorHAnsi"/>
                <w:b/>
                <w:bCs/>
                <w:sz w:val="18"/>
                <w:szCs w:val="18"/>
                <w:lang w:val="en-GB"/>
              </w:rPr>
            </w:pPr>
            <w:r w:rsidRPr="002C129C">
              <w:rPr>
                <w:rFonts w:asciiTheme="majorHAnsi" w:hAnsiTheme="majorHAnsi" w:cstheme="majorHAnsi"/>
                <w:b/>
                <w:bCs/>
                <w:sz w:val="18"/>
                <w:szCs w:val="18"/>
                <w:lang w:val="en-GB"/>
              </w:rPr>
              <w:t>Dual-energy X-ray absorptiometry (DXA)</w:t>
            </w:r>
          </w:p>
        </w:tc>
        <w:tc>
          <w:tcPr>
            <w:tcW w:w="3028" w:type="dxa"/>
          </w:tcPr>
          <w:p w14:paraId="706BA077" w14:textId="77777777" w:rsidR="00F32B5C" w:rsidRPr="002C129C" w:rsidRDefault="00556A92" w:rsidP="002C129C">
            <w:pPr>
              <w:spacing w:line="276" w:lineRule="auto"/>
              <w:rPr>
                <w:rFonts w:asciiTheme="majorHAnsi" w:hAnsiTheme="majorHAnsi" w:cstheme="majorHAnsi"/>
                <w:sz w:val="18"/>
                <w:szCs w:val="18"/>
                <w:lang w:val="en-GB"/>
              </w:rPr>
            </w:pPr>
            <w:r w:rsidRPr="002C129C">
              <w:rPr>
                <w:rFonts w:asciiTheme="majorHAnsi" w:hAnsiTheme="majorHAnsi" w:cstheme="majorHAnsi"/>
                <w:sz w:val="18"/>
                <w:szCs w:val="18"/>
                <w:lang w:val="en-GB"/>
              </w:rPr>
              <w:t>Whole-body and regional lean soft tissue and fat mass.</w:t>
            </w:r>
          </w:p>
        </w:tc>
        <w:tc>
          <w:tcPr>
            <w:tcW w:w="3028" w:type="dxa"/>
          </w:tcPr>
          <w:p w14:paraId="6BF7D80F" w14:textId="77777777" w:rsidR="00F32B5C" w:rsidRPr="002C129C" w:rsidRDefault="00556A92" w:rsidP="002C129C">
            <w:pPr>
              <w:spacing w:line="276" w:lineRule="auto"/>
              <w:rPr>
                <w:rFonts w:asciiTheme="majorHAnsi" w:hAnsiTheme="majorHAnsi" w:cstheme="majorHAnsi"/>
                <w:sz w:val="18"/>
                <w:szCs w:val="18"/>
                <w:lang w:val="en-GB"/>
              </w:rPr>
            </w:pPr>
            <w:r w:rsidRPr="002C129C">
              <w:rPr>
                <w:rFonts w:asciiTheme="majorHAnsi" w:hAnsiTheme="majorHAnsi" w:cstheme="majorHAnsi"/>
                <w:sz w:val="18"/>
                <w:szCs w:val="18"/>
                <w:lang w:val="en-GB"/>
              </w:rPr>
              <w:t>Well-established reference method in stable populations.</w:t>
            </w:r>
          </w:p>
        </w:tc>
        <w:tc>
          <w:tcPr>
            <w:tcW w:w="3028" w:type="dxa"/>
          </w:tcPr>
          <w:p w14:paraId="1E28A7C5" w14:textId="77777777" w:rsidR="00F32B5C" w:rsidRPr="002C129C" w:rsidRDefault="00556A92" w:rsidP="002C129C">
            <w:pPr>
              <w:spacing w:line="276" w:lineRule="auto"/>
              <w:rPr>
                <w:rFonts w:asciiTheme="majorHAnsi" w:hAnsiTheme="majorHAnsi" w:cstheme="majorHAnsi"/>
                <w:sz w:val="18"/>
                <w:szCs w:val="18"/>
                <w:lang w:val="en-GB"/>
              </w:rPr>
            </w:pPr>
            <w:r w:rsidRPr="002C129C">
              <w:rPr>
                <w:rFonts w:asciiTheme="majorHAnsi" w:hAnsiTheme="majorHAnsi" w:cstheme="majorHAnsi"/>
                <w:sz w:val="18"/>
                <w:szCs w:val="18"/>
                <w:lang w:val="en-GB"/>
              </w:rPr>
              <w:t>Requires transport and stable positioning; influenced by hydration; rarely feasi</w:t>
            </w:r>
            <w:r w:rsidRPr="002C129C">
              <w:rPr>
                <w:rFonts w:asciiTheme="majorHAnsi" w:hAnsiTheme="majorHAnsi" w:cstheme="majorHAnsi"/>
                <w:sz w:val="18"/>
                <w:szCs w:val="18"/>
                <w:lang w:val="en-GB"/>
              </w:rPr>
              <w:t>ble for serial ICU assessment.</w:t>
            </w:r>
          </w:p>
        </w:tc>
        <w:tc>
          <w:tcPr>
            <w:tcW w:w="3028" w:type="dxa"/>
          </w:tcPr>
          <w:p w14:paraId="18B8EED6" w14:textId="77777777" w:rsidR="00F32B5C" w:rsidRPr="002C129C" w:rsidRDefault="00556A92" w:rsidP="002C129C">
            <w:pPr>
              <w:spacing w:line="276" w:lineRule="auto"/>
              <w:rPr>
                <w:rFonts w:asciiTheme="majorHAnsi" w:hAnsiTheme="majorHAnsi" w:cstheme="majorHAnsi"/>
                <w:sz w:val="18"/>
                <w:szCs w:val="18"/>
                <w:lang w:val="en-GB"/>
              </w:rPr>
            </w:pPr>
            <w:r>
              <w:rPr>
                <w:rFonts w:asciiTheme="majorHAnsi" w:hAnsiTheme="majorHAnsi" w:cstheme="majorHAnsi"/>
                <w:sz w:val="18"/>
                <w:szCs w:val="18"/>
                <w:lang w:val="en-GB"/>
              </w:rPr>
              <w:t>Research or post-ICU assessment rather than routine acute ICU monitoring [19,61].</w:t>
            </w:r>
          </w:p>
        </w:tc>
      </w:tr>
      <w:tr w:rsidR="00F32B5C" w:rsidRPr="002C129C" w14:paraId="3B29AC32" w14:textId="77777777" w:rsidTr="002C129C">
        <w:trPr>
          <w:jc w:val="center"/>
        </w:trPr>
        <w:tc>
          <w:tcPr>
            <w:tcW w:w="3028" w:type="dxa"/>
          </w:tcPr>
          <w:p w14:paraId="1B7E1730" w14:textId="77777777" w:rsidR="00F32B5C" w:rsidRPr="002C129C" w:rsidRDefault="00556A92" w:rsidP="002C129C">
            <w:pPr>
              <w:spacing w:line="276" w:lineRule="auto"/>
              <w:rPr>
                <w:rFonts w:asciiTheme="majorHAnsi" w:hAnsiTheme="majorHAnsi" w:cstheme="majorHAnsi"/>
                <w:b/>
                <w:bCs/>
                <w:sz w:val="18"/>
                <w:szCs w:val="18"/>
                <w:lang w:val="en-GB"/>
              </w:rPr>
            </w:pPr>
            <w:r>
              <w:rPr>
                <w:rFonts w:asciiTheme="majorHAnsi" w:hAnsiTheme="majorHAnsi" w:cstheme="majorHAnsi"/>
                <w:b/>
                <w:bCs/>
                <w:sz w:val="18"/>
                <w:szCs w:val="18"/>
                <w:lang w:val="en-GB"/>
              </w:rPr>
              <w:t>Anthropometry: calf circumference and mid-upper-arm circumference</w:t>
            </w:r>
          </w:p>
        </w:tc>
        <w:tc>
          <w:tcPr>
            <w:tcW w:w="3028" w:type="dxa"/>
          </w:tcPr>
          <w:p w14:paraId="4F4C5963" w14:textId="77777777" w:rsidR="00F32B5C" w:rsidRPr="002C129C" w:rsidRDefault="00556A92" w:rsidP="002C129C">
            <w:pPr>
              <w:spacing w:line="276" w:lineRule="auto"/>
              <w:rPr>
                <w:rFonts w:asciiTheme="majorHAnsi" w:hAnsiTheme="majorHAnsi" w:cstheme="majorHAnsi"/>
                <w:sz w:val="18"/>
                <w:szCs w:val="18"/>
                <w:lang w:val="en-GB"/>
              </w:rPr>
            </w:pPr>
            <w:r>
              <w:rPr>
                <w:rFonts w:asciiTheme="majorHAnsi" w:hAnsiTheme="majorHAnsi" w:cstheme="majorHAnsi"/>
                <w:sz w:val="18"/>
                <w:szCs w:val="18"/>
                <w:lang w:val="en-GB"/>
              </w:rPr>
              <w:t>Simple surrogate measures of peripheral muscle size and nutritional phenotyp</w:t>
            </w:r>
            <w:r>
              <w:rPr>
                <w:rFonts w:asciiTheme="majorHAnsi" w:hAnsiTheme="majorHAnsi" w:cstheme="majorHAnsi"/>
                <w:sz w:val="18"/>
                <w:szCs w:val="18"/>
                <w:lang w:val="en-GB"/>
              </w:rPr>
              <w:t>e.</w:t>
            </w:r>
          </w:p>
        </w:tc>
        <w:tc>
          <w:tcPr>
            <w:tcW w:w="3028" w:type="dxa"/>
          </w:tcPr>
          <w:p w14:paraId="3F0E19B6" w14:textId="77777777" w:rsidR="00F32B5C" w:rsidRPr="002C129C" w:rsidRDefault="00556A92" w:rsidP="002C129C">
            <w:pPr>
              <w:spacing w:line="276" w:lineRule="auto"/>
              <w:rPr>
                <w:rFonts w:asciiTheme="majorHAnsi" w:hAnsiTheme="majorHAnsi" w:cstheme="majorHAnsi"/>
                <w:sz w:val="18"/>
                <w:szCs w:val="18"/>
                <w:lang w:val="en-GB"/>
              </w:rPr>
            </w:pPr>
            <w:r>
              <w:rPr>
                <w:rFonts w:asciiTheme="majorHAnsi" w:hAnsiTheme="majorHAnsi" w:cstheme="majorHAnsi"/>
                <w:sz w:val="18"/>
                <w:szCs w:val="18"/>
                <w:lang w:val="en-GB"/>
              </w:rPr>
              <w:t>Low cost, bedside, rapid and repeatable.</w:t>
            </w:r>
          </w:p>
        </w:tc>
        <w:tc>
          <w:tcPr>
            <w:tcW w:w="3028" w:type="dxa"/>
          </w:tcPr>
          <w:p w14:paraId="1AFD206E" w14:textId="77777777" w:rsidR="00F32B5C" w:rsidRPr="002C129C" w:rsidRDefault="00556A92" w:rsidP="002C129C">
            <w:pPr>
              <w:spacing w:line="276" w:lineRule="auto"/>
              <w:rPr>
                <w:rFonts w:asciiTheme="majorHAnsi" w:hAnsiTheme="majorHAnsi" w:cstheme="majorHAnsi"/>
                <w:sz w:val="18"/>
                <w:szCs w:val="18"/>
                <w:lang w:val="en-GB"/>
              </w:rPr>
            </w:pPr>
            <w:r>
              <w:rPr>
                <w:rFonts w:asciiTheme="majorHAnsi" w:hAnsiTheme="majorHAnsi" w:cstheme="majorHAnsi"/>
                <w:sz w:val="18"/>
                <w:szCs w:val="18"/>
                <w:lang w:val="en-GB"/>
              </w:rPr>
              <w:t>Strongly affected by oedema, adiposity, positioning, landmarking and population-specific cut-offs; limited sensitivity to short-term structural change.</w:t>
            </w:r>
          </w:p>
        </w:tc>
        <w:tc>
          <w:tcPr>
            <w:tcW w:w="3028" w:type="dxa"/>
          </w:tcPr>
          <w:p w14:paraId="7BD1D01C" w14:textId="77777777" w:rsidR="00F32B5C" w:rsidRPr="002C129C" w:rsidRDefault="00556A92" w:rsidP="002C129C">
            <w:pPr>
              <w:spacing w:line="276" w:lineRule="auto"/>
              <w:rPr>
                <w:rFonts w:asciiTheme="majorHAnsi" w:hAnsiTheme="majorHAnsi" w:cstheme="majorHAnsi"/>
                <w:sz w:val="18"/>
                <w:szCs w:val="18"/>
                <w:lang w:val="en-GB"/>
              </w:rPr>
            </w:pPr>
            <w:r>
              <w:rPr>
                <w:rFonts w:asciiTheme="majorHAnsi" w:hAnsiTheme="majorHAnsi" w:cstheme="majorHAnsi"/>
                <w:sz w:val="18"/>
                <w:szCs w:val="18"/>
                <w:lang w:val="en-GB"/>
              </w:rPr>
              <w:t xml:space="preserve">Screening and longitudinal research when standardised; not </w:t>
            </w:r>
            <w:r>
              <w:rPr>
                <w:rFonts w:asciiTheme="majorHAnsi" w:hAnsiTheme="majorHAnsi" w:cstheme="majorHAnsi"/>
                <w:sz w:val="18"/>
                <w:szCs w:val="18"/>
                <w:lang w:val="en-GB"/>
              </w:rPr>
              <w:t>validated to determine an individual protein requirement [19,63].</w:t>
            </w:r>
          </w:p>
        </w:tc>
      </w:tr>
      <w:tr w:rsidR="00F32B5C" w:rsidRPr="002C129C" w14:paraId="588CB13C" w14:textId="77777777" w:rsidTr="002C129C">
        <w:trPr>
          <w:jc w:val="center"/>
        </w:trPr>
        <w:tc>
          <w:tcPr>
            <w:tcW w:w="3028" w:type="dxa"/>
          </w:tcPr>
          <w:p w14:paraId="48BFD4E7" w14:textId="77777777" w:rsidR="00F32B5C" w:rsidRPr="002C129C" w:rsidRDefault="00556A92" w:rsidP="002C129C">
            <w:pPr>
              <w:spacing w:line="276" w:lineRule="auto"/>
              <w:rPr>
                <w:rFonts w:asciiTheme="majorHAnsi" w:hAnsiTheme="majorHAnsi" w:cstheme="majorHAnsi"/>
                <w:b/>
                <w:bCs/>
                <w:sz w:val="18"/>
                <w:szCs w:val="18"/>
                <w:lang w:val="en-GB"/>
              </w:rPr>
            </w:pPr>
            <w:r>
              <w:rPr>
                <w:rFonts w:asciiTheme="majorHAnsi" w:hAnsiTheme="majorHAnsi" w:cstheme="majorHAnsi"/>
                <w:b/>
                <w:bCs/>
                <w:sz w:val="18"/>
                <w:szCs w:val="18"/>
                <w:lang w:val="en-GB"/>
              </w:rPr>
              <w:t>Magnetic resonance imaging (MRI)</w:t>
            </w:r>
          </w:p>
        </w:tc>
        <w:tc>
          <w:tcPr>
            <w:tcW w:w="3028" w:type="dxa"/>
          </w:tcPr>
          <w:p w14:paraId="02577A7D" w14:textId="77777777" w:rsidR="00F32B5C" w:rsidRPr="002C129C" w:rsidRDefault="00556A92" w:rsidP="002C129C">
            <w:pPr>
              <w:spacing w:line="276" w:lineRule="auto"/>
              <w:rPr>
                <w:rFonts w:asciiTheme="majorHAnsi" w:hAnsiTheme="majorHAnsi" w:cstheme="majorHAnsi"/>
                <w:sz w:val="18"/>
                <w:szCs w:val="18"/>
                <w:lang w:val="en-GB"/>
              </w:rPr>
            </w:pPr>
            <w:r>
              <w:rPr>
                <w:rFonts w:asciiTheme="majorHAnsi" w:hAnsiTheme="majorHAnsi" w:cstheme="majorHAnsi"/>
                <w:sz w:val="18"/>
                <w:szCs w:val="18"/>
                <w:lang w:val="en-GB"/>
              </w:rPr>
              <w:t>Detailed regional and whole-body muscle volume, composition and tissue characteristics.</w:t>
            </w:r>
          </w:p>
        </w:tc>
        <w:tc>
          <w:tcPr>
            <w:tcW w:w="3028" w:type="dxa"/>
          </w:tcPr>
          <w:p w14:paraId="7102B558" w14:textId="77777777" w:rsidR="00F32B5C" w:rsidRPr="002C129C" w:rsidRDefault="00556A92" w:rsidP="002C129C">
            <w:pPr>
              <w:spacing w:line="276" w:lineRule="auto"/>
              <w:rPr>
                <w:rFonts w:asciiTheme="majorHAnsi" w:hAnsiTheme="majorHAnsi" w:cstheme="majorHAnsi"/>
                <w:sz w:val="18"/>
                <w:szCs w:val="18"/>
                <w:lang w:val="en-GB"/>
              </w:rPr>
            </w:pPr>
            <w:r>
              <w:rPr>
                <w:rFonts w:asciiTheme="majorHAnsi" w:hAnsiTheme="majorHAnsi" w:cstheme="majorHAnsi"/>
                <w:sz w:val="18"/>
                <w:szCs w:val="18"/>
                <w:lang w:val="en-GB"/>
              </w:rPr>
              <w:t>High anatomical detail without ionising radiation; reference-quality</w:t>
            </w:r>
            <w:r>
              <w:rPr>
                <w:rFonts w:asciiTheme="majorHAnsi" w:hAnsiTheme="majorHAnsi" w:cstheme="majorHAnsi"/>
                <w:sz w:val="18"/>
                <w:szCs w:val="18"/>
                <w:lang w:val="en-GB"/>
              </w:rPr>
              <w:t xml:space="preserve"> research assessment.</w:t>
            </w:r>
          </w:p>
        </w:tc>
        <w:tc>
          <w:tcPr>
            <w:tcW w:w="3028" w:type="dxa"/>
          </w:tcPr>
          <w:p w14:paraId="0FF3EA0F" w14:textId="77777777" w:rsidR="00F32B5C" w:rsidRPr="002C129C" w:rsidRDefault="00556A92" w:rsidP="002C129C">
            <w:pPr>
              <w:spacing w:line="276" w:lineRule="auto"/>
              <w:rPr>
                <w:rFonts w:asciiTheme="majorHAnsi" w:hAnsiTheme="majorHAnsi" w:cstheme="majorHAnsi"/>
                <w:sz w:val="18"/>
                <w:szCs w:val="18"/>
                <w:lang w:val="en-GB"/>
              </w:rPr>
            </w:pPr>
            <w:r>
              <w:rPr>
                <w:rFonts w:asciiTheme="majorHAnsi" w:hAnsiTheme="majorHAnsi" w:cstheme="majorHAnsi"/>
                <w:sz w:val="18"/>
                <w:szCs w:val="18"/>
                <w:lang w:val="en-GB"/>
              </w:rPr>
              <w:t>Requires transport, substantial logistical resources and prolonged positioning; generally unsuitable for serial assessment during acute critical illness.</w:t>
            </w:r>
          </w:p>
        </w:tc>
        <w:tc>
          <w:tcPr>
            <w:tcW w:w="3028" w:type="dxa"/>
          </w:tcPr>
          <w:p w14:paraId="1B66F9DF" w14:textId="77777777" w:rsidR="00F32B5C" w:rsidRPr="002C129C" w:rsidRDefault="00556A92" w:rsidP="002C129C">
            <w:pPr>
              <w:spacing w:line="276" w:lineRule="auto"/>
              <w:rPr>
                <w:rFonts w:asciiTheme="majorHAnsi" w:hAnsiTheme="majorHAnsi" w:cstheme="majorHAnsi"/>
                <w:sz w:val="18"/>
                <w:szCs w:val="18"/>
                <w:lang w:val="en-GB"/>
              </w:rPr>
            </w:pPr>
            <w:r>
              <w:rPr>
                <w:rFonts w:asciiTheme="majorHAnsi" w:hAnsiTheme="majorHAnsi" w:cstheme="majorHAnsi"/>
                <w:sz w:val="18"/>
                <w:szCs w:val="18"/>
                <w:lang w:val="en-GB"/>
              </w:rPr>
              <w:t>Research/reference method and selected post-ICU assessment; not applicable to ro</w:t>
            </w:r>
            <w:r>
              <w:rPr>
                <w:rFonts w:asciiTheme="majorHAnsi" w:hAnsiTheme="majorHAnsi" w:cstheme="majorHAnsi"/>
                <w:sz w:val="18"/>
                <w:szCs w:val="18"/>
                <w:lang w:val="en-GB"/>
              </w:rPr>
              <w:t>utine acute ICU protein prescription [19,61].</w:t>
            </w:r>
          </w:p>
        </w:tc>
      </w:tr>
    </w:tbl>
    <w:p w14:paraId="4BCFBA3B" w14:textId="72A89FD7" w:rsidR="00F32B5C" w:rsidRDefault="00556A92" w:rsidP="002C129C">
      <w:pPr>
        <w:spacing w:line="276" w:lineRule="auto"/>
        <w:rPr>
          <w:rFonts w:asciiTheme="majorHAnsi" w:hAnsiTheme="majorHAnsi" w:cstheme="majorHAnsi"/>
          <w:iCs/>
          <w:sz w:val="20"/>
          <w:szCs w:val="20"/>
          <w:lang w:val="en-GB"/>
        </w:rPr>
      </w:pPr>
      <w:r>
        <w:rPr>
          <w:rFonts w:asciiTheme="majorHAnsi" w:hAnsiTheme="majorHAnsi" w:cstheme="majorHAnsi"/>
          <w:iCs/>
          <w:sz w:val="20"/>
          <w:szCs w:val="20"/>
          <w:lang w:val="en-GB"/>
        </w:rPr>
        <w:t>Reference numbers in the Supplementary Material correspond to the reference list in the main manuscript.</w:t>
      </w:r>
    </w:p>
    <w:p w14:paraId="496B9431" w14:textId="5D6E0DD4" w:rsidR="00B83631" w:rsidRPr="002C129C" w:rsidRDefault="00B83631" w:rsidP="002C129C">
      <w:pPr>
        <w:spacing w:line="276" w:lineRule="auto"/>
        <w:rPr>
          <w:rFonts w:asciiTheme="majorHAnsi" w:hAnsiTheme="majorHAnsi" w:cstheme="majorHAnsi"/>
          <w:iCs/>
          <w:sz w:val="20"/>
          <w:szCs w:val="20"/>
          <w:lang w:val="en-GB"/>
        </w:rPr>
      </w:pPr>
      <w:r>
        <w:rPr>
          <w:rFonts w:asciiTheme="majorHAnsi" w:hAnsiTheme="majorHAnsi" w:cstheme="majorHAnsi"/>
          <w:b/>
          <w:bCs/>
          <w:iCs/>
          <w:sz w:val="20"/>
          <w:szCs w:val="20"/>
        </w:rPr>
        <w:t>Abbreviations: BIA, bioelectrical impedance analysis; CT, computed tomography; DXA, dual-energy X-ray absorptiometry; ICU, intensive care unit; MRI, magnetic resonance imaging; RCT, randomised controlled trial.</w:t>
      </w:r>
    </w:p>
    <w:sectPr w:rsidR="00B83631" w:rsidRPr="002C129C" w:rsidSect="002C129C">
      <w:footerReference w:type="default" r:id="rId9"/>
      <w:pgSz w:w="11906" w:h="16838"/>
      <w:pgMar w:top="850" w:right="850" w:bottom="850" w:left="850" w:header="720" w:footer="720" w:gutter="0"/>
      <w:lnNumType w:countBy="1" w:distance="360" w:restart="continuou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8C754B" w14:textId="77777777" w:rsidR="00690AC8" w:rsidRDefault="00690AC8">
      <w:pPr>
        <w:spacing w:line="240" w:lineRule="auto"/>
      </w:pPr>
      <w:r>
        <w:separator/>
      </w:r>
    </w:p>
  </w:endnote>
  <w:endnote w:type="continuationSeparator" w:id="0">
    <w:p w14:paraId="6A761A93" w14:textId="77777777" w:rsidR="00690AC8" w:rsidRDefault="00690A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8F3E47" w14:textId="77777777" w:rsidR="00AC50F0" w:rsidRDefault="00556A92">
    <w:pPr>
      <w:pStyle w:val="Footer"/>
      <w:jc w:val="cent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246171" w14:textId="77777777" w:rsidR="00690AC8" w:rsidRDefault="00690AC8">
      <w:pPr>
        <w:spacing w:line="240" w:lineRule="auto"/>
      </w:pPr>
      <w:r>
        <w:separator/>
      </w:r>
    </w:p>
  </w:footnote>
  <w:footnote w:type="continuationSeparator" w:id="0">
    <w:p w14:paraId="518D259C" w14:textId="77777777" w:rsidR="00690AC8" w:rsidRDefault="00690AC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A72C0"/>
    <w:rsid w:val="00126B7D"/>
    <w:rsid w:val="001312DB"/>
    <w:rsid w:val="0015074B"/>
    <w:rsid w:val="0029639D"/>
    <w:rsid w:val="002C129C"/>
    <w:rsid w:val="00326F90"/>
    <w:rsid w:val="00330551"/>
    <w:rsid w:val="00351A8C"/>
    <w:rsid w:val="00391AB2"/>
    <w:rsid w:val="003E121D"/>
    <w:rsid w:val="00446E8F"/>
    <w:rsid w:val="004713DC"/>
    <w:rsid w:val="0054462C"/>
    <w:rsid w:val="00556A92"/>
    <w:rsid w:val="005E4827"/>
    <w:rsid w:val="006347AB"/>
    <w:rsid w:val="0066487C"/>
    <w:rsid w:val="00690AC8"/>
    <w:rsid w:val="008160F8"/>
    <w:rsid w:val="008F5BA3"/>
    <w:rsid w:val="00922654"/>
    <w:rsid w:val="009F71E8"/>
    <w:rsid w:val="00A1757D"/>
    <w:rsid w:val="00AA1D8D"/>
    <w:rsid w:val="00AC50F0"/>
    <w:rsid w:val="00B47730"/>
    <w:rsid w:val="00B67FF4"/>
    <w:rsid w:val="00B83631"/>
    <w:rsid w:val="00BB21CD"/>
    <w:rsid w:val="00C50517"/>
    <w:rsid w:val="00C75AAA"/>
    <w:rsid w:val="00CB0664"/>
    <w:rsid w:val="00CE54CD"/>
    <w:rsid w:val="00D30D47"/>
    <w:rsid w:val="00D73D8C"/>
    <w:rsid w:val="00E41A88"/>
    <w:rsid w:val="00E871E0"/>
    <w:rsid w:val="00E94C95"/>
    <w:rsid w:val="00F32B5C"/>
    <w:rsid w:val="00F96720"/>
    <w:rsid w:val="00FA53D5"/>
    <w:rsid w:val="00FC693F"/>
    <w:rsid w:val="00FD63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4E894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48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Custom">
    <w:name w:val="TitleCustom"/>
    <w:pPr>
      <w:keepNext/>
      <w:spacing w:after="60"/>
    </w:pPr>
    <w:rPr>
      <w:rFonts w:ascii="Times New Roman" w:eastAsia="Times New Roman" w:hAnsi="Times New Roman"/>
      <w:b/>
      <w:sz w:val="32"/>
    </w:rPr>
  </w:style>
  <w:style w:type="paragraph" w:customStyle="1" w:styleId="Heading1Custom">
    <w:name w:val="Heading1Custom"/>
    <w:pPr>
      <w:keepNext/>
      <w:spacing w:before="200" w:after="60"/>
    </w:pPr>
    <w:rPr>
      <w:rFonts w:ascii="Times New Roman" w:eastAsia="Times New Roman" w:hAnsi="Times New Roman"/>
      <w:b/>
      <w:sz w:val="28"/>
    </w:rPr>
  </w:style>
  <w:style w:type="paragraph" w:customStyle="1" w:styleId="Heading2Custom">
    <w:name w:val="Heading2Custom"/>
    <w:pPr>
      <w:keepNext/>
      <w:spacing w:before="200" w:after="60"/>
    </w:pPr>
    <w:rPr>
      <w:rFonts w:ascii="Times New Roman" w:eastAsia="Times New Roman" w:hAnsi="Times New Roman"/>
      <w:b/>
      <w:sz w:val="24"/>
    </w:rPr>
  </w:style>
  <w:style w:type="character" w:styleId="LineNumber">
    <w:name w:val="line number"/>
    <w:basedOn w:val="DefaultParagraphFont"/>
    <w:uiPriority w:val="99"/>
    <w:semiHidden/>
    <w:unhideWhenUsed/>
    <w:rsid w:val="005E4827"/>
  </w:style>
  <w:style w:type="paragraph" w:styleId="NormalWeb">
    <w:name w:val="Normal (Web)"/>
    <w:basedOn w:val="Normal"/>
    <w:uiPriority w:val="99"/>
    <w:semiHidden/>
    <w:unhideWhenUsed/>
    <w:rsid w:val="00391AB2"/>
    <w:pPr>
      <w:spacing w:before="100" w:beforeAutospacing="1" w:after="100" w:afterAutospacing="1" w:line="240" w:lineRule="auto"/>
    </w:pPr>
    <w:rPr>
      <w:rFonts w:cs="Times New Roman"/>
      <w:szCs w:val="24"/>
      <w:lang w:val="nl-NL" w:eastAsia="nl-NL"/>
    </w:rPr>
  </w:style>
  <w:style w:type="character" w:customStyle="1" w:styleId="apple-converted-space">
    <w:name w:val="apple-converted-space"/>
    <w:basedOn w:val="DefaultParagraphFont"/>
    <w:rsid w:val="00E94C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48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Custom">
    <w:name w:val="TitleCustom"/>
    <w:pPr>
      <w:keepNext/>
      <w:spacing w:after="60"/>
    </w:pPr>
    <w:rPr>
      <w:rFonts w:ascii="Times New Roman" w:eastAsia="Times New Roman" w:hAnsi="Times New Roman"/>
      <w:b/>
      <w:sz w:val="32"/>
    </w:rPr>
  </w:style>
  <w:style w:type="paragraph" w:customStyle="1" w:styleId="Heading1Custom">
    <w:name w:val="Heading1Custom"/>
    <w:pPr>
      <w:keepNext/>
      <w:spacing w:before="200" w:after="60"/>
    </w:pPr>
    <w:rPr>
      <w:rFonts w:ascii="Times New Roman" w:eastAsia="Times New Roman" w:hAnsi="Times New Roman"/>
      <w:b/>
      <w:sz w:val="28"/>
    </w:rPr>
  </w:style>
  <w:style w:type="paragraph" w:customStyle="1" w:styleId="Heading2Custom">
    <w:name w:val="Heading2Custom"/>
    <w:pPr>
      <w:keepNext/>
      <w:spacing w:before="200" w:after="60"/>
    </w:pPr>
    <w:rPr>
      <w:rFonts w:ascii="Times New Roman" w:eastAsia="Times New Roman" w:hAnsi="Times New Roman"/>
      <w:b/>
      <w:sz w:val="24"/>
    </w:rPr>
  </w:style>
  <w:style w:type="character" w:styleId="LineNumber">
    <w:name w:val="line number"/>
    <w:basedOn w:val="DefaultParagraphFont"/>
    <w:uiPriority w:val="99"/>
    <w:semiHidden/>
    <w:unhideWhenUsed/>
    <w:rsid w:val="005E4827"/>
  </w:style>
  <w:style w:type="paragraph" w:styleId="NormalWeb">
    <w:name w:val="Normal (Web)"/>
    <w:basedOn w:val="Normal"/>
    <w:uiPriority w:val="99"/>
    <w:semiHidden/>
    <w:unhideWhenUsed/>
    <w:rsid w:val="00391AB2"/>
    <w:pPr>
      <w:spacing w:before="100" w:beforeAutospacing="1" w:after="100" w:afterAutospacing="1" w:line="240" w:lineRule="auto"/>
    </w:pPr>
    <w:rPr>
      <w:rFonts w:cs="Times New Roman"/>
      <w:szCs w:val="24"/>
      <w:lang w:val="nl-NL" w:eastAsia="nl-NL"/>
    </w:rPr>
  </w:style>
  <w:style w:type="character" w:customStyle="1" w:styleId="apple-converted-space">
    <w:name w:val="apple-converted-space"/>
    <w:basedOn w:val="DefaultParagraphFont"/>
    <w:rsid w:val="00E94C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A1D37-150D-4022-B697-D50D2617C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1257</Words>
  <Characters>7170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Supplementary Material - Towards personalised protein prescription in critically ill patients during metabolic stress and recovery R1</vt:lpstr>
    </vt:vector>
  </TitlesOfParts>
  <Company/>
  <LinksUpToDate>false</LinksUpToDate>
  <CharactersWithSpaces>8411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 - Towards personalised protein prescription in critically ill patients during metabolic stress and recovery R1</dc:title>
  <dc:subject>Invited Review for Critical Care collection: Personalised Metabolic and Nutritional Management</dc:subject>
  <dc:creator>Arthur R. H. van Zanten and co-authors</dc:creator>
  <cp:keywords>critical care; protein; personalised nutrition; metabolic phase; recovery</cp:keywords>
  <dc:description>generated by python-docx</dc:description>
  <cp:lastModifiedBy>Rajasree Saravanan (Integra)</cp:lastModifiedBy>
  <cp:revision>2</cp:revision>
  <dcterms:created xsi:type="dcterms:W3CDTF">2026-09-15T07:34:00Z</dcterms:created>
  <dcterms:modified xsi:type="dcterms:W3CDTF">2026-09-15T07:34:00Z</dcterms:modified>
</cp:coreProperties>
</file>