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Layout w:type="fixed"/>
        <w:tblLook w:val="04A0" w:firstRow="1" w:lastRow="0" w:firstColumn="1" w:lastColumn="0" w:noHBand="0" w:noVBand="1"/>
      </w:tblPr>
      <w:tblGrid>
        <w:gridCol w:w="1838"/>
        <w:gridCol w:w="1418"/>
        <w:gridCol w:w="1134"/>
        <w:gridCol w:w="2835"/>
        <w:gridCol w:w="3969"/>
        <w:gridCol w:w="2800"/>
      </w:tblGrid>
      <w:tr w:rsidR="00B23C01" w:rsidRPr="00135E13" w14:paraId="29702764" w14:textId="750FEE9B" w:rsidTr="005C7D6F">
        <w:trPr>
          <w:trHeight w:val="567"/>
        </w:trPr>
        <w:tc>
          <w:tcPr>
            <w:tcW w:w="1838" w:type="dxa"/>
            <w:hideMark/>
          </w:tcPr>
          <w:p w14:paraId="6F57A039" w14:textId="77777777" w:rsidR="0030122A" w:rsidRPr="00135E13" w:rsidRDefault="0030122A">
            <w:pPr>
              <w:rPr>
                <w:rFonts w:ascii="Times New Roman" w:hAnsi="Times New Roman" w:cs="Times New Roman"/>
                <w:b/>
                <w:bCs/>
                <w:sz w:val="18"/>
                <w:szCs w:val="18"/>
              </w:rPr>
            </w:pPr>
            <w:r w:rsidRPr="00135E13">
              <w:rPr>
                <w:rFonts w:ascii="Times New Roman" w:hAnsi="Times New Roman" w:cs="Times New Roman"/>
                <w:b/>
                <w:bCs/>
                <w:sz w:val="18"/>
                <w:szCs w:val="18"/>
              </w:rPr>
              <w:t>Enteral alternative</w:t>
            </w:r>
          </w:p>
        </w:tc>
        <w:tc>
          <w:tcPr>
            <w:tcW w:w="1418" w:type="dxa"/>
            <w:hideMark/>
          </w:tcPr>
          <w:p w14:paraId="0FAA96C2" w14:textId="758E9446" w:rsidR="0030122A" w:rsidRPr="00135E13" w:rsidRDefault="0030122A">
            <w:pPr>
              <w:rPr>
                <w:rFonts w:ascii="Times New Roman" w:hAnsi="Times New Roman" w:cs="Times New Roman"/>
                <w:b/>
                <w:bCs/>
                <w:sz w:val="18"/>
                <w:szCs w:val="18"/>
              </w:rPr>
            </w:pPr>
            <w:r w:rsidRPr="00135E13">
              <w:rPr>
                <w:rFonts w:ascii="Times New Roman" w:hAnsi="Times New Roman" w:cs="Times New Roman"/>
                <w:b/>
                <w:bCs/>
                <w:sz w:val="18"/>
                <w:szCs w:val="18"/>
              </w:rPr>
              <w:t>Oral bioavailability (%)</w:t>
            </w:r>
          </w:p>
        </w:tc>
        <w:tc>
          <w:tcPr>
            <w:tcW w:w="1134" w:type="dxa"/>
            <w:hideMark/>
          </w:tcPr>
          <w:p w14:paraId="1E664142" w14:textId="01A1B6B4" w:rsidR="0030122A" w:rsidRPr="00135E13" w:rsidRDefault="0030122A">
            <w:pPr>
              <w:rPr>
                <w:rFonts w:ascii="Times New Roman" w:hAnsi="Times New Roman" w:cs="Times New Roman"/>
                <w:b/>
                <w:bCs/>
                <w:sz w:val="18"/>
                <w:szCs w:val="18"/>
              </w:rPr>
            </w:pPr>
            <w:r w:rsidRPr="00135E13">
              <w:rPr>
                <w:rFonts w:ascii="Times New Roman" w:hAnsi="Times New Roman" w:cs="Times New Roman"/>
                <w:b/>
                <w:bCs/>
                <w:sz w:val="18"/>
                <w:szCs w:val="18"/>
              </w:rPr>
              <w:t>T max (hours)</w:t>
            </w:r>
          </w:p>
        </w:tc>
        <w:tc>
          <w:tcPr>
            <w:tcW w:w="2835" w:type="dxa"/>
            <w:hideMark/>
          </w:tcPr>
          <w:p w14:paraId="53E23DF8" w14:textId="3C060F18" w:rsidR="0030122A" w:rsidRPr="00135E13" w:rsidRDefault="0030122A">
            <w:pPr>
              <w:rPr>
                <w:rFonts w:ascii="Times New Roman" w:hAnsi="Times New Roman" w:cs="Times New Roman"/>
                <w:b/>
                <w:bCs/>
                <w:sz w:val="18"/>
                <w:szCs w:val="18"/>
              </w:rPr>
            </w:pPr>
            <w:r w:rsidRPr="00135E13">
              <w:rPr>
                <w:rFonts w:ascii="Times New Roman" w:hAnsi="Times New Roman" w:cs="Times New Roman"/>
                <w:b/>
                <w:bCs/>
                <w:sz w:val="18"/>
                <w:szCs w:val="18"/>
              </w:rPr>
              <w:t>Safety</w:t>
            </w:r>
            <w:r w:rsidR="0053208A" w:rsidRPr="00135E13">
              <w:rPr>
                <w:rFonts w:ascii="Times New Roman" w:hAnsi="Times New Roman" w:cs="Times New Roman"/>
                <w:b/>
                <w:bCs/>
                <w:sz w:val="18"/>
                <w:szCs w:val="18"/>
              </w:rPr>
              <w:t xml:space="preserve"> comparing with IV form</w:t>
            </w:r>
          </w:p>
        </w:tc>
        <w:tc>
          <w:tcPr>
            <w:tcW w:w="3969" w:type="dxa"/>
          </w:tcPr>
          <w:p w14:paraId="6B9BB990" w14:textId="26C2383E" w:rsidR="0030122A" w:rsidRPr="00135E13" w:rsidRDefault="0030122A">
            <w:pPr>
              <w:rPr>
                <w:rFonts w:ascii="Times New Roman" w:hAnsi="Times New Roman" w:cs="Times New Roman"/>
                <w:b/>
                <w:bCs/>
                <w:sz w:val="18"/>
                <w:szCs w:val="18"/>
                <w:lang w:val="en-GB"/>
              </w:rPr>
            </w:pPr>
            <w:r w:rsidRPr="00135E13">
              <w:rPr>
                <w:rFonts w:ascii="Times New Roman" w:hAnsi="Times New Roman" w:cs="Times New Roman"/>
                <w:b/>
                <w:bCs/>
                <w:sz w:val="18"/>
                <w:szCs w:val="18"/>
                <w:lang w:val="en-GB"/>
              </w:rPr>
              <w:t>Efficacy</w:t>
            </w:r>
            <w:r w:rsidR="0053208A" w:rsidRPr="00135E13">
              <w:rPr>
                <w:rFonts w:ascii="Times New Roman" w:hAnsi="Times New Roman" w:cs="Times New Roman"/>
                <w:b/>
                <w:bCs/>
                <w:sz w:val="18"/>
                <w:szCs w:val="18"/>
              </w:rPr>
              <w:t xml:space="preserve"> comparing with IV form</w:t>
            </w:r>
          </w:p>
        </w:tc>
        <w:tc>
          <w:tcPr>
            <w:tcW w:w="2800" w:type="dxa"/>
          </w:tcPr>
          <w:p w14:paraId="7F419515" w14:textId="2506E158" w:rsidR="0030122A" w:rsidRPr="00135E13" w:rsidRDefault="0030122A">
            <w:pPr>
              <w:rPr>
                <w:rFonts w:ascii="Times New Roman" w:hAnsi="Times New Roman" w:cs="Times New Roman"/>
                <w:b/>
                <w:bCs/>
                <w:sz w:val="18"/>
                <w:szCs w:val="18"/>
                <w:lang w:val="en-GB"/>
              </w:rPr>
            </w:pPr>
            <w:r w:rsidRPr="00135E13">
              <w:rPr>
                <w:rFonts w:ascii="Times New Roman" w:hAnsi="Times New Roman" w:cs="Times New Roman"/>
                <w:b/>
                <w:bCs/>
                <w:sz w:val="18"/>
                <w:szCs w:val="18"/>
              </w:rPr>
              <w:t>Recommendation for IV to PO switch</w:t>
            </w:r>
          </w:p>
        </w:tc>
      </w:tr>
      <w:tr w:rsidR="00CE3B37" w:rsidRPr="00135E13" w14:paraId="162E4C4F" w14:textId="120152AC" w:rsidTr="00B23C01">
        <w:trPr>
          <w:trHeight w:val="285"/>
        </w:trPr>
        <w:tc>
          <w:tcPr>
            <w:tcW w:w="13994" w:type="dxa"/>
            <w:gridSpan w:val="6"/>
            <w:noWrap/>
            <w:hideMark/>
          </w:tcPr>
          <w:p w14:paraId="57CD56B1" w14:textId="545D7C2C" w:rsidR="00CE3B37" w:rsidRPr="00135E13" w:rsidRDefault="00CE3B37" w:rsidP="00CE3B37">
            <w:pPr>
              <w:jc w:val="center"/>
              <w:rPr>
                <w:rFonts w:ascii="Times New Roman" w:hAnsi="Times New Roman" w:cs="Times New Roman"/>
                <w:sz w:val="18"/>
                <w:szCs w:val="18"/>
              </w:rPr>
            </w:pPr>
            <w:r w:rsidRPr="00135E13">
              <w:rPr>
                <w:rFonts w:ascii="Times New Roman" w:hAnsi="Times New Roman" w:cs="Times New Roman"/>
                <w:b/>
                <w:bCs/>
                <w:sz w:val="18"/>
                <w:szCs w:val="18"/>
              </w:rPr>
              <w:t>Analgesics</w:t>
            </w:r>
          </w:p>
        </w:tc>
      </w:tr>
      <w:tr w:rsidR="00B23C01" w:rsidRPr="00135E13" w14:paraId="1B40A76F" w14:textId="7B83A5B4" w:rsidTr="005C7D6F">
        <w:trPr>
          <w:trHeight w:val="285"/>
        </w:trPr>
        <w:tc>
          <w:tcPr>
            <w:tcW w:w="1838" w:type="dxa"/>
            <w:noWrap/>
            <w:hideMark/>
          </w:tcPr>
          <w:p w14:paraId="6300C8C0" w14:textId="469E5C95" w:rsidR="006B6A5F"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Acetaminophen</w:t>
            </w:r>
          </w:p>
        </w:tc>
        <w:tc>
          <w:tcPr>
            <w:tcW w:w="1418" w:type="dxa"/>
            <w:noWrap/>
            <w:hideMark/>
          </w:tcPr>
          <w:p w14:paraId="30226A48" w14:textId="6523BE58" w:rsidR="006B6A5F" w:rsidRPr="00135E13" w:rsidRDefault="00A9047C" w:rsidP="00712F12">
            <w:pPr>
              <w:rPr>
                <w:rFonts w:ascii="Times New Roman" w:hAnsi="Times New Roman" w:cs="Times New Roman"/>
                <w:sz w:val="18"/>
                <w:szCs w:val="18"/>
              </w:rPr>
            </w:pPr>
            <w:r>
              <w:rPr>
                <w:rFonts w:ascii="Times New Roman" w:hAnsi="Times New Roman" w:cs="Times New Roman"/>
                <w:sz w:val="18"/>
                <w:szCs w:val="18"/>
              </w:rPr>
              <w:t>63-89</w:t>
            </w:r>
          </w:p>
        </w:tc>
        <w:tc>
          <w:tcPr>
            <w:tcW w:w="1134" w:type="dxa"/>
            <w:noWrap/>
            <w:hideMark/>
          </w:tcPr>
          <w:p w14:paraId="335421A7" w14:textId="48049C68" w:rsidR="006B6A5F"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 xml:space="preserve">0.5-1 </w:t>
            </w:r>
          </w:p>
        </w:tc>
        <w:tc>
          <w:tcPr>
            <w:tcW w:w="2835" w:type="dxa"/>
            <w:noWrap/>
            <w:hideMark/>
          </w:tcPr>
          <w:p w14:paraId="3D9BC0CF" w14:textId="695426E0" w:rsidR="006B6A5F"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 xml:space="preserve">IV form associated with higher incidence of hypotension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{"citationID":"3V9Z8dD6","properties":{"formattedCitation":"[1]","plainCitation":"[1]","noteIndex":0},"citationItems":[{"id":"RKg9lF5b/dkmXvPbM","uris":["http://zotero.org/users/8889971/items/DD5TT3TH"],"itemData":{"id":3939,"type":"article-journal","abstract":"OBJECTIVES: We sought to assess the incidence of acetaminophen-induced hypotension. Our secondary objectives were to describe systemic hemodynamic changes and factors associated with this complication.\nDESIGN: Prospective observational study.\nSETTING: Three ICUs.\nPATIENTS: Adult patients requiring IV acetaminophen infusion. Arterial pressure was monitored via an arterial catheter for 3 hours. Hypotension was defined as a decrease in the mean arterial pressure of greater than or equal to 15% compared with the baseline.\nRESULTS: Overall, 160 patients were included in this study. Eighty-three patients (51.9%) experienced acetaminophen-induced hypotension according to our definition. In patients with acetaminophen-induced hypotension, the nadir mean arterial pressure was 64 mm Hg (95% CI, 54-74). Hypotension was observed 30 minutes (95% CI, 15-71) after acetaminophen infusion. Changes in mean arterial pressure were closely correlated with decreases in the diastolic arterial pressure (r = 0.92) and to a lesser extent with changes in the pulse pressure (r = 0.18) and heart rate (r = 0.09). Changes in the body temperature were not correlated with changes in mean arterial pressure (r = 0.0002; p = 0.85). None of the patients' baseline characteristics (shock, use of angiotensin-converting enzyme inhibitor/angiotensin II receptor blockers, lactates, renal replacement therapy, chronic heart disease, and indication for acetaminophen infusion) or clinically relevant characteristics (baseline severity according to Logistic Organ Dysfunction score, need for vasopressors, use of antihypertensive agents, need for mechanical ventilation, or changes in the body temperature) were independently associated with acetaminophen-induced hypotension. Among patients with acetaminophen-induced hypotension, 29 (34.9%) required therapeutic intervention.\nCONCLUSIONS: Half of the patients who received IV injections of acetaminophen developed hypotension, and up to one third of the observed episodes necessitated therapeutic intervention. Adequately powered randomized studies are needed to confirm our findings, provide an accurate estimation of the consequences of acetaminophen-induced hypotension, and assess the pathophysiologic mechanisms involved.","container-title":"Critical Care Medicine","DOI":"10.1097/CCM.0000000000001954","ISSN":"1530-0293","issue":"12","journalAbbreviation":"Crit Care Med","language":"eng","page":"2192-2198","PMID":"27414476","source":"PubMed","title":"Acetaminophen-Induced Changes in Systemic Blood Pressure in Critically Ill Patients: Results of a Multicenter Cohort Study","title-short":"Acetaminophen-Induced Changes in Systemic Blood Pressure in Critically Ill Patients","volume":"44","author":[{"family":"Cantais","given":"Aymeric"},{"family":"Schnell","given":"David"},{"family":"Vincent","given":"François"},{"family":"Hammouda","given":"Zeineb"},{"family":"Perinel","given":"Sophie"},{"family":"Balichard","given":"Sarah"},{"family":"Abroug","given":"Fekri"},{"family":"Zeni","given":"Fabrice"},{"family":"Meziani","given":"Ferhat"},{"family":"Bornstain","given":"Caroline"},{"family":"Darmon","given":"Michael"}],"issued":{"date-parts":[["2016",12]]}}}],"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18"/>
              </w:rPr>
              <w:t>[1]</w:t>
            </w:r>
            <w:r w:rsidRPr="00135E13">
              <w:rPr>
                <w:rFonts w:ascii="Times New Roman" w:hAnsi="Times New Roman" w:cs="Times New Roman"/>
                <w:sz w:val="18"/>
                <w:szCs w:val="18"/>
              </w:rPr>
              <w:fldChar w:fldCharType="end"/>
            </w:r>
          </w:p>
        </w:tc>
        <w:tc>
          <w:tcPr>
            <w:tcW w:w="3969" w:type="dxa"/>
            <w:shd w:val="clear" w:color="auto" w:fill="FFFFFF" w:themeFill="background1"/>
          </w:tcPr>
          <w:p w14:paraId="00265A80" w14:textId="11221EE7" w:rsidR="006B6A5F"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 xml:space="preserve">Comparable analgesic and antipyretic effects in critically ill patients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{"citationID":"qLBqGXMe","properties":{"formattedCitation":"[2]","plainCitation":"[2]","noteIndex":0},"citationItems":[{"id":"RKg9lF5b/s1SFCd7o","uris":["http://zotero.org/users/8889971/items/CZG457JK"],"itemData":{"id":3852,"type":"article-journal","abstract":"Paracetamol (acetaminophen) is an extensively used analgesic for acute and chronic pain management. Currently, paracetamol is manufactured for oral, rectal, and intravenous (IV) use. Research has shown varied results on the analgesic properties of IV paracetamol compared to oral and rectal paracetamol; however, research on the same doses of paracetamol is limited. Therefore, this review was constructed to explore the analgesic properties of IV paracetamol compared with oral and rectal paracetamol administered in equivalent doses. A broad and thorough literature search was performed on five electronic databases, including PubMed, ScienceDirect, Medline, Scopus, and Google Scholar. Statistical analysis of all outcomes in our review was then performed using the Review Manager software. Outcomes were categorized as primary (pain relief and time to request rescue analgesia) and secondary (adverse events after analgesia). An extensive quality appraisal was also done using the Review Manager software's Cochrane risk of bias tool. The literature survey yielded 2,945 articles, of which 12 were used for review and analysis. The pooled analysis for patients undergoing surgical procedures showed that IV paracetamol had statistically similar postoperative pain scores at two (mean difference (MD) = -0.14; 95% confidence interval (CI) -0.58-0.29; p = 0.51), 24 (MD = 0.09; 95% CI = -0.02-0.21; p = 0.12), and 48 (MD = 0.04; 95% CI = -0.08-0.16; p = 0.52) hours as oral paracetamol. Similarly, the data on time to rescue analgesia showed no considerable difference between the IV and oral paracetamol groups (MD = -1.58; 95% CI = -5.51-2.35; p = 0.43). On the other hand, the pooled analysis for patients presenting non-surgical acute pain showed no significant difference in the mean pain scores between patients treated with IV and oral paracetamol (MD = -0.35; 95% CI = -2.19-1.48; p = 0.71). Furthermore, a subgroup analysis of analgesia-related adverse events showed that the incidences of vomiting/nausea and pruritus did not differ between patients receiving IV and oral paracetamol (odds ratio (OR) = 0.71; 95% CI = 0.45-1.11; p = 0.13 and OR = 0.48; 95% CI = 0.18-1.29; p = 0.05, respectively). A review of information from two trials comparing equal doses of IV and rectal paracetamol suggested that the postoperative pain scores were statistically similar between the groups. IV paracetamol is not superior to oral or rectal paracetamol administered in equal doses. Therefore, we cannot recommend or refute IV paracetamol as the first-line analgesia for acute and postoperative pain.","container-title":"Cureus","DOI":"10.7759/cureus.41876","ISSN":"2168-8184","issue":"7","journalAbbreviation":"Cureus","language":"eng","page":"e41876","PMID":"37581156","PMCID":"PMC10423591","source":"PubMed","title":"Unlocking the Optimal Analgesic Potential: A Systematic Review and Meta-Analysis Comparing Intravenous, Oral, and Rectal Paracetamol in Equivalent Doses","title-short":"Unlocking the Optimal Analgesic Potential","volume":"15","author":[{"family":"Ibrahim","given":"Tarek"},{"family":"Gebril","given":"Amr"},{"family":"Nasr","given":"Mohammed K."},{"family":"Samad","given":"Abdul"},{"family":"Zaki","given":"Hany A."}],"issued":{"date-parts":[["2023",7]]}}}],"schema":"https://github.com/citation-style-language/schema/raw/master/csl-citation.json"}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18"/>
              </w:rPr>
              <w:t>[2]</w:t>
            </w:r>
            <w:r w:rsidRPr="00135E13">
              <w:rPr>
                <w:rFonts w:ascii="Times New Roman" w:hAnsi="Times New Roman" w:cs="Times New Roman"/>
                <w:sz w:val="18"/>
                <w:szCs w:val="18"/>
              </w:rPr>
              <w:fldChar w:fldCharType="end"/>
            </w:r>
          </w:p>
        </w:tc>
        <w:tc>
          <w:tcPr>
            <w:tcW w:w="2800" w:type="dxa"/>
            <w:vMerge w:val="restart"/>
            <w:shd w:val="clear" w:color="auto" w:fill="C5E0B3" w:themeFill="accent6" w:themeFillTint="66"/>
          </w:tcPr>
          <w:p w14:paraId="0F6B2E41" w14:textId="77777777" w:rsidR="006B6A5F" w:rsidRPr="00135E13" w:rsidRDefault="006B6A5F">
            <w:pPr>
              <w:rPr>
                <w:rFonts w:ascii="Times New Roman" w:hAnsi="Times New Roman" w:cs="Times New Roman"/>
                <w:sz w:val="18"/>
                <w:szCs w:val="18"/>
              </w:rPr>
            </w:pPr>
          </w:p>
          <w:p w14:paraId="541A9A89" w14:textId="77777777" w:rsidR="006B6A5F" w:rsidRPr="00135E13" w:rsidRDefault="006B6A5F">
            <w:pPr>
              <w:rPr>
                <w:rFonts w:ascii="Times New Roman" w:hAnsi="Times New Roman" w:cs="Times New Roman"/>
                <w:sz w:val="18"/>
                <w:szCs w:val="18"/>
              </w:rPr>
            </w:pPr>
          </w:p>
          <w:p w14:paraId="00671502" w14:textId="77777777" w:rsidR="006B6A5F" w:rsidRPr="00135E13" w:rsidRDefault="006B6A5F">
            <w:pPr>
              <w:rPr>
                <w:rFonts w:ascii="Times New Roman" w:hAnsi="Times New Roman" w:cs="Times New Roman"/>
                <w:sz w:val="18"/>
                <w:szCs w:val="18"/>
              </w:rPr>
            </w:pPr>
          </w:p>
          <w:p w14:paraId="51ED13D6" w14:textId="77777777" w:rsidR="006B6A5F" w:rsidRPr="00135E13" w:rsidRDefault="006B6A5F">
            <w:pPr>
              <w:rPr>
                <w:rFonts w:ascii="Times New Roman" w:hAnsi="Times New Roman" w:cs="Times New Roman"/>
                <w:sz w:val="18"/>
                <w:szCs w:val="18"/>
              </w:rPr>
            </w:pPr>
          </w:p>
          <w:p w14:paraId="304FE3F6" w14:textId="77777777" w:rsidR="006B6A5F" w:rsidRPr="00135E13" w:rsidRDefault="006B6A5F">
            <w:pPr>
              <w:rPr>
                <w:rFonts w:ascii="Times New Roman" w:hAnsi="Times New Roman" w:cs="Times New Roman"/>
                <w:sz w:val="18"/>
                <w:szCs w:val="18"/>
              </w:rPr>
            </w:pPr>
          </w:p>
          <w:p w14:paraId="4252CB53" w14:textId="0F1EEBFC" w:rsidR="006B6A5F"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 xml:space="preserve">Except in </w:t>
            </w:r>
            <w:r w:rsidRPr="00135E13">
              <w:rPr>
                <w:rFonts w:ascii="Times New Roman" w:hAnsi="Times New Roman" w:cs="Times New Roman"/>
                <w:sz w:val="18"/>
                <w:szCs w:val="18"/>
                <w:lang w:val="en-GB"/>
              </w:rPr>
              <w:t>severe pain requiring rapid titration</w:t>
            </w:r>
          </w:p>
          <w:p w14:paraId="0478EFB1" w14:textId="65ACC155" w:rsidR="006B6A5F" w:rsidRPr="00135E13" w:rsidRDefault="006B6A5F" w:rsidP="00BF1C56">
            <w:pPr>
              <w:rPr>
                <w:rFonts w:ascii="Times New Roman" w:hAnsi="Times New Roman" w:cs="Times New Roman"/>
                <w:sz w:val="18"/>
                <w:szCs w:val="18"/>
              </w:rPr>
            </w:pPr>
          </w:p>
        </w:tc>
      </w:tr>
      <w:tr w:rsidR="00B23C01" w:rsidRPr="00135E13" w14:paraId="09C4B071" w14:textId="2E90122C" w:rsidTr="005C7D6F">
        <w:trPr>
          <w:trHeight w:val="285"/>
        </w:trPr>
        <w:tc>
          <w:tcPr>
            <w:tcW w:w="1838" w:type="dxa"/>
            <w:noWrap/>
            <w:hideMark/>
          </w:tcPr>
          <w:p w14:paraId="40FDC312" w14:textId="7C6BAEC0" w:rsidR="006B6A5F"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Ibuprofen</w:t>
            </w:r>
          </w:p>
        </w:tc>
        <w:tc>
          <w:tcPr>
            <w:tcW w:w="1418" w:type="dxa"/>
            <w:noWrap/>
            <w:hideMark/>
          </w:tcPr>
          <w:p w14:paraId="623161E1" w14:textId="71A22CD1" w:rsidR="006B6A5F" w:rsidRPr="00135E13" w:rsidRDefault="00A9047C">
            <w:pPr>
              <w:rPr>
                <w:rFonts w:ascii="Times New Roman" w:hAnsi="Times New Roman" w:cs="Times New Roman"/>
                <w:sz w:val="18"/>
                <w:szCs w:val="18"/>
              </w:rPr>
            </w:pPr>
            <w:r>
              <w:rPr>
                <w:rFonts w:ascii="Times New Roman" w:hAnsi="Times New Roman" w:cs="Times New Roman"/>
                <w:sz w:val="18"/>
                <w:szCs w:val="18"/>
              </w:rPr>
              <w:t>80-100</w:t>
            </w:r>
            <w:r w:rsidR="006B6A5F" w:rsidRPr="00135E13">
              <w:rPr>
                <w:rFonts w:ascii="Times New Roman" w:hAnsi="Times New Roman" w:cs="Times New Roman"/>
                <w:sz w:val="18"/>
                <w:szCs w:val="18"/>
              </w:rPr>
              <w:t xml:space="preserve"> </w:t>
            </w:r>
            <w:r w:rsidR="006B6A5F"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{"citationID":"aRx484Uw","properties":{"formattedCitation":"[3]","plainCitation":"[3]","noteIndex":0},"citationItems":[{"id":"RKg9lF5b/ARlo3Fup","uris":["http://zotero.org/users/8889971/items/4Y9UT5QE"],"itemData":{"id":4219,"type":"article-journal","abstract":"BACKGROUND: This phase I study was designed to determine the bioavailability and bioequivalence of 400 mg Eudorlin extra* (Ibuprofen) in comparison to two reference formulations (400 mg Nurofen forte and 400 mg Migränin after single dose administration under fasting conditions in healthy subjects. Therefore the design of a randomized, open label, multiple sequence cross-over study with a wash-out period of 7-10 days was used.\nRESULTS: AUC(0-t)(last) and AUC(0-infinity) (90%CI) were within the 80 to 125% interval required for bioequivalence as stipulated in the current regulations of the EMEA. Cmax (90%CI) was within the EMEA acceptance range of 75 to 133%. Detailed analyses showed that Cmax of Eudorlin extra was higher than that of Nurofen forte (36.62 vs. 32.92 microg/ml; p = 0.0014) and that of Migränin (35.94 vs. 30.87 microg/ml; p &lt; 0.0001). The time to maximum plasma concentration (tmax) was shorter with Eudorlin extra than with Nurofen forte (1.14 vs. 1.82 h; p &lt; 0.0001) and Migränin (1.13 vs. 1.78 h; p = 0.0031). Only 1 patient experienced an adverse with possible relation to the study drug taking Migränin.\nCONCLUSION: It is concluded that Eudorlin extra is bioequivalent to the two reference preparations Nurofen forte and Migränin for both, the extent and the rate of absorption, after single dose administration in healthy volunteers according to the guidance of the EMEA. Within this frame, peak plasma concentrations are however reached earlier and peaks are higher compared to the reference products. * Eudorlin extra may have different brand names in different countries.","container-title":"BMC pharmacology","DOI":"10.1186/1471-2210-8-18","ISSN":"1471-2210","journalAbbreviation":"BMC Pharmacol","language":"eng","page":"18","PMID":"18959779","PMCID":"PMC2613135","source":"PubMed","title":"Bioequivalence study of three ibuprofen formulations after single dose administration in healthy volunteers","volume":"8","author":[{"family":"Bramlage","given":"Peter"},{"family":"Goldis","given":"Adrian"}],"issued":{"date-parts":[["2008",10,29]]}}}],"schema":"https://github.com/citation-style-language/schema/raw/master/csl-citation.json"} </w:instrText>
            </w:r>
            <w:r w:rsidR="006B6A5F" w:rsidRPr="00135E13">
              <w:rPr>
                <w:rFonts w:ascii="Times New Roman" w:hAnsi="Times New Roman" w:cs="Times New Roman"/>
                <w:sz w:val="18"/>
                <w:szCs w:val="18"/>
              </w:rPr>
              <w:fldChar w:fldCharType="separate"/>
            </w:r>
            <w:r w:rsidR="006B6A5F" w:rsidRPr="00135E13">
              <w:rPr>
                <w:rFonts w:ascii="Times New Roman" w:hAnsi="Times New Roman" w:cs="Times New Roman"/>
                <w:sz w:val="18"/>
                <w:szCs w:val="21"/>
              </w:rPr>
              <w:t>[3]</w:t>
            </w:r>
            <w:r w:rsidR="006B6A5F" w:rsidRPr="00135E13">
              <w:rPr>
                <w:rFonts w:ascii="Times New Roman" w:hAnsi="Times New Roman" w:cs="Times New Roman"/>
                <w:sz w:val="18"/>
                <w:szCs w:val="18"/>
              </w:rPr>
              <w:fldChar w:fldCharType="end"/>
            </w:r>
          </w:p>
        </w:tc>
        <w:tc>
          <w:tcPr>
            <w:tcW w:w="1134" w:type="dxa"/>
            <w:noWrap/>
            <w:hideMark/>
          </w:tcPr>
          <w:p w14:paraId="1B84D480" w14:textId="507B6392" w:rsidR="006B6A5F"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 xml:space="preserve">1.5 </w:t>
            </w:r>
          </w:p>
        </w:tc>
        <w:tc>
          <w:tcPr>
            <w:tcW w:w="2835" w:type="dxa"/>
            <w:noWrap/>
            <w:hideMark/>
          </w:tcPr>
          <w:p w14:paraId="51D8EB38" w14:textId="5FB2C2E7" w:rsidR="006B6A5F" w:rsidRPr="00135E13" w:rsidRDefault="006B6A5F">
            <w:pPr>
              <w:rPr>
                <w:rFonts w:ascii="Times New Roman" w:hAnsi="Times New Roman" w:cs="Times New Roman"/>
                <w:sz w:val="18"/>
                <w:szCs w:val="18"/>
              </w:rPr>
            </w:pPr>
            <w:r w:rsidRPr="00135E13">
              <w:rPr>
                <w:rFonts w:ascii="Times New Roman" w:hAnsi="Times New Roman" w:cs="Times New Roman"/>
                <w:color w:val="212121"/>
                <w:sz w:val="18"/>
                <w:szCs w:val="18"/>
                <w:shd w:val="clear" w:color="auto" w:fill="FFFFFF"/>
              </w:rPr>
              <w:t>Comparable</w:t>
            </w:r>
          </w:p>
        </w:tc>
        <w:tc>
          <w:tcPr>
            <w:tcW w:w="3969" w:type="dxa"/>
            <w:shd w:val="clear" w:color="auto" w:fill="FFFFFF" w:themeFill="background1"/>
          </w:tcPr>
          <w:p w14:paraId="4540150E" w14:textId="34E94141" w:rsidR="006B6A5F" w:rsidRPr="00135E13" w:rsidRDefault="006B6A5F" w:rsidP="00BF1C56">
            <w:pPr>
              <w:rPr>
                <w:rFonts w:ascii="Times New Roman" w:hAnsi="Times New Roman" w:cs="Times New Roman"/>
                <w:sz w:val="18"/>
                <w:szCs w:val="18"/>
              </w:rPr>
            </w:pPr>
            <w:r w:rsidRPr="00135E13">
              <w:rPr>
                <w:rFonts w:ascii="Times New Roman" w:hAnsi="Times New Roman" w:cs="Times New Roman"/>
                <w:sz w:val="18"/>
                <w:szCs w:val="18"/>
                <w:lang w:val="en-GB"/>
              </w:rPr>
              <w:t xml:space="preserve">Enhances Recovery After Surgery guidelines recommend the oral rather than IV route for NSAIDs </w:t>
            </w:r>
            <w:r w:rsidRPr="00135E13">
              <w:rPr>
                <w:rFonts w:ascii="Times New Roman" w:hAnsi="Times New Roman" w:cs="Times New Roman"/>
                <w:sz w:val="18"/>
                <w:szCs w:val="18"/>
                <w:lang w:val="en-GB"/>
              </w:rPr>
              <w:fldChar w:fldCharType="begin"/>
            </w:r>
            <w:r w:rsidR="00F4471E">
              <w:rPr>
                <w:rFonts w:ascii="Times New Roman" w:hAnsi="Times New Roman" w:cs="Times New Roman"/>
                <w:sz w:val="18"/>
                <w:szCs w:val="18"/>
                <w:lang w:val="en-GB"/>
              </w:rPr>
              <w:instrText xml:space="preserve"> ADDIN ZOTERO_ITEM CSL_CITATION {"citationID":"BR9jZPS2","properties":{"formattedCitation":"[4]","plainCitation":"[4]","noteIndex":0},"citationItems":[{"id":"RKg9lF5b/OvNNBs5m","uris":["http://zotero.org/users/8889971/items/IKSHH5ZN"],"itemData":{"id":3854,"type":"article-journal","abstract":"Perioperative multimodal analgesia uses combinations of analgesic medications that act on different sites and pathways in an additive or synergistic manner to achieve pain relief with minimal or no opiate consumption. Although all medications have side effects, opiates have particularly concerning, multisystemic, long-term, and short-term side effects, which increase morbidity and prolong admissions. Enhanced recovery is a systematic process addressing each aspect affecting recovery. This article outlines the evidence base forming the current multimodal analgesia recommendations made by the Enhanced Recovery After Surgery Society (ERAS). We describe current evidence and important future directions for effective perioperative multimodal analgesia in enhanced recovery pathways.","container-title":"Anesthesiology Clinics","DOI":"10.1016/j.anclin.2017.01.018","ISSN":"1932-2275","issue":"2","journalAbbreviation":"Anesthesiol Clin","language":"eng","page":"e115-e143","PMID":"28526156","source":"PubMed","title":"Essential Elements of Multimodal Analgesia in Enhanced Recovery After Surgery (ERAS) Guidelines","volume":"35","author":[{"family":"Beverly","given":"Anair"},{"family":"Kaye","given":"Alan D."},{"family":"Ljungqvist","given":"Olle"},{"family":"Urman","given":"Richard D."}],"issued":{"date-parts":[["2017",6]]}}}],"schema":"https://github.com/citation-style-language/schema/raw/master/csl-citation.json"} </w:instrText>
            </w:r>
            <w:r w:rsidRPr="00135E13">
              <w:rPr>
                <w:rFonts w:ascii="Times New Roman" w:hAnsi="Times New Roman" w:cs="Times New Roman"/>
                <w:sz w:val="18"/>
                <w:szCs w:val="18"/>
                <w:lang w:val="en-GB"/>
              </w:rPr>
              <w:fldChar w:fldCharType="separate"/>
            </w:r>
            <w:r w:rsidRPr="00135E13">
              <w:rPr>
                <w:rFonts w:ascii="Times New Roman" w:hAnsi="Times New Roman" w:cs="Times New Roman"/>
                <w:sz w:val="18"/>
                <w:szCs w:val="21"/>
              </w:rPr>
              <w:t>[4]</w:t>
            </w:r>
            <w:r w:rsidRPr="00135E13">
              <w:rPr>
                <w:rFonts w:ascii="Times New Roman" w:hAnsi="Times New Roman" w:cs="Times New Roman"/>
                <w:sz w:val="18"/>
                <w:szCs w:val="18"/>
                <w:lang w:val="en-GB"/>
              </w:rPr>
              <w:fldChar w:fldCharType="end"/>
            </w:r>
          </w:p>
        </w:tc>
        <w:tc>
          <w:tcPr>
            <w:tcW w:w="2800" w:type="dxa"/>
            <w:vMerge/>
            <w:shd w:val="clear" w:color="auto" w:fill="C5E0B3" w:themeFill="accent6" w:themeFillTint="66"/>
          </w:tcPr>
          <w:p w14:paraId="6815F6A7" w14:textId="5A6A90C1" w:rsidR="006B6A5F" w:rsidRPr="00135E13" w:rsidRDefault="006B6A5F" w:rsidP="00BF1C56">
            <w:pPr>
              <w:rPr>
                <w:rFonts w:ascii="Times New Roman" w:hAnsi="Times New Roman" w:cs="Times New Roman"/>
                <w:sz w:val="18"/>
                <w:szCs w:val="18"/>
              </w:rPr>
            </w:pPr>
          </w:p>
        </w:tc>
      </w:tr>
      <w:tr w:rsidR="00B23C01" w:rsidRPr="00135E13" w14:paraId="0CFC7989" w14:textId="2DA44840" w:rsidTr="005C7D6F">
        <w:trPr>
          <w:trHeight w:val="285"/>
        </w:trPr>
        <w:tc>
          <w:tcPr>
            <w:tcW w:w="1838" w:type="dxa"/>
            <w:noWrap/>
            <w:hideMark/>
          </w:tcPr>
          <w:p w14:paraId="0F00F7AE" w14:textId="342EBE7D" w:rsidR="006B6A5F"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 xml:space="preserve">Nefopam </w:t>
            </w:r>
          </w:p>
        </w:tc>
        <w:tc>
          <w:tcPr>
            <w:tcW w:w="1418" w:type="dxa"/>
            <w:noWrap/>
            <w:hideMark/>
          </w:tcPr>
          <w:p w14:paraId="332A89A1" w14:textId="23D261FD" w:rsidR="006B6A5F"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 xml:space="preserve">36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{"citationID":"VWsiovxV","properties":{"formattedCitation":"[5]","plainCitation":"[5]","noteIndex":0},"citationItems":[{"id":"RKg9lF5b/8yyv59NV","uris":["http://zotero.org/users/8889971/items/VZHU59IN"],"itemData":{"id":4218,"type":"article-journal","abstract":"To determine the pharmacokinetic, subjective effects of a single 20 mg dose of nefopam administered either intravenously or orally in healthy volunteers, twenty-four healthy Caucasian men received 20 mg nefopam orally+placebo intravenous infusion and placebo orally+intravenous infusion of 20 mg nefopam with one week interval, in a double-blind, double-dummy cross-over study. Nefopam and desmethyl-nefopam plasma concentrations were measured by HPLC with UV detection up to 48 hr after drug administration. Self-rating questionnaires (Mood and vigilance Visual Analogue Scales, Addiction Research Centre Inventory) and drug safety were investigated. The F value (bioavailability) of the parent drug was 0.36+/-0.13. The AUCoral/AUCiv ratio of nefopam+desmethyl-nefopam was 0.62+/-0.23. The half-life of nefopam was similar whether administered orally (5.1+/-1.3 hr) or intravenously (5.1+/-0.6 hr). The half-life of desmethyl-nefopam was two to three times longer than that of the parent molecule (orally: 10.6+/-3.0 versus 5.1+/-1.3 hr, P&lt;10(-4) and intravenously: 15.0+/-2.4 versus 5.1+/-0.6 hr, P&lt;10(-4)). As assessed by the Addiction Research Centre Inventory, no evidence of abuse liability in healthy, drug-naive volunteers was observed. On visual analogue scales, volunteers rated themselves as more drowsy, less alert, less energetic and less anxious after oral compared to intravenous administration. The AUC0--&gt;24 hr of anxiety and energy parameters were not different after oral and intravenous administration: 90+/-142 versus 35+/-84 (P=0.27) and 66+/-74 versus 46+/-54 mm x hr (P=0.36), respectively. The AUC0--&gt;24 hr of drowsiness and alertness parameters were significantly greater after oral than after intravenous administration: 68+/-65 versus 27+/-30 (P=0.005) and 54+/-63 versus 28+/-48 mm x hr (P=0.03), respectively. A clockwise hysteresis loop was observed for drowsiness in 16 out of 24 volunteers after oral administration. The results suggest that in healthy volunteers desmethyl-nefopam may contribute to the pharmacodynamic effects of single dose nefopam solution administered orally. This study shows a rather low bioavailability of nefopam given in intravenous solution when administered orally. Nevertheless, when the main metabolite desmethyl-nefopam is taken into account, the ratio of the areas under the curves is almost doubled.","container-title":"Pharmacology &amp; Toxicology","DOI":"10.1034/j.1600-0773.2003.920605.x","ISSN":"0901-9928","issue":"6","journalAbbreviation":"Pharmacol Toxicol","language":"eng","page":"279-286","PMID":"12787260","source":"PubMed","title":"Comparative pharmacokinetics and pharmacodynamics of intravenous and oral nefopam in healthy volunteers","volume":"92","author":[{"family":"Aymard","given":"Guy"},{"family":"Warot","given":"Dominique"},{"family":"Démolis","given":"Pierre"},{"family":"Giudicelli","given":"Jean François"},{"family":"Lechat","given":"Philippe"},{"family":"Le Guern","given":"Marie Emmanuelle"},{"family":"Alquier","given":"Christine"},{"family":"Diquet","given":"Bertrand"}],"issued":{"date-parts":[["2003",6]]}}}],"schema":"https://github.com/citation-style-language/schema/raw/master/csl-citation.json"}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[5]</w:t>
            </w:r>
            <w:r w:rsidRPr="00135E13">
              <w:rPr>
                <w:rFonts w:ascii="Times New Roman" w:hAnsi="Times New Roman" w:cs="Times New Roman"/>
                <w:sz w:val="18"/>
                <w:szCs w:val="18"/>
              </w:rPr>
              <w:fldChar w:fldCharType="end"/>
            </w:r>
          </w:p>
        </w:tc>
        <w:tc>
          <w:tcPr>
            <w:tcW w:w="1134" w:type="dxa"/>
            <w:noWrap/>
            <w:hideMark/>
          </w:tcPr>
          <w:p w14:paraId="01EEC0E8" w14:textId="73F11D1E" w:rsidR="006B6A5F"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 xml:space="preserve">0.5-1 </w:t>
            </w:r>
          </w:p>
        </w:tc>
        <w:tc>
          <w:tcPr>
            <w:tcW w:w="2835" w:type="dxa"/>
            <w:noWrap/>
            <w:hideMark/>
          </w:tcPr>
          <w:p w14:paraId="3F6B2879" w14:textId="2A9D1E4F" w:rsidR="006B6A5F" w:rsidRPr="00135E13" w:rsidRDefault="006B6A5F">
            <w:pPr>
              <w:rPr>
                <w:rFonts w:ascii="Times New Roman" w:hAnsi="Times New Roman" w:cs="Times New Roman"/>
                <w:sz w:val="18"/>
                <w:szCs w:val="18"/>
              </w:rPr>
            </w:pPr>
            <w:r w:rsidRPr="00135E13">
              <w:rPr>
                <w:rFonts w:ascii="Times New Roman" w:hAnsi="Times New Roman" w:cs="Times New Roman"/>
                <w:color w:val="212121"/>
                <w:sz w:val="18"/>
                <w:szCs w:val="18"/>
                <w:shd w:val="clear" w:color="auto" w:fill="FFFFFF"/>
              </w:rPr>
              <w:t>Comparable</w:t>
            </w:r>
          </w:p>
        </w:tc>
        <w:tc>
          <w:tcPr>
            <w:tcW w:w="3969" w:type="dxa"/>
            <w:shd w:val="clear" w:color="auto" w:fill="FFFFFF" w:themeFill="background1"/>
          </w:tcPr>
          <w:p w14:paraId="0141DDF0" w14:textId="11B60782" w:rsidR="006B6A5F" w:rsidRPr="00135E13" w:rsidRDefault="006B6A5F" w:rsidP="00BF1C56">
            <w:pPr>
              <w:rPr>
                <w:rFonts w:ascii="Times New Roman" w:hAnsi="Times New Roman" w:cs="Times New Roman"/>
                <w:sz w:val="18"/>
                <w:szCs w:val="18"/>
              </w:rPr>
            </w:pPr>
            <w:r w:rsidRPr="00135E13">
              <w:rPr>
                <w:rFonts w:ascii="Times New Roman" w:hAnsi="Times New Roman" w:cs="Times New Roman"/>
                <w:sz w:val="18"/>
                <w:szCs w:val="18"/>
              </w:rPr>
              <w:t>No evidence of IV superiority</w:t>
            </w:r>
          </w:p>
        </w:tc>
        <w:tc>
          <w:tcPr>
            <w:tcW w:w="2800" w:type="dxa"/>
            <w:vMerge/>
            <w:shd w:val="clear" w:color="auto" w:fill="C5E0B3" w:themeFill="accent6" w:themeFillTint="66"/>
          </w:tcPr>
          <w:p w14:paraId="12748217" w14:textId="04948F78" w:rsidR="006B6A5F" w:rsidRPr="00135E13" w:rsidRDefault="006B6A5F" w:rsidP="00BF1C56">
            <w:pPr>
              <w:rPr>
                <w:rFonts w:ascii="Times New Roman" w:hAnsi="Times New Roman" w:cs="Times New Roman"/>
                <w:sz w:val="18"/>
                <w:szCs w:val="18"/>
              </w:rPr>
            </w:pPr>
          </w:p>
        </w:tc>
      </w:tr>
      <w:tr w:rsidR="00B23C01" w:rsidRPr="00135E13" w14:paraId="19150E49" w14:textId="1AAF60BC" w:rsidTr="005C7D6F">
        <w:trPr>
          <w:trHeight w:val="285"/>
        </w:trPr>
        <w:tc>
          <w:tcPr>
            <w:tcW w:w="1838" w:type="dxa"/>
            <w:noWrap/>
            <w:hideMark/>
          </w:tcPr>
          <w:p w14:paraId="465D7152" w14:textId="7AAC2DA7" w:rsidR="006B6A5F"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Tramadol</w:t>
            </w:r>
          </w:p>
        </w:tc>
        <w:tc>
          <w:tcPr>
            <w:tcW w:w="1418" w:type="dxa"/>
            <w:noWrap/>
            <w:hideMark/>
          </w:tcPr>
          <w:p w14:paraId="09D13F3E" w14:textId="4418F5FA" w:rsidR="006B6A5F"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70-90</w:t>
            </w:r>
          </w:p>
        </w:tc>
        <w:tc>
          <w:tcPr>
            <w:tcW w:w="1134" w:type="dxa"/>
            <w:noWrap/>
            <w:hideMark/>
          </w:tcPr>
          <w:p w14:paraId="3B73E8F1" w14:textId="03F6F1DA" w:rsidR="006B6A5F"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 xml:space="preserve">2 </w:t>
            </w:r>
          </w:p>
        </w:tc>
        <w:tc>
          <w:tcPr>
            <w:tcW w:w="2835" w:type="dxa"/>
            <w:noWrap/>
            <w:hideMark/>
          </w:tcPr>
          <w:p w14:paraId="68BC40F6" w14:textId="6A5DD9F6" w:rsidR="006B6A5F" w:rsidRPr="00135E13" w:rsidRDefault="006B6A5F">
            <w:pPr>
              <w:rPr>
                <w:rFonts w:ascii="Times New Roman" w:hAnsi="Times New Roman" w:cs="Times New Roman"/>
                <w:sz w:val="18"/>
                <w:szCs w:val="18"/>
              </w:rPr>
            </w:pPr>
            <w:r w:rsidRPr="00135E13">
              <w:rPr>
                <w:rFonts w:ascii="Times New Roman" w:hAnsi="Times New Roman" w:cs="Times New Roman"/>
                <w:color w:val="212121"/>
                <w:sz w:val="18"/>
                <w:szCs w:val="18"/>
                <w:shd w:val="clear" w:color="auto" w:fill="FFFFFF"/>
              </w:rPr>
              <w:t xml:space="preserve">Comparable </w:t>
            </w:r>
          </w:p>
        </w:tc>
        <w:tc>
          <w:tcPr>
            <w:tcW w:w="3969" w:type="dxa"/>
            <w:shd w:val="clear" w:color="auto" w:fill="FFFFFF" w:themeFill="background1"/>
          </w:tcPr>
          <w:p w14:paraId="34AD7568" w14:textId="2C3F45E6" w:rsidR="006B6A5F" w:rsidRPr="00135E13" w:rsidRDefault="006B6A5F" w:rsidP="00BF1C56">
            <w:pPr>
              <w:rPr>
                <w:rFonts w:ascii="Times New Roman" w:hAnsi="Times New Roman" w:cs="Times New Roman"/>
                <w:sz w:val="18"/>
                <w:szCs w:val="18"/>
              </w:rPr>
            </w:pPr>
            <w:r w:rsidRPr="00135E13">
              <w:rPr>
                <w:rFonts w:ascii="Times New Roman" w:hAnsi="Times New Roman" w:cs="Times New Roman"/>
                <w:color w:val="1F1F1F"/>
                <w:sz w:val="18"/>
                <w:szCs w:val="18"/>
                <w:lang w:val="en-GB"/>
              </w:rPr>
              <w:t xml:space="preserve">Comparable analgesic efficacy between oral and intravenous formulations in non-critical populations </w:t>
            </w:r>
            <w:r w:rsidRPr="00135E13">
              <w:rPr>
                <w:rFonts w:ascii="Times New Roman" w:hAnsi="Times New Roman" w:cs="Times New Roman"/>
                <w:color w:val="1F1F1F"/>
                <w:sz w:val="18"/>
                <w:szCs w:val="18"/>
                <w:lang w:val="en-GB"/>
              </w:rPr>
              <w:fldChar w:fldCharType="begin"/>
            </w:r>
            <w:r w:rsidR="00F4471E">
              <w:rPr>
                <w:rFonts w:ascii="Times New Roman" w:hAnsi="Times New Roman" w:cs="Times New Roman"/>
                <w:color w:val="1F1F1F"/>
                <w:sz w:val="18"/>
                <w:szCs w:val="18"/>
                <w:lang w:val="en-GB"/>
              </w:rPr>
              <w:instrText xml:space="preserve"> ADDIN ZOTERO_ITEM CSL_CITATION {"citationID":"GlsROXa2","properties":{"formattedCitation":"[6]","plainCitation":"[6]","noteIndex":0},"citationItems":[{"id":"RKg9lF5b/nRjTVed5","uris":["http://zotero.org/users/8889971/items/X2G5ZV4X"],"itemData":{"id":3931,"type":"article-journal","abstract":"Tramadol, a centrally acting analgesic structurally related to codeine and morphine, consists of two enantiomers, both of which contribute to analgesic activity via different mechanisms. (+)-Tramadol and the metabolite (+)-O-desmethyl-tramadol (M1) are agonists of the mu opioid receptor. (+)-Tramadol inhibits serotonin reuptake and (-)-tramadol inhibits norepinephrine reuptake, enhancing inhibitory effects on pain transmission in the spinal cord. The complementary and synergistic actions of the two enantiomers improve the analgesic efficacy and tolerability profile of the racemate. Tramadol is available as drops, capsules and sustained-release formulations for oral use, suppositories for rectal use and solution for intramuscular, intravenous and subcutaneous injection. After oral administration, tramadol is rapidly and almost completely absorbed. Sustained-release tablets release the active ingredient over a period of 12 hours, reach peak concentrations after 4.9 hours and have a bioavailability of 87-95% compared with capsules. Tramadol is rapidly distributed in the body; plasma protein binding is about 20%. Tramadol is mainly metabolised by O- and N-demethylation and by conjugation reactions forming glucuronides and sulfates. Tramadol and its metabolites are mainly excreted via the kidneys. The mean elimination half-life is about 6 hours. The O-demethylation of tramadol to M1, the main analgesic effective metabolite, is catalysed by cytochrome P450 (CYP) 2D6, whereas N-demethylation to M2 is catalysed by CYP2B6 and CYP3A4. The wide variability in the pharmacokinetic properties of tramadol can partly be ascribed to CYP polymorphism. O- and N-demethylation of tramadol as well as renal elimination are stereoselective. Pharmacokinetic-pharmacodynamic characterisation of tramadol is difficult because of differences between tramadol concentrations in plasma and at the site of action, and because of pharmacodynamic interactions between the two enantiomers of tramadol and its active metabolites. The analgesic potency of tramadol is about 10% of that of morphine following parenteral administration. Tramadol provides postoperative pain relief comparable with that of pethidine, and the analgesic efficacy of tramadol can further be improved by combination with a non-opioid analgesic. Tramadol may prove particularly useful in patients with a risk of poor cardiopulmonary function, after surgery of the thorax or upper abdomen and when non-opioid analgesics are contraindicated. Tramadol is an effective and well tolerated agent to reduce pain resulting from trauma, renal or biliary colic and labour, and also for the management of chronic pain of malignant or nonmalignant origin, particularly neuropathic pain. Tramadol appears to produce less constipation and dependence than equianalgesic doses of strong opioids.","container-title":"Clinical Pharmacokinetics","DOI":"10.2165/00003088-200443130-00004","ISSN":"0312-5963","issue":"13","journalAbbreviation":"Clin Pharmacokinet","language":"eng","page":"879-923","PMID":"15509185","source":"PubMed","title":"Clinical pharmacology of tramadol","volume":"43","author":[{"family":"Grond","given":"Stefan"},{"family":"Sablotzki","given":"Armin"}],"issued":{"date-parts":[["2004"]]}}}],"schema":"https://github.com/citation-style-language/schema/raw/master/csl-citation.json"} </w:instrText>
            </w:r>
            <w:r w:rsidRPr="00135E13">
              <w:rPr>
                <w:rFonts w:ascii="Times New Roman" w:hAnsi="Times New Roman" w:cs="Times New Roman"/>
                <w:color w:val="1F1F1F"/>
                <w:sz w:val="18"/>
                <w:szCs w:val="18"/>
                <w:lang w:val="en-GB"/>
              </w:rPr>
              <w:fldChar w:fldCharType="separate"/>
            </w:r>
            <w:r w:rsidRPr="00135E13">
              <w:rPr>
                <w:rFonts w:ascii="Times New Roman" w:hAnsi="Times New Roman" w:cs="Times New Roman"/>
                <w:sz w:val="18"/>
                <w:szCs w:val="21"/>
              </w:rPr>
              <w:t>[6]</w:t>
            </w:r>
            <w:r w:rsidRPr="00135E13">
              <w:rPr>
                <w:rFonts w:ascii="Times New Roman" w:hAnsi="Times New Roman" w:cs="Times New Roman"/>
                <w:color w:val="1F1F1F"/>
                <w:sz w:val="18"/>
                <w:szCs w:val="18"/>
                <w:lang w:val="en-GB"/>
              </w:rPr>
              <w:fldChar w:fldCharType="end"/>
            </w:r>
          </w:p>
        </w:tc>
        <w:tc>
          <w:tcPr>
            <w:tcW w:w="2800" w:type="dxa"/>
            <w:vMerge/>
            <w:shd w:val="clear" w:color="auto" w:fill="C5E0B3" w:themeFill="accent6" w:themeFillTint="66"/>
          </w:tcPr>
          <w:p w14:paraId="551EBE7F" w14:textId="56EBF1F0" w:rsidR="006B6A5F" w:rsidRPr="00135E13" w:rsidRDefault="006B6A5F" w:rsidP="00BF1C56">
            <w:pPr>
              <w:rPr>
                <w:rFonts w:ascii="Times New Roman" w:hAnsi="Times New Roman" w:cs="Times New Roman"/>
                <w:sz w:val="18"/>
                <w:szCs w:val="18"/>
              </w:rPr>
            </w:pPr>
          </w:p>
        </w:tc>
      </w:tr>
      <w:tr w:rsidR="00B23C01" w:rsidRPr="00135E13" w14:paraId="673A6C24" w14:textId="177F02CE" w:rsidTr="005C7D6F">
        <w:trPr>
          <w:trHeight w:val="285"/>
        </w:trPr>
        <w:tc>
          <w:tcPr>
            <w:tcW w:w="1838" w:type="dxa"/>
            <w:noWrap/>
            <w:hideMark/>
          </w:tcPr>
          <w:p w14:paraId="280F2CD0" w14:textId="3A60614B" w:rsidR="006B6A5F"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 xml:space="preserve">Morphine sulphate </w:t>
            </w:r>
          </w:p>
        </w:tc>
        <w:tc>
          <w:tcPr>
            <w:tcW w:w="1418" w:type="dxa"/>
            <w:noWrap/>
            <w:hideMark/>
          </w:tcPr>
          <w:p w14:paraId="6936F616" w14:textId="0CA14586" w:rsidR="006B6A5F" w:rsidRPr="00135E13" w:rsidRDefault="006B6A5F" w:rsidP="00712F12">
            <w:pPr>
              <w:rPr>
                <w:rFonts w:ascii="Times New Roman" w:hAnsi="Times New Roman" w:cs="Times New Roman"/>
                <w:sz w:val="18"/>
                <w:szCs w:val="18"/>
              </w:rPr>
            </w:pPr>
            <w:r w:rsidRPr="00135E13">
              <w:rPr>
                <w:rFonts w:ascii="Times New Roman" w:hAnsi="Times New Roman" w:cs="Times New Roman"/>
                <w:sz w:val="18"/>
                <w:szCs w:val="18"/>
              </w:rPr>
              <w:t>30</w:t>
            </w:r>
          </w:p>
        </w:tc>
        <w:tc>
          <w:tcPr>
            <w:tcW w:w="1134" w:type="dxa"/>
            <w:noWrap/>
            <w:hideMark/>
          </w:tcPr>
          <w:p w14:paraId="7C8B919D" w14:textId="33A8E5AE" w:rsidR="006B6A5F"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 xml:space="preserve">2-4 </w:t>
            </w:r>
          </w:p>
        </w:tc>
        <w:tc>
          <w:tcPr>
            <w:tcW w:w="2835" w:type="dxa"/>
            <w:noWrap/>
            <w:hideMark/>
          </w:tcPr>
          <w:p w14:paraId="115E3C42" w14:textId="51F7DA3D" w:rsidR="006B6A5F" w:rsidRPr="00135E13" w:rsidRDefault="006B6A5F">
            <w:pPr>
              <w:rPr>
                <w:rFonts w:ascii="Times New Roman" w:hAnsi="Times New Roman" w:cs="Times New Roman"/>
                <w:sz w:val="18"/>
                <w:szCs w:val="18"/>
              </w:rPr>
            </w:pPr>
            <w:r w:rsidRPr="00135E13">
              <w:rPr>
                <w:rFonts w:ascii="Times New Roman" w:hAnsi="Times New Roman" w:cs="Times New Roman"/>
                <w:color w:val="212121"/>
                <w:sz w:val="18"/>
                <w:szCs w:val="18"/>
                <w:shd w:val="clear" w:color="auto" w:fill="FFFFFF"/>
              </w:rPr>
              <w:t>Comparable</w:t>
            </w:r>
          </w:p>
        </w:tc>
        <w:tc>
          <w:tcPr>
            <w:tcW w:w="3969" w:type="dxa"/>
            <w:shd w:val="clear" w:color="auto" w:fill="FFFFFF" w:themeFill="background1"/>
          </w:tcPr>
          <w:p w14:paraId="62206578" w14:textId="61F3FC09" w:rsidR="006B6A5F" w:rsidRPr="00135E13" w:rsidRDefault="006B6A5F">
            <w:pPr>
              <w:rPr>
                <w:rFonts w:ascii="Times New Roman" w:hAnsi="Times New Roman" w:cs="Times New Roman"/>
                <w:sz w:val="18"/>
                <w:szCs w:val="18"/>
              </w:rPr>
            </w:pPr>
            <w:r w:rsidRPr="00135E13">
              <w:rPr>
                <w:rFonts w:ascii="Times New Roman" w:hAnsi="Times New Roman" w:cs="Times New Roman"/>
                <w:color w:val="333333"/>
                <w:sz w:val="18"/>
                <w:szCs w:val="18"/>
                <w:shd w:val="clear" w:color="auto" w:fill="FFFFFF"/>
                <w:lang w:val="en-GB"/>
              </w:rPr>
              <w:t xml:space="preserve">Enteral formulation recommended as soon as the gastrointestinal tract is functional and pain control is stable </w:t>
            </w:r>
            <w:r w:rsidRPr="00135E13">
              <w:rPr>
                <w:rFonts w:ascii="Times New Roman" w:hAnsi="Times New Roman" w:cs="Times New Roman"/>
                <w:color w:val="333333"/>
                <w:sz w:val="18"/>
                <w:szCs w:val="18"/>
                <w:shd w:val="clear" w:color="auto" w:fill="FFFFFF"/>
                <w:lang w:val="en-GB"/>
              </w:rPr>
              <w:fldChar w:fldCharType="begin"/>
            </w:r>
            <w:r w:rsidR="00F4471E">
              <w:rPr>
                <w:rFonts w:ascii="Times New Roman" w:hAnsi="Times New Roman" w:cs="Times New Roman"/>
                <w:color w:val="333333"/>
                <w:sz w:val="18"/>
                <w:szCs w:val="18"/>
                <w:shd w:val="clear" w:color="auto" w:fill="FFFFFF"/>
                <w:lang w:val="en-GB"/>
              </w:rPr>
              <w:instrText xml:space="preserve"> ADDIN ZOTERO_ITEM CSL_CITATION {"citationID":"tmqabmOi","properties":{"formattedCitation":"[7]","plainCitation":"[7]","noteIndex":0},"citationItems":[{"id":"RKg9lF5b/k14Z9UAr","uris":["http://zotero.org/users/8889971/items/83GGLBB2"],"itemData":{"id":3864,"type":"article-journal","abstract":"Objective: \n          To update and expand the 2013 Clinical Practice Guidelines for the Management of Pain, Agitation, and Delirium in Adult Patients in the ICU.\n          Design: \n          Thirty-two international experts, four methodologists, and four critical illness survivors met virtually at least monthly. All section groups gathered face-to-face at annual Society of Critical Care Medicine congresses; virtual connections included those unable to attend. A formal conflict of interest policy was developed a priori and enforced throughout the process. Teleconferences and electronic discussions among subgroups and whole panel were part of the guidelines’ development. A general content review was completed face-to-face by all panel members in January 2017.\n          Methods: \n          Content experts, methodologists, and ICU survivors were represented in each of the five sections of the guidelines: Pain, Agitation/sedation, Delirium, Immobility (mobilization/rehabilitation), and Sleep (disruption). Each section created Population, Intervention, Comparison, and Outcome, and nonactionable, descriptive questions based on perceived clinical relevance. The guideline group then voted their ranking, and patients prioritized their importance. For each Population, Intervention, Comparison, and Outcome question, sections searched the best available evidence, determined its quality, and formulated recommendations as “strong,” “conditional,” or “good” practice statements based on Grading of Recommendations Assessment, Development and Evaluation principles. In addition, evidence gaps and clinical caveats were explicitly identified.\n          Results: \n          The Pain, Agitation/Sedation, Delirium, Immobility (mobilization/rehabilitation), and Sleep (disruption) panel issued 37 recommendations (three strong and 34 conditional), two good practice statements, and 32 ungraded, nonactionable statements. Three questions from the patient-centered prioritized question list remained without recommendation.\n          Conclusions: \n          We found substantial agreement among a large, interdisciplinary cohort of international experts regarding evidence supporting recommendations, and the remaining literature gaps in the assessment, prevention, and treatment of Pain, Agitation/sedation, Delirium, Immobility (mobilization/rehabilitation), and Sleep (disruption) in critically ill adults. Highlighting this evidence and the research needs will improve Pain, Agitation/sedation, Delirium, Immobility (mobilization/rehabilitation), and Sleep (disruption) management and provide the foundation for improved outcomes and science in this vulnerable population.","container-title":"Critical Care Medicine","DOI":"10.1097/CCM.0000000000003299","ISSN":"1530-0293","issue":"9","language":"en-US","page":"e825","source":"journals.lww.com","title":"Clinical Practice Guidelines for the Prevention and Management of Pain, Agitation/Sedation, Delirium, Immobility, and Sleep Disruption in Adult Patients in the ICU","volume":"46","author":[{"family":"Devlin","given":"John W."},{"family":"Skrobik","given":"Yoanna"},{"family":"Gélinas","given":"Céline"},{"family":"Needham","given":"Dale M."},{"family":"Slooter","given":"Arjen J. C."},{"family":"Pandharipande","given":"Pratik P."},{"family":"Watson","given":"Paula L."},{"family":"Weinhouse","given":"Gerald L."},{"family":"Nunnally","given":"Mark E."},{"family":"Rochwerg","given":"Bram"},{"family":"Balas","given":"Michele C."},{"family":"Boogaard","given":"Mark","non-dropping-particle":"van den"},{"family":"Bosma","given":"Karen J."},{"family":"Brummel","given":"Nathaniel E."},{"family":"Chanques","given":"Gerald"},{"family":"Denehy","given":"Linda"},{"family":"Drouot","given":"Xavier"},{"family":"Fraser","given":"Gilles L."},{"family":"Harris","given":"Jocelyn E."},{"family":"Joffe","given":"Aaron M."},{"family":"Kho","given":"Michelle E."},{"family":"Kress","given":"John P."},{"family":"Lanphere","given":"Julie A."},{"family":"McKinley","given":"Sharon"},{"family":"Neufeld","given":"Karin J."},{"family":"Pisani","given":"Margaret A."},{"family":"Payen","given":"Jean-Francois"},{"family":"Pun","given":"Brenda T."},{"family":"Puntillo","given":"Kathleen A."},{"family":"Riker","given":"Richard R."},{"family":"Robinson","given":"Bryce R. H."},{"family":"Shehabi","given":"Yahya"},{"family":"Szumita","given":"Paul M."},{"family":"Winkelman","given":"Chris"},{"family":"Centofanti","given":"John E."},{"family":"Price","given":"Carrie"},{"family":"Nikayin","given":"Sina"},{"family":"Misak","given":"Cheryl J."},{"family":"Flood","given":"Pamela D."},{"family":"Kiedrowski","given":"Ken"},{"family":"Alhazzani","given":"Waleed"}],"issued":{"date-parts":[["2018",9]]}}}],"schema":"https://github.com/citation-style-language/schema/raw/master/csl-citation.json"} </w:instrText>
            </w:r>
            <w:r w:rsidRPr="00135E13">
              <w:rPr>
                <w:rFonts w:ascii="Times New Roman" w:hAnsi="Times New Roman" w:cs="Times New Roman"/>
                <w:color w:val="333333"/>
                <w:sz w:val="18"/>
                <w:szCs w:val="18"/>
                <w:shd w:val="clear" w:color="auto" w:fill="FFFFFF"/>
                <w:lang w:val="en-GB"/>
              </w:rPr>
              <w:fldChar w:fldCharType="separate"/>
            </w:r>
            <w:r w:rsidRPr="00135E13">
              <w:rPr>
                <w:rFonts w:ascii="Times New Roman" w:hAnsi="Times New Roman" w:cs="Times New Roman"/>
                <w:sz w:val="18"/>
                <w:szCs w:val="21"/>
              </w:rPr>
              <w:t>[7]</w:t>
            </w:r>
            <w:r w:rsidRPr="00135E13">
              <w:rPr>
                <w:rFonts w:ascii="Times New Roman" w:hAnsi="Times New Roman" w:cs="Times New Roman"/>
                <w:color w:val="333333"/>
                <w:sz w:val="18"/>
                <w:szCs w:val="18"/>
                <w:shd w:val="clear" w:color="auto" w:fill="FFFFFF"/>
                <w:lang w:val="en-GB"/>
              </w:rPr>
              <w:fldChar w:fldCharType="end"/>
            </w:r>
            <w:r w:rsidRPr="00135E13">
              <w:rPr>
                <w:rFonts w:ascii="Times New Roman" w:hAnsi="Times New Roman" w:cs="Times New Roman"/>
                <w:color w:val="333333"/>
                <w:sz w:val="18"/>
                <w:szCs w:val="18"/>
                <w:shd w:val="clear" w:color="auto" w:fill="FFFFFF"/>
                <w:lang w:val="en-GB"/>
              </w:rPr>
              <w:t xml:space="preserve"> </w:t>
            </w:r>
          </w:p>
        </w:tc>
        <w:tc>
          <w:tcPr>
            <w:tcW w:w="2800" w:type="dxa"/>
            <w:vMerge/>
            <w:shd w:val="clear" w:color="auto" w:fill="C5E0B3" w:themeFill="accent6" w:themeFillTint="66"/>
          </w:tcPr>
          <w:p w14:paraId="7E9B4531" w14:textId="7D7DE753" w:rsidR="006B6A5F" w:rsidRPr="00135E13" w:rsidRDefault="006B6A5F" w:rsidP="006B6A5F">
            <w:pPr>
              <w:rPr>
                <w:rFonts w:ascii="Times New Roman" w:hAnsi="Times New Roman" w:cs="Times New Roman"/>
                <w:sz w:val="18"/>
                <w:szCs w:val="18"/>
              </w:rPr>
            </w:pPr>
          </w:p>
        </w:tc>
      </w:tr>
      <w:tr w:rsidR="00CE3B37" w:rsidRPr="00135E13" w14:paraId="18800AE8" w14:textId="25BA5706" w:rsidTr="00B23C01">
        <w:trPr>
          <w:trHeight w:val="285"/>
        </w:trPr>
        <w:tc>
          <w:tcPr>
            <w:tcW w:w="13994" w:type="dxa"/>
            <w:gridSpan w:val="6"/>
            <w:noWrap/>
            <w:hideMark/>
          </w:tcPr>
          <w:p w14:paraId="78A93C25" w14:textId="7975CB1A" w:rsidR="00CE3B37" w:rsidRPr="00135E13" w:rsidRDefault="00CE3B37" w:rsidP="00CE3B37">
            <w:pPr>
              <w:jc w:val="center"/>
              <w:rPr>
                <w:rFonts w:ascii="Times New Roman" w:hAnsi="Times New Roman" w:cs="Times New Roman"/>
                <w:sz w:val="18"/>
                <w:szCs w:val="18"/>
              </w:rPr>
            </w:pPr>
            <w:r w:rsidRPr="00135E13">
              <w:rPr>
                <w:rFonts w:ascii="Times New Roman" w:hAnsi="Times New Roman" w:cs="Times New Roman"/>
                <w:b/>
                <w:bCs/>
                <w:sz w:val="18"/>
                <w:szCs w:val="18"/>
              </w:rPr>
              <w:t>Gastrointestinal medications</w:t>
            </w:r>
          </w:p>
        </w:tc>
      </w:tr>
      <w:tr w:rsidR="00B23C01" w:rsidRPr="00135E13" w14:paraId="295FD578" w14:textId="0F7555C6" w:rsidTr="005C7D6F">
        <w:trPr>
          <w:trHeight w:val="285"/>
        </w:trPr>
        <w:tc>
          <w:tcPr>
            <w:tcW w:w="1838" w:type="dxa"/>
            <w:noWrap/>
            <w:hideMark/>
          </w:tcPr>
          <w:p w14:paraId="454327E0" w14:textId="72D19EF5" w:rsidR="0030122A" w:rsidRPr="00135E13" w:rsidRDefault="0030122A">
            <w:pPr>
              <w:rPr>
                <w:rFonts w:ascii="Times New Roman" w:hAnsi="Times New Roman" w:cs="Times New Roman"/>
                <w:sz w:val="18"/>
                <w:szCs w:val="18"/>
              </w:rPr>
            </w:pPr>
            <w:r w:rsidRPr="00135E13">
              <w:rPr>
                <w:rFonts w:ascii="Times New Roman" w:hAnsi="Times New Roman" w:cs="Times New Roman"/>
                <w:sz w:val="18"/>
                <w:szCs w:val="18"/>
              </w:rPr>
              <w:t>Esomeprazole</w:t>
            </w:r>
          </w:p>
        </w:tc>
        <w:tc>
          <w:tcPr>
            <w:tcW w:w="1418" w:type="dxa"/>
            <w:noWrap/>
            <w:hideMark/>
          </w:tcPr>
          <w:p w14:paraId="3C5D988A" w14:textId="21F4E705" w:rsidR="0030122A" w:rsidRPr="00135E13" w:rsidRDefault="0030122A" w:rsidP="00712F12">
            <w:pPr>
              <w:rPr>
                <w:rFonts w:ascii="Times New Roman" w:hAnsi="Times New Roman" w:cs="Times New Roman"/>
                <w:sz w:val="18"/>
                <w:szCs w:val="18"/>
              </w:rPr>
            </w:pPr>
            <w:r w:rsidRPr="00135E13">
              <w:rPr>
                <w:rFonts w:ascii="Times New Roman" w:hAnsi="Times New Roman" w:cs="Times New Roman"/>
                <w:sz w:val="18"/>
                <w:szCs w:val="18"/>
              </w:rPr>
              <w:t>77</w:t>
            </w:r>
          </w:p>
        </w:tc>
        <w:tc>
          <w:tcPr>
            <w:tcW w:w="1134" w:type="dxa"/>
            <w:noWrap/>
            <w:hideMark/>
          </w:tcPr>
          <w:p w14:paraId="6DB1C0A5" w14:textId="178325D1" w:rsidR="0030122A" w:rsidRPr="00135E13" w:rsidRDefault="0030122A">
            <w:pPr>
              <w:rPr>
                <w:rFonts w:ascii="Times New Roman" w:hAnsi="Times New Roman" w:cs="Times New Roman"/>
                <w:sz w:val="18"/>
                <w:szCs w:val="18"/>
              </w:rPr>
            </w:pPr>
            <w:r w:rsidRPr="00135E13">
              <w:rPr>
                <w:rFonts w:ascii="Times New Roman" w:hAnsi="Times New Roman" w:cs="Times New Roman"/>
                <w:sz w:val="18"/>
                <w:szCs w:val="18"/>
              </w:rPr>
              <w:t xml:space="preserve">2-2.5 </w:t>
            </w:r>
          </w:p>
        </w:tc>
        <w:tc>
          <w:tcPr>
            <w:tcW w:w="2835" w:type="dxa"/>
            <w:noWrap/>
            <w:hideMark/>
          </w:tcPr>
          <w:p w14:paraId="573863F7" w14:textId="73CEAF16" w:rsidR="0030122A" w:rsidRPr="00135E13" w:rsidRDefault="0053208A">
            <w:pPr>
              <w:rPr>
                <w:rFonts w:ascii="Times New Roman" w:hAnsi="Times New Roman" w:cs="Times New Roman"/>
                <w:sz w:val="18"/>
                <w:szCs w:val="18"/>
              </w:rPr>
            </w:pPr>
            <w:r w:rsidRPr="00135E13">
              <w:rPr>
                <w:rFonts w:ascii="Times New Roman" w:hAnsi="Times New Roman" w:cs="Times New Roman"/>
                <w:color w:val="212121"/>
                <w:sz w:val="18"/>
                <w:szCs w:val="18"/>
                <w:shd w:val="clear" w:color="auto" w:fill="FFFFFF"/>
              </w:rPr>
              <w:t xml:space="preserve">Comparable, </w:t>
            </w:r>
            <w:r w:rsidR="00D73D7A" w:rsidRPr="00135E13">
              <w:rPr>
                <w:rFonts w:ascii="Times New Roman" w:hAnsi="Times New Roman" w:cs="Times New Roman"/>
                <w:sz w:val="18"/>
                <w:szCs w:val="18"/>
              </w:rPr>
              <w:t xml:space="preserve">including </w:t>
            </w:r>
            <w:r w:rsidR="00D73D7A" w:rsidRPr="00135E13">
              <w:rPr>
                <w:rFonts w:ascii="Times New Roman" w:hAnsi="Times New Roman" w:cs="Times New Roman"/>
                <w:i/>
                <w:iCs/>
                <w:sz w:val="18"/>
                <w:szCs w:val="18"/>
              </w:rPr>
              <w:t>C. difficile</w:t>
            </w:r>
            <w:r w:rsidR="00D73D7A" w:rsidRPr="00135E13">
              <w:rPr>
                <w:rFonts w:ascii="Times New Roman" w:hAnsi="Times New Roman" w:cs="Times New Roman"/>
                <w:sz w:val="18"/>
                <w:szCs w:val="18"/>
              </w:rPr>
              <w:t xml:space="preserve"> infection and ventilator-associated pneumonia </w:t>
            </w:r>
            <w:r w:rsidR="00D73D7A"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{"citationID":"rNAmLKDA","properties":{"formattedCitation":"[8]","plainCitation":"[8]","noteIndex":0},"citationItems":[{"id":"RKg9lF5b/ocDOLRqZ","uris":["http://zotero.org/users/4692060/items/2VII4ZB7"],"itemData":{"id":1959,"type":"article-journal","abstract":"Background: : Proton pump inhibitors (PPI) are associated with Clostridium difficile infection (CDI). Impact of the route of administration is unknown.Research Design and Methods: Patients in Multiparameter Intelligent Monitoring in Intensive Care II database (MIMIC-II) from 2001 to 2008, &gt;18 years old, admitted to medical, surgical, or cardiac ICUs were included. PPI exposures were omeprazole, esomeprazole, lansoprazole, and pantoprazole. PPI administration routes were oral or intravenous. Patients who received histamine receptor antagonists (H2RA) were the control arm. CDI was identified using ICD-9 diagnostic code 008.45. Multiple logistic regression analysis was performed to calculate odds ratios (OR).Results: The study included 16,820 patients (57% male) with a mean age of 63 (SD±17) years and hospitalization duration of 10.2 days (SD±11). Pantoprazole was the most common PPI (94%). CDI occurred in 2.4% and more in patients receiving PPIs than H2RAs (3.0% vs. 0.8%, p &lt; 0.001). CDI prevalence increased with intravenous (95%CI = 1.69-3.39, OR 2.4) and oral (95%CI = 1.59-3.27, OR 2.3) PPI use compared to H2RAs. CDI prevalence was not associated with PPI route in the multivariable model (OR 1.07, 95%CI 0.86-1.34).Conclusions: Both intravenous and oral PPI use in the ICU were independently associated with CDI.","container-title":"Expert Review of Clinical Pharmacology","DOI":"10.1080/17512433.2021.1890582","ISSN":"1751-2441","issue":"3","journalAbbreviation":"Expert Rev Clin Pharmacol","language":"eng","page":"399-404","PMID":"33576287","source":"PubMed","title":"Do the types and routes of proton pump inhibitor treatments affect clostridium difficile in ICU patients? A retrospective cohort study","title-short":"Do the types and routes of proton pump inhibitor treatments affect clostridium difficile in ICU patients?","volume":"14","author":[{"family":"Lee","given":"Peia"},{"family":"Fike","given":"David"},{"family":"Yang","given":"Hui"},{"family":"Hall","given":"Ronald G."},{"family":"Pass","given":"Steven"},{"family":"Alvarez","given":"Carlos A."}],"issued":{"date-parts":[["2021",3]]}}}],"schema":"https://github.com/citation-style-language/schema/raw/master/csl-citation.json"} </w:instrText>
            </w:r>
            <w:r w:rsidR="00D73D7A" w:rsidRPr="00135E13">
              <w:rPr>
                <w:rFonts w:ascii="Times New Roman" w:hAnsi="Times New Roman" w:cs="Times New Roman"/>
                <w:sz w:val="18"/>
                <w:szCs w:val="18"/>
              </w:rPr>
              <w:fldChar w:fldCharType="separate"/>
            </w:r>
            <w:r w:rsidR="00A31FC3" w:rsidRPr="00135E13">
              <w:rPr>
                <w:rFonts w:ascii="Times New Roman" w:hAnsi="Times New Roman" w:cs="Times New Roman"/>
                <w:sz w:val="18"/>
                <w:szCs w:val="21"/>
              </w:rPr>
              <w:t>[8]</w:t>
            </w:r>
            <w:r w:rsidR="00D73D7A" w:rsidRPr="00135E13">
              <w:rPr>
                <w:rFonts w:ascii="Times New Roman" w:hAnsi="Times New Roman" w:cs="Times New Roman"/>
                <w:sz w:val="18"/>
                <w:szCs w:val="18"/>
              </w:rPr>
              <w:fldChar w:fldCharType="end"/>
            </w:r>
          </w:p>
        </w:tc>
        <w:tc>
          <w:tcPr>
            <w:tcW w:w="3969" w:type="dxa"/>
            <w:shd w:val="clear" w:color="auto" w:fill="FFFFFF" w:themeFill="background1"/>
          </w:tcPr>
          <w:p w14:paraId="4E0CDC93" w14:textId="77777777" w:rsidR="004F669B" w:rsidRPr="00135E13" w:rsidRDefault="004F669B" w:rsidP="004F669B">
            <w:pPr>
              <w:rPr>
                <w:rFonts w:ascii="Times New Roman" w:hAnsi="Times New Roman" w:cs="Times New Roman"/>
                <w:sz w:val="18"/>
                <w:szCs w:val="18"/>
                <w:lang w:val="en-GB"/>
              </w:rPr>
            </w:pPr>
            <w:r w:rsidRPr="00135E13">
              <w:rPr>
                <w:rFonts w:ascii="Times New Roman" w:hAnsi="Times New Roman" w:cs="Times New Roman"/>
                <w:sz w:val="18"/>
                <w:szCs w:val="18"/>
                <w:lang w:val="en-GB"/>
              </w:rPr>
              <w:t>No evidence of IV superiority</w:t>
            </w:r>
          </w:p>
          <w:p w14:paraId="67CAB435" w14:textId="73F00AEE" w:rsidR="0030122A" w:rsidRPr="00135E13" w:rsidRDefault="00D73D7A">
            <w:pPr>
              <w:rPr>
                <w:rFonts w:ascii="Times New Roman" w:hAnsi="Times New Roman" w:cs="Times New Roman"/>
                <w:sz w:val="18"/>
                <w:szCs w:val="18"/>
              </w:rPr>
            </w:pPr>
            <w:r w:rsidRPr="00135E13">
              <w:rPr>
                <w:rFonts w:ascii="Times New Roman" w:hAnsi="Times New Roman" w:cs="Times New Roman"/>
                <w:sz w:val="18"/>
                <w:szCs w:val="18"/>
              </w:rPr>
              <w:t xml:space="preserve">for ulcer prophylaxis or prevention of rebleeding after successful endoscopic therapy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{"citationID":"3B1vdlWy","properties":{"formattedCitation":"[9, 10]","plainCitation":"[9, 10]","noteIndex":0},"citationItems":[{"id":"RKg9lF5b/nTk4wtMb","uris":["http://zotero.org/users/4692060/items/JBBX754S"],"itemData":{"id":1956,"type":"article-journal","abstract":"1: ESGE recommends in patients with acute upper gastrointestinal hemorrhage (UGIH) the use of the Glasgow-Blatchford Score (GBS) for pre-endoscopy risk stratification. Patients with GBS ≤ 1 are at very low risk of rebleeding, mortality within 30 days, or needing hospital-based intervention and can be safely managed as outpatients with outpatient endoscopy.Strong recommendation, moderate quality evidence. 2: ESGE recommends that in patients with acute UGIH who are taking low-dose aspirin as monotherapy for secondary cardiovascular prophylaxis, aspirin should not be interrupted. If for any reason it is interrupted, aspirin should be re-started as soon as possible, preferably within 3-5 days.Strong recommendation, moderate quality evidence. 3: ESGE recommends that following hemodynamic resuscitation, early (≤ 24 hours) upper gastrointestinal (GI) endoscopy should be performed. Strong recommendation, high quality evidence. 4: ESGE does not recommend urgent (≤ 12 hours) upper GI endoscopy since as compared to early endoscopy, patient outcomes are not improved. Strong recommendation, high quality evidence. 5: ESGE recommends for patients with actively bleeding ulcers (FIa, FIb), combination therapy using epinephrine injection plus a second hemostasis modality (contact thermal or mechanical therapy). Strong recommendation, high quality evidence. 6: ESGE recommends for patients with an ulcer with a nonbleeding visible vessel (FIIa), contact or noncontact thermal therapy, mechanical therapy, or injection of a sclerosing agent, each as monotherapy or in combination with epinephrine injection. Strong recommendation, high quality evidence. 7 : ESGE suggests that in patients with persistent bleeding refractory to standard hemostasis modalities, the use of a topical hemostatic spray/powder or cap-mounted clip should be considered. Weak recommendation, low quality evidence. 8: ESGE recommends that for patients with clinical evidence of recurrent peptic ulcer hemorrhage, use of a cap-mounted clip should be considered. In the case of failure of this second attempt at endoscopic hemostasis, transcatheter angiographic embolization (TAE) should be considered. Surgery is indicated when TAE is not locally available or after failed TAE. Strong recommendation, moderate quality evidence. 9: ESGE recommends high dose proton pump inhibitor (PPI) therapy for patients who receive endoscopic hemostasis and for patients with FIIb ulcer stigmata (adherent clot) not treated endoscopically. (A): PPI therapy should be administered as an intravenous bolus followed by continuous infusion (e. g., 80 mg then 8 mg/hour) for 72 hours post endoscopy. (B): High dose PPI therapies given as intravenous bolus dosing (twice-daily) or in oral formulation (twice-daily) can be considered as alternative regimens.Strong recommendation, high quality evidence. 10: ESGE recommends that in patients who require ongoing anticoagulation therapy following acute NVUGIH (e. g., peptic ulcer hemorrhage), anticoagulation should be resumed as soon as the bleeding has been controlled, preferably within or soon after 7 days of the bleeding event, based on thromboembolic risk. The rapid onset of action of direct oral anticoagulants (DOACS), as compared to vitamin K antagonists (VKAs), must be considered in this context.Strong recommendation, low quality evidence.","container-title":"Endoscopy","DOI":"10.1055/a-1369-5274","ISSN":"1438-8812","issue":"3","journalAbbreviation":"Endoscopy","language":"eng","page":"300-332","PMID":"33567467","source":"PubMed","title":"Endoscopic diagnosis and management of nonvariceal upper gastrointestinal hemorrhage (NVUGIH): European Society of Gastrointestinal Endoscopy (ESGE) Guideline - Update 2021","title-short":"Endoscopic diagnosis and management of nonvariceal upper gastrointestinal hemorrhage (NVUGIH)","volume":"53","author":[{"family":"Gralnek","given":"Ian M."},{"family":"Stanley","given":"Adrian J."},{"family":"Morris","given":"A. John"},{"family":"Camus","given":"Marine"},{"family":"Lau","given":"James"},{"family":"Lanas","given":"Angel"},{"family":"Laursen","given":"Stig B."},{"family":"Radaelli","given":"Franco"},{"family":"Papanikolaou","given":"Ioannis S."},{"family":"Cúrdia Gonçalves","given":"Tiago"},{"family":"Dinis-Ribeiro","given":"Mario"},{"family":"Awadie","given":"Halim"},{"family":"Braun","given":"Georg"},{"family":"Groot","given":"Nicolette","non-dropping-particle":"de"},{"family":"Udd","given":"Marianne"},{"family":"Sanchez-Yague","given":"Andres"},{"family":"Neeman","given":"Ziv"},{"family":"Hooft","given":"Jeanin E.","non-dropping-particle":"van"}],"issued":{"date-parts":[["2021",3]]}}},{"id":"RKg9lF5b/B3bR7VxG","uris":["http://zotero.org/users/4692060/items/PEYYV98H"],"itemData":{"id":1951,"type":"article-journal","abstract":"AIMS: We aimed to assess the clinical effectiveness of oral vs. intravenous (i.v.) regular-dose proton pump inhibitor (PPI) after endoscopic injection of epinephrine in patients with peptic ulcer bleeding.\nMETHODS: Peptic ulcer patients with active bleeding, nonbleeding visible vessels, or adherent clots were enrolled after successful endoscopic haemostasis achieved by epinephrine injection. They were randomized to receive either oral rabeprazole (RAB group, 20 mg twice daily for 3 days) or i.v. omeprazole (OME group, 40 mg i.v. infusion every 12 h for 3 days). Subsequently, the enrolled patients receive oral PPI for 2 months (rabeprazole 20 mg or esomeprazole 40 mg once daily). The primary end-point was recurrent bleeding up to 14 days. The hospital stay, blood transfusion, surgery and mortality within 14 days were compared as well.\nRESULTS: A total of 156 patients were enrolled, with 78 patients randomly allocated in each group. The two groups were well matched for factors affecting the clinical outcomes. Primary end-points (recurrent bleeding up to 14 days) were reached in 12 patients (15.4%) in the OME group and 13 patients (16.7%) in the RAB group [95% confidence interval (CI) of difference -12.82, 10.22]. All the rebleeding events occurred within 3 days of enrolment. The two groups were not different in hospital stay, volume of blood transfusion, surgery or mortality rate (1.3% of the OME group and 2.6% of the RAB group died, 95% CI of difference -5.6, 3.0).\nCONCLUSIONS: Oral rabeprazole and i.v. regular-dose omeprazole are equally effective in preventing rebleeding in patients with high-risk bleeding peptic ulcers after successful endoscopic injection with epinephrine.","container-title":"British Journal of Clinical Pharmacology","DOI":"10.1111/j.1365-2125.2008.03359.x","ISSN":"1365-2125","issue":"3","journalAbbreviation":"Br J Clin Pharmacol","language":"eng","page":"326-332","PMID":"19523014","PMCID":"PMC2675043","source":"PubMed","title":"Oral or intravenous proton pump inhibitor in patients with peptic ulcer bleeding after successful endoscopic epinephrine injection","volume":"67","author":[{"family":"Tsai","given":"Jai-Jen"},{"family":"Hsu","given":"Yao-Chun"},{"family":"Perng","given":"Chin-Lin"},{"family":"Lin","given":"Hwai-Jeng"}],"issued":{"date-parts":[["2009",3]]}}}],"schema":"https://github.com/citation-style-language/schema/raw/master/csl-citation.json"} </w:instrText>
            </w:r>
            <w:r w:rsidRPr="00135E13">
              <w:rPr>
                <w:rFonts w:ascii="Times New Roman" w:hAnsi="Times New Roman" w:cs="Times New Roman"/>
                <w:sz w:val="18"/>
                <w:szCs w:val="18"/>
              </w:rPr>
              <w:fldChar w:fldCharType="separate"/>
            </w:r>
            <w:r w:rsidR="00A31FC3" w:rsidRPr="00135E13">
              <w:rPr>
                <w:rFonts w:ascii="Times New Roman" w:hAnsi="Times New Roman" w:cs="Times New Roman"/>
                <w:sz w:val="18"/>
                <w:szCs w:val="21"/>
              </w:rPr>
              <w:t>[9, 10]</w:t>
            </w:r>
            <w:r w:rsidRPr="00135E13">
              <w:rPr>
                <w:rFonts w:ascii="Times New Roman" w:hAnsi="Times New Roman" w:cs="Times New Roman"/>
                <w:sz w:val="18"/>
                <w:szCs w:val="18"/>
              </w:rPr>
              <w:fldChar w:fldCharType="end"/>
            </w:r>
            <w:r w:rsidRPr="00135E13">
              <w:rPr>
                <w:rFonts w:ascii="Times New Roman" w:hAnsi="Times New Roman" w:cs="Times New Roman"/>
                <w:sz w:val="18"/>
                <w:szCs w:val="18"/>
              </w:rPr>
              <w:t xml:space="preserve"> </w:t>
            </w:r>
          </w:p>
        </w:tc>
        <w:tc>
          <w:tcPr>
            <w:tcW w:w="2800" w:type="dxa"/>
            <w:shd w:val="clear" w:color="auto" w:fill="C5E0B3" w:themeFill="accent6" w:themeFillTint="66"/>
          </w:tcPr>
          <w:p w14:paraId="23684A00" w14:textId="723AAA71" w:rsidR="0030122A" w:rsidRPr="00135E13" w:rsidRDefault="0030122A">
            <w:pPr>
              <w:rPr>
                <w:rFonts w:ascii="Times New Roman" w:hAnsi="Times New Roman" w:cs="Times New Roman"/>
                <w:sz w:val="18"/>
                <w:szCs w:val="18"/>
              </w:rPr>
            </w:pPr>
            <w:r w:rsidRPr="00135E13">
              <w:rPr>
                <w:rFonts w:ascii="Times New Roman" w:hAnsi="Times New Roman" w:cs="Times New Roman"/>
                <w:sz w:val="18"/>
                <w:szCs w:val="18"/>
              </w:rPr>
              <w:t xml:space="preserve">Except in </w:t>
            </w:r>
            <w:r w:rsidR="00D73D7A" w:rsidRPr="00135E13">
              <w:rPr>
                <w:rFonts w:ascii="Times New Roman" w:hAnsi="Times New Roman" w:cs="Times New Roman"/>
                <w:sz w:val="18"/>
                <w:szCs w:val="18"/>
                <w:lang w:val="en-GB"/>
              </w:rPr>
              <w:t>high-risk upper gastrointestinal bleeding (Forrest Ia to IIb ulcers)</w:t>
            </w:r>
          </w:p>
        </w:tc>
      </w:tr>
      <w:tr w:rsidR="00B23C01" w:rsidRPr="00135E13" w14:paraId="1FB86C5C" w14:textId="72EB96E6" w:rsidTr="005C7D6F">
        <w:trPr>
          <w:trHeight w:val="285"/>
        </w:trPr>
        <w:tc>
          <w:tcPr>
            <w:tcW w:w="1838" w:type="dxa"/>
            <w:noWrap/>
            <w:hideMark/>
          </w:tcPr>
          <w:p w14:paraId="303D3432" w14:textId="2E643FEA" w:rsidR="006B6A5F"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Ondansetron</w:t>
            </w:r>
          </w:p>
        </w:tc>
        <w:tc>
          <w:tcPr>
            <w:tcW w:w="1418" w:type="dxa"/>
            <w:noWrap/>
            <w:hideMark/>
          </w:tcPr>
          <w:p w14:paraId="370834E3" w14:textId="4B4F6D47" w:rsidR="006B6A5F" w:rsidRPr="00135E13" w:rsidRDefault="006B6A5F" w:rsidP="00712F12">
            <w:pPr>
              <w:rPr>
                <w:rFonts w:ascii="Times New Roman" w:hAnsi="Times New Roman" w:cs="Times New Roman"/>
                <w:sz w:val="18"/>
                <w:szCs w:val="18"/>
              </w:rPr>
            </w:pPr>
            <w:r w:rsidRPr="00135E13">
              <w:rPr>
                <w:rFonts w:ascii="Times New Roman" w:hAnsi="Times New Roman" w:cs="Times New Roman"/>
                <w:sz w:val="18"/>
                <w:szCs w:val="18"/>
              </w:rPr>
              <w:t>60</w:t>
            </w:r>
          </w:p>
        </w:tc>
        <w:tc>
          <w:tcPr>
            <w:tcW w:w="1134" w:type="dxa"/>
            <w:noWrap/>
            <w:hideMark/>
          </w:tcPr>
          <w:p w14:paraId="50E1B052" w14:textId="1D4E7C79" w:rsidR="006B6A5F"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 xml:space="preserve">1.5 </w:t>
            </w:r>
          </w:p>
        </w:tc>
        <w:tc>
          <w:tcPr>
            <w:tcW w:w="2835" w:type="dxa"/>
            <w:noWrap/>
            <w:hideMark/>
          </w:tcPr>
          <w:p w14:paraId="7D361B0B" w14:textId="1B998FDB" w:rsidR="006B6A5F" w:rsidRPr="00135E13" w:rsidRDefault="006B6A5F">
            <w:pPr>
              <w:rPr>
                <w:rFonts w:ascii="Times New Roman" w:hAnsi="Times New Roman" w:cs="Times New Roman"/>
                <w:sz w:val="18"/>
                <w:szCs w:val="18"/>
              </w:rPr>
            </w:pPr>
            <w:r w:rsidRPr="00135E13">
              <w:rPr>
                <w:rFonts w:ascii="Times New Roman" w:hAnsi="Times New Roman" w:cs="Times New Roman"/>
                <w:color w:val="212121"/>
                <w:sz w:val="18"/>
                <w:szCs w:val="18"/>
                <w:shd w:val="clear" w:color="auto" w:fill="FFFFFF"/>
              </w:rPr>
              <w:t xml:space="preserve">Comparable </w:t>
            </w:r>
          </w:p>
        </w:tc>
        <w:tc>
          <w:tcPr>
            <w:tcW w:w="3969" w:type="dxa"/>
            <w:shd w:val="clear" w:color="auto" w:fill="FFFFFF" w:themeFill="background1"/>
          </w:tcPr>
          <w:p w14:paraId="1F958C25" w14:textId="2128F540" w:rsidR="006B6A5F" w:rsidRPr="00135E13" w:rsidRDefault="006B6A5F">
            <w:pPr>
              <w:rPr>
                <w:rFonts w:ascii="Times New Roman" w:hAnsi="Times New Roman" w:cs="Times New Roman"/>
                <w:sz w:val="18"/>
                <w:szCs w:val="18"/>
                <w:lang w:val="en-GB"/>
              </w:rPr>
            </w:pPr>
            <w:r w:rsidRPr="00135E13">
              <w:rPr>
                <w:rFonts w:ascii="Times New Roman" w:hAnsi="Times New Roman" w:cs="Times New Roman"/>
                <w:sz w:val="18"/>
                <w:szCs w:val="18"/>
                <w:lang w:val="en-GB"/>
              </w:rPr>
              <w:t>No evidence of IV superiority.</w:t>
            </w:r>
          </w:p>
          <w:p w14:paraId="7E3ABECB" w14:textId="52583264" w:rsidR="006B6A5F" w:rsidRPr="00135E13" w:rsidRDefault="006B6A5F">
            <w:pPr>
              <w:rPr>
                <w:rFonts w:ascii="Times New Roman" w:hAnsi="Times New Roman" w:cs="Times New Roman"/>
                <w:sz w:val="18"/>
                <w:szCs w:val="18"/>
                <w:lang w:val="en-GB"/>
              </w:rPr>
            </w:pPr>
            <w:r w:rsidRPr="00135E13">
              <w:rPr>
                <w:rFonts w:ascii="Times New Roman" w:hAnsi="Times New Roman" w:cs="Times New Roman"/>
                <w:sz w:val="18"/>
                <w:szCs w:val="18"/>
                <w:lang w:val="en-GB"/>
              </w:rPr>
              <w:t xml:space="preserve">Similar clinical outcomes between oral and IV in context of postoperative nausea and vomiting </w:t>
            </w:r>
            <w:r w:rsidRPr="00135E13">
              <w:rPr>
                <w:rFonts w:ascii="Times New Roman" w:hAnsi="Times New Roman" w:cs="Times New Roman"/>
                <w:sz w:val="18"/>
                <w:szCs w:val="18"/>
                <w:lang w:val="en-GB"/>
              </w:rPr>
              <w:fldChar w:fldCharType="begin"/>
            </w:r>
            <w:r w:rsidR="00F4471E">
              <w:rPr>
                <w:rFonts w:ascii="Times New Roman" w:hAnsi="Times New Roman" w:cs="Times New Roman"/>
                <w:sz w:val="18"/>
                <w:szCs w:val="18"/>
                <w:lang w:val="en-GB"/>
              </w:rPr>
              <w:instrText xml:space="preserve"> ADDIN ZOTERO_ITEM CSL_CITATION {"citationID":"iF0DIt6u","properties":{"formattedCitation":"[11]","plainCitation":"[11]","noteIndex":0},"citationItems":[{"id":"RKg9lF5b/lf5pewJp","uris":["http://zotero.org/users/4692060/items/42BNWQ2U"],"itemData":{"id":1963,"type":"article-journal","abstract":"Peri-operative prophylactic anti-emetics are commonly used parenterally. Orally disintegrating ondansetron is efficacious during chemotherapy. Therefore, we aimed to study the efficacy of orally disintegrating ondansetron for postoperative nausea and vomiting. In a randomised, double-blind, placebo controlled trial on 109 patients scheduled for laparoscopic cholecystectomy, oral ondansetron was compared to intravenous ondansetron and placebo. The anaesthetic technique was standardised. Mean time (SD) to tolerating oral intake was delayed in the placebo group to 366.1 (77.6) min compared to oral 322.9 (63.7) min and intravenous 322.4 (65.2) min groups. This is corroborated by a higher incidence of nausea and vomiting in the control group during the first 6 h postoperatively (control 44.4%, oral 17.7%, intravenous 18.2%). There was no significant difference between oral and intravenous groups. In conclusion, orally disintegrating ondansetron was as efficacious as intravenous ondansetron in the peri-operative phase and may be a viable option for prophylaxis of emesis in day care surgery.","container-title":"Anaesthesia","DOI":"10.1111/j.1365-2044.2008.05860.x","ISSN":"1365-2044","issue":"6","journalAbbreviation":"Anaesthesia","language":"eng","page":"595-600","PMID":"19453311","source":"PubMed","title":"Efficacy of orally disintegrating ondansetron in preventing postoperative nausea and vomiting after laparoscopic cholecystectomy: a randomised, double-blind placebo controlled study","title-short":"Efficacy of orally disintegrating ondansetron in preventing postoperative nausea and vomiting after laparoscopic cholecystectomy","volume":"64","author":[{"family":"Grover","given":"V. K."},{"family":"Mathew","given":"P. J."},{"family":"Hegde","given":"H."}],"issued":{"date-parts":[["2009",6]]}}}],"schema":"https://github.com/citation-style-language/schema/raw/master/csl-citation.json"} </w:instrText>
            </w:r>
            <w:r w:rsidRPr="00135E13">
              <w:rPr>
                <w:rFonts w:ascii="Times New Roman" w:hAnsi="Times New Roman" w:cs="Times New Roman"/>
                <w:sz w:val="18"/>
                <w:szCs w:val="18"/>
                <w:lang w:val="en-GB"/>
              </w:rPr>
              <w:fldChar w:fldCharType="separate"/>
            </w:r>
            <w:r w:rsidRPr="00135E13">
              <w:rPr>
                <w:rFonts w:ascii="Times New Roman" w:hAnsi="Times New Roman" w:cs="Times New Roman"/>
                <w:sz w:val="18"/>
                <w:szCs w:val="21"/>
              </w:rPr>
              <w:t>[11]</w:t>
            </w:r>
            <w:r w:rsidRPr="00135E13">
              <w:rPr>
                <w:rFonts w:ascii="Times New Roman" w:hAnsi="Times New Roman" w:cs="Times New Roman"/>
                <w:sz w:val="18"/>
                <w:szCs w:val="18"/>
                <w:lang w:val="en-GB"/>
              </w:rPr>
              <w:fldChar w:fldCharType="end"/>
            </w:r>
          </w:p>
        </w:tc>
        <w:tc>
          <w:tcPr>
            <w:tcW w:w="2800" w:type="dxa"/>
            <w:vMerge w:val="restart"/>
            <w:shd w:val="clear" w:color="auto" w:fill="C5E0B3" w:themeFill="accent6" w:themeFillTint="66"/>
          </w:tcPr>
          <w:p w14:paraId="2D6ADD3B" w14:textId="77777777" w:rsidR="006B6A5F" w:rsidRPr="00135E13" w:rsidRDefault="006B6A5F">
            <w:pPr>
              <w:rPr>
                <w:rFonts w:ascii="Times New Roman" w:hAnsi="Times New Roman" w:cs="Times New Roman"/>
                <w:sz w:val="18"/>
                <w:szCs w:val="18"/>
                <w:lang w:val="en-GB"/>
              </w:rPr>
            </w:pPr>
          </w:p>
          <w:p w14:paraId="1AB6C7F5" w14:textId="77777777" w:rsidR="006B6A5F" w:rsidRPr="00135E13" w:rsidRDefault="006B6A5F">
            <w:pPr>
              <w:rPr>
                <w:rFonts w:ascii="Times New Roman" w:hAnsi="Times New Roman" w:cs="Times New Roman"/>
                <w:sz w:val="18"/>
                <w:szCs w:val="18"/>
                <w:lang w:val="en-GB"/>
              </w:rPr>
            </w:pPr>
          </w:p>
          <w:p w14:paraId="392A1418" w14:textId="77777777" w:rsidR="006B6A5F" w:rsidRPr="00135E13" w:rsidRDefault="006B6A5F">
            <w:pPr>
              <w:rPr>
                <w:rFonts w:ascii="Times New Roman" w:hAnsi="Times New Roman" w:cs="Times New Roman"/>
                <w:sz w:val="18"/>
                <w:szCs w:val="18"/>
                <w:lang w:val="en-GB"/>
              </w:rPr>
            </w:pPr>
          </w:p>
          <w:p w14:paraId="7A90AED4" w14:textId="7121CFB4" w:rsidR="006B6A5F" w:rsidRPr="00135E13" w:rsidRDefault="006B6A5F">
            <w:pPr>
              <w:rPr>
                <w:rFonts w:ascii="Times New Roman" w:hAnsi="Times New Roman" w:cs="Times New Roman"/>
                <w:sz w:val="18"/>
                <w:szCs w:val="18"/>
                <w:lang w:val="en-GB"/>
              </w:rPr>
            </w:pPr>
            <w:r w:rsidRPr="00135E13">
              <w:rPr>
                <w:rFonts w:ascii="Times New Roman" w:hAnsi="Times New Roman" w:cs="Times New Roman"/>
                <w:sz w:val="18"/>
                <w:szCs w:val="18"/>
                <w:lang w:val="en-GB"/>
              </w:rPr>
              <w:t>Except in patients with active vomiting</w:t>
            </w:r>
          </w:p>
          <w:p w14:paraId="5308D889" w14:textId="72DE4B2F" w:rsidR="006B6A5F" w:rsidRPr="00135E13" w:rsidRDefault="006B6A5F" w:rsidP="006A05F4">
            <w:pPr>
              <w:rPr>
                <w:rFonts w:ascii="Times New Roman" w:hAnsi="Times New Roman" w:cs="Times New Roman"/>
                <w:sz w:val="18"/>
                <w:szCs w:val="18"/>
                <w:lang w:val="en-GB"/>
              </w:rPr>
            </w:pPr>
          </w:p>
        </w:tc>
      </w:tr>
      <w:tr w:rsidR="00B23C01" w:rsidRPr="00135E13" w14:paraId="579E890F" w14:textId="1567D7AA" w:rsidTr="005C7D6F">
        <w:trPr>
          <w:trHeight w:val="285"/>
        </w:trPr>
        <w:tc>
          <w:tcPr>
            <w:tcW w:w="1838" w:type="dxa"/>
            <w:noWrap/>
            <w:hideMark/>
          </w:tcPr>
          <w:p w14:paraId="07CA49B1" w14:textId="19092870" w:rsidR="006B6A5F"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Metoclopramide</w:t>
            </w:r>
          </w:p>
        </w:tc>
        <w:tc>
          <w:tcPr>
            <w:tcW w:w="1418" w:type="dxa"/>
            <w:noWrap/>
            <w:hideMark/>
          </w:tcPr>
          <w:p w14:paraId="7679CF8F" w14:textId="41201B0E" w:rsidR="006B6A5F" w:rsidRPr="00135E13" w:rsidRDefault="006B6A5F" w:rsidP="00712F12">
            <w:pPr>
              <w:rPr>
                <w:rFonts w:ascii="Times New Roman" w:hAnsi="Times New Roman" w:cs="Times New Roman"/>
                <w:sz w:val="18"/>
                <w:szCs w:val="18"/>
              </w:rPr>
            </w:pPr>
            <w:r w:rsidRPr="00135E13">
              <w:rPr>
                <w:rFonts w:ascii="Times New Roman" w:hAnsi="Times New Roman" w:cs="Times New Roman"/>
                <w:sz w:val="18"/>
                <w:szCs w:val="18"/>
              </w:rPr>
              <w:t>80</w:t>
            </w:r>
          </w:p>
        </w:tc>
        <w:tc>
          <w:tcPr>
            <w:tcW w:w="1134" w:type="dxa"/>
            <w:noWrap/>
            <w:hideMark/>
          </w:tcPr>
          <w:p w14:paraId="3A1C987F" w14:textId="2C581ABB" w:rsidR="006B6A5F"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 xml:space="preserve">1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{"citationID":"oon4aNtC","properties":{"formattedCitation":"[12]","plainCitation":"[12]","noteIndex":0},"citationItems":[{"id":"RKg9lF5b/21pSr38t","uris":["http://zotero.org/users/8889971/items/VZ6FKDWX"],"itemData":{"id":4217,"type":"article-journal","abstract":"1 A rapid and sensitive method, based on liquid chromatography, has been developed for determination of metoclopramide concentrations in plasma and urine samples. Concentrations down to 15 nmol/1 (5 ng/ml) of plasma and 100 nmol/1 (30 ng/ml) of urine could be determined with a relative standard deviation of less than or equal to 10%. The method was used to study disposition of metoclopramide in healthy volunteers following single doses intravenously and orally as aqueous solution and a slow release tablet. 2 The initial distribution after intravenous administration was very rapid. The elimination half-life postdistribution was 4.9 h. The apparent volume of distribution, Vd, was 3.0 1/kg body weight. On average 19% was excreted unchanged after intravenous administration of 5 and 10 mg (15 and 30 mumol) of drug. The rate of absorption of metoclopramide was delayed after administration of a slow release tablet and the maximum plasma concentration was about 50% lower than after a solution. The extent of bioavailability was the same following the two different formulations suggesting a first-pass elimination of 25-40%.","container-title":"British Journal of Clinical Pharmacology","DOI":"10.1111/j.1365-2125.1979.tb01028.x","ISSN":"0306-5251","issue":"5","journalAbbreviation":"Br J Clin Pharmacol","language":"eng","page":"469-474","PMID":"508553","PMCID":"PMC1429814","source":"PubMed","title":"Pharmacokinetics of metoclopramide intravenously and orally determined by liquid chromatography","volume":"8","author":[{"family":"Graffner","given":"C."},{"family":"Lagerström","given":"P. O."},{"family":"Lundborg","given":"P."},{"family":"Rönn","given":"O."}],"issued":{"date-parts":[["1979",11]]}}}],"schema":"https://github.com/citation-style-language/schema/raw/master/csl-citation.json"}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[12]</w:t>
            </w:r>
            <w:r w:rsidRPr="00135E13">
              <w:rPr>
                <w:rFonts w:ascii="Times New Roman" w:hAnsi="Times New Roman" w:cs="Times New Roman"/>
                <w:sz w:val="18"/>
                <w:szCs w:val="18"/>
              </w:rPr>
              <w:fldChar w:fldCharType="end"/>
            </w:r>
          </w:p>
        </w:tc>
        <w:tc>
          <w:tcPr>
            <w:tcW w:w="2835" w:type="dxa"/>
            <w:noWrap/>
            <w:hideMark/>
          </w:tcPr>
          <w:p w14:paraId="761325D0" w14:textId="69726EF2" w:rsidR="006B6A5F" w:rsidRPr="00135E13" w:rsidRDefault="006B6A5F">
            <w:pPr>
              <w:rPr>
                <w:rFonts w:ascii="Times New Roman" w:hAnsi="Times New Roman" w:cs="Times New Roman"/>
                <w:sz w:val="18"/>
                <w:szCs w:val="18"/>
              </w:rPr>
            </w:pPr>
            <w:r w:rsidRPr="00135E13">
              <w:rPr>
                <w:rFonts w:ascii="Times New Roman" w:hAnsi="Times New Roman" w:cs="Times New Roman"/>
                <w:color w:val="212121"/>
                <w:sz w:val="18"/>
                <w:szCs w:val="18"/>
                <w:shd w:val="clear" w:color="auto" w:fill="FFFFFF"/>
              </w:rPr>
              <w:t>Comparable</w:t>
            </w:r>
          </w:p>
        </w:tc>
        <w:tc>
          <w:tcPr>
            <w:tcW w:w="3969" w:type="dxa"/>
            <w:shd w:val="clear" w:color="auto" w:fill="FFFFFF" w:themeFill="background1"/>
          </w:tcPr>
          <w:p w14:paraId="64194051" w14:textId="3B555F6F" w:rsidR="006B6A5F" w:rsidRPr="00135E13" w:rsidRDefault="006B6A5F">
            <w:pPr>
              <w:rPr>
                <w:rFonts w:ascii="Times New Roman" w:hAnsi="Times New Roman" w:cs="Times New Roman"/>
                <w:sz w:val="18"/>
                <w:szCs w:val="18"/>
                <w:lang w:val="en-GB"/>
              </w:rPr>
            </w:pPr>
            <w:r w:rsidRPr="00135E13">
              <w:rPr>
                <w:rFonts w:ascii="Times New Roman" w:hAnsi="Times New Roman" w:cs="Times New Roman"/>
                <w:sz w:val="18"/>
                <w:szCs w:val="18"/>
                <w:lang w:val="en-GB"/>
              </w:rPr>
              <w:t>No evidence of IV superiority.</w:t>
            </w:r>
          </w:p>
          <w:p w14:paraId="28388949" w14:textId="6A270752" w:rsidR="006B6A5F" w:rsidRPr="00135E13" w:rsidRDefault="006B6A5F">
            <w:pPr>
              <w:rPr>
                <w:rFonts w:ascii="Times New Roman" w:hAnsi="Times New Roman" w:cs="Times New Roman"/>
                <w:sz w:val="18"/>
                <w:szCs w:val="18"/>
                <w:lang w:val="en-GB"/>
              </w:rPr>
            </w:pPr>
            <w:r w:rsidRPr="00135E13">
              <w:rPr>
                <w:rFonts w:ascii="Times New Roman" w:hAnsi="Times New Roman" w:cs="Times New Roman"/>
                <w:sz w:val="18"/>
                <w:szCs w:val="18"/>
                <w:lang w:val="en-GB"/>
              </w:rPr>
              <w:t xml:space="preserve">Comparable efficacy in context of chemotherapy </w:t>
            </w:r>
            <w:r w:rsidRPr="00135E13">
              <w:rPr>
                <w:rFonts w:ascii="Times New Roman" w:hAnsi="Times New Roman" w:cs="Times New Roman"/>
                <w:sz w:val="18"/>
                <w:szCs w:val="18"/>
                <w:lang w:val="en-GB"/>
              </w:rPr>
              <w:fldChar w:fldCharType="begin"/>
            </w:r>
            <w:r w:rsidR="00F4471E">
              <w:rPr>
                <w:rFonts w:ascii="Times New Roman" w:hAnsi="Times New Roman" w:cs="Times New Roman"/>
                <w:sz w:val="18"/>
                <w:szCs w:val="18"/>
                <w:lang w:val="en-GB"/>
              </w:rPr>
              <w:instrText xml:space="preserve"> ADDIN ZOTERO_ITEM CSL_CITATION {"citationID":"OCMcTzmg","properties":{"formattedCitation":"[13]","plainCitation":"[13]","noteIndex":0},"citationItems":[{"id":"RKg9lF5b/iRm2K4WZ","uris":["http://zotero.org/users/4692060/items/XJHRRGFP"],"itemData":{"id":1965,"type":"article-journal","abstract":"In a study of the antiemetic effectiveness of high-dose oral metoclopramide, 66 previously untreated patients receiving 60 mg/m2 cisplatin were entered into a double-blind randomized trial. Patients were stratified according to age and tumor type, then randomized to receive either oral or intravenous (IV) high-dose metoclopramide. Patients were evaluated for antiemetic protection, toxicity, affect (anxiety, hostility, and depression), and autonomic arousal (pulse rate and blood pressure) at three-hour intervals on the day of their chemotherapy. Metoclopramide serum levels were measured by high-performance liquid chromatography. Results indicated no significant differences between the oral and IV groups on any measurement of antiemetic protection, affect, or autonomic arousal. There were also no significant differences in side effects except for frequency of stools; patients who received oral metoclopramide had significantly more stools than patients who received IV metoclopramide. The mean (+/- SD) serum metoclopramide level at four hours achieved orally was 1,171 +/- 660 ng/mL; the mean (+/- SD) level achieved IV was 1,030 +/- 392 ng/mL (P = .498). We conclude that high-dose oral and IV regimens of metoclopramide as administered in this study have equivalent antiemetic efficacy in previously untreated patients receiving 60 mg/m2 cisplatin.","container-title":"Journal of Clinical Oncology: Official Journal of the American Society of Clinical Oncology","DOI":"10.1200/JCO.1986.4.1.98","ISSN":"0732-183X","issue":"1","journalAbbreviation":"J Clin Oncol","language":"eng","page":"98-103","PMID":"3510285","source":"PubMed","title":"Antiemetic effect of oral versus intravenous metoclopramide in patients receiving cisplatin: a randomized, double-blind trial","title-short":"Antiemetic effect of oral versus intravenous metoclopramide in patients receiving cisplatin","volume":"4","author":[{"family":"Anthony","given":"L. B."},{"family":"Krozely","given":"M. G."},{"family":"Woodward","given":"N. J."},{"family":"Hainsworth","given":"J. D."},{"family":"Hande","given":"K. R."},{"family":"Brenner","given":"D. E."},{"family":"Greco","given":"F. A."},{"family":"Burish","given":"T. G."}],"issued":{"date-parts":[["1986",1]]}}}],"schema":"https://github.com/citation-style-language/schema/raw/master/csl-citation.json"} </w:instrText>
            </w:r>
            <w:r w:rsidRPr="00135E13">
              <w:rPr>
                <w:rFonts w:ascii="Times New Roman" w:hAnsi="Times New Roman" w:cs="Times New Roman"/>
                <w:sz w:val="18"/>
                <w:szCs w:val="18"/>
                <w:lang w:val="en-GB"/>
              </w:rPr>
              <w:fldChar w:fldCharType="separate"/>
            </w:r>
            <w:r w:rsidRPr="00135E13">
              <w:rPr>
                <w:rFonts w:ascii="Times New Roman" w:hAnsi="Times New Roman" w:cs="Times New Roman"/>
                <w:sz w:val="18"/>
                <w:szCs w:val="21"/>
              </w:rPr>
              <w:t>[13]</w:t>
            </w:r>
            <w:r w:rsidRPr="00135E13">
              <w:rPr>
                <w:rFonts w:ascii="Times New Roman" w:hAnsi="Times New Roman" w:cs="Times New Roman"/>
                <w:sz w:val="18"/>
                <w:szCs w:val="18"/>
                <w:lang w:val="en-GB"/>
              </w:rPr>
              <w:fldChar w:fldCharType="end"/>
            </w:r>
          </w:p>
        </w:tc>
        <w:tc>
          <w:tcPr>
            <w:tcW w:w="2800" w:type="dxa"/>
            <w:vMerge/>
            <w:shd w:val="clear" w:color="auto" w:fill="C5E0B3" w:themeFill="accent6" w:themeFillTint="66"/>
          </w:tcPr>
          <w:p w14:paraId="4BC94AB5" w14:textId="20C32C8C" w:rsidR="006B6A5F" w:rsidRPr="00135E13" w:rsidRDefault="006B6A5F">
            <w:pPr>
              <w:rPr>
                <w:rFonts w:ascii="Times New Roman" w:hAnsi="Times New Roman" w:cs="Times New Roman"/>
                <w:sz w:val="18"/>
                <w:szCs w:val="18"/>
                <w:lang w:val="en-GB"/>
              </w:rPr>
            </w:pPr>
          </w:p>
        </w:tc>
      </w:tr>
      <w:tr w:rsidR="00B23C01" w:rsidRPr="00135E13" w14:paraId="4FD08EE9" w14:textId="0443D334" w:rsidTr="005C7D6F">
        <w:trPr>
          <w:trHeight w:val="285"/>
        </w:trPr>
        <w:tc>
          <w:tcPr>
            <w:tcW w:w="1838" w:type="dxa"/>
            <w:noWrap/>
            <w:hideMark/>
          </w:tcPr>
          <w:p w14:paraId="3AFF8D85" w14:textId="1EEBAD5D" w:rsidR="0030122A" w:rsidRPr="00135E13" w:rsidRDefault="0030122A">
            <w:pPr>
              <w:rPr>
                <w:rFonts w:ascii="Times New Roman" w:hAnsi="Times New Roman" w:cs="Times New Roman"/>
                <w:sz w:val="18"/>
                <w:szCs w:val="18"/>
              </w:rPr>
            </w:pPr>
            <w:r w:rsidRPr="00135E13">
              <w:rPr>
                <w:rFonts w:ascii="Times New Roman" w:hAnsi="Times New Roman" w:cs="Times New Roman"/>
                <w:sz w:val="18"/>
                <w:szCs w:val="18"/>
              </w:rPr>
              <w:t>Phloroglucinol</w:t>
            </w:r>
          </w:p>
        </w:tc>
        <w:tc>
          <w:tcPr>
            <w:tcW w:w="1418" w:type="dxa"/>
            <w:noWrap/>
            <w:hideMark/>
          </w:tcPr>
          <w:p w14:paraId="78E5063F" w14:textId="005F6598" w:rsidR="0030122A" w:rsidRPr="00135E13" w:rsidRDefault="0030122A">
            <w:pPr>
              <w:rPr>
                <w:rFonts w:ascii="Times New Roman" w:hAnsi="Times New Roman" w:cs="Times New Roman"/>
                <w:sz w:val="18"/>
                <w:szCs w:val="18"/>
              </w:rPr>
            </w:pPr>
            <w:r w:rsidRPr="00135E13">
              <w:rPr>
                <w:rFonts w:ascii="Times New Roman" w:hAnsi="Times New Roman" w:cs="Times New Roman"/>
                <w:sz w:val="18"/>
                <w:szCs w:val="18"/>
              </w:rPr>
              <w:t>42</w:t>
            </w:r>
            <w:r w:rsidR="003668AB" w:rsidRPr="00135E13">
              <w:rPr>
                <w:rFonts w:ascii="Times New Roman" w:hAnsi="Times New Roman" w:cs="Times New Roman"/>
                <w:sz w:val="18"/>
                <w:szCs w:val="18"/>
              </w:rPr>
              <w:t xml:space="preserve"> </w:t>
            </w:r>
            <w:r w:rsidR="003668AB"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{"citationID":"6sPbSDGo","properties":{"formattedCitation":"[14]","plainCitation":"[14]","noteIndex":0},"citationItems":[{"id":"RKg9lF5b/KtRrAk4p","uris":["http://zotero.org/users/8889971/items/36RGD83V"],"itemData":{"id":3955,"type":"article-journal","abstract":"INTRODUCTION: Pain and spasms of urinary and biliary tracts are conditions causing poor quality of life. Treatment with analgesic drugs such as non-steroidal anti-inflammatory drugs and modulators of the parasympathetic system are not always tolerated, and often additional therapeutic options are necessary. The present analysis aimed to evaluate the pharmacokinetics and effectiveness of oral and parenteral preparations based on phloroglucinol in reducing pain and spasms associated with renal or biliary colic in phase 3, multicentre, open-label, randomized, comparative studies on clinical effectiveness and safety.\nMETHODS: Pharmacokinetic and pharmacodynamic studies were carried out. Four phase 3 multicentre, open-label, randomized, comparative studies were conducted to evaluate the clinical effectiveness and safety in patients with pain and spasms of urinary or biliary tracts. Eligible patients randomly received either phloroglucinol orally or via intramuscular (IM)/intravenous (IV) administration and reference drug, dexketoprofen for urinary spasms and pain, the non-steroidal anti-inflammatory drug metamizole or scopolamine-based reference drug for biliary colic. The primary outcomes were symptoms and observed frequency of spasms, while the secondary outcome was the duration of improvement or the time between the drug administration and the recurrence of symptoms. Comparison of groups by quantitative characteristics was performed using the T-test for independent samples or the Mann-Whitney test. Intragroup comparisons were performed using the Wilcoxon test, or the T-test for linked samples. Qualitative signs were analysed using the Pearson's χ2 test and Fisher's exact test.\nRESULTS: The pharmacokinetic studies showed that (i) most of the phloroglucinol (&gt; 80% for IV and per os formulations) was eliminated in the first 6 h after dosing, (ii) the drug was eliminated in urine as unchanged phloroglucinol (1,3,5-trihydroxybenzene) in a small proportion (&lt; 3% of the dose) and (iii) a considerable amount of the drug was detected after enzymatic deconjugation with β-glucoronidase/arylsulfatase from Helix pomatia. As for the pharmacokinetic study, a total of 364 patients were enrolled, divided in four studies: two designed to test the effectiveness of oral and IM/IV preparations in biliary colic and two in urinary colic. Baseline characteristics between groups were similar. Phloroglucinol oral or IV/IM showed an effectiveness comparable to the reference drug in reducing pain and spasms associated with both urinary and biliary colic. There was no difference between all groups by survival analysis.\nCONCLUSION: Oral and parenteral preparations based on phloroglucinol are as effective in reducing pain and spasms associated with renal or biliary colic as current therapeutic options. Therefore, phloroglucinol may be considered as useful to treat pain and spasms associated with urinary and biliary colic.","container-title":"Advances in Therapy","DOI":"10.1007/s12325-022-02347-3","ISSN":"1865-8652","issue":"2","journalAbbreviation":"Adv Ther","language":"eng","page":"619-640","PMID":"36443585","PMCID":"PMC9898402","source":"PubMed","title":"Phloroglucinol-Derived Medications are Effective in Reducing Pain and Spasms of Urinary and Biliary Tracts: Results of Phase 3 Multicentre, Open-Label, Randomized, Comparative Studies of Clinical Effectiveness and Safety","title-short":"Phloroglucinol-Derived Medications are Effective in Reducing Pain and Spasms of Urinary and Biliary Tracts","volume":"40","author":[{"family":"Corvino","given":"Angela"},{"family":"Magli","given":"Elisa"},{"family":"Minale","given":"Massimiliano"},{"family":"Autelitano","given":"Andrea"},{"family":"Valente","given":"Valeria"},{"family":"Pierantoni","given":"Giovanna Maria"}],"issued":{"date-parts":[["2023",2]]}}}],"schema":"https://github.com/citation-style-language/schema/raw/master/csl-citation.json"} </w:instrText>
            </w:r>
            <w:r w:rsidR="003668AB" w:rsidRPr="00135E13">
              <w:rPr>
                <w:rFonts w:ascii="Times New Roman" w:hAnsi="Times New Roman" w:cs="Times New Roman"/>
                <w:sz w:val="18"/>
                <w:szCs w:val="18"/>
              </w:rPr>
              <w:fldChar w:fldCharType="separate"/>
            </w:r>
            <w:r w:rsidR="00A31FC3" w:rsidRPr="00135E13">
              <w:rPr>
                <w:rFonts w:ascii="Times New Roman" w:hAnsi="Times New Roman" w:cs="Times New Roman"/>
                <w:sz w:val="18"/>
                <w:szCs w:val="21"/>
              </w:rPr>
              <w:t>[14]</w:t>
            </w:r>
            <w:r w:rsidR="003668AB" w:rsidRPr="00135E13">
              <w:rPr>
                <w:rFonts w:ascii="Times New Roman" w:hAnsi="Times New Roman" w:cs="Times New Roman"/>
                <w:sz w:val="18"/>
                <w:szCs w:val="18"/>
              </w:rPr>
              <w:fldChar w:fldCharType="end"/>
            </w:r>
          </w:p>
        </w:tc>
        <w:tc>
          <w:tcPr>
            <w:tcW w:w="1134" w:type="dxa"/>
            <w:noWrap/>
            <w:hideMark/>
          </w:tcPr>
          <w:p w14:paraId="052DA46A" w14:textId="275061C9" w:rsidR="0030122A" w:rsidRPr="00135E13" w:rsidRDefault="0030122A">
            <w:pPr>
              <w:rPr>
                <w:rFonts w:ascii="Times New Roman" w:hAnsi="Times New Roman" w:cs="Times New Roman"/>
                <w:sz w:val="18"/>
                <w:szCs w:val="18"/>
              </w:rPr>
            </w:pPr>
            <w:r w:rsidRPr="00135E13">
              <w:rPr>
                <w:rFonts w:ascii="Times New Roman" w:hAnsi="Times New Roman" w:cs="Times New Roman"/>
                <w:sz w:val="18"/>
                <w:szCs w:val="18"/>
              </w:rPr>
              <w:t>0.67-1</w:t>
            </w:r>
          </w:p>
        </w:tc>
        <w:tc>
          <w:tcPr>
            <w:tcW w:w="2835" w:type="dxa"/>
            <w:noWrap/>
            <w:hideMark/>
          </w:tcPr>
          <w:p w14:paraId="43091DFF" w14:textId="2D7F9A12" w:rsidR="0030122A" w:rsidRPr="00135E13" w:rsidRDefault="0053208A">
            <w:pPr>
              <w:rPr>
                <w:rFonts w:ascii="Times New Roman" w:hAnsi="Times New Roman" w:cs="Times New Roman"/>
                <w:sz w:val="18"/>
                <w:szCs w:val="18"/>
              </w:rPr>
            </w:pPr>
            <w:r w:rsidRPr="00135E13">
              <w:rPr>
                <w:rFonts w:ascii="Times New Roman" w:hAnsi="Times New Roman" w:cs="Times New Roman"/>
                <w:color w:val="212121"/>
                <w:sz w:val="18"/>
                <w:szCs w:val="18"/>
                <w:shd w:val="clear" w:color="auto" w:fill="FFFFFF"/>
              </w:rPr>
              <w:t>Comparable</w:t>
            </w:r>
            <w:r w:rsidR="0067446E" w:rsidRPr="00135E13">
              <w:rPr>
                <w:rFonts w:ascii="Times New Roman" w:hAnsi="Times New Roman" w:cs="Times New Roman"/>
                <w:color w:val="212121"/>
                <w:sz w:val="18"/>
                <w:szCs w:val="18"/>
                <w:shd w:val="clear" w:color="auto" w:fill="FFFFFF"/>
              </w:rPr>
              <w:t xml:space="preserve"> </w:t>
            </w:r>
            <w:r w:rsidR="0067446E" w:rsidRPr="00135E13">
              <w:rPr>
                <w:rFonts w:ascii="Times New Roman" w:hAnsi="Times New Roman" w:cs="Times New Roman"/>
                <w:color w:val="222222"/>
                <w:sz w:val="18"/>
                <w:szCs w:val="18"/>
                <w:shd w:val="clear" w:color="auto" w:fill="FFFFFF"/>
              </w:rPr>
              <w:t xml:space="preserve"> </w:t>
            </w:r>
          </w:p>
        </w:tc>
        <w:tc>
          <w:tcPr>
            <w:tcW w:w="3969" w:type="dxa"/>
            <w:shd w:val="clear" w:color="auto" w:fill="FFFFFF" w:themeFill="background1"/>
          </w:tcPr>
          <w:p w14:paraId="7FBA16D4" w14:textId="17A7313B" w:rsidR="0030122A" w:rsidRPr="00135E13" w:rsidRDefault="00BE7F85">
            <w:pPr>
              <w:rPr>
                <w:rFonts w:ascii="Times New Roman" w:hAnsi="Times New Roman" w:cs="Times New Roman"/>
                <w:sz w:val="18"/>
                <w:szCs w:val="18"/>
              </w:rPr>
            </w:pPr>
            <w:r w:rsidRPr="00135E13">
              <w:rPr>
                <w:rFonts w:ascii="Times New Roman" w:hAnsi="Times New Roman" w:cs="Times New Roman"/>
                <w:color w:val="222222"/>
                <w:sz w:val="18"/>
                <w:szCs w:val="18"/>
                <w:shd w:val="clear" w:color="auto" w:fill="FFFFFF"/>
              </w:rPr>
              <w:t xml:space="preserve">Comparable </w:t>
            </w:r>
            <w:r w:rsidR="00936640" w:rsidRPr="00135E13">
              <w:rPr>
                <w:rFonts w:ascii="Times New Roman" w:hAnsi="Times New Roman" w:cs="Times New Roman"/>
                <w:color w:val="222222"/>
                <w:sz w:val="18"/>
                <w:szCs w:val="18"/>
                <w:shd w:val="clear" w:color="auto" w:fill="FFFFFF"/>
              </w:rPr>
              <w:t>effi</w:t>
            </w:r>
            <w:r w:rsidR="00936640">
              <w:rPr>
                <w:rFonts w:ascii="Times New Roman" w:hAnsi="Times New Roman" w:cs="Times New Roman"/>
                <w:color w:val="222222"/>
                <w:sz w:val="18"/>
                <w:szCs w:val="18"/>
                <w:shd w:val="clear" w:color="auto" w:fill="FFFFFF"/>
              </w:rPr>
              <w:t>cacy</w:t>
            </w:r>
            <w:r w:rsidR="00197208" w:rsidRPr="00135E13">
              <w:rPr>
                <w:rFonts w:ascii="Times New Roman" w:hAnsi="Times New Roman" w:cs="Times New Roman"/>
                <w:color w:val="222222"/>
                <w:sz w:val="18"/>
                <w:szCs w:val="18"/>
                <w:shd w:val="clear" w:color="auto" w:fill="FFFFFF"/>
              </w:rPr>
              <w:t xml:space="preserve"> </w:t>
            </w:r>
            <w:r w:rsidRPr="00135E13">
              <w:rPr>
                <w:rFonts w:ascii="Times New Roman" w:hAnsi="Times New Roman" w:cs="Times New Roman"/>
                <w:color w:val="222222"/>
                <w:sz w:val="18"/>
                <w:szCs w:val="18"/>
                <w:shd w:val="clear" w:color="auto" w:fill="FFFFFF"/>
              </w:rPr>
              <w:t xml:space="preserve">between oral and parenteral formulations in reducing pain and spasm in non-ICU populations </w:t>
            </w:r>
            <w:r w:rsidRPr="00135E13">
              <w:rPr>
                <w:rFonts w:ascii="Times New Roman" w:hAnsi="Times New Roman" w:cs="Times New Roman"/>
                <w:color w:val="222222"/>
                <w:sz w:val="18"/>
                <w:szCs w:val="18"/>
                <w:shd w:val="clear" w:color="auto" w:fill="FFFFFF"/>
              </w:rPr>
              <w:fldChar w:fldCharType="begin"/>
            </w:r>
            <w:r w:rsidR="00F4471E">
              <w:rPr>
                <w:rFonts w:ascii="Times New Roman" w:hAnsi="Times New Roman" w:cs="Times New Roman"/>
                <w:color w:val="222222"/>
                <w:sz w:val="18"/>
                <w:szCs w:val="18"/>
                <w:shd w:val="clear" w:color="auto" w:fill="FFFFFF"/>
              </w:rPr>
              <w:instrText xml:space="preserve"> ADDIN ZOTERO_ITEM CSL_CITATION {"citationID":"Uj7yWWLf","properties":{"formattedCitation":"[14]","plainCitation":"[14]","noteIndex":0},"citationItems":[{"id":"RKg9lF5b/KtRrAk4p","uris":["http://zotero.org/users/8889971/items/36RGD83V"],"itemData":{"id":3955,"type":"article-journal","abstract":"INTRODUCTION: Pain and spasms of urinary and biliary tracts are conditions causing poor quality of life. Treatment with analgesic drugs such as non-steroidal anti-inflammatory drugs and modulators of the parasympathetic system are not always tolerated, and often additional therapeutic options are necessary. The present analysis aimed to evaluate the pharmacokinetics and effectiveness of oral and parenteral preparations based on phloroglucinol in reducing pain and spasms associated with renal or biliary colic in phase 3, multicentre, open-label, randomized, comparative studies on clinical effectiveness and safety.\nMETHODS: Pharmacokinetic and pharmacodynamic studies were carried out. Four phase 3 multicentre, open-label, randomized, comparative studies were conducted to evaluate the clinical effectiveness and safety in patients with pain and spasms of urinary or biliary tracts. Eligible patients randomly received either phloroglucinol orally or via intramuscular (IM)/intravenous (IV) administration and reference drug, dexketoprofen for urinary spasms and pain, the non-steroidal anti-inflammatory drug metamizole or scopolamine-based reference drug for biliary colic. The primary outcomes were symptoms and observed frequency of spasms, while the secondary outcome was the duration of improvement or the time between the drug administration and the recurrence of symptoms. Comparison of groups by quantitative characteristics was performed using the T-test for independent samples or the Mann-Whitney test. Intragroup comparisons were performed using the Wilcoxon test, or the T-test for linked samples. Qualitative signs were analysed using the Pearson's χ2 test and Fisher's exact test.\nRESULTS: The pharmacokinetic studies showed that (i) most of the phloroglucinol (&gt; 80% for IV and per os formulations) was eliminated in the first 6 h after dosing, (ii) the drug was eliminated in urine as unchanged phloroglucinol (1,3,5-trihydroxybenzene) in a small proportion (&lt; 3% of the dose) and (iii) a considerable amount of the drug was detected after enzymatic deconjugation with β-glucoronidase/arylsulfatase from Helix pomatia. As for the pharmacokinetic study, a total of 364 patients were enrolled, divided in four studies: two designed to test the effectiveness of oral and IM/IV preparations in biliary colic and two in urinary colic. Baseline characteristics between groups were similar. Phloroglucinol oral or IV/IM showed an effectiveness comparable to the reference drug in reducing pain and spasms associated with both urinary and biliary colic. There was no difference between all groups by survival analysis.\nCONCLUSION: Oral and parenteral preparations based on phloroglucinol are as effective in reducing pain and spasms associated with renal or biliary colic as current therapeutic options. Therefore, phloroglucinol may be considered as useful to treat pain and spasms associated with urinary and biliary colic.","container-title":"Advances in Therapy","DOI":"10.1007/s12325-022-02347-3","ISSN":"1865-8652","issue":"2","journalAbbreviation":"Adv Ther","language":"eng","page":"619-640","PMID":"36443585","PMCID":"PMC9898402","source":"PubMed","title":"Phloroglucinol-Derived Medications are Effective in Reducing Pain and Spasms of Urinary and Biliary Tracts: Results of Phase 3 Multicentre, Open-Label, Randomized, Comparative Studies of Clinical Effectiveness and Safety","title-short":"Phloroglucinol-Derived Medications are Effective in Reducing Pain and Spasms of Urinary and Biliary Tracts","volume":"40","author":[{"family":"Corvino","given":"Angela"},{"family":"Magli","given":"Elisa"},{"family":"Minale","given":"Massimiliano"},{"family":"Autelitano","given":"Andrea"},{"family":"Valente","given":"Valeria"},{"family":"Pierantoni","given":"Giovanna Maria"}],"issued":{"date-parts":[["2023",2]]}}}],"schema":"https://github.com/citation-style-language/schema/raw/master/csl-citation.json"} </w:instrText>
            </w:r>
            <w:r w:rsidRPr="00135E13">
              <w:rPr>
                <w:rFonts w:ascii="Times New Roman" w:hAnsi="Times New Roman" w:cs="Times New Roman"/>
                <w:color w:val="222222"/>
                <w:sz w:val="18"/>
                <w:szCs w:val="18"/>
                <w:shd w:val="clear" w:color="auto" w:fill="FFFFFF"/>
              </w:rPr>
              <w:fldChar w:fldCharType="separate"/>
            </w:r>
            <w:r w:rsidR="00A31FC3" w:rsidRPr="00135E13">
              <w:rPr>
                <w:rFonts w:ascii="Times New Roman" w:hAnsi="Times New Roman" w:cs="Times New Roman"/>
                <w:sz w:val="18"/>
                <w:szCs w:val="21"/>
              </w:rPr>
              <w:t>[14]</w:t>
            </w:r>
            <w:r w:rsidRPr="00135E13">
              <w:rPr>
                <w:rFonts w:ascii="Times New Roman" w:hAnsi="Times New Roman" w:cs="Times New Roman"/>
                <w:color w:val="222222"/>
                <w:sz w:val="18"/>
                <w:szCs w:val="18"/>
                <w:shd w:val="clear" w:color="auto" w:fill="FFFFFF"/>
              </w:rPr>
              <w:fldChar w:fldCharType="end"/>
            </w:r>
          </w:p>
        </w:tc>
        <w:tc>
          <w:tcPr>
            <w:tcW w:w="2800" w:type="dxa"/>
            <w:shd w:val="clear" w:color="auto" w:fill="C5E0B3" w:themeFill="accent6" w:themeFillTint="66"/>
          </w:tcPr>
          <w:p w14:paraId="390A3660" w14:textId="1BF777C2" w:rsidR="0030122A" w:rsidRPr="00135E13" w:rsidRDefault="0030122A">
            <w:pPr>
              <w:rPr>
                <w:rFonts w:ascii="Times New Roman" w:hAnsi="Times New Roman" w:cs="Times New Roman"/>
                <w:sz w:val="18"/>
                <w:szCs w:val="18"/>
              </w:rPr>
            </w:pPr>
          </w:p>
        </w:tc>
      </w:tr>
      <w:tr w:rsidR="00CE3B37" w:rsidRPr="00135E13" w14:paraId="1DD94F75" w14:textId="57D4DB76" w:rsidTr="00B23C01">
        <w:trPr>
          <w:trHeight w:val="285"/>
        </w:trPr>
        <w:tc>
          <w:tcPr>
            <w:tcW w:w="13994" w:type="dxa"/>
            <w:gridSpan w:val="6"/>
            <w:noWrap/>
            <w:hideMark/>
          </w:tcPr>
          <w:p w14:paraId="1BF42EDD" w14:textId="46D9976E" w:rsidR="00CE3B37" w:rsidRPr="00135E13" w:rsidRDefault="00CE3B37" w:rsidP="00CE3B37">
            <w:pPr>
              <w:jc w:val="center"/>
              <w:rPr>
                <w:rFonts w:ascii="Times New Roman" w:hAnsi="Times New Roman" w:cs="Times New Roman"/>
                <w:sz w:val="18"/>
                <w:szCs w:val="18"/>
              </w:rPr>
            </w:pPr>
            <w:r w:rsidRPr="00135E13">
              <w:rPr>
                <w:rFonts w:ascii="Times New Roman" w:hAnsi="Times New Roman" w:cs="Times New Roman"/>
                <w:b/>
                <w:bCs/>
                <w:sz w:val="18"/>
                <w:szCs w:val="18"/>
              </w:rPr>
              <w:t>Psychotropic medications</w:t>
            </w:r>
          </w:p>
        </w:tc>
      </w:tr>
      <w:tr w:rsidR="00B23C01" w:rsidRPr="00135E13" w14:paraId="34CC31FB" w14:textId="01B68478" w:rsidTr="005C7D6F">
        <w:trPr>
          <w:trHeight w:val="285"/>
        </w:trPr>
        <w:tc>
          <w:tcPr>
            <w:tcW w:w="1838" w:type="dxa"/>
            <w:noWrap/>
            <w:hideMark/>
          </w:tcPr>
          <w:p w14:paraId="4640128C" w14:textId="53059C7C" w:rsidR="00E542D8" w:rsidRPr="00135E13" w:rsidRDefault="00E542D8">
            <w:pPr>
              <w:rPr>
                <w:rFonts w:ascii="Times New Roman" w:hAnsi="Times New Roman" w:cs="Times New Roman"/>
                <w:sz w:val="18"/>
                <w:szCs w:val="18"/>
              </w:rPr>
            </w:pPr>
            <w:r w:rsidRPr="00135E13">
              <w:rPr>
                <w:rFonts w:ascii="Times New Roman" w:hAnsi="Times New Roman" w:cs="Times New Roman"/>
                <w:sz w:val="18"/>
                <w:szCs w:val="18"/>
              </w:rPr>
              <w:t>Diazepam</w:t>
            </w:r>
          </w:p>
        </w:tc>
        <w:tc>
          <w:tcPr>
            <w:tcW w:w="1418" w:type="dxa"/>
            <w:noWrap/>
            <w:hideMark/>
          </w:tcPr>
          <w:p w14:paraId="2314666B" w14:textId="2F98B8BB" w:rsidR="00E542D8" w:rsidRPr="00135E13" w:rsidRDefault="00E542D8">
            <w:pPr>
              <w:rPr>
                <w:rFonts w:ascii="Times New Roman" w:hAnsi="Times New Roman" w:cs="Times New Roman"/>
                <w:sz w:val="18"/>
                <w:szCs w:val="18"/>
              </w:rPr>
            </w:pPr>
            <w:r w:rsidRPr="00135E13">
              <w:rPr>
                <w:rFonts w:ascii="Times New Roman" w:hAnsi="Times New Roman" w:cs="Times New Roman"/>
                <w:sz w:val="18"/>
                <w:szCs w:val="18"/>
              </w:rPr>
              <w:t>80-100</w:t>
            </w:r>
          </w:p>
        </w:tc>
        <w:tc>
          <w:tcPr>
            <w:tcW w:w="1134" w:type="dxa"/>
            <w:noWrap/>
            <w:hideMark/>
          </w:tcPr>
          <w:p w14:paraId="60A9DD60" w14:textId="6A5F63A0" w:rsidR="00E542D8" w:rsidRPr="00135E13" w:rsidRDefault="00E542D8">
            <w:pPr>
              <w:rPr>
                <w:rFonts w:ascii="Times New Roman" w:hAnsi="Times New Roman" w:cs="Times New Roman"/>
                <w:sz w:val="18"/>
                <w:szCs w:val="18"/>
              </w:rPr>
            </w:pPr>
            <w:r w:rsidRPr="00135E13">
              <w:rPr>
                <w:rFonts w:ascii="Times New Roman" w:hAnsi="Times New Roman" w:cs="Times New Roman"/>
                <w:sz w:val="18"/>
                <w:szCs w:val="18"/>
              </w:rPr>
              <w:t>0.5-1.5</w:t>
            </w:r>
          </w:p>
        </w:tc>
        <w:tc>
          <w:tcPr>
            <w:tcW w:w="2835" w:type="dxa"/>
            <w:noWrap/>
            <w:hideMark/>
          </w:tcPr>
          <w:p w14:paraId="6F9EA927" w14:textId="6D8E038A" w:rsidR="00E542D8"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vMerge w:val="restart"/>
            <w:shd w:val="clear" w:color="auto" w:fill="FFFFFF" w:themeFill="background1"/>
          </w:tcPr>
          <w:p w14:paraId="2213BD6E" w14:textId="4765FA3C" w:rsidR="00E542D8" w:rsidRPr="00135E13" w:rsidRDefault="00CE3B37">
            <w:pPr>
              <w:rPr>
                <w:rFonts w:ascii="Times New Roman" w:hAnsi="Times New Roman" w:cs="Times New Roman"/>
                <w:sz w:val="18"/>
                <w:szCs w:val="18"/>
                <w:lang w:val="en-GB"/>
              </w:rPr>
            </w:pPr>
            <w:r w:rsidRPr="00135E13">
              <w:rPr>
                <w:rFonts w:ascii="Times New Roman" w:hAnsi="Times New Roman" w:cs="Times New Roman"/>
                <w:sz w:val="18"/>
                <w:szCs w:val="18"/>
                <w:lang w:val="en-GB"/>
              </w:rPr>
              <w:t>E</w:t>
            </w:r>
            <w:r w:rsidR="00E542D8" w:rsidRPr="00135E13">
              <w:rPr>
                <w:rFonts w:ascii="Times New Roman" w:hAnsi="Times New Roman" w:cs="Times New Roman"/>
                <w:sz w:val="18"/>
                <w:szCs w:val="18"/>
                <w:lang w:val="en-GB"/>
              </w:rPr>
              <w:t xml:space="preserve">nteral benzodiazepines are effective alternatives for the management of agitation, anxiety, alcohol withdrawal, delirium tremens and seizure prophylaxis </w:t>
            </w:r>
            <w:r w:rsidR="00BE7F85" w:rsidRPr="00135E13">
              <w:rPr>
                <w:rFonts w:ascii="Times New Roman" w:hAnsi="Times New Roman" w:cs="Times New Roman"/>
                <w:sz w:val="18"/>
                <w:szCs w:val="18"/>
                <w:lang w:val="en-GB"/>
              </w:rPr>
              <w:fldChar w:fldCharType="begin"/>
            </w:r>
            <w:r w:rsidR="00F4471E">
              <w:rPr>
                <w:rFonts w:ascii="Times New Roman" w:hAnsi="Times New Roman" w:cs="Times New Roman"/>
                <w:sz w:val="18"/>
                <w:szCs w:val="18"/>
                <w:lang w:val="en-GB"/>
              </w:rPr>
              <w:instrText xml:space="preserve"> ADDIN ZOTERO_ITEM CSL_CITATION {"citationID":"VfD7wSBa","properties":{"formattedCitation":"[15]","plainCitation":"[15]","noteIndex":0},"citationItems":[{"id":"RKg9lF5b/2abCLUHc","uris":["http://zotero.org/users/8889971/items/S6YEAXTJ"],"itemData":{"id":3870,"type":"article-journal","abstract":"All benzodiazepines enter cerebral tissue rapidly. However, the duration of action is short for diazepam (&lt; 2 hours) and midazolam (3 to 4 hours) and longer for clonazepam (24 hours) and lorazepam (up to 72 hours), and is not correlated with the plasma concentration-time profiles of these drugs. Although a relationship between the plasma concentration of diazepam, lorazepam and midazolam and their pharmacodynamic effect has been demonstrated in healthy individuals, some caution is warranted as the clinical relevance of these data has not been clearly established. The physicochemical properties of benzodiazepines (lipid solubility and protein binding) regulate their rate and extent of entry into the brain and cerebrospinal fluid. However, the duration of the pharmacological activity of benzodiazepines may be in part related to the affinity of these compounds for the benzodiazepine receptors in the brain: midazolam, clonazepam and lorazepam have higher affinities than diazepam. In the emergency setting, the intravenous route is the most suitable, delivering adequate quantities of benzodiazepines as fast as possible. However, when intravenous administration is not available, rectal administration of a solution is a convenient method for diazepam, midazolam being the only one of these drugs that should be given intramuscularly. The assessment of the efficacy of benzodiazepines in the management of acute seizures and status epilepticus is mainly based on nonrandomized uncontrolled trials. According to the route of administration, the efficacy was 28.6 to 100% (intrarectal) and 54 to 100% (intravenous) for diazepam, 82 to 100% (intravenous) for lorazepam, and 79% (intranasal), 93 to 100% (intramuscular) and 100% (intravenous) for midazolam. Although diazepam was initially chosen for the management of refractory status epilepticus, the longer duration of action of lorazepam and clonazepam may favour the use of these 2 drugs. However, double-blind evaluations are necessary to determine which drug is best.","container-title":"Clinical Pharmacokinetics","DOI":"10.2165/00003088-199936060-00003","ISSN":"0312-5963","issue":"6","journalAbbreviation":"Clin Pharmacokinet","language":"eng","page":"409-424","PMID":"10427466","source":"PubMed","title":"Pharmacokinetic optimization of benzodiazepine therapy for acute seizures. Focus on delivery routes","volume":"36","author":[{"family":"Rey","given":"E."},{"family":"Tréluyer","given":"J. M."},{"family":"Pons","given":"G."}],"issued":{"date-parts":[["1999",6]]}}}],"schema":"https://github.com/citation-style-language/schema/raw/master/csl-citation.json"} </w:instrText>
            </w:r>
            <w:r w:rsidR="00BE7F85" w:rsidRPr="00135E13">
              <w:rPr>
                <w:rFonts w:ascii="Times New Roman" w:hAnsi="Times New Roman" w:cs="Times New Roman"/>
                <w:sz w:val="18"/>
                <w:szCs w:val="18"/>
                <w:lang w:val="en-GB"/>
              </w:rPr>
              <w:fldChar w:fldCharType="separate"/>
            </w:r>
            <w:r w:rsidR="00A31FC3" w:rsidRPr="00135E13">
              <w:rPr>
                <w:rFonts w:ascii="Times New Roman" w:hAnsi="Times New Roman" w:cs="Times New Roman"/>
                <w:sz w:val="18"/>
                <w:szCs w:val="21"/>
              </w:rPr>
              <w:t>[15]</w:t>
            </w:r>
            <w:r w:rsidR="00BE7F85" w:rsidRPr="00135E13">
              <w:rPr>
                <w:rFonts w:ascii="Times New Roman" w:hAnsi="Times New Roman" w:cs="Times New Roman"/>
                <w:sz w:val="18"/>
                <w:szCs w:val="18"/>
                <w:lang w:val="en-GB"/>
              </w:rPr>
              <w:fldChar w:fldCharType="end"/>
            </w:r>
            <w:r w:rsidR="00BE7F85" w:rsidRPr="00135E13">
              <w:rPr>
                <w:rFonts w:ascii="Times New Roman" w:hAnsi="Times New Roman" w:cs="Times New Roman"/>
                <w:sz w:val="18"/>
                <w:szCs w:val="18"/>
                <w:lang w:val="en-GB"/>
              </w:rPr>
              <w:t xml:space="preserve"> </w:t>
            </w:r>
            <w:r w:rsidR="00BE7F85" w:rsidRPr="00135E13">
              <w:rPr>
                <w:rFonts w:ascii="Times New Roman" w:hAnsi="Times New Roman" w:cs="Times New Roman"/>
                <w:sz w:val="18"/>
                <w:szCs w:val="18"/>
                <w:lang w:val="en-GB"/>
              </w:rPr>
              <w:fldChar w:fldCharType="begin"/>
            </w:r>
            <w:r w:rsidR="00F4471E">
              <w:rPr>
                <w:rFonts w:ascii="Times New Roman" w:hAnsi="Times New Roman" w:cs="Times New Roman"/>
                <w:sz w:val="18"/>
                <w:szCs w:val="18"/>
                <w:lang w:val="en-GB"/>
              </w:rPr>
              <w:instrText xml:space="preserve"> ADDIN ZOTERO_ITEM CSL_CITATION {"citationID":"Vi5KxMsL","properties":{"formattedCitation":"[16]","plainCitation":"[16]","noteIndex":0},"citationItems":[{"id":"RKg9lF5b/Gao5G18j","uris":["http://zotero.org/users/8889971/items/DP3A78LK"],"itemData":{"id":3871,"type":"article-journal","abstract":"1 The absorption of single doses of diazepam in six adult epileptic subjects following intravenous, oral and rectal administration were studied in order to evaluate the usefulness of the latter in emergency situations in the adult. 2 Diazepam tablets (Valium, Roche) and rectal solution (Valium solution for intravenous administration) produced similar peak serum concentrations after delays of 15-90 min. 3 Two suppository formulations showed statistically significant differences in absorption characteristics. 4 Serum diazepam levels above 400 ng ml-1 (suggested to be necessary for a satisfactory anticonvulsant effect) were reached in only a few subjects after rectal doses of 10-20 mg of solution, and then usually after a delay of over 2 h.","container-title":"British Journal of Clinical Pharmacology","DOI":"10.1111/j.1365-2125.1982.tb01397.x","ISSN":"0306-5251","issue":"3","journalAbbreviation":"Br J Clin Pharmacol","language":"eng","page":"427-432","PMID":"7059446","PMCID":"PMC1402110","source":"PubMed","title":"Bioavailability of diazepam after intravenous, oral and rectal administration in adult epileptic patients","volume":"13","author":[{"family":"Dhillon","given":"S."},{"family":"Oxley","given":"J."},{"family":"Richens","given":"A."}],"issued":{"date-parts":[["1982",3]]}}}],"schema":"https://github.com/citation-style-language/schema/raw/master/csl-citation.json"} </w:instrText>
            </w:r>
            <w:r w:rsidR="00BE7F85" w:rsidRPr="00135E13">
              <w:rPr>
                <w:rFonts w:ascii="Times New Roman" w:hAnsi="Times New Roman" w:cs="Times New Roman"/>
                <w:sz w:val="18"/>
                <w:szCs w:val="18"/>
                <w:lang w:val="en-GB"/>
              </w:rPr>
              <w:fldChar w:fldCharType="separate"/>
            </w:r>
            <w:r w:rsidR="00A31FC3" w:rsidRPr="00135E13">
              <w:rPr>
                <w:rFonts w:ascii="Times New Roman" w:hAnsi="Times New Roman" w:cs="Times New Roman"/>
                <w:sz w:val="18"/>
                <w:szCs w:val="21"/>
              </w:rPr>
              <w:t>[16]</w:t>
            </w:r>
            <w:r w:rsidR="00BE7F85" w:rsidRPr="00135E13">
              <w:rPr>
                <w:rFonts w:ascii="Times New Roman" w:hAnsi="Times New Roman" w:cs="Times New Roman"/>
                <w:sz w:val="18"/>
                <w:szCs w:val="18"/>
                <w:lang w:val="en-GB"/>
              </w:rPr>
              <w:fldChar w:fldCharType="end"/>
            </w:r>
          </w:p>
        </w:tc>
        <w:tc>
          <w:tcPr>
            <w:tcW w:w="2800" w:type="dxa"/>
            <w:vMerge w:val="restart"/>
            <w:shd w:val="clear" w:color="auto" w:fill="C5E0B3" w:themeFill="accent6" w:themeFillTint="66"/>
          </w:tcPr>
          <w:p w14:paraId="52049B34" w14:textId="45336AAC" w:rsidR="00E542D8" w:rsidRPr="00135E13" w:rsidRDefault="00E542D8">
            <w:pPr>
              <w:rPr>
                <w:rFonts w:ascii="Times New Roman" w:hAnsi="Times New Roman" w:cs="Times New Roman"/>
                <w:sz w:val="18"/>
                <w:szCs w:val="18"/>
                <w:lang w:val="en-GB"/>
              </w:rPr>
            </w:pPr>
            <w:r w:rsidRPr="00135E13">
              <w:rPr>
                <w:rFonts w:ascii="Times New Roman" w:hAnsi="Times New Roman" w:cs="Times New Roman"/>
                <w:sz w:val="18"/>
                <w:szCs w:val="18"/>
                <w:lang w:val="en-GB"/>
              </w:rPr>
              <w:t xml:space="preserve">Except in </w:t>
            </w:r>
            <w:r w:rsidR="008F7D34" w:rsidRPr="00135E13">
              <w:rPr>
                <w:rFonts w:ascii="Times New Roman" w:hAnsi="Times New Roman" w:cs="Times New Roman"/>
                <w:sz w:val="18"/>
                <w:szCs w:val="18"/>
                <w:lang w:val="en-GB"/>
              </w:rPr>
              <w:t>s</w:t>
            </w:r>
            <w:r w:rsidRPr="00135E13">
              <w:rPr>
                <w:rFonts w:ascii="Times New Roman" w:hAnsi="Times New Roman" w:cs="Times New Roman"/>
                <w:sz w:val="18"/>
                <w:szCs w:val="18"/>
                <w:lang w:val="en-GB"/>
              </w:rPr>
              <w:t>tatus epilepticus or severe acute agitation</w:t>
            </w:r>
          </w:p>
        </w:tc>
      </w:tr>
      <w:tr w:rsidR="00B23C01" w:rsidRPr="00135E13" w14:paraId="101161F5" w14:textId="15C2E8CC" w:rsidTr="005C7D6F">
        <w:trPr>
          <w:trHeight w:val="285"/>
        </w:trPr>
        <w:tc>
          <w:tcPr>
            <w:tcW w:w="1838" w:type="dxa"/>
            <w:noWrap/>
            <w:hideMark/>
          </w:tcPr>
          <w:p w14:paraId="3E94DFF4" w14:textId="7984E971" w:rsidR="00E542D8" w:rsidRPr="00135E13" w:rsidRDefault="00E542D8">
            <w:pPr>
              <w:rPr>
                <w:rFonts w:ascii="Times New Roman" w:hAnsi="Times New Roman" w:cs="Times New Roman"/>
                <w:sz w:val="18"/>
                <w:szCs w:val="18"/>
              </w:rPr>
            </w:pPr>
            <w:r w:rsidRPr="00135E13">
              <w:rPr>
                <w:rFonts w:ascii="Times New Roman" w:hAnsi="Times New Roman" w:cs="Times New Roman"/>
                <w:sz w:val="18"/>
                <w:szCs w:val="18"/>
              </w:rPr>
              <w:t>Clonazepam</w:t>
            </w:r>
          </w:p>
        </w:tc>
        <w:tc>
          <w:tcPr>
            <w:tcW w:w="1418" w:type="dxa"/>
            <w:noWrap/>
            <w:hideMark/>
          </w:tcPr>
          <w:p w14:paraId="70607186" w14:textId="10F399BB" w:rsidR="00E542D8" w:rsidRPr="00135E13" w:rsidRDefault="00E542D8" w:rsidP="00712F12">
            <w:pPr>
              <w:rPr>
                <w:rFonts w:ascii="Times New Roman" w:hAnsi="Times New Roman" w:cs="Times New Roman"/>
                <w:sz w:val="18"/>
                <w:szCs w:val="18"/>
              </w:rPr>
            </w:pPr>
            <w:r w:rsidRPr="00135E13">
              <w:rPr>
                <w:rFonts w:ascii="Times New Roman" w:hAnsi="Times New Roman" w:cs="Times New Roman"/>
                <w:sz w:val="18"/>
                <w:szCs w:val="18"/>
              </w:rPr>
              <w:t>90</w:t>
            </w:r>
          </w:p>
        </w:tc>
        <w:tc>
          <w:tcPr>
            <w:tcW w:w="1134" w:type="dxa"/>
            <w:noWrap/>
            <w:hideMark/>
          </w:tcPr>
          <w:p w14:paraId="3EF0125F" w14:textId="3EF3FF7A" w:rsidR="00E542D8" w:rsidRPr="00135E13" w:rsidRDefault="00E542D8">
            <w:pPr>
              <w:rPr>
                <w:rFonts w:ascii="Times New Roman" w:hAnsi="Times New Roman" w:cs="Times New Roman"/>
                <w:sz w:val="18"/>
                <w:szCs w:val="18"/>
              </w:rPr>
            </w:pPr>
            <w:r w:rsidRPr="00135E13">
              <w:rPr>
                <w:rFonts w:ascii="Times New Roman" w:hAnsi="Times New Roman" w:cs="Times New Roman"/>
                <w:sz w:val="18"/>
                <w:szCs w:val="18"/>
              </w:rPr>
              <w:t>1-4</w:t>
            </w:r>
          </w:p>
        </w:tc>
        <w:tc>
          <w:tcPr>
            <w:tcW w:w="2835" w:type="dxa"/>
            <w:noWrap/>
            <w:hideMark/>
          </w:tcPr>
          <w:p w14:paraId="1AFDA78C" w14:textId="32A08E34" w:rsidR="00E542D8"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vMerge/>
            <w:shd w:val="clear" w:color="auto" w:fill="FFFFFF" w:themeFill="background1"/>
          </w:tcPr>
          <w:p w14:paraId="25743BEA" w14:textId="77777777" w:rsidR="00E542D8" w:rsidRPr="00135E13" w:rsidRDefault="00E542D8">
            <w:pPr>
              <w:rPr>
                <w:rFonts w:ascii="Times New Roman" w:hAnsi="Times New Roman" w:cs="Times New Roman"/>
                <w:sz w:val="18"/>
                <w:szCs w:val="18"/>
                <w:lang w:val="en-GB"/>
              </w:rPr>
            </w:pPr>
          </w:p>
        </w:tc>
        <w:tc>
          <w:tcPr>
            <w:tcW w:w="2800" w:type="dxa"/>
            <w:vMerge/>
            <w:tcBorders>
              <w:bottom w:val="single" w:sz="4" w:space="0" w:color="auto"/>
            </w:tcBorders>
            <w:shd w:val="clear" w:color="auto" w:fill="C5E0B3" w:themeFill="accent6" w:themeFillTint="66"/>
          </w:tcPr>
          <w:p w14:paraId="7169887D" w14:textId="6A56F7FB" w:rsidR="00E542D8" w:rsidRPr="00135E13" w:rsidRDefault="00E542D8">
            <w:pPr>
              <w:rPr>
                <w:rFonts w:ascii="Times New Roman" w:hAnsi="Times New Roman" w:cs="Times New Roman"/>
                <w:sz w:val="18"/>
                <w:szCs w:val="18"/>
                <w:lang w:val="en-GB"/>
              </w:rPr>
            </w:pPr>
          </w:p>
        </w:tc>
      </w:tr>
      <w:tr w:rsidR="00B23C01" w:rsidRPr="00135E13" w14:paraId="4EC63E76" w14:textId="78A60DF4" w:rsidTr="005C7D6F">
        <w:trPr>
          <w:trHeight w:val="285"/>
        </w:trPr>
        <w:tc>
          <w:tcPr>
            <w:tcW w:w="1838" w:type="dxa"/>
            <w:noWrap/>
            <w:hideMark/>
          </w:tcPr>
          <w:p w14:paraId="16F5BE43" w14:textId="78540EF1" w:rsidR="0030122A" w:rsidRPr="00135E13" w:rsidRDefault="0030122A">
            <w:pPr>
              <w:rPr>
                <w:rFonts w:ascii="Times New Roman" w:hAnsi="Times New Roman" w:cs="Times New Roman"/>
                <w:sz w:val="18"/>
                <w:szCs w:val="18"/>
              </w:rPr>
            </w:pPr>
            <w:r w:rsidRPr="00135E13">
              <w:rPr>
                <w:rFonts w:ascii="Times New Roman" w:hAnsi="Times New Roman" w:cs="Times New Roman"/>
                <w:sz w:val="18"/>
                <w:szCs w:val="18"/>
              </w:rPr>
              <w:t>Hydroxyzine</w:t>
            </w:r>
          </w:p>
        </w:tc>
        <w:tc>
          <w:tcPr>
            <w:tcW w:w="1418" w:type="dxa"/>
            <w:noWrap/>
            <w:hideMark/>
          </w:tcPr>
          <w:p w14:paraId="6C90DE56" w14:textId="6C5D4C75" w:rsidR="0030122A" w:rsidRPr="00135E13" w:rsidRDefault="0030122A" w:rsidP="00712F12">
            <w:pPr>
              <w:rPr>
                <w:rFonts w:ascii="Times New Roman" w:hAnsi="Times New Roman" w:cs="Times New Roman"/>
                <w:sz w:val="18"/>
                <w:szCs w:val="18"/>
              </w:rPr>
            </w:pPr>
            <w:r w:rsidRPr="00135E13">
              <w:rPr>
                <w:rFonts w:ascii="Times New Roman" w:hAnsi="Times New Roman" w:cs="Times New Roman"/>
                <w:sz w:val="18"/>
                <w:szCs w:val="18"/>
              </w:rPr>
              <w:t>80</w:t>
            </w:r>
          </w:p>
        </w:tc>
        <w:tc>
          <w:tcPr>
            <w:tcW w:w="1134" w:type="dxa"/>
            <w:noWrap/>
            <w:hideMark/>
          </w:tcPr>
          <w:p w14:paraId="0CAE8CD2" w14:textId="319CC995" w:rsidR="0030122A" w:rsidRPr="00135E13" w:rsidRDefault="0030122A">
            <w:pPr>
              <w:rPr>
                <w:rFonts w:ascii="Times New Roman" w:hAnsi="Times New Roman" w:cs="Times New Roman"/>
                <w:sz w:val="18"/>
                <w:szCs w:val="18"/>
              </w:rPr>
            </w:pPr>
            <w:r w:rsidRPr="00135E13">
              <w:rPr>
                <w:rFonts w:ascii="Times New Roman" w:hAnsi="Times New Roman" w:cs="Times New Roman"/>
                <w:sz w:val="18"/>
                <w:szCs w:val="18"/>
              </w:rPr>
              <w:t xml:space="preserve">2 </w:t>
            </w:r>
          </w:p>
        </w:tc>
        <w:tc>
          <w:tcPr>
            <w:tcW w:w="2835" w:type="dxa"/>
            <w:noWrap/>
            <w:hideMark/>
          </w:tcPr>
          <w:p w14:paraId="1F5D0645" w14:textId="7131C776" w:rsidR="0030122A" w:rsidRPr="00135E13" w:rsidRDefault="006B6A5F">
            <w:pPr>
              <w:rPr>
                <w:rFonts w:ascii="Times New Roman" w:hAnsi="Times New Roman" w:cs="Times New Roman"/>
                <w:sz w:val="18"/>
                <w:szCs w:val="18"/>
              </w:rPr>
            </w:pPr>
            <w:r w:rsidRPr="00135E13">
              <w:rPr>
                <w:rFonts w:ascii="Times New Roman" w:eastAsia="Times New Roman" w:hAnsi="Times New Roman" w:cs="Times New Roman"/>
                <w:sz w:val="18"/>
                <w:szCs w:val="18"/>
                <w:lang w:val="en-GB"/>
              </w:rPr>
              <w:t xml:space="preserve">Comparable </w:t>
            </w:r>
          </w:p>
        </w:tc>
        <w:tc>
          <w:tcPr>
            <w:tcW w:w="3969" w:type="dxa"/>
            <w:shd w:val="clear" w:color="auto" w:fill="FFFFFF" w:themeFill="background1"/>
          </w:tcPr>
          <w:p w14:paraId="53C6DB27" w14:textId="5A282EA9" w:rsidR="0030122A" w:rsidRPr="00135E13" w:rsidRDefault="00CE3B37">
            <w:pPr>
              <w:rPr>
                <w:rFonts w:ascii="Times New Roman" w:hAnsi="Times New Roman" w:cs="Times New Roman"/>
                <w:sz w:val="18"/>
                <w:szCs w:val="18"/>
              </w:rPr>
            </w:pPr>
            <w:r w:rsidRPr="00135E13">
              <w:rPr>
                <w:rFonts w:ascii="Times New Roman" w:eastAsia="Times New Roman" w:hAnsi="Times New Roman" w:cs="Times New Roman"/>
                <w:sz w:val="18"/>
                <w:szCs w:val="18"/>
                <w:lang w:val="en-GB"/>
              </w:rPr>
              <w:t>E</w:t>
            </w:r>
            <w:r w:rsidR="00422859" w:rsidRPr="00135E13">
              <w:rPr>
                <w:rFonts w:ascii="Times New Roman" w:eastAsia="Times New Roman" w:hAnsi="Times New Roman" w:cs="Times New Roman"/>
                <w:sz w:val="18"/>
                <w:szCs w:val="18"/>
                <w:lang w:val="en-GB"/>
              </w:rPr>
              <w:t>nteral hydroxyzine may represent a viable alternative to intravenous sedatives for light sedation</w:t>
            </w:r>
            <w:r w:rsidR="00BE7F85" w:rsidRPr="00135E13">
              <w:rPr>
                <w:rFonts w:ascii="Times New Roman" w:eastAsia="Times New Roman" w:hAnsi="Times New Roman" w:cs="Times New Roman"/>
                <w:sz w:val="18"/>
                <w:szCs w:val="18"/>
                <w:lang w:val="en-GB"/>
              </w:rPr>
              <w:t xml:space="preserve"> </w:t>
            </w:r>
            <w:r w:rsidR="00BE7F85" w:rsidRPr="00135E13">
              <w:rPr>
                <w:rFonts w:ascii="Times New Roman" w:eastAsia="Times New Roman" w:hAnsi="Times New Roman" w:cs="Times New Roman"/>
                <w:sz w:val="18"/>
                <w:szCs w:val="18"/>
                <w:lang w:val="en-GB"/>
              </w:rPr>
              <w:fldChar w:fldCharType="begin"/>
            </w:r>
            <w:r w:rsidR="00F4471E">
              <w:rPr>
                <w:rFonts w:ascii="Times New Roman" w:eastAsia="Times New Roman" w:hAnsi="Times New Roman" w:cs="Times New Roman"/>
                <w:sz w:val="18"/>
                <w:szCs w:val="18"/>
                <w:lang w:val="en-GB"/>
              </w:rPr>
              <w:instrText xml:space="preserve"> ADDIN ZOTERO_ITEM CSL_CITATION {"citationID":"kMqzXTlP","properties":{"formattedCitation":"[17]","plainCitation":"[17]","noteIndex":0},"citationItems":[{"id":"RKg9lF5b/b5Eoxj7N","uris":["http://zotero.org/users/8889971/items/W6UMZCYJ"],"itemData":{"id":3865,"type":"article-journal","abstract":"BACKGROUND: ICU patients must be kept conscious, calm, and cooperative even during the critical phases of illness. Enteral administration of sedative drugs might avoid over sedation, and would be as adequate as intravenous administration in patients who are awake, with fewer side effects and lower costs. This study compares two sedation strategies, for early achievement and maintenance of the target light sedation.\nMETHODS: This was a multicenter, single-blind, randomized and controlled trial carried out in 12 Italian ICUs, involving patients with expected mechanical ventilation duration &gt; 72 h at ICU admission and predicted mortality &gt; 12% (Simplified Acute Physiology Score II &gt; 32 points) during the first 24 h on ICU. Patients were randomly assigned to receive intravenous (midazolam, propofol) or enteral (hydroxyzine, lorazepam, and melatonin) sedation. The primary outcome was percentage of work shifts with the patient having an observed Richmond Agitation-Sedation Scale (RASS) = target RASS ±1. Secondary outcomes were feasibility, delirium-free and coma-free days, costs of drugs, length of ICU and hospital stay, and ICU, hospital, and one-year mortality.\nRESULTS: There were 348 patients enrolled. There were no differences in the primary outcome: enteral 89.8% (74.1-100), intravenous 94.4% (78-100), p = 0.20. Enteral-treated patients had more protocol violations: n = 81 (46.6%) vs 7 (4.2%), p &lt; 0.01; more self-extubations: n = 14 (8.1%) vs 4 (2.4%), p = 0.03; a lighter sedative target (RASS = 0): 93% (71-100) vs 83% (61-100), p &lt; 0.01; and lower total drug costs: 2.39 (0.75-9.78) vs 4.15 (1.20-20.19) €/day with mechanical ventilation (p = 0.01).\nCONCLUSIONS: Although enteral sedation of critically ill patients is cheaper and permits a lighter sedation target, it is not superior to intravenous sedation for reaching the RASS target.\nTRIAL REGISTRATION: ClinicalTrials.gov, NCT01360346 . Registered on 25 March 2011.","container-title":"Critical Care (London, England)","DOI":"10.1186/s13054-018-2280-x","ISSN":"1466-609X","issue":"1","journalAbbreviation":"Crit Care","language":"eng","page":"3","PMID":"30616675","PMCID":"PMC6323792","source":"PubMed","title":"Enteral versus intravenous approach for the sedation of critically ill patients: a randomized and controlled trial","title-short":"Enteral versus intravenous approach for the sedation of critically ill patients","volume":"23","author":[{"family":"Mistraletti","given":"Giovanni"},{"family":"Umbrello","given":"Michele"},{"family":"Salini","given":"Silvia"},{"family":"Cadringher","given":"Paolo"},{"family":"Formenti","given":"Paolo"},{"family":"Chiumello","given":"Davide"},{"family":"Villa","given":"Cristina"},{"family":"Russo","given":"Riccarda"},{"family":"Francesconi","given":"Silvia"},{"family":"Valdambrini","given":"Federico"},{"family":"Bellani","given":"Giacomo"},{"family":"Palo","given":"Alessandra"},{"family":"Riccardi","given":"Francesca"},{"family":"Ferretti","given":"Enrica"},{"family":"Festa","given":"Maurilio"},{"family":"Gado","given":"Anna Maria"},{"family":"Taverna","given":"Martina"},{"family":"Pinna","given":"Cristina"},{"family":"Barbiero","given":"Alessandro"},{"family":"Ferrari","given":"Pier Alda"},{"family":"Iapichino","given":"Gaetano"},{"literal":"SedaEN investigators"}],"issued":{"date-parts":[["2019",1,7]]}}}],"schema":"https://github.com/citation-style-language/schema/raw/master/csl-citation.json"} </w:instrText>
            </w:r>
            <w:r w:rsidR="00BE7F85" w:rsidRPr="00135E13">
              <w:rPr>
                <w:rFonts w:ascii="Times New Roman" w:eastAsia="Times New Roman" w:hAnsi="Times New Roman" w:cs="Times New Roman"/>
                <w:sz w:val="18"/>
                <w:szCs w:val="18"/>
                <w:lang w:val="en-GB"/>
              </w:rPr>
              <w:fldChar w:fldCharType="separate"/>
            </w:r>
            <w:r w:rsidR="00A31FC3" w:rsidRPr="00135E13">
              <w:rPr>
                <w:rFonts w:ascii="Times New Roman" w:hAnsi="Times New Roman" w:cs="Times New Roman"/>
                <w:sz w:val="18"/>
                <w:szCs w:val="21"/>
              </w:rPr>
              <w:t>[17]</w:t>
            </w:r>
            <w:r w:rsidR="00BE7F85" w:rsidRPr="00135E13">
              <w:rPr>
                <w:rFonts w:ascii="Times New Roman" w:eastAsia="Times New Roman" w:hAnsi="Times New Roman" w:cs="Times New Roman"/>
                <w:sz w:val="18"/>
                <w:szCs w:val="18"/>
                <w:lang w:val="en-GB"/>
              </w:rPr>
              <w:fldChar w:fldCharType="end"/>
            </w:r>
            <w:r w:rsidR="00422859" w:rsidRPr="00135E13">
              <w:rPr>
                <w:rFonts w:ascii="Times New Roman" w:eastAsia="Times New Roman" w:hAnsi="Times New Roman" w:cs="Times New Roman"/>
                <w:sz w:val="18"/>
                <w:szCs w:val="18"/>
                <w:lang w:val="en-GB"/>
              </w:rPr>
              <w:t xml:space="preserve"> </w:t>
            </w:r>
          </w:p>
        </w:tc>
        <w:tc>
          <w:tcPr>
            <w:tcW w:w="2800" w:type="dxa"/>
            <w:shd w:val="clear" w:color="auto" w:fill="C5E0B3" w:themeFill="accent6" w:themeFillTint="66"/>
          </w:tcPr>
          <w:p w14:paraId="1572553C" w14:textId="772B50C7" w:rsidR="0030122A" w:rsidRPr="00135E13" w:rsidRDefault="0030122A">
            <w:pPr>
              <w:rPr>
                <w:rFonts w:ascii="Times New Roman" w:hAnsi="Times New Roman" w:cs="Times New Roman"/>
                <w:sz w:val="18"/>
                <w:szCs w:val="18"/>
              </w:rPr>
            </w:pPr>
          </w:p>
        </w:tc>
      </w:tr>
      <w:tr w:rsidR="00B23C01" w:rsidRPr="00135E13" w14:paraId="790433E9" w14:textId="5E3CA18E" w:rsidTr="005C7D6F">
        <w:trPr>
          <w:trHeight w:val="285"/>
        </w:trPr>
        <w:tc>
          <w:tcPr>
            <w:tcW w:w="1838" w:type="dxa"/>
            <w:noWrap/>
            <w:hideMark/>
          </w:tcPr>
          <w:p w14:paraId="75A53E5F" w14:textId="097B90A2" w:rsidR="00422859" w:rsidRPr="00135E13" w:rsidRDefault="00422859">
            <w:pPr>
              <w:rPr>
                <w:rFonts w:ascii="Times New Roman" w:hAnsi="Times New Roman" w:cs="Times New Roman"/>
                <w:sz w:val="18"/>
                <w:szCs w:val="18"/>
              </w:rPr>
            </w:pPr>
            <w:r w:rsidRPr="00135E13">
              <w:rPr>
                <w:rFonts w:ascii="Times New Roman" w:hAnsi="Times New Roman" w:cs="Times New Roman"/>
                <w:sz w:val="18"/>
                <w:szCs w:val="18"/>
              </w:rPr>
              <w:t>Haloperidol</w:t>
            </w:r>
          </w:p>
        </w:tc>
        <w:tc>
          <w:tcPr>
            <w:tcW w:w="1418" w:type="dxa"/>
            <w:noWrap/>
            <w:hideMark/>
          </w:tcPr>
          <w:p w14:paraId="5F56AE55" w14:textId="524B272E" w:rsidR="00422859" w:rsidRPr="00135E13" w:rsidRDefault="00422859">
            <w:pPr>
              <w:rPr>
                <w:rFonts w:ascii="Times New Roman" w:hAnsi="Times New Roman" w:cs="Times New Roman"/>
                <w:sz w:val="18"/>
                <w:szCs w:val="18"/>
              </w:rPr>
            </w:pPr>
            <w:r w:rsidRPr="00135E13">
              <w:rPr>
                <w:rFonts w:ascii="Times New Roman" w:hAnsi="Times New Roman" w:cs="Times New Roman"/>
                <w:sz w:val="18"/>
                <w:szCs w:val="18"/>
              </w:rPr>
              <w:t>60-70</w:t>
            </w:r>
          </w:p>
        </w:tc>
        <w:tc>
          <w:tcPr>
            <w:tcW w:w="1134" w:type="dxa"/>
            <w:noWrap/>
            <w:hideMark/>
          </w:tcPr>
          <w:p w14:paraId="1B6ADB68" w14:textId="66EE1FEF" w:rsidR="00422859" w:rsidRPr="00135E13" w:rsidRDefault="00422859">
            <w:pPr>
              <w:rPr>
                <w:rFonts w:ascii="Times New Roman" w:hAnsi="Times New Roman" w:cs="Times New Roman"/>
                <w:sz w:val="18"/>
                <w:szCs w:val="18"/>
              </w:rPr>
            </w:pPr>
            <w:r w:rsidRPr="00135E13">
              <w:rPr>
                <w:rFonts w:ascii="Times New Roman" w:hAnsi="Times New Roman" w:cs="Times New Roman"/>
                <w:sz w:val="18"/>
                <w:szCs w:val="18"/>
              </w:rPr>
              <w:t xml:space="preserve">2-6 </w:t>
            </w:r>
          </w:p>
        </w:tc>
        <w:tc>
          <w:tcPr>
            <w:tcW w:w="2835" w:type="dxa"/>
            <w:vMerge w:val="restart"/>
            <w:noWrap/>
            <w:hideMark/>
          </w:tcPr>
          <w:p w14:paraId="6D6FE72A" w14:textId="473B5728" w:rsidR="00422859" w:rsidRPr="00135E13" w:rsidRDefault="00422859">
            <w:pPr>
              <w:rPr>
                <w:rFonts w:ascii="Times New Roman" w:hAnsi="Times New Roman" w:cs="Times New Roman"/>
                <w:sz w:val="18"/>
                <w:szCs w:val="18"/>
              </w:rPr>
            </w:pPr>
            <w:r w:rsidRPr="00135E13">
              <w:rPr>
                <w:rFonts w:ascii="Times New Roman" w:hAnsi="Times New Roman" w:cs="Times New Roman"/>
                <w:color w:val="333333"/>
                <w:sz w:val="18"/>
                <w:szCs w:val="18"/>
                <w:lang w:val="en-GB"/>
              </w:rPr>
              <w:t xml:space="preserve">IV administration increases the risk of cardiac adverse effects </w:t>
            </w:r>
            <w:r w:rsidR="00BE7F85" w:rsidRPr="00135E13">
              <w:rPr>
                <w:rFonts w:ascii="Times New Roman" w:hAnsi="Times New Roman" w:cs="Times New Roman"/>
                <w:color w:val="333333"/>
                <w:sz w:val="18"/>
                <w:szCs w:val="18"/>
                <w:lang w:val="en-GB"/>
              </w:rPr>
              <w:fldChar w:fldCharType="begin"/>
            </w:r>
            <w:r w:rsidR="00F4471E">
              <w:rPr>
                <w:rFonts w:ascii="Times New Roman" w:hAnsi="Times New Roman" w:cs="Times New Roman"/>
                <w:color w:val="333333"/>
                <w:sz w:val="18"/>
                <w:szCs w:val="18"/>
                <w:lang w:val="en-GB"/>
              </w:rPr>
              <w:instrText xml:space="preserve"> ADDIN ZOTERO_ITEM CSL_CITATION {"citationID":"ocw0WGN1","properties":{"formattedCitation":"[18]","plainCitation":"[18]","noteIndex":0},"citationItems":[{"id":"RKg9lF5b/o3zPMxmV","uris":["http://zotero.org/users/8889971/items/FNB5ZE5M"],"itemData":{"id":3859,"type":"article-journal","abstract":"Background Psychomotor agitation is associated with different psychiatric conditions and represents an important issue in psychiatry. Current recommendations on agitation in psychiatry are not univocal. Actually, an improper assessment and management may result in unnecessary coercive or sedative treatments. A thorough and balanced review plus an expert consensus can guide assessment and treatment decisions. Methods An expert task force iteratively developed consensus using the Delphi method. Initial survey items were based on systematic review of the literature. Subsequent surveys included new, re-worded or re-rated items. Results Out of 2175 papers assessing psychomotor agitation, 124 were included in the review. Each component was assigned a level of evidence. Integrating the evidence and the experience of the task force members, a consensus was reached on 22 statements on this topic. Conclusions Recommendations on the assessment of agitation emphasise the importance of identifying any possible medical cause. For its management, experts agreed in considering verbal de-escalation and environmental modification techniques as first choice, considering physical restraint as a last resort strategy. Regarding pharmacological treatment, the “ideal” medication should calm without over-sedate. Generally, oral or inhaled formulations should be preferred over i.m. routes in mildly agitated patients. Intravenous treatments should be avoided.","container-title":"The World Journal of Biological Psychiatry","DOI":"10.3109/15622975.2015.1132007","ISSN":"1562-2975","issue":"2","note":"_eprint: https://doi.org/10.3109/15622975.2015.1132007","page":"86-128","PMID":"26912127","publisher":"Taylor &amp; Francis","source":"Taylor and Francis+NEJM","title":"Assessment and management of agitation in psychiatry: Expert consensus","title-short":"Assessment and management of agitation in psychiatry","volume":"17","author":[{"family":"Garriga","given":"Marina"},{"family":"Pacchiarotti","given":"Isabella"},{"family":"Kasper","given":"Siegfried"},{"family":"Zeller","given":"Scott L."},{"family":"Allen","given":"Michael H."},{"family":"Vázquez","given":"Gustavo"},{"family":"Baldaçara","given":"Leonardo"},{"family":"San","given":"Luis"},{"family":"McAllister-Williams","given":"R. Hamish"},{"family":"Fountoulakis","given":"Konstantinos N."},{"family":"Courtet","given":"Philippe"},{"family":"Naber","given":"Dieter"},{"family":"Chan","given":"Esther W."},{"family":"Fagiolini","given":"Andrea"},{"family":"Möller","given":"Hans Jürgen"},{"family":"Grunze","given":"Heinz"},{"family":"Llorca","given":"Pierre Michel"},{"family":"Jaffe","given":"Richard L."},{"family":"Yatham","given":"Lakshmi N."},{"family":"Hidalgo-Mazzei","given":"Diego"},{"family":"Passamar","given":"Marc"},{"family":"Messer","given":"Thomas"},{"family":"Bernardo","given":"Miquel"},{"family":"Vieta","given":"Eduard"}],"issued":{"date-parts":[["2016",2,17]]}}}],"schema":"https://github.com/citation-style-language/schema/raw/master/csl-citation.json"} </w:instrText>
            </w:r>
            <w:r w:rsidR="00BE7F85" w:rsidRPr="00135E13">
              <w:rPr>
                <w:rFonts w:ascii="Times New Roman" w:hAnsi="Times New Roman" w:cs="Times New Roman"/>
                <w:color w:val="333333"/>
                <w:sz w:val="18"/>
                <w:szCs w:val="18"/>
                <w:lang w:val="en-GB"/>
              </w:rPr>
              <w:fldChar w:fldCharType="separate"/>
            </w:r>
            <w:r w:rsidR="00A31FC3" w:rsidRPr="00135E13">
              <w:rPr>
                <w:rFonts w:ascii="Times New Roman" w:hAnsi="Times New Roman" w:cs="Times New Roman"/>
                <w:sz w:val="18"/>
                <w:szCs w:val="21"/>
              </w:rPr>
              <w:t>[18]</w:t>
            </w:r>
            <w:r w:rsidR="00BE7F85" w:rsidRPr="00135E13">
              <w:rPr>
                <w:rFonts w:ascii="Times New Roman" w:hAnsi="Times New Roman" w:cs="Times New Roman"/>
                <w:color w:val="333333"/>
                <w:sz w:val="18"/>
                <w:szCs w:val="18"/>
                <w:lang w:val="en-GB"/>
              </w:rPr>
              <w:fldChar w:fldCharType="end"/>
            </w:r>
          </w:p>
        </w:tc>
        <w:tc>
          <w:tcPr>
            <w:tcW w:w="3969" w:type="dxa"/>
            <w:vMerge w:val="restart"/>
            <w:shd w:val="clear" w:color="auto" w:fill="FFFFFF" w:themeFill="background1"/>
          </w:tcPr>
          <w:p w14:paraId="33037C2D" w14:textId="376DCE5C" w:rsidR="00422859" w:rsidRPr="00135E13" w:rsidRDefault="00422859">
            <w:pPr>
              <w:rPr>
                <w:rFonts w:ascii="Times New Roman" w:hAnsi="Times New Roman" w:cs="Times New Roman"/>
                <w:sz w:val="18"/>
                <w:szCs w:val="18"/>
              </w:rPr>
            </w:pPr>
            <w:r w:rsidRPr="00135E13">
              <w:rPr>
                <w:rFonts w:ascii="Times New Roman" w:hAnsi="Times New Roman" w:cs="Times New Roman"/>
                <w:color w:val="333333"/>
                <w:sz w:val="18"/>
                <w:szCs w:val="18"/>
                <w:lang w:val="en-GB"/>
              </w:rPr>
              <w:t xml:space="preserve">Psychiatric expert consensus guidelines recommend prioritizing oral formulations over intramuscular routes whenever possible </w:t>
            </w:r>
            <w:r w:rsidR="00BE7F85" w:rsidRPr="00135E13">
              <w:rPr>
                <w:rFonts w:ascii="Times New Roman" w:hAnsi="Times New Roman" w:cs="Times New Roman"/>
                <w:color w:val="333333"/>
                <w:sz w:val="18"/>
                <w:szCs w:val="18"/>
                <w:lang w:val="en-GB"/>
              </w:rPr>
              <w:fldChar w:fldCharType="begin"/>
            </w:r>
            <w:r w:rsidR="00F4471E">
              <w:rPr>
                <w:rFonts w:ascii="Times New Roman" w:hAnsi="Times New Roman" w:cs="Times New Roman"/>
                <w:color w:val="333333"/>
                <w:sz w:val="18"/>
                <w:szCs w:val="18"/>
                <w:lang w:val="en-GB"/>
              </w:rPr>
              <w:instrText xml:space="preserve"> ADDIN ZOTERO_ITEM CSL_CITATION {"citationID":"tviMUqer","properties":{"formattedCitation":"[18]","plainCitation":"[18]","noteIndex":0},"citationItems":[{"id":"RKg9lF5b/o3zPMxmV","uris":["http://zotero.org/users/8889971/items/FNB5ZE5M"],"itemData":{"id":3859,"type":"article-journal","abstract":"Background Psychomotor agitation is associated with different psychiatric conditions and represents an important issue in psychiatry. Current recommendations on agitation in psychiatry are not univocal. Actually, an improper assessment and management may result in unnecessary coercive or sedative treatments. A thorough and balanced review plus an expert consensus can guide assessment and treatment decisions. Methods An expert task force iteratively developed consensus using the Delphi method. Initial survey items were based on systematic review of the literature. Subsequent surveys included new, re-worded or re-rated items. Results Out of 2175 papers assessing psychomotor agitation, 124 were included in the review. Each component was assigned a level of evidence. Integrating the evidence and the experience of the task force members, a consensus was reached on 22 statements on this topic. Conclusions Recommendations on the assessment of agitation emphasise the importance of identifying any possible medical cause. For its management, experts agreed in considering verbal de-escalation and environmental modification techniques as first choice, considering physical restraint as a last resort strategy. Regarding pharmacological treatment, the “ideal” medication should calm without over-sedate. Generally, oral or inhaled formulations should be preferred over i.m. routes in mildly agitated patients. Intravenous treatments should be avoided.","container-title":"The World Journal of Biological Psychiatry","DOI":"10.3109/15622975.2015.1132007","ISSN":"1562-2975","issue":"2","note":"_eprint: https://doi.org/10.3109/15622975.2015.1132007","page":"86-128","PMID":"26912127","publisher":"Taylor &amp; Francis","source":"Taylor and Francis+NEJM","title":"Assessment and management of agitation in psychiatry: Expert consensus","title-short":"Assessment and management of agitation in psychiatry","volume":"17","author":[{"family":"Garriga","given":"Marina"},{"family":"Pacchiarotti","given":"Isabella"},{"family":"Kasper","given":"Siegfried"},{"family":"Zeller","given":"Scott L."},{"family":"Allen","given":"Michael H."},{"family":"Vázquez","given":"Gustavo"},{"family":"Baldaçara","given":"Leonardo"},{"family":"San","given":"Luis"},{"family":"McAllister-Williams","given":"R. Hamish"},{"family":"Fountoulakis","given":"Konstantinos N."},{"family":"Courtet","given":"Philippe"},{"family":"Naber","given":"Dieter"},{"family":"Chan","given":"Esther W."},{"family":"Fagiolini","given":"Andrea"},{"family":"Möller","given":"Hans Jürgen"},{"family":"Grunze","given":"Heinz"},{"family":"Llorca","given":"Pierre Michel"},{"family":"Jaffe","given":"Richard L."},{"family":"Yatham","given":"Lakshmi N."},{"family":"Hidalgo-Mazzei","given":"Diego"},{"family":"Passamar","given":"Marc"},{"family":"Messer","given":"Thomas"},{"family":"Bernardo","given":"Miquel"},{"family":"Vieta","given":"Eduard"}],"issued":{"date-parts":[["2016",2,17]]}}}],"schema":"https://github.com/citation-style-language/schema/raw/master/csl-citation.json"} </w:instrText>
            </w:r>
            <w:r w:rsidR="00BE7F85" w:rsidRPr="00135E13">
              <w:rPr>
                <w:rFonts w:ascii="Times New Roman" w:hAnsi="Times New Roman" w:cs="Times New Roman"/>
                <w:color w:val="333333"/>
                <w:sz w:val="18"/>
                <w:szCs w:val="18"/>
                <w:lang w:val="en-GB"/>
              </w:rPr>
              <w:fldChar w:fldCharType="separate"/>
            </w:r>
            <w:r w:rsidR="00A31FC3" w:rsidRPr="00135E13">
              <w:rPr>
                <w:rFonts w:ascii="Times New Roman" w:hAnsi="Times New Roman" w:cs="Times New Roman"/>
                <w:sz w:val="18"/>
                <w:szCs w:val="21"/>
              </w:rPr>
              <w:t>[18]</w:t>
            </w:r>
            <w:r w:rsidR="00BE7F85" w:rsidRPr="00135E13">
              <w:rPr>
                <w:rFonts w:ascii="Times New Roman" w:hAnsi="Times New Roman" w:cs="Times New Roman"/>
                <w:color w:val="333333"/>
                <w:sz w:val="18"/>
                <w:szCs w:val="18"/>
                <w:lang w:val="en-GB"/>
              </w:rPr>
              <w:fldChar w:fldCharType="end"/>
            </w:r>
          </w:p>
        </w:tc>
        <w:tc>
          <w:tcPr>
            <w:tcW w:w="2800" w:type="dxa"/>
            <w:shd w:val="clear" w:color="auto" w:fill="C5E0B3" w:themeFill="accent6" w:themeFillTint="66"/>
          </w:tcPr>
          <w:p w14:paraId="570EBEB8" w14:textId="0ED24090" w:rsidR="00422859" w:rsidRPr="00135E13" w:rsidRDefault="00422859">
            <w:pPr>
              <w:rPr>
                <w:rFonts w:ascii="Times New Roman" w:hAnsi="Times New Roman" w:cs="Times New Roman"/>
                <w:sz w:val="18"/>
                <w:szCs w:val="18"/>
              </w:rPr>
            </w:pPr>
          </w:p>
        </w:tc>
      </w:tr>
      <w:tr w:rsidR="00B23C01" w:rsidRPr="00135E13" w14:paraId="330FCECB" w14:textId="6BB77587" w:rsidTr="005C7D6F">
        <w:trPr>
          <w:trHeight w:val="285"/>
        </w:trPr>
        <w:tc>
          <w:tcPr>
            <w:tcW w:w="1838" w:type="dxa"/>
            <w:noWrap/>
            <w:hideMark/>
          </w:tcPr>
          <w:p w14:paraId="410B3D30" w14:textId="3ADA5B64" w:rsidR="00422859" w:rsidRPr="00135E13" w:rsidRDefault="00422859">
            <w:pPr>
              <w:rPr>
                <w:rFonts w:ascii="Times New Roman" w:hAnsi="Times New Roman" w:cs="Times New Roman"/>
                <w:sz w:val="18"/>
                <w:szCs w:val="18"/>
              </w:rPr>
            </w:pPr>
            <w:r w:rsidRPr="00135E13">
              <w:rPr>
                <w:rFonts w:ascii="Times New Roman" w:hAnsi="Times New Roman" w:cs="Times New Roman"/>
                <w:sz w:val="18"/>
                <w:szCs w:val="18"/>
              </w:rPr>
              <w:t>Tiapride</w:t>
            </w:r>
          </w:p>
        </w:tc>
        <w:tc>
          <w:tcPr>
            <w:tcW w:w="1418" w:type="dxa"/>
            <w:noWrap/>
            <w:hideMark/>
          </w:tcPr>
          <w:p w14:paraId="67371EC5" w14:textId="6EB27304" w:rsidR="00422859" w:rsidRPr="00135E13" w:rsidRDefault="00422859" w:rsidP="00712F12">
            <w:pPr>
              <w:rPr>
                <w:rFonts w:ascii="Times New Roman" w:hAnsi="Times New Roman" w:cs="Times New Roman"/>
                <w:sz w:val="18"/>
                <w:szCs w:val="18"/>
              </w:rPr>
            </w:pPr>
            <w:r w:rsidRPr="00135E13">
              <w:rPr>
                <w:rFonts w:ascii="Times New Roman" w:hAnsi="Times New Roman" w:cs="Times New Roman"/>
                <w:sz w:val="18"/>
                <w:szCs w:val="18"/>
              </w:rPr>
              <w:t>75</w:t>
            </w:r>
          </w:p>
        </w:tc>
        <w:tc>
          <w:tcPr>
            <w:tcW w:w="1134" w:type="dxa"/>
            <w:noWrap/>
            <w:hideMark/>
          </w:tcPr>
          <w:p w14:paraId="48A45E95" w14:textId="7AF8A4DD" w:rsidR="00422859" w:rsidRPr="00135E13" w:rsidRDefault="00422859">
            <w:pPr>
              <w:rPr>
                <w:rFonts w:ascii="Times New Roman" w:hAnsi="Times New Roman" w:cs="Times New Roman"/>
                <w:sz w:val="18"/>
                <w:szCs w:val="18"/>
              </w:rPr>
            </w:pPr>
            <w:r w:rsidRPr="00135E13">
              <w:rPr>
                <w:rFonts w:ascii="Times New Roman" w:hAnsi="Times New Roman" w:cs="Times New Roman"/>
                <w:sz w:val="18"/>
                <w:szCs w:val="18"/>
              </w:rPr>
              <w:t xml:space="preserve">1 </w:t>
            </w:r>
          </w:p>
        </w:tc>
        <w:tc>
          <w:tcPr>
            <w:tcW w:w="2835" w:type="dxa"/>
            <w:vMerge/>
            <w:noWrap/>
            <w:hideMark/>
          </w:tcPr>
          <w:p w14:paraId="64CD4CFF" w14:textId="77777777" w:rsidR="00422859" w:rsidRPr="00135E13" w:rsidRDefault="00422859">
            <w:pPr>
              <w:rPr>
                <w:rFonts w:ascii="Times New Roman" w:hAnsi="Times New Roman" w:cs="Times New Roman"/>
                <w:sz w:val="18"/>
                <w:szCs w:val="18"/>
              </w:rPr>
            </w:pPr>
          </w:p>
        </w:tc>
        <w:tc>
          <w:tcPr>
            <w:tcW w:w="3969" w:type="dxa"/>
            <w:vMerge/>
            <w:shd w:val="clear" w:color="auto" w:fill="FFFFFF" w:themeFill="background1"/>
          </w:tcPr>
          <w:p w14:paraId="7BEE2F6B" w14:textId="77777777" w:rsidR="00422859" w:rsidRPr="00135E13" w:rsidRDefault="00422859">
            <w:pPr>
              <w:rPr>
                <w:rFonts w:ascii="Times New Roman" w:hAnsi="Times New Roman" w:cs="Times New Roman"/>
                <w:sz w:val="18"/>
                <w:szCs w:val="18"/>
              </w:rPr>
            </w:pPr>
          </w:p>
        </w:tc>
        <w:tc>
          <w:tcPr>
            <w:tcW w:w="2800" w:type="dxa"/>
            <w:shd w:val="clear" w:color="auto" w:fill="C5E0B3" w:themeFill="accent6" w:themeFillTint="66"/>
          </w:tcPr>
          <w:p w14:paraId="7824B054" w14:textId="27BF961A" w:rsidR="00422859" w:rsidRPr="00135E13" w:rsidRDefault="00422859">
            <w:pPr>
              <w:rPr>
                <w:rFonts w:ascii="Times New Roman" w:hAnsi="Times New Roman" w:cs="Times New Roman"/>
                <w:sz w:val="18"/>
                <w:szCs w:val="18"/>
              </w:rPr>
            </w:pPr>
          </w:p>
        </w:tc>
      </w:tr>
      <w:tr w:rsidR="00B23C01" w:rsidRPr="00135E13" w14:paraId="5315102C" w14:textId="328D831F" w:rsidTr="005C7D6F">
        <w:trPr>
          <w:trHeight w:val="285"/>
        </w:trPr>
        <w:tc>
          <w:tcPr>
            <w:tcW w:w="1838" w:type="dxa"/>
            <w:noWrap/>
            <w:hideMark/>
          </w:tcPr>
          <w:p w14:paraId="5A787C96" w14:textId="51445CC2" w:rsidR="00422859" w:rsidRPr="00135E13" w:rsidRDefault="00422859">
            <w:pPr>
              <w:rPr>
                <w:rFonts w:ascii="Times New Roman" w:hAnsi="Times New Roman" w:cs="Times New Roman"/>
                <w:sz w:val="18"/>
                <w:szCs w:val="18"/>
              </w:rPr>
            </w:pPr>
            <w:r w:rsidRPr="00135E13">
              <w:rPr>
                <w:rFonts w:ascii="Times New Roman" w:hAnsi="Times New Roman" w:cs="Times New Roman"/>
                <w:sz w:val="18"/>
                <w:szCs w:val="18"/>
              </w:rPr>
              <w:t>Chlorpromazine</w:t>
            </w:r>
          </w:p>
        </w:tc>
        <w:tc>
          <w:tcPr>
            <w:tcW w:w="1418" w:type="dxa"/>
            <w:noWrap/>
            <w:hideMark/>
          </w:tcPr>
          <w:p w14:paraId="5B5066DA" w14:textId="6542A429" w:rsidR="00422859" w:rsidRPr="00135E13" w:rsidRDefault="00422859">
            <w:pPr>
              <w:rPr>
                <w:rFonts w:ascii="Times New Roman" w:hAnsi="Times New Roman" w:cs="Times New Roman"/>
                <w:sz w:val="18"/>
                <w:szCs w:val="18"/>
              </w:rPr>
            </w:pPr>
            <w:r w:rsidRPr="00135E13">
              <w:rPr>
                <w:rFonts w:ascii="Times New Roman" w:hAnsi="Times New Roman" w:cs="Times New Roman"/>
                <w:sz w:val="18"/>
                <w:szCs w:val="18"/>
              </w:rPr>
              <w:t>10-69</w:t>
            </w:r>
            <w:r w:rsidR="003668AB" w:rsidRPr="00135E13">
              <w:rPr>
                <w:rFonts w:ascii="Times New Roman" w:hAnsi="Times New Roman" w:cs="Times New Roman"/>
                <w:sz w:val="18"/>
                <w:szCs w:val="18"/>
              </w:rPr>
              <w:t xml:space="preserve"> </w:t>
            </w:r>
            <w:r w:rsidR="003668AB"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{"citationID":"cvuTZaet","properties":{"formattedCitation":"[19]","plainCitation":"[19]","noteIndex":0},"citationItems":[{"id":"RKg9lF5b/owMxe4rK","uris":["http://zotero.org/users/8889971/items/2UTFPUF6"],"itemData":{"id":4215,"type":"article-journal","abstract":"Plasma concentrations of chlorpromazine and its sulfoxide were measured after single intramuscular, single oral, and multiple oral doses of chlorpromazine. In four out of nine patients, intramuscular doses gave stable chlorpromazine plasma levels which were maintained for 12 hr or longer. Chlorpromazine sulfoxide was found in plasma from all patients after oral doses but not after intramuscular doses, which indicates that sulfoxidation took place presystemically. The biologic availability of single oral doses relative to single intramuscular doses ranged from 10 to 69%, and was on average 32%. After 33 days of oral dosing, the plasma levels of chlorpromazine were on average 37% lower than might have been predicted from the single oral dose curves. This was not due to decreased biologic t 1/2 of chlorpromazine, but apparently to a decrease in the biologic availability by oral administration, possibly by increased presystemic metabolism.","container-title":"Clinical Pharmacology and Therapeutics","DOI":"10.1002/cpt1977214437","ISSN":"0009-9236","issue":"4","journalAbbreviation":"Clin Pharmacol Ther","language":"eng","page":"437-448","PMID":"849674","source":"PubMed","title":"Pharmacokinetics of chlorpromazine after single and chronic dosage","volume":"21","author":[{"family":"Dahl","given":"S. G."},{"family":"Strandjord","given":"R. E."}],"issued":{"date-parts":[["1977",4]]}}}],"schema":"https://github.com/citation-style-language/schema/raw/master/csl-citation.json"} </w:instrText>
            </w:r>
            <w:r w:rsidR="003668AB" w:rsidRPr="00135E13">
              <w:rPr>
                <w:rFonts w:ascii="Times New Roman" w:hAnsi="Times New Roman" w:cs="Times New Roman"/>
                <w:sz w:val="18"/>
                <w:szCs w:val="18"/>
              </w:rPr>
              <w:fldChar w:fldCharType="separate"/>
            </w:r>
            <w:r w:rsidR="00A31FC3" w:rsidRPr="00135E13">
              <w:rPr>
                <w:rFonts w:ascii="Times New Roman" w:hAnsi="Times New Roman" w:cs="Times New Roman"/>
                <w:sz w:val="18"/>
                <w:szCs w:val="21"/>
              </w:rPr>
              <w:t>[19]</w:t>
            </w:r>
            <w:r w:rsidR="003668AB" w:rsidRPr="00135E13">
              <w:rPr>
                <w:rFonts w:ascii="Times New Roman" w:hAnsi="Times New Roman" w:cs="Times New Roman"/>
                <w:sz w:val="18"/>
                <w:szCs w:val="18"/>
              </w:rPr>
              <w:fldChar w:fldCharType="end"/>
            </w:r>
          </w:p>
        </w:tc>
        <w:tc>
          <w:tcPr>
            <w:tcW w:w="1134" w:type="dxa"/>
            <w:noWrap/>
            <w:hideMark/>
          </w:tcPr>
          <w:p w14:paraId="36868EC4" w14:textId="2FD9B064" w:rsidR="00422859" w:rsidRPr="00135E13" w:rsidRDefault="00422859">
            <w:pPr>
              <w:rPr>
                <w:rFonts w:ascii="Times New Roman" w:hAnsi="Times New Roman" w:cs="Times New Roman"/>
                <w:sz w:val="18"/>
                <w:szCs w:val="18"/>
              </w:rPr>
            </w:pPr>
            <w:r w:rsidRPr="00135E13">
              <w:rPr>
                <w:rFonts w:ascii="Times New Roman" w:hAnsi="Times New Roman" w:cs="Times New Roman"/>
                <w:sz w:val="18"/>
                <w:szCs w:val="18"/>
              </w:rPr>
              <w:t xml:space="preserve">0.25-0.5 </w:t>
            </w:r>
          </w:p>
        </w:tc>
        <w:tc>
          <w:tcPr>
            <w:tcW w:w="2835" w:type="dxa"/>
            <w:vMerge/>
            <w:noWrap/>
            <w:hideMark/>
          </w:tcPr>
          <w:p w14:paraId="631FB950" w14:textId="77777777" w:rsidR="00422859" w:rsidRPr="00135E13" w:rsidRDefault="00422859">
            <w:pPr>
              <w:rPr>
                <w:rFonts w:ascii="Times New Roman" w:hAnsi="Times New Roman" w:cs="Times New Roman"/>
                <w:sz w:val="18"/>
                <w:szCs w:val="18"/>
              </w:rPr>
            </w:pPr>
          </w:p>
        </w:tc>
        <w:tc>
          <w:tcPr>
            <w:tcW w:w="3969" w:type="dxa"/>
            <w:vMerge/>
            <w:shd w:val="clear" w:color="auto" w:fill="FFFFFF" w:themeFill="background1"/>
          </w:tcPr>
          <w:p w14:paraId="7CB60A7D" w14:textId="77777777" w:rsidR="00422859" w:rsidRPr="00135E13" w:rsidRDefault="00422859">
            <w:pPr>
              <w:rPr>
                <w:rFonts w:ascii="Times New Roman" w:hAnsi="Times New Roman" w:cs="Times New Roman"/>
                <w:sz w:val="18"/>
                <w:szCs w:val="18"/>
              </w:rPr>
            </w:pPr>
          </w:p>
        </w:tc>
        <w:tc>
          <w:tcPr>
            <w:tcW w:w="2800" w:type="dxa"/>
            <w:shd w:val="clear" w:color="auto" w:fill="C5E0B3" w:themeFill="accent6" w:themeFillTint="66"/>
          </w:tcPr>
          <w:p w14:paraId="79EC18CC" w14:textId="7B9E231D" w:rsidR="00422859" w:rsidRPr="00135E13" w:rsidRDefault="00422859">
            <w:pPr>
              <w:rPr>
                <w:rFonts w:ascii="Times New Roman" w:hAnsi="Times New Roman" w:cs="Times New Roman"/>
                <w:sz w:val="18"/>
                <w:szCs w:val="18"/>
              </w:rPr>
            </w:pPr>
          </w:p>
        </w:tc>
      </w:tr>
      <w:tr w:rsidR="00B23C01" w:rsidRPr="00135E13" w14:paraId="0D2EAAB0" w14:textId="71803075" w:rsidTr="005C7D6F">
        <w:trPr>
          <w:trHeight w:val="285"/>
        </w:trPr>
        <w:tc>
          <w:tcPr>
            <w:tcW w:w="1838" w:type="dxa"/>
            <w:noWrap/>
            <w:hideMark/>
          </w:tcPr>
          <w:p w14:paraId="0D2B0404" w14:textId="14F8B572" w:rsidR="00422859" w:rsidRPr="00135E13" w:rsidRDefault="00422859">
            <w:pPr>
              <w:rPr>
                <w:rFonts w:ascii="Times New Roman" w:hAnsi="Times New Roman" w:cs="Times New Roman"/>
                <w:sz w:val="18"/>
                <w:szCs w:val="18"/>
              </w:rPr>
            </w:pPr>
            <w:r w:rsidRPr="00135E13">
              <w:rPr>
                <w:rFonts w:ascii="Times New Roman" w:hAnsi="Times New Roman" w:cs="Times New Roman"/>
                <w:sz w:val="18"/>
                <w:szCs w:val="18"/>
              </w:rPr>
              <w:lastRenderedPageBreak/>
              <w:t>Amitriptyline</w:t>
            </w:r>
          </w:p>
        </w:tc>
        <w:tc>
          <w:tcPr>
            <w:tcW w:w="1418" w:type="dxa"/>
            <w:noWrap/>
            <w:hideMark/>
          </w:tcPr>
          <w:p w14:paraId="4645CAAB" w14:textId="79167C7B" w:rsidR="00422859" w:rsidRPr="00135E13" w:rsidRDefault="00422859">
            <w:pPr>
              <w:rPr>
                <w:rFonts w:ascii="Times New Roman" w:hAnsi="Times New Roman" w:cs="Times New Roman"/>
                <w:sz w:val="18"/>
                <w:szCs w:val="18"/>
              </w:rPr>
            </w:pPr>
            <w:r w:rsidRPr="00135E13">
              <w:rPr>
                <w:rFonts w:ascii="Times New Roman" w:hAnsi="Times New Roman" w:cs="Times New Roman"/>
                <w:sz w:val="18"/>
                <w:szCs w:val="18"/>
              </w:rPr>
              <w:t>25-50</w:t>
            </w:r>
          </w:p>
        </w:tc>
        <w:tc>
          <w:tcPr>
            <w:tcW w:w="1134" w:type="dxa"/>
            <w:noWrap/>
            <w:hideMark/>
          </w:tcPr>
          <w:p w14:paraId="7E7CEB51" w14:textId="4D50BAC7" w:rsidR="00422859" w:rsidRPr="00135E13" w:rsidRDefault="00422859">
            <w:pPr>
              <w:rPr>
                <w:rFonts w:ascii="Times New Roman" w:hAnsi="Times New Roman" w:cs="Times New Roman"/>
                <w:sz w:val="18"/>
                <w:szCs w:val="18"/>
              </w:rPr>
            </w:pPr>
            <w:r w:rsidRPr="00135E13">
              <w:rPr>
                <w:rFonts w:ascii="Times New Roman" w:hAnsi="Times New Roman" w:cs="Times New Roman"/>
                <w:sz w:val="18"/>
                <w:szCs w:val="18"/>
              </w:rPr>
              <w:t xml:space="preserve">6 </w:t>
            </w:r>
          </w:p>
        </w:tc>
        <w:tc>
          <w:tcPr>
            <w:tcW w:w="2835" w:type="dxa"/>
            <w:noWrap/>
            <w:hideMark/>
          </w:tcPr>
          <w:p w14:paraId="195C8388" w14:textId="60A4DECC" w:rsidR="00422859" w:rsidRPr="00135E13" w:rsidRDefault="00CE3B37">
            <w:pPr>
              <w:rPr>
                <w:rFonts w:ascii="Times New Roman" w:hAnsi="Times New Roman" w:cs="Times New Roman"/>
                <w:sz w:val="18"/>
                <w:szCs w:val="18"/>
              </w:rPr>
            </w:pPr>
            <w:r w:rsidRPr="00135E13">
              <w:rPr>
                <w:rFonts w:ascii="Times New Roman" w:hAnsi="Times New Roman" w:cs="Times New Roman"/>
                <w:color w:val="333333"/>
                <w:sz w:val="18"/>
                <w:szCs w:val="18"/>
                <w:shd w:val="clear" w:color="auto" w:fill="FFFFFF"/>
                <w:lang w:val="en-GB"/>
              </w:rPr>
              <w:t>S</w:t>
            </w:r>
            <w:r w:rsidR="00422859" w:rsidRPr="00135E13">
              <w:rPr>
                <w:rFonts w:ascii="Times New Roman" w:hAnsi="Times New Roman" w:cs="Times New Roman"/>
                <w:color w:val="333333"/>
                <w:sz w:val="18"/>
                <w:szCs w:val="18"/>
                <w:shd w:val="clear" w:color="auto" w:fill="FFFFFF"/>
                <w:lang w:val="en-GB"/>
              </w:rPr>
              <w:t xml:space="preserve">erious adverse events, including cardiac arrhythmias, have been reported following IV administration </w:t>
            </w:r>
            <w:r w:rsidR="00BE7F85" w:rsidRPr="00135E13">
              <w:rPr>
                <w:rFonts w:ascii="Times New Roman" w:hAnsi="Times New Roman" w:cs="Times New Roman"/>
                <w:color w:val="333333"/>
                <w:sz w:val="18"/>
                <w:szCs w:val="18"/>
                <w:shd w:val="clear" w:color="auto" w:fill="FFFFFF"/>
                <w:lang w:val="en-GB"/>
              </w:rPr>
              <w:fldChar w:fldCharType="begin"/>
            </w:r>
            <w:r w:rsidR="00F4471E">
              <w:rPr>
                <w:rFonts w:ascii="Times New Roman" w:hAnsi="Times New Roman" w:cs="Times New Roman"/>
                <w:color w:val="333333"/>
                <w:sz w:val="18"/>
                <w:szCs w:val="18"/>
                <w:shd w:val="clear" w:color="auto" w:fill="FFFFFF"/>
                <w:lang w:val="en-GB"/>
              </w:rPr>
              <w:instrText xml:space="preserve"> ADDIN ZOTERO_ITEM CSL_CITATION {"citationID":"nhoa0r9V","properties":{"formattedCitation":"[20]","plainCitation":"[20]","noteIndex":0},"citationItems":[{"id":"RKg9lF5b/oXIj6HXM","uris":["http://zotero.org/users/8889971/items/XFGB46Y7"],"itemData":{"id":4001,"type":"article-journal","abstract":"Antidepressants can be administered by different routes. Advantages for either the oral or the intravenous administration have been suggested from pharmacokinetic as well as from clinical points of view. Controlled comparison studies of the two routes do not provide unequivocal recommendations. In this investigation, amitriptyline was studied over a 4-week period consisting of a 2-week, double-blind/double-dummy phase with either oral (150 mg/day), high-dose intravenous (150 mg/day), or medium-dose intravenous (100 mg/day) treatment and a 2-week phase of open oral treatment in 80 patients with major depression. A psychopathologic assessment was made using the Hamilton Rating Scale for Depression, the Clinical Global Impressions Scale, the von Zerssen's \"Befindlichkeitsskala,\" an adjective checklist, and a Visual Analog Scale. No significant differences were found concerning the mean scores of the rating scales or time of onset of action in the physicians' ratings. In the patients' self-ratings, there was an earlier therapeutic effect in the high-dose intravenous group. The number of improvers after 7 days was significantly higher in the high-dose intravenous group compared with both other groups. After 14 days, no significant differences in the numbers of improvers and responders between groups were detected. The results of this study do not clearly favor one of the tested options. The main differences found in this study seem to be dose-related rather than differentiating between oral and intravenous routes of administration.","container-title":"Journal of Clinical Psychopharmacology","DOI":"10.1097/00004714-200008000-00005","ISSN":"0271-0749","issue":"4","journalAbbreviation":"J Clin Psychopharmacol","language":"eng","page":"417-422","PMID":"10917402","source":"PubMed","title":"Intravenous versus oral administration of amitriptyline in patients with major depression","volume":"20","author":[{"family":"Deisenhammer","given":"E. A."},{"family":"Whitworth","given":"A. B."},{"family":"Geretsegger","given":"C."},{"family":"Kurzthaler","given":"I."},{"family":"Gritsch","given":"S."},{"family":"Miller","given":"C. H."},{"family":"Fleischhacker","given":"W. W."},{"family":"Stuppäck","given":"C. H."}],"issued":{"date-parts":[["2000",8]]}}}],"schema":"https://github.com/citation-style-language/schema/raw/master/csl-citation.json"} </w:instrText>
            </w:r>
            <w:r w:rsidR="00BE7F85" w:rsidRPr="00135E13">
              <w:rPr>
                <w:rFonts w:ascii="Times New Roman" w:hAnsi="Times New Roman" w:cs="Times New Roman"/>
                <w:color w:val="333333"/>
                <w:sz w:val="18"/>
                <w:szCs w:val="18"/>
                <w:shd w:val="clear" w:color="auto" w:fill="FFFFFF"/>
                <w:lang w:val="en-GB"/>
              </w:rPr>
              <w:fldChar w:fldCharType="separate"/>
            </w:r>
            <w:r w:rsidR="00A31FC3" w:rsidRPr="00135E13">
              <w:rPr>
                <w:rFonts w:ascii="Times New Roman" w:hAnsi="Times New Roman" w:cs="Times New Roman"/>
                <w:sz w:val="18"/>
                <w:szCs w:val="21"/>
              </w:rPr>
              <w:t>[20]</w:t>
            </w:r>
            <w:r w:rsidR="00BE7F85" w:rsidRPr="00135E13">
              <w:rPr>
                <w:rFonts w:ascii="Times New Roman" w:hAnsi="Times New Roman" w:cs="Times New Roman"/>
                <w:color w:val="333333"/>
                <w:sz w:val="18"/>
                <w:szCs w:val="18"/>
                <w:shd w:val="clear" w:color="auto" w:fill="FFFFFF"/>
                <w:lang w:val="en-GB"/>
              </w:rPr>
              <w:fldChar w:fldCharType="end"/>
            </w:r>
          </w:p>
        </w:tc>
        <w:tc>
          <w:tcPr>
            <w:tcW w:w="3969" w:type="dxa"/>
            <w:vMerge w:val="restart"/>
            <w:shd w:val="clear" w:color="auto" w:fill="FFFFFF" w:themeFill="background1"/>
          </w:tcPr>
          <w:p w14:paraId="722A5CDD" w14:textId="77BCCF19" w:rsidR="00422859" w:rsidRPr="00135E13" w:rsidRDefault="00422859">
            <w:pPr>
              <w:rPr>
                <w:rFonts w:ascii="Times New Roman" w:hAnsi="Times New Roman" w:cs="Times New Roman"/>
                <w:sz w:val="18"/>
                <w:szCs w:val="18"/>
              </w:rPr>
            </w:pPr>
            <w:r w:rsidRPr="00135E13">
              <w:rPr>
                <w:rFonts w:ascii="Times New Roman" w:hAnsi="Times New Roman" w:cs="Times New Roman"/>
                <w:sz w:val="18"/>
                <w:szCs w:val="18"/>
                <w:lang w:val="en-GB"/>
              </w:rPr>
              <w:t xml:space="preserve">No superiority of the IV route over oral administration has been demonstrated for neuropathic pain, postoperative pain or major depression </w:t>
            </w:r>
            <w:r w:rsidR="00BE7F85" w:rsidRPr="00135E13">
              <w:rPr>
                <w:rFonts w:ascii="Times New Roman" w:hAnsi="Times New Roman" w:cs="Times New Roman"/>
                <w:color w:val="333333"/>
                <w:sz w:val="18"/>
                <w:szCs w:val="18"/>
                <w:shd w:val="clear" w:color="auto" w:fill="FFFFFF"/>
                <w:lang w:val="en-GB"/>
              </w:rPr>
              <w:fldChar w:fldCharType="begin"/>
            </w:r>
            <w:r w:rsidR="00F4471E">
              <w:rPr>
                <w:rFonts w:ascii="Times New Roman" w:hAnsi="Times New Roman" w:cs="Times New Roman"/>
                <w:color w:val="333333"/>
                <w:sz w:val="18"/>
                <w:szCs w:val="18"/>
                <w:shd w:val="clear" w:color="auto" w:fill="FFFFFF"/>
                <w:lang w:val="en-GB"/>
              </w:rPr>
              <w:instrText xml:space="preserve"> ADDIN ZOTERO_ITEM CSL_CITATION {"citationID":"PpQePObe","properties":{"formattedCitation":"[20]","plainCitation":"[20]","noteIndex":0},"citationItems":[{"id":"RKg9lF5b/oXIj6HXM","uris":["http://zotero.org/users/8889971/items/XFGB46Y7"],"itemData":{"id":4001,"type":"article-journal","abstract":"Antidepressants can be administered by different routes. Advantages for either the oral or the intravenous administration have been suggested from pharmacokinetic as well as from clinical points of view. Controlled comparison studies of the two routes do not provide unequivocal recommendations. In this investigation, amitriptyline was studied over a 4-week period consisting of a 2-week, double-blind/double-dummy phase with either oral (150 mg/day), high-dose intravenous (150 mg/day), or medium-dose intravenous (100 mg/day) treatment and a 2-week phase of open oral treatment in 80 patients with major depression. A psychopathologic assessment was made using the Hamilton Rating Scale for Depression, the Clinical Global Impressions Scale, the von Zerssen's \"Befindlichkeitsskala,\" an adjective checklist, and a Visual Analog Scale. No significant differences were found concerning the mean scores of the rating scales or time of onset of action in the physicians' ratings. In the patients' self-ratings, there was an earlier therapeutic effect in the high-dose intravenous group. The number of improvers after 7 days was significantly higher in the high-dose intravenous group compared with both other groups. After 14 days, no significant differences in the numbers of improvers and responders between groups were detected. The results of this study do not clearly favor one of the tested options. The main differences found in this study seem to be dose-related rather than differentiating between oral and intravenous routes of administration.","container-title":"Journal of Clinical Psychopharmacology","DOI":"10.1097/00004714-200008000-00005","ISSN":"0271-0749","issue":"4","journalAbbreviation":"J Clin Psychopharmacol","language":"eng","page":"417-422","PMID":"10917402","source":"PubMed","title":"Intravenous versus oral administration of amitriptyline in patients with major depression","volume":"20","author":[{"family":"Deisenhammer","given":"E. A."},{"family":"Whitworth","given":"A. B."},{"family":"Geretsegger","given":"C."},{"family":"Kurzthaler","given":"I."},{"family":"Gritsch","given":"S."},{"family":"Miller","given":"C. H."},{"family":"Fleischhacker","given":"W. W."},{"family":"Stuppäck","given":"C. H."}],"issued":{"date-parts":[["2000",8]]}}}],"schema":"https://github.com/citation-style-language/schema/raw/master/csl-citation.json"} </w:instrText>
            </w:r>
            <w:r w:rsidR="00BE7F85" w:rsidRPr="00135E13">
              <w:rPr>
                <w:rFonts w:ascii="Times New Roman" w:hAnsi="Times New Roman" w:cs="Times New Roman"/>
                <w:color w:val="333333"/>
                <w:sz w:val="18"/>
                <w:szCs w:val="18"/>
                <w:shd w:val="clear" w:color="auto" w:fill="FFFFFF"/>
                <w:lang w:val="en-GB"/>
              </w:rPr>
              <w:fldChar w:fldCharType="separate"/>
            </w:r>
            <w:r w:rsidR="00A31FC3" w:rsidRPr="00135E13">
              <w:rPr>
                <w:rFonts w:ascii="Times New Roman" w:hAnsi="Times New Roman" w:cs="Times New Roman"/>
                <w:sz w:val="18"/>
                <w:szCs w:val="21"/>
              </w:rPr>
              <w:t>[20]</w:t>
            </w:r>
            <w:r w:rsidR="00BE7F85" w:rsidRPr="00135E13">
              <w:rPr>
                <w:rFonts w:ascii="Times New Roman" w:hAnsi="Times New Roman" w:cs="Times New Roman"/>
                <w:color w:val="333333"/>
                <w:sz w:val="18"/>
                <w:szCs w:val="18"/>
                <w:shd w:val="clear" w:color="auto" w:fill="FFFFFF"/>
                <w:lang w:val="en-GB"/>
              </w:rPr>
              <w:fldChar w:fldCharType="end"/>
            </w:r>
            <w:r w:rsidR="00BE7F85" w:rsidRPr="00135E13">
              <w:rPr>
                <w:rFonts w:ascii="Times New Roman" w:hAnsi="Times New Roman" w:cs="Times New Roman"/>
                <w:color w:val="333333"/>
                <w:sz w:val="18"/>
                <w:szCs w:val="18"/>
                <w:shd w:val="clear" w:color="auto" w:fill="FFFFFF"/>
                <w:lang w:val="en-GB"/>
              </w:rPr>
              <w:t xml:space="preserve"> </w:t>
            </w:r>
            <w:r w:rsidR="00BE7F85" w:rsidRPr="00135E13">
              <w:rPr>
                <w:rFonts w:ascii="Times New Roman" w:hAnsi="Times New Roman" w:cs="Times New Roman"/>
                <w:color w:val="333333"/>
                <w:sz w:val="18"/>
                <w:szCs w:val="18"/>
                <w:shd w:val="clear" w:color="auto" w:fill="FFFFFF"/>
                <w:lang w:val="en-GB"/>
              </w:rPr>
              <w:fldChar w:fldCharType="begin"/>
            </w:r>
            <w:r w:rsidR="00F4471E">
              <w:rPr>
                <w:rFonts w:ascii="Times New Roman" w:hAnsi="Times New Roman" w:cs="Times New Roman"/>
                <w:color w:val="333333"/>
                <w:sz w:val="18"/>
                <w:szCs w:val="18"/>
                <w:shd w:val="clear" w:color="auto" w:fill="FFFFFF"/>
                <w:lang w:val="en-GB"/>
              </w:rPr>
              <w:instrText xml:space="preserve"> ADDIN ZOTERO_ITEM CSL_CITATION {"citationID":"Jyp6O339","properties":{"formattedCitation":"[21]","plainCitation":"[21]","noteIndex":0},"citationItems":[{"id":"RKg9lF5b/dnujKL2h","uris":["http://zotero.org/users/8889971/items/RM4UUN9L"],"itemData":{"id":3996,"type":"article-journal","abstract":"Intravenous clomipramine and oral clomipramine at a daily dose of 2 mg/kg body weight were compared in a double-blind study of 40 inpatients with primary depressive illness. No significant differences between the two routes of clomipramine administration were found, either in response or in side effects. Steady state was not attained at the 4th week of treatment in 30% of patients. However, combined plasma levels of clomipramine (CI) plus desmethylclomipramine (DMCI) were similar in the two groups at all stages of treatment. The only significant pharmacokinetic difference that was found was in the ratio of DMCI to CI, which was higher among the patients who received the drug orally, but this did not correlate with clinical response. Conversely, Day 28 plasma concentrations of CI, DMCI, and the sum CI + DMCI were significantly related to clinical outcome in the patients treated orally. Among the patients who received the drug intravenously only CI was significantly associated with the percentage reduction of symptoms. By pooling the two groups, CI, DMCI, and their sum all bore relationships to clinical response significant at the 0.01 level.","container-title":"Biological Psychiatry","ISSN":"0006-3223","issue":"6","journalAbbreviation":"Biol Psychiatry","language":"eng","page":"695-706","PMID":"6871303","source":"PubMed","title":"Double-blind trial with oral versus intravenous clomipramine in primary depression","volume":"18","author":[{"family":"Faravelli","given":"C."},{"family":"Broadhurst","given":"A. D."},{"family":"Ambonetti","given":"A."},{"family":"Ballerini","given":"A."},{"family":"De Biase","given":"L."},{"family":"La Malfa","given":"G."},{"family":"Das","given":"M."}],"issued":{"date-parts":[["1983",6]]}}}],"schema":"https://github.com/citation-style-language/schema/raw/master/csl-citation.json"} </w:instrText>
            </w:r>
            <w:r w:rsidR="00BE7F85" w:rsidRPr="00135E13">
              <w:rPr>
                <w:rFonts w:ascii="Times New Roman" w:hAnsi="Times New Roman" w:cs="Times New Roman"/>
                <w:color w:val="333333"/>
                <w:sz w:val="18"/>
                <w:szCs w:val="18"/>
                <w:shd w:val="clear" w:color="auto" w:fill="FFFFFF"/>
                <w:lang w:val="en-GB"/>
              </w:rPr>
              <w:fldChar w:fldCharType="separate"/>
            </w:r>
            <w:r w:rsidR="00A31FC3" w:rsidRPr="00135E13">
              <w:rPr>
                <w:rFonts w:ascii="Times New Roman" w:hAnsi="Times New Roman" w:cs="Times New Roman"/>
                <w:sz w:val="18"/>
                <w:szCs w:val="21"/>
              </w:rPr>
              <w:t>[21]</w:t>
            </w:r>
            <w:r w:rsidR="00BE7F85" w:rsidRPr="00135E13">
              <w:rPr>
                <w:rFonts w:ascii="Times New Roman" w:hAnsi="Times New Roman" w:cs="Times New Roman"/>
                <w:color w:val="333333"/>
                <w:sz w:val="18"/>
                <w:szCs w:val="18"/>
                <w:shd w:val="clear" w:color="auto" w:fill="FFFFFF"/>
                <w:lang w:val="en-GB"/>
              </w:rPr>
              <w:fldChar w:fldCharType="end"/>
            </w:r>
          </w:p>
        </w:tc>
        <w:tc>
          <w:tcPr>
            <w:tcW w:w="2800" w:type="dxa"/>
            <w:shd w:val="clear" w:color="auto" w:fill="C5E0B3" w:themeFill="accent6" w:themeFillTint="66"/>
          </w:tcPr>
          <w:p w14:paraId="5DCFFD80" w14:textId="6EBD6075" w:rsidR="00422859" w:rsidRPr="00135E13" w:rsidRDefault="00422859">
            <w:pPr>
              <w:rPr>
                <w:rFonts w:ascii="Times New Roman" w:hAnsi="Times New Roman" w:cs="Times New Roman"/>
                <w:sz w:val="18"/>
                <w:szCs w:val="18"/>
              </w:rPr>
            </w:pPr>
          </w:p>
        </w:tc>
      </w:tr>
      <w:tr w:rsidR="00B23C01" w:rsidRPr="00135E13" w14:paraId="14276ED9" w14:textId="0F3D013A" w:rsidTr="005C7D6F">
        <w:trPr>
          <w:trHeight w:val="285"/>
        </w:trPr>
        <w:tc>
          <w:tcPr>
            <w:tcW w:w="1838" w:type="dxa"/>
            <w:noWrap/>
            <w:hideMark/>
          </w:tcPr>
          <w:p w14:paraId="6796BD11" w14:textId="2B59ACA1" w:rsidR="00422859" w:rsidRPr="00135E13" w:rsidRDefault="00422859">
            <w:pPr>
              <w:rPr>
                <w:rFonts w:ascii="Times New Roman" w:hAnsi="Times New Roman" w:cs="Times New Roman"/>
                <w:sz w:val="18"/>
                <w:szCs w:val="18"/>
              </w:rPr>
            </w:pPr>
            <w:r w:rsidRPr="00135E13">
              <w:rPr>
                <w:rFonts w:ascii="Times New Roman" w:hAnsi="Times New Roman" w:cs="Times New Roman"/>
                <w:sz w:val="18"/>
                <w:szCs w:val="18"/>
              </w:rPr>
              <w:t>Clomipramine</w:t>
            </w:r>
          </w:p>
        </w:tc>
        <w:tc>
          <w:tcPr>
            <w:tcW w:w="1418" w:type="dxa"/>
            <w:noWrap/>
            <w:hideMark/>
          </w:tcPr>
          <w:p w14:paraId="1CE023C6" w14:textId="2242AB93" w:rsidR="00422859" w:rsidRPr="00135E13" w:rsidRDefault="00422859">
            <w:pPr>
              <w:rPr>
                <w:rFonts w:ascii="Times New Roman" w:hAnsi="Times New Roman" w:cs="Times New Roman"/>
                <w:sz w:val="18"/>
                <w:szCs w:val="18"/>
              </w:rPr>
            </w:pPr>
            <w:r w:rsidRPr="00135E13">
              <w:rPr>
                <w:rFonts w:ascii="Times New Roman" w:hAnsi="Times New Roman" w:cs="Times New Roman"/>
                <w:sz w:val="18"/>
                <w:szCs w:val="18"/>
              </w:rPr>
              <w:t xml:space="preserve">35-65 </w:t>
            </w:r>
          </w:p>
        </w:tc>
        <w:tc>
          <w:tcPr>
            <w:tcW w:w="1134" w:type="dxa"/>
            <w:noWrap/>
            <w:hideMark/>
          </w:tcPr>
          <w:p w14:paraId="5DC91A4D" w14:textId="3948A741" w:rsidR="00422859" w:rsidRPr="00135E13" w:rsidRDefault="00422859">
            <w:pPr>
              <w:rPr>
                <w:rFonts w:ascii="Times New Roman" w:hAnsi="Times New Roman" w:cs="Times New Roman"/>
                <w:sz w:val="18"/>
                <w:szCs w:val="18"/>
              </w:rPr>
            </w:pPr>
            <w:r w:rsidRPr="00135E13">
              <w:rPr>
                <w:rFonts w:ascii="Times New Roman" w:hAnsi="Times New Roman" w:cs="Times New Roman"/>
                <w:sz w:val="18"/>
                <w:szCs w:val="18"/>
              </w:rPr>
              <w:t xml:space="preserve">4 </w:t>
            </w:r>
            <w:r w:rsidR="003668AB"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{"citationID":"oVGNgogo","properties":{"formattedCitation":"[22]","plainCitation":"[22]","noteIndex":0},"citationItems":[{"id":"RKg9lF5b/xaBqGO88","uris":["http://zotero.org/users/8889971/items/JAR8H334"],"itemData":{"id":4214,"type":"article-journal","abstract":"The relative bioavailability of clomipramine was determined in two single-blind, single-dose, randomized, crossover studies. In the first study, the relative bioavailability of the test product, 2 x 25 mg clomipramine hydrochloride tablets (Noristan Ltd.), with respect to the reference product, Anafranil 2 x 25 mg tablets (clomipramine HCl; Ciba-Geigy (Pty) Ltd.) was determined. In the second study, the relative bioavailability of the test product, 5 x 10 mg clomipramine hydrochloride tablets (Noristan Ltd.), with respect to the reference product, Anafranil 5 x 10 mg tablets (clomipramine HCl; Ciba-Geigy (Pty) Ltd.), was determined. The geometric mean values for the variable Cmax were 31.3 ng mL-1 for the reference and 31.6 ng mL-1 for the test product in study 1. The geometric mean values for the variable AUC were 736 ng h mL-1 and 753 ng h mL-1 for the reference and test, respectively. In study 2, the geometric mean Cmax values were 25.8 ng mL-1 and 23.9 ng mL-1 for the reference and test respectively; the geometric mean AUC values were 569 ng h mL-1 and 547 ng h mL-1. The 90% confidence intervals for the 'test/reference' mean ratios of the plasma clomipramine pharmacokinetic variables Cmax and AUC(0-infinity) (as measures of the rate and extent of absorption of clomipramine, respectively) fall within the conventional bioequivalence range of 80-125% for both studies. The test products (clomipramine HCl) are therefore bioequivalent to the reference products (Anafranil) with respect to the rate and the extent of absorption of clomipramine in both 10 mg and 25 mg strengths.","container-title":"Biopharmaceutics &amp; Drug Disposition","DOI":"10.1002/(SICI)1099-081X(199601)17:1&lt;81::AID-BDD939&gt;3.0.CO;2-5","ISSN":"0142-2782","issue":"1","journalAbbreviation":"Biopharm Drug Dispos","language":"eng","page":"81-90","PMID":"8991493","source":"PubMed","title":"Relative bioavailability of four clomipramine hydrochloride tablet products","volume":"17","author":[{"family":"Müller","given":"F. O."},{"family":"Schall","given":"R."},{"family":"Mogilnicka","given":"E. M."},{"family":"Groenewoud","given":"G."},{"family":"Hundt","given":"H. K."},{"family":"Luus","given":"H. G."},{"family":"Middle","given":"M. V."},{"family":"Swart","given":"K. J."},{"family":"De Vaal","given":"A. C."}],"issued":{"date-parts":[["1996",1]]}}}],"schema":"https://github.com/citation-style-language/schema/raw/master/csl-citation.json"} </w:instrText>
            </w:r>
            <w:r w:rsidR="003668AB" w:rsidRPr="00135E13">
              <w:rPr>
                <w:rFonts w:ascii="Times New Roman" w:hAnsi="Times New Roman" w:cs="Times New Roman"/>
                <w:sz w:val="18"/>
                <w:szCs w:val="18"/>
              </w:rPr>
              <w:fldChar w:fldCharType="separate"/>
            </w:r>
            <w:r w:rsidR="00A31FC3" w:rsidRPr="00135E13">
              <w:rPr>
                <w:rFonts w:ascii="Times New Roman" w:hAnsi="Times New Roman" w:cs="Times New Roman"/>
                <w:sz w:val="18"/>
                <w:szCs w:val="21"/>
              </w:rPr>
              <w:t>[22]</w:t>
            </w:r>
            <w:r w:rsidR="003668AB" w:rsidRPr="00135E13">
              <w:rPr>
                <w:rFonts w:ascii="Times New Roman" w:hAnsi="Times New Roman" w:cs="Times New Roman"/>
                <w:sz w:val="18"/>
                <w:szCs w:val="18"/>
              </w:rPr>
              <w:fldChar w:fldCharType="end"/>
            </w:r>
          </w:p>
        </w:tc>
        <w:tc>
          <w:tcPr>
            <w:tcW w:w="2835" w:type="dxa"/>
            <w:noWrap/>
            <w:hideMark/>
          </w:tcPr>
          <w:p w14:paraId="0702DEBB" w14:textId="63BB6424" w:rsidR="00422859" w:rsidRPr="00135E13" w:rsidRDefault="00DF292F">
            <w:pPr>
              <w:rPr>
                <w:rFonts w:ascii="Times New Roman" w:hAnsi="Times New Roman" w:cs="Times New Roman"/>
                <w:sz w:val="18"/>
                <w:szCs w:val="18"/>
              </w:rPr>
            </w:pPr>
            <w:r w:rsidRPr="00135E13">
              <w:rPr>
                <w:rFonts w:ascii="Times New Roman" w:hAnsi="Times New Roman" w:cs="Times New Roman"/>
                <w:sz w:val="18"/>
                <w:szCs w:val="18"/>
              </w:rPr>
              <w:t>C</w:t>
            </w:r>
            <w:r w:rsidR="00B23C01" w:rsidRPr="00135E13">
              <w:rPr>
                <w:rFonts w:ascii="Times New Roman" w:hAnsi="Times New Roman" w:cs="Times New Roman"/>
                <w:sz w:val="18"/>
                <w:szCs w:val="18"/>
              </w:rPr>
              <w:t>omparable</w:t>
            </w:r>
          </w:p>
        </w:tc>
        <w:tc>
          <w:tcPr>
            <w:tcW w:w="3969" w:type="dxa"/>
            <w:vMerge/>
            <w:shd w:val="clear" w:color="auto" w:fill="FFFFFF" w:themeFill="background1"/>
          </w:tcPr>
          <w:p w14:paraId="6106E935" w14:textId="77777777" w:rsidR="00422859" w:rsidRPr="00135E13" w:rsidRDefault="00422859">
            <w:pPr>
              <w:rPr>
                <w:rFonts w:ascii="Times New Roman" w:hAnsi="Times New Roman" w:cs="Times New Roman"/>
                <w:sz w:val="18"/>
                <w:szCs w:val="18"/>
              </w:rPr>
            </w:pPr>
          </w:p>
        </w:tc>
        <w:tc>
          <w:tcPr>
            <w:tcW w:w="2800" w:type="dxa"/>
            <w:shd w:val="clear" w:color="auto" w:fill="C5E0B3" w:themeFill="accent6" w:themeFillTint="66"/>
          </w:tcPr>
          <w:p w14:paraId="3264CCDD" w14:textId="5E398DEF" w:rsidR="00422859" w:rsidRPr="00135E13" w:rsidRDefault="00422859">
            <w:pPr>
              <w:rPr>
                <w:rFonts w:ascii="Times New Roman" w:hAnsi="Times New Roman" w:cs="Times New Roman"/>
                <w:sz w:val="18"/>
                <w:szCs w:val="18"/>
              </w:rPr>
            </w:pPr>
          </w:p>
        </w:tc>
      </w:tr>
      <w:tr w:rsidR="00CE3B37" w:rsidRPr="00135E13" w14:paraId="69704951" w14:textId="6013F600" w:rsidTr="00B23C01">
        <w:trPr>
          <w:trHeight w:val="285"/>
        </w:trPr>
        <w:tc>
          <w:tcPr>
            <w:tcW w:w="13994" w:type="dxa"/>
            <w:gridSpan w:val="6"/>
            <w:noWrap/>
            <w:hideMark/>
          </w:tcPr>
          <w:p w14:paraId="78D15548" w14:textId="6DFA2E43" w:rsidR="00CE3B37" w:rsidRPr="00135E13" w:rsidRDefault="00CE3B37" w:rsidP="00CE3B37">
            <w:pPr>
              <w:jc w:val="center"/>
              <w:rPr>
                <w:rFonts w:ascii="Times New Roman" w:hAnsi="Times New Roman" w:cs="Times New Roman"/>
                <w:sz w:val="18"/>
                <w:szCs w:val="18"/>
              </w:rPr>
            </w:pPr>
            <w:r w:rsidRPr="00135E13">
              <w:rPr>
                <w:rFonts w:ascii="Times New Roman" w:hAnsi="Times New Roman" w:cs="Times New Roman"/>
                <w:b/>
                <w:bCs/>
                <w:sz w:val="18"/>
                <w:szCs w:val="18"/>
              </w:rPr>
              <w:t>Antiepileptic medications</w:t>
            </w:r>
          </w:p>
        </w:tc>
      </w:tr>
      <w:tr w:rsidR="00B23C01" w:rsidRPr="00135E13" w14:paraId="217F0C16" w14:textId="11C1B1F5" w:rsidTr="005C7D6F">
        <w:trPr>
          <w:trHeight w:val="285"/>
        </w:trPr>
        <w:tc>
          <w:tcPr>
            <w:tcW w:w="1838" w:type="dxa"/>
            <w:noWrap/>
            <w:hideMark/>
          </w:tcPr>
          <w:p w14:paraId="509047D0" w14:textId="73D8728A" w:rsidR="00CE3B37" w:rsidRPr="00135E13" w:rsidRDefault="00CE3B37">
            <w:pPr>
              <w:rPr>
                <w:rFonts w:ascii="Times New Roman" w:hAnsi="Times New Roman" w:cs="Times New Roman"/>
                <w:sz w:val="18"/>
                <w:szCs w:val="18"/>
              </w:rPr>
            </w:pPr>
            <w:r w:rsidRPr="00135E13">
              <w:rPr>
                <w:rFonts w:ascii="Times New Roman" w:hAnsi="Times New Roman" w:cs="Times New Roman"/>
                <w:sz w:val="18"/>
                <w:szCs w:val="18"/>
              </w:rPr>
              <w:t>Levetiracetam</w:t>
            </w:r>
          </w:p>
        </w:tc>
        <w:tc>
          <w:tcPr>
            <w:tcW w:w="1418" w:type="dxa"/>
            <w:noWrap/>
            <w:hideMark/>
          </w:tcPr>
          <w:p w14:paraId="4A1FCCE1" w14:textId="4EF355DD" w:rsidR="00CE3B37" w:rsidRPr="00135E13" w:rsidRDefault="00CE3B37" w:rsidP="00712F12">
            <w:pPr>
              <w:rPr>
                <w:rFonts w:ascii="Times New Roman" w:hAnsi="Times New Roman" w:cs="Times New Roman"/>
                <w:sz w:val="18"/>
                <w:szCs w:val="18"/>
              </w:rPr>
            </w:pPr>
            <w:r w:rsidRPr="00135E13">
              <w:rPr>
                <w:rFonts w:ascii="Times New Roman" w:hAnsi="Times New Roman" w:cs="Times New Roman"/>
                <w:sz w:val="18"/>
                <w:szCs w:val="18"/>
              </w:rPr>
              <w:t>100</w:t>
            </w:r>
          </w:p>
        </w:tc>
        <w:tc>
          <w:tcPr>
            <w:tcW w:w="1134" w:type="dxa"/>
            <w:noWrap/>
            <w:hideMark/>
          </w:tcPr>
          <w:p w14:paraId="4103B72B" w14:textId="584C069D" w:rsidR="00CE3B37" w:rsidRPr="00135E13" w:rsidRDefault="00CE3B37">
            <w:pPr>
              <w:rPr>
                <w:rFonts w:ascii="Times New Roman" w:hAnsi="Times New Roman" w:cs="Times New Roman"/>
                <w:sz w:val="18"/>
                <w:szCs w:val="18"/>
              </w:rPr>
            </w:pPr>
            <w:r w:rsidRPr="00135E13">
              <w:rPr>
                <w:rFonts w:ascii="Times New Roman" w:hAnsi="Times New Roman" w:cs="Times New Roman"/>
                <w:sz w:val="18"/>
                <w:szCs w:val="18"/>
              </w:rPr>
              <w:t xml:space="preserve">1.3 </w:t>
            </w:r>
          </w:p>
        </w:tc>
        <w:tc>
          <w:tcPr>
            <w:tcW w:w="2835" w:type="dxa"/>
            <w:noWrap/>
            <w:hideMark/>
          </w:tcPr>
          <w:p w14:paraId="4696C7E2" w14:textId="13466701" w:rsidR="00CE3B37" w:rsidRPr="00135E13" w:rsidRDefault="00CE3B37">
            <w:pPr>
              <w:rPr>
                <w:rFonts w:ascii="Times New Roman" w:hAnsi="Times New Roman" w:cs="Times New Roman"/>
                <w:sz w:val="18"/>
                <w:szCs w:val="18"/>
              </w:rPr>
            </w:pPr>
            <w:r w:rsidRPr="00135E13">
              <w:rPr>
                <w:rFonts w:ascii="Times New Roman" w:hAnsi="Times New Roman" w:cs="Times New Roman"/>
                <w:sz w:val="18"/>
                <w:szCs w:val="18"/>
              </w:rPr>
              <w:t xml:space="preserve">Comparable </w:t>
            </w:r>
          </w:p>
        </w:tc>
        <w:tc>
          <w:tcPr>
            <w:tcW w:w="3969" w:type="dxa"/>
            <w:vMerge w:val="restart"/>
            <w:shd w:val="clear" w:color="auto" w:fill="FFFFFF" w:themeFill="background1"/>
          </w:tcPr>
          <w:p w14:paraId="49599169" w14:textId="5DFBAB01" w:rsidR="00CE3B37" w:rsidRPr="00135E13" w:rsidRDefault="00CE3B37">
            <w:pPr>
              <w:rPr>
                <w:rFonts w:ascii="Times New Roman" w:hAnsi="Times New Roman" w:cs="Times New Roman"/>
                <w:sz w:val="18"/>
                <w:szCs w:val="18"/>
                <w:lang w:val="en-GB"/>
              </w:rPr>
            </w:pPr>
            <w:r w:rsidRPr="00135E13">
              <w:rPr>
                <w:rFonts w:ascii="Times New Roman" w:hAnsi="Times New Roman" w:cs="Times New Roman"/>
                <w:sz w:val="18"/>
                <w:szCs w:val="18"/>
                <w:lang w:val="en-GB"/>
              </w:rPr>
              <w:t xml:space="preserve">Comparable efficacy profiles </w:t>
            </w:r>
            <w:r w:rsidR="00D728DF" w:rsidRPr="00135E13">
              <w:rPr>
                <w:rFonts w:ascii="Times New Roman" w:hAnsi="Times New Roman" w:cs="Times New Roman"/>
                <w:sz w:val="18"/>
                <w:szCs w:val="18"/>
                <w:lang w:val="en-GB"/>
              </w:rPr>
              <w:fldChar w:fldCharType="begin"/>
            </w:r>
            <w:r w:rsidR="00F4471E">
              <w:rPr>
                <w:rFonts w:ascii="Times New Roman" w:hAnsi="Times New Roman" w:cs="Times New Roman"/>
                <w:sz w:val="18"/>
                <w:szCs w:val="18"/>
                <w:lang w:val="en-GB"/>
              </w:rPr>
              <w:instrText xml:space="preserve"> ADDIN ZOTERO_ITEM CSL_CITATION {"citationID":"jurAiwEe","properties":{"formattedCitation":"[23]","plainCitation":"[23]","noteIndex":0},"citationItems":[{"id":"RKg9lF5b/bl0bblGy","uris":["http://zotero.org/users/8889971/items/9WQXB9K6"],"itemData":{"id":4228,"type":"article-journal","abstract":"BACKGROUND AND OBJECTIVE: Levetiracetam is available in China as adjunctive oral therapy for partial-onset seizures. This study was conducted to evaluate the bioequivalence between single-dose intravenous infusion and oral levetiracetam 1500 mg (Part A), and to assess the pharmacokinetics of multiple-dose intravenous infusion at the same dose (Part B) in healthy Chinese subjects.\nMETHODS: Part A was an open-label, crossover comparison (intravenous vs. oral), while Part B was a double-blind, parallel-group study of intravenous levetiracetam versus intravenous placebo administered for 5 days.\nRESULTS: Bioequivalence was demonstrated between the 45-min intravenous infusion and oral tablets, with geometric mean area under the plasma concentration-time curve (AUC) from time 0 to infinity (AUC(∞)) 492.3 and 506.8 μg·h/mL, and geometric mean maximum concentration (Cmax) 65.12 and 55.93 μg/mL for intravenous infusion and oral dosing, respectively. Linear pharmacokinetics were demonstrated (geometric least-squares mean AUC during the dosing interval τ at steady state (AUC(τ,ss)) 475.6 μg·h/mL; geometric least-squares mean AUC(∞) after single dose 501.7 μg·h/mL; linearity factor = 0.948). Geometric mean Cmax (77.44 μg/mL) and AUC(τ,ss) (475.6 μg·h/mL) of intravenous infusion levetiracetam 1500 mg after multiple doses were within the expected range, based on their respective single-dose values and the terminal half-life of levetiracetam after a single dose (7.13 h). A theoretical accumulation of approximately 40% would be expected after multiple doses, which is consistent with the calculated accumulation of 18.0 and 43.5% (Rmax and R(AUC), respectively).\nCONCLUSIONS: Intravenous infusion of levetiracetam is bioequivalent to oral levetiracetam in healthy Chinese subjects and is a suitable alternative for levetiracetam administration in patients who are temporarily unable to take their medication orally.","container-title":"Clinical Drug Investigation","DOI":"10.1007/s40261-015-0303-9","ISSN":"1179-1918","issue":"8","journalAbbreviation":"Clin Drug Investig","language":"eng","page":"495-503","PMID":"26135593","source":"PubMed","title":"Pharmacokinetics, Safety and Bioequivalence of Levetiracetam Intravenous Infusion and Oral Tablets in Healthy Chinese Subjects","volume":"35","author":[{"family":"Toublanc","given":"Nathalie"},{"family":"Du","given":"Xinlu"},{"family":"Liu","given":"Yun"},{"family":"Chen","given":"Qian"},{"family":"Singh","given":"Pritibha"},{"family":"Chan","given":"Robert"},{"family":"Stockis","given":"Armel"}],"issued":{"date-parts":[["2015",8]]}}}],"schema":"https://github.com/citation-style-language/schema/raw/master/csl-citation.json"} </w:instrText>
            </w:r>
            <w:r w:rsidR="00D728DF" w:rsidRPr="00135E13">
              <w:rPr>
                <w:rFonts w:ascii="Times New Roman" w:hAnsi="Times New Roman" w:cs="Times New Roman"/>
                <w:sz w:val="18"/>
                <w:szCs w:val="18"/>
                <w:lang w:val="en-GB"/>
              </w:rPr>
              <w:fldChar w:fldCharType="separate"/>
            </w:r>
            <w:r w:rsidR="00A31FC3" w:rsidRPr="00135E13">
              <w:rPr>
                <w:rFonts w:ascii="Times New Roman" w:hAnsi="Times New Roman" w:cs="Times New Roman"/>
                <w:sz w:val="18"/>
                <w:szCs w:val="21"/>
              </w:rPr>
              <w:t>[23]</w:t>
            </w:r>
            <w:r w:rsidR="00D728DF" w:rsidRPr="00135E13">
              <w:rPr>
                <w:rFonts w:ascii="Times New Roman" w:hAnsi="Times New Roman" w:cs="Times New Roman"/>
                <w:sz w:val="18"/>
                <w:szCs w:val="18"/>
                <w:lang w:val="en-GB"/>
              </w:rPr>
              <w:fldChar w:fldCharType="end"/>
            </w:r>
            <w:r w:rsidR="00D728DF" w:rsidRPr="00135E13">
              <w:rPr>
                <w:rFonts w:ascii="Times New Roman" w:hAnsi="Times New Roman" w:cs="Times New Roman"/>
                <w:sz w:val="18"/>
                <w:szCs w:val="18"/>
                <w:lang w:val="en-GB"/>
              </w:rPr>
              <w:t xml:space="preserve"> </w:t>
            </w:r>
            <w:r w:rsidR="00D728DF" w:rsidRPr="00135E13">
              <w:rPr>
                <w:rFonts w:ascii="Times New Roman" w:hAnsi="Times New Roman" w:cs="Times New Roman"/>
                <w:sz w:val="18"/>
                <w:szCs w:val="18"/>
                <w:lang w:val="en-GB"/>
              </w:rPr>
              <w:fldChar w:fldCharType="begin"/>
            </w:r>
            <w:r w:rsidR="00F4471E">
              <w:rPr>
                <w:rFonts w:ascii="Times New Roman" w:hAnsi="Times New Roman" w:cs="Times New Roman"/>
                <w:sz w:val="18"/>
                <w:szCs w:val="18"/>
                <w:lang w:val="en-GB"/>
              </w:rPr>
              <w:instrText xml:space="preserve"> ADDIN ZOTERO_ITEM CSL_CITATION {"citationID":"Jg5TzUEl","properties":{"formattedCitation":"[24]","plainCitation":"[24]","noteIndex":0},"citationItems":[{"id":"RKg9lF5b/cnF3ZJCY","uris":["http://zotero.org/users/8889971/items/TLUKY6RC"],"itemData":{"id":4227,"type":"article-journal","abstract":"PURPOSE: This multicenter, double-blind, double-dummy, randomized, inpatient trial evaluated the safety, tolerability, and pharmacokinetics of intravenous lacosamide as replacement for oral lacosamide in patients with partial-onset seizures.\nMETHODS: Patients were enrolled from an ongoing open-label extension trial of oral lacosamide and randomized (2:1) to either intravenous lacosamide and oral placebo or intravenous placebo and oral lacosamide. During the 2-day inpatient treatment period, patients received twice-daily doses of lacosamide equivalent to their current daily dose of oral lacosamide. The first 30 patients enrolled received infusions with 60-min durations and the next 30 received infusions with 30-min durations.\nRESULTS: Of 60 patients randomized, 59 completed the trial. Treatment-emergent adverse events (AEs) were reported by 16 patients and included dizziness, headache, back pain, somnolence, and injection site pain. The tolerability profile of intravenous lacosamide was consistent with that of oral lacosamide. All AEs were considered mild or moderate in intensity, and no serious AEs or AEs leading to withdrawal were reported.\nCONCLUSIONS: Intravenous lacosamide, administered as 60- or 30-min twice-daily infusions, showed a similar safety and tolerability profile to oral lacosamide when used as replacement therapy. Results from this trial support further investigation of intravenous lacosamide at shorter infusion durations.","container-title":"Epilepsia","DOI":"10.1111/j.1528-1167.2007.01317.x","ISSN":"0013-9580","issue":"3","journalAbbreviation":"Epilepsia","language":"eng","page":"418-424","PMID":"17888078","source":"PubMed","title":"Intravenous lacosamide as replacement for oral lacosamide in patients with partial-onset seizures","volume":"49","author":[{"family":"Biton","given":"Victor"},{"family":"Rosenfeld","given":"William E."},{"family":"Whitesides","given":"John"},{"family":"Fountain","given":"Nathan B."},{"family":"Vaiciene","given":"Nerija"},{"family":"Rudd","given":"G. David"}],"issued":{"date-parts":[["2008",3]]}}}],"schema":"https://github.com/citation-style-language/schema/raw/master/csl-citation.json"} </w:instrText>
            </w:r>
            <w:r w:rsidR="00D728DF" w:rsidRPr="00135E13">
              <w:rPr>
                <w:rFonts w:ascii="Times New Roman" w:hAnsi="Times New Roman" w:cs="Times New Roman"/>
                <w:sz w:val="18"/>
                <w:szCs w:val="18"/>
                <w:lang w:val="en-GB"/>
              </w:rPr>
              <w:fldChar w:fldCharType="separate"/>
            </w:r>
            <w:r w:rsidR="00A31FC3" w:rsidRPr="00135E13">
              <w:rPr>
                <w:rFonts w:ascii="Times New Roman" w:hAnsi="Times New Roman" w:cs="Times New Roman"/>
                <w:sz w:val="18"/>
                <w:szCs w:val="21"/>
              </w:rPr>
              <w:t>[24]</w:t>
            </w:r>
            <w:r w:rsidR="00D728DF" w:rsidRPr="00135E13">
              <w:rPr>
                <w:rFonts w:ascii="Times New Roman" w:hAnsi="Times New Roman" w:cs="Times New Roman"/>
                <w:sz w:val="18"/>
                <w:szCs w:val="18"/>
                <w:lang w:val="en-GB"/>
              </w:rPr>
              <w:fldChar w:fldCharType="end"/>
            </w:r>
            <w:r w:rsidR="00D728DF" w:rsidRPr="00135E13">
              <w:rPr>
                <w:rFonts w:ascii="Times New Roman" w:hAnsi="Times New Roman" w:cs="Times New Roman"/>
                <w:sz w:val="18"/>
                <w:szCs w:val="18"/>
                <w:lang w:val="en-GB"/>
              </w:rPr>
              <w:t xml:space="preserve"> </w:t>
            </w:r>
            <w:r w:rsidR="00D728DF" w:rsidRPr="00135E13">
              <w:rPr>
                <w:rFonts w:ascii="Times New Roman" w:hAnsi="Times New Roman" w:cs="Times New Roman"/>
                <w:sz w:val="18"/>
                <w:szCs w:val="18"/>
                <w:lang w:val="en-GB"/>
              </w:rPr>
              <w:fldChar w:fldCharType="begin"/>
            </w:r>
            <w:r w:rsidR="00F4471E">
              <w:rPr>
                <w:rFonts w:ascii="Times New Roman" w:hAnsi="Times New Roman" w:cs="Times New Roman"/>
                <w:sz w:val="18"/>
                <w:szCs w:val="18"/>
                <w:lang w:val="en-GB"/>
              </w:rPr>
              <w:instrText xml:space="preserve"> ADDIN ZOTERO_ITEM CSL_CITATION {"citationID":"OZ8Qzerx","properties":{"formattedCitation":"[25]","plainCitation":"[25]","noteIndex":0},"citationItems":[{"id":"RKg9lF5b/8oHFYBIC","uris":["http://zotero.org/users/8889971/items/LGMYSFCI"],"itemData":{"id":4225,"type":"article-journal","abstract":"BACKGROUND: The introduction of IV valproic acid (VPA) has facilitated its use in situations where oral administration is not feasible. The present study was designed to evaluate the safety of administration of undiluted VPA (20 or 30 mg/kg/min) administered intravenously at rates of 6 or 10 mg/kg/min.\nMETHODS: Forty patients received a VPA loading dose (20 or 30 mg/kg) at 6 or 10 mg/kg/min. Heart rate (HR), mean arterial pressure (MAP), oxygen saturation, respiratory rate, and three lead ECG measurements were taken at baseline. Following dose administration the measurements were repeated at 2.5-min intervals for the first 20 min, then at 30, 45, 60 min, and 4 h. Local tolerance was defined as absence of irritation or phlebitis at the site of injection. Systemic tolerability was defined as absence of significant changes in vital signs and level of consciousness (LOC). Changes in vital signs and local intolerance scores were compared across time using repeated measures analysis of variance.\nRESULTS: Rapid administration was well tolerated with no significant changes in HR (p=0.9) or MAP (p=0.7). Complaints of local irritation were transient, lasting less than 3 min in all patients with no indication of redness, irritation, or phlebitis. No patient exhibited a decline in the LOC.\nCONCLUSIONS: Rapid administration of undiluted valproate is safe and well tolerated at infusion rate up to 10 mg/kg/min and doses of up to 30 mg/kg. The lack of serious cardiovascular, neurological, hepatic, or local adverse effects supports the use of VPA in emergent situations.","container-title":"Epilepsia","DOI":"10.1111/j.1528-1167.2007.00989.x","ISSN":"0013-9580","issue":"3","journalAbbreviation":"Epilepsia","language":"eng","page":"478-483","PMID":"17319914","source":"PubMed","title":"Safety of rapid intravenous loading of valproate","volume":"48","author":[{"family":"Limdi","given":"Nita A."},{"family":"Knowlton","given":"Robert K."},{"family":"Cofield","given":"Stacey S."},{"family":"Ver Hoef","given":"Lawrence W."},{"family":"Paige","given":"Alfred L."},{"family":"Dutta","given":"Sandeep"},{"family":"Faught","given":"Edward"}],"issued":{"date-parts":[["2007",3]]}}}],"schema":"https://github.com/citation-style-language/schema/raw/master/csl-citation.json"} </w:instrText>
            </w:r>
            <w:r w:rsidR="00D728DF" w:rsidRPr="00135E13">
              <w:rPr>
                <w:rFonts w:ascii="Times New Roman" w:hAnsi="Times New Roman" w:cs="Times New Roman"/>
                <w:sz w:val="18"/>
                <w:szCs w:val="18"/>
                <w:lang w:val="en-GB"/>
              </w:rPr>
              <w:fldChar w:fldCharType="separate"/>
            </w:r>
            <w:r w:rsidR="00A31FC3" w:rsidRPr="00135E13">
              <w:rPr>
                <w:rFonts w:ascii="Times New Roman" w:hAnsi="Times New Roman" w:cs="Times New Roman"/>
                <w:sz w:val="18"/>
                <w:szCs w:val="21"/>
              </w:rPr>
              <w:t>[25]</w:t>
            </w:r>
            <w:r w:rsidR="00D728DF" w:rsidRPr="00135E13">
              <w:rPr>
                <w:rFonts w:ascii="Times New Roman" w:hAnsi="Times New Roman" w:cs="Times New Roman"/>
                <w:sz w:val="18"/>
                <w:szCs w:val="18"/>
                <w:lang w:val="en-GB"/>
              </w:rPr>
              <w:fldChar w:fldCharType="end"/>
            </w:r>
            <w:r w:rsidR="00292ECB" w:rsidRPr="00135E13">
              <w:rPr>
                <w:rFonts w:ascii="Times New Roman" w:hAnsi="Times New Roman" w:cs="Times New Roman"/>
                <w:sz w:val="18"/>
                <w:szCs w:val="18"/>
                <w:lang w:val="en-GB"/>
              </w:rPr>
              <w:t xml:space="preserve"> </w:t>
            </w:r>
            <w:r w:rsidR="00292ECB" w:rsidRPr="00135E13">
              <w:rPr>
                <w:rFonts w:ascii="Times New Roman" w:hAnsi="Times New Roman" w:cs="Times New Roman"/>
                <w:sz w:val="18"/>
                <w:szCs w:val="18"/>
                <w:lang w:val="en-GB"/>
              </w:rPr>
              <w:fldChar w:fldCharType="begin"/>
            </w:r>
            <w:r w:rsidR="00F4471E">
              <w:rPr>
                <w:rFonts w:ascii="Times New Roman" w:hAnsi="Times New Roman" w:cs="Times New Roman"/>
                <w:sz w:val="18"/>
                <w:szCs w:val="18"/>
                <w:lang w:val="en-GB"/>
              </w:rPr>
              <w:instrText xml:space="preserve"> ADDIN ZOTERO_ITEM CSL_CITATION {"citationID":"P5tboivU","properties":{"formattedCitation":"[26]","plainCitation":"[26]","noteIndex":0},"citationItems":[{"id":"RKg9lF5b/4s7TzfUB","uris":["http://zotero.org/users/8889971/items/5EHGUK6Q"],"itemData":{"id":4224,"type":"article-journal","abstract":"High-dose phenobarbital (PB) therapy is effective for refractory status epilepticus. We reviewed medical records of patients with intractable partial epilepsies on whom performed non-intravenous high-dose PB therapy. Thirteen patients received PB rectally or orally at a dosage of 20-30mg/kg/day initially, and the PB dosage was gradually reduced to a maintenance dosage of 5-10mg/kg/day orally. We evaluated the effectiveness and safety of this procedure after 14days at the maintenance dosage level. Twelve patients had partial seizures and one had secondary generalized seizures. In six of 13 patients (46%), seizure frequencies decreased more than 50%, and two of 13 patients (15%) became seizure free. In five of seven patients who were treated by continuous midazolam infusion therapy, we were able to discontinue the midazolam therapy. Adverse effects were found in seven of 13 patients. We were able to continue high-dose PB therapy in six patients because their adverse effects were transient and improved after a decrease in PB concentration, but we discontinued this therapy in the patient who developed Stevens-Johnson syndrome. Respiratory depression and hypotension were not found in our study. We conclude that high-dose PB therapy is effective and may be considered as an additional treatment for intractable partial epilepsy in childhood.","container-title":"Brain &amp; Development","DOI":"10.1016/j.braindev.2010.07.009","ISSN":"1872-7131","issue":"5","journalAbbreviation":"Brain Dev","language":"eng","page":"379-383","PMID":"20724088","source":"PubMed","title":"Effectiveness and safety of non-intravenous high-dose phenobarbital therapy for intractable epilepsy during childhood","volume":"33","author":[{"family":"Kikuchi","given":"Kenjiro"},{"family":"Hamano","given":"Shin-Ichiro"},{"family":"Oritsu","given":"Tomotaka"},{"family":"Koichihara","given":"Reiko"},{"family":"Tanaka","given":"Manabu"},{"family":"Minamitani","given":"Motoyuki"},{"family":"Ida","given":"Hiroyuki"}],"issued":{"date-parts":[["2011",5]]}}}],"schema":"https://github.com/citation-style-language/schema/raw/master/csl-citation.json"} </w:instrText>
            </w:r>
            <w:r w:rsidR="00292ECB" w:rsidRPr="00135E13">
              <w:rPr>
                <w:rFonts w:ascii="Times New Roman" w:hAnsi="Times New Roman" w:cs="Times New Roman"/>
                <w:sz w:val="18"/>
                <w:szCs w:val="18"/>
                <w:lang w:val="en-GB"/>
              </w:rPr>
              <w:fldChar w:fldCharType="separate"/>
            </w:r>
            <w:r w:rsidR="00A31FC3" w:rsidRPr="00135E13">
              <w:rPr>
                <w:rFonts w:ascii="Times New Roman" w:hAnsi="Times New Roman" w:cs="Times New Roman"/>
                <w:sz w:val="18"/>
                <w:szCs w:val="21"/>
              </w:rPr>
              <w:t>[26]</w:t>
            </w:r>
            <w:r w:rsidR="00292ECB" w:rsidRPr="00135E13">
              <w:rPr>
                <w:rFonts w:ascii="Times New Roman" w:hAnsi="Times New Roman" w:cs="Times New Roman"/>
                <w:sz w:val="18"/>
                <w:szCs w:val="18"/>
                <w:lang w:val="en-GB"/>
              </w:rPr>
              <w:fldChar w:fldCharType="end"/>
            </w:r>
            <w:r w:rsidR="00292ECB" w:rsidRPr="00135E13">
              <w:rPr>
                <w:rFonts w:ascii="Times New Roman" w:hAnsi="Times New Roman" w:cs="Times New Roman"/>
                <w:sz w:val="18"/>
                <w:szCs w:val="18"/>
                <w:lang w:val="en-GB"/>
              </w:rPr>
              <w:t xml:space="preserve"> </w:t>
            </w:r>
            <w:r w:rsidR="00292ECB" w:rsidRPr="00135E13">
              <w:rPr>
                <w:rFonts w:ascii="Times New Roman" w:hAnsi="Times New Roman" w:cs="Times New Roman"/>
                <w:sz w:val="18"/>
                <w:szCs w:val="18"/>
                <w:lang w:val="en-GB"/>
              </w:rPr>
              <w:fldChar w:fldCharType="begin"/>
            </w:r>
            <w:r w:rsidR="00F4471E">
              <w:rPr>
                <w:rFonts w:ascii="Times New Roman" w:hAnsi="Times New Roman" w:cs="Times New Roman"/>
                <w:sz w:val="18"/>
                <w:szCs w:val="18"/>
                <w:lang w:val="en-GB"/>
              </w:rPr>
              <w:instrText xml:space="preserve"> ADDIN ZOTERO_ITEM CSL_CITATION {"citationID":"DprWmQjx","properties":{"formattedCitation":"[27]","plainCitation":"[27]","noteIndex":0},"citationItems":[{"id":"RKg9lF5b/tRygS6ut","uris":["http://zotero.org/users/8889971/items/R3TJFYVQ"],"itemData":{"id":4223,"type":"article-journal","abstract":"BACKGROUND: Brivaracetam (BRV) is a third-generation antiseizure medication (ASM) that acts as a high-affinity ligand for synaptic vesicle protein 2A (SV2A), sharing a similar mechanism of action with levetiracetam (LEV). Nevertheless, BRV exhibits higher binding affinity and selectivity for SV2A and a more favorable safety profile. We aim to study the efficacy of switching intravenous to oral BRV following status epilepticus (SE) and cluster seizures.\nMETHODS: We conducted a multicenter, retrospective, observational study performed at seven Sicilian epilepsy centers in the context of real-world clinical practice. Recruited patients received intravenous BRV as a second-line treatment for SE and subsequently switched to oral administration. Outcome measures were responder rate (≥ 50 % seizure reduction), sustained seizure freedom and the occurrence of adverse events. were defined as the occurrence, number, and type of adverse events (AEs).\nRESULTS: 75 patients were included in the study whereas seven were excluded because of death before six months of follow-up and five were because lost at follow-up. Sixty-two patients (mean age 69.63 ± 12.99) were included in the present analyses. The mean dosage of BRV was 165 mg (SD 50,04) mg/day at 8.7 months. The retention rate of BRV was 93.7 %. At follow-up, 30 (47.6 %) patients showed sustained seizure freedom, in 22 (34.9 %) seizure frequency decreased ≥ 50 % and 10 (16,1%) experienced a clinical worsening. Adverse events (AEs) were observed in two out of 62 participants (3.2 %). We didn't find any correlation between sex, age, dosage of BRV and the sustained seizure freedom or the reduction in the number of seizures ≥ 50 % (p = 0.57; p = 0.26; p = 0.57, respectively). Patients with vascular aetiology had a likelihood of resolution or a reduction ≥ 50 % approximately three times higher (odds ratio 3.13(IC 95 %: 1.01-9.77), p = 0.05) than others.\nCONCLUSIONS: The switch of BRV from intravenous to oral administration has demonstrated a good effectiveness and safety profile in long-term treatment of epilepsy following a prior SE particularly in patients with vascular diseases.","container-title":"Epilepsy &amp; Behavior: E&amp;B","DOI":"10.1016/j.yebeh.2025.110744","ISSN":"1525-5069","journalAbbreviation":"Epilepsy Behav","language":"eng","page":"110744","PMID":"41043236","source":"PubMed","title":"The efficacy of switching intravenous to oral brivaracetam following status epilepticus: A real-world, multicenter Sicilian study","title-short":"The efficacy of switching intravenous to oral brivaracetam following status epilepticus","volume":"172","author":[{"family":"Martellino","given":"C."},{"family":"Salafica","given":"G."},{"family":"Tripepi","given":"G."},{"family":"Vinaccia","given":"A."},{"family":"Atanasio","given":"G."},{"family":"Tilenni","given":"Diana"},{"family":"Lamanna","given":"F."},{"family":"Pardeo","given":"O."},{"family":"Panebianco","given":"M."},{"family":"Urso","given":"L."},{"family":"Maira","given":"G."},{"family":"Laisa","given":"P."},{"family":"Zappulla","given":"S."},{"family":"Gammino","given":"M."},{"family":"Coco","given":"D. Lo"},{"family":"Agrò","given":"L."},{"family":"Avarello","given":"R."},{"family":"Zummo","given":"L."},{"family":"Laganà","given":"A."},{"family":"Labate","given":"A."}],"issued":{"date-parts":[["2025",11]]}}}],"schema":"https://github.com/citation-style-language/schema/raw/master/csl-citation.json"} </w:instrText>
            </w:r>
            <w:r w:rsidR="00292ECB" w:rsidRPr="00135E13">
              <w:rPr>
                <w:rFonts w:ascii="Times New Roman" w:hAnsi="Times New Roman" w:cs="Times New Roman"/>
                <w:sz w:val="18"/>
                <w:szCs w:val="18"/>
                <w:lang w:val="en-GB"/>
              </w:rPr>
              <w:fldChar w:fldCharType="separate"/>
            </w:r>
            <w:r w:rsidR="00A31FC3" w:rsidRPr="00135E13">
              <w:rPr>
                <w:rFonts w:ascii="Times New Roman" w:hAnsi="Times New Roman" w:cs="Times New Roman"/>
                <w:sz w:val="18"/>
                <w:szCs w:val="21"/>
              </w:rPr>
              <w:t>[27]</w:t>
            </w:r>
            <w:r w:rsidR="00292ECB" w:rsidRPr="00135E13">
              <w:rPr>
                <w:rFonts w:ascii="Times New Roman" w:hAnsi="Times New Roman" w:cs="Times New Roman"/>
                <w:sz w:val="18"/>
                <w:szCs w:val="18"/>
                <w:lang w:val="en-GB"/>
              </w:rPr>
              <w:fldChar w:fldCharType="end"/>
            </w:r>
          </w:p>
          <w:p w14:paraId="4D64436C" w14:textId="77777777" w:rsidR="006B6A5F" w:rsidRPr="00135E13" w:rsidRDefault="006B6A5F">
            <w:pPr>
              <w:rPr>
                <w:rFonts w:ascii="Times New Roman" w:hAnsi="Times New Roman" w:cs="Times New Roman"/>
                <w:b/>
                <w:bCs/>
                <w:color w:val="1B1B1B"/>
                <w:sz w:val="18"/>
                <w:szCs w:val="18"/>
                <w:shd w:val="clear" w:color="auto" w:fill="FFFFFF"/>
                <w:lang w:val="en-GB"/>
              </w:rPr>
            </w:pPr>
          </w:p>
          <w:p w14:paraId="414BD3CB" w14:textId="2C517E3A" w:rsidR="00CE3B37" w:rsidRPr="00135E13" w:rsidRDefault="00CE3B37">
            <w:pPr>
              <w:rPr>
                <w:rFonts w:ascii="Times New Roman" w:hAnsi="Times New Roman" w:cs="Times New Roman"/>
                <w:b/>
                <w:bCs/>
                <w:sz w:val="18"/>
                <w:szCs w:val="18"/>
                <w:lang w:val="en-GB"/>
              </w:rPr>
            </w:pPr>
            <w:r w:rsidRPr="00135E13">
              <w:rPr>
                <w:rFonts w:ascii="Times New Roman" w:hAnsi="Times New Roman" w:cs="Times New Roman"/>
                <w:b/>
                <w:bCs/>
                <w:color w:val="1B1B1B"/>
                <w:sz w:val="18"/>
                <w:szCs w:val="18"/>
                <w:shd w:val="clear" w:color="auto" w:fill="FFFFFF"/>
                <w:lang w:val="en-GB"/>
              </w:rPr>
              <w:t xml:space="preserve">Antiepileptic residual monitoring may be particularly valuable </w:t>
            </w:r>
          </w:p>
        </w:tc>
        <w:tc>
          <w:tcPr>
            <w:tcW w:w="2800" w:type="dxa"/>
            <w:vMerge w:val="restart"/>
            <w:shd w:val="clear" w:color="auto" w:fill="C5E0B3" w:themeFill="accent6" w:themeFillTint="66"/>
          </w:tcPr>
          <w:p w14:paraId="0F2E9E25" w14:textId="0202262D" w:rsidR="00CE3B37" w:rsidRPr="00135E13" w:rsidRDefault="00CE3B37">
            <w:pPr>
              <w:rPr>
                <w:rFonts w:ascii="Times New Roman" w:hAnsi="Times New Roman" w:cs="Times New Roman"/>
                <w:sz w:val="18"/>
                <w:szCs w:val="18"/>
              </w:rPr>
            </w:pPr>
            <w:r w:rsidRPr="00135E13">
              <w:rPr>
                <w:rFonts w:ascii="Times New Roman" w:hAnsi="Times New Roman" w:cs="Times New Roman"/>
                <w:sz w:val="18"/>
                <w:szCs w:val="18"/>
                <w:lang w:val="en-GB"/>
              </w:rPr>
              <w:t xml:space="preserve">Except in status epilepticus </w:t>
            </w:r>
          </w:p>
          <w:p w14:paraId="4ED4AECA" w14:textId="49F08A3E" w:rsidR="00CE3B37" w:rsidRPr="00135E13" w:rsidRDefault="00CE3B37" w:rsidP="00441C64">
            <w:pPr>
              <w:rPr>
                <w:rFonts w:ascii="Times New Roman" w:hAnsi="Times New Roman" w:cs="Times New Roman"/>
                <w:sz w:val="18"/>
                <w:szCs w:val="18"/>
              </w:rPr>
            </w:pPr>
          </w:p>
        </w:tc>
      </w:tr>
      <w:tr w:rsidR="00B23C01" w:rsidRPr="00135E13" w14:paraId="5EB6CBA0" w14:textId="50424A5B" w:rsidTr="005C7D6F">
        <w:trPr>
          <w:trHeight w:val="285"/>
        </w:trPr>
        <w:tc>
          <w:tcPr>
            <w:tcW w:w="1838" w:type="dxa"/>
            <w:noWrap/>
            <w:hideMark/>
          </w:tcPr>
          <w:p w14:paraId="5C173FC2" w14:textId="5038896B" w:rsidR="00CE3B37" w:rsidRPr="00135E13" w:rsidRDefault="00CE3B37">
            <w:pPr>
              <w:rPr>
                <w:rFonts w:ascii="Times New Roman" w:hAnsi="Times New Roman" w:cs="Times New Roman"/>
                <w:sz w:val="18"/>
                <w:szCs w:val="18"/>
              </w:rPr>
            </w:pPr>
            <w:r w:rsidRPr="00135E13">
              <w:rPr>
                <w:rFonts w:ascii="Times New Roman" w:hAnsi="Times New Roman" w:cs="Times New Roman"/>
                <w:sz w:val="18"/>
                <w:szCs w:val="18"/>
              </w:rPr>
              <w:t>Lacosamide</w:t>
            </w:r>
          </w:p>
        </w:tc>
        <w:tc>
          <w:tcPr>
            <w:tcW w:w="1418" w:type="dxa"/>
            <w:noWrap/>
            <w:hideMark/>
          </w:tcPr>
          <w:p w14:paraId="02F5CB0C" w14:textId="72BCFAEB" w:rsidR="00CE3B37" w:rsidRPr="00135E13" w:rsidRDefault="00CE3B37" w:rsidP="00712F12">
            <w:pPr>
              <w:rPr>
                <w:rFonts w:ascii="Times New Roman" w:hAnsi="Times New Roman" w:cs="Times New Roman"/>
                <w:sz w:val="18"/>
                <w:szCs w:val="18"/>
              </w:rPr>
            </w:pPr>
            <w:r w:rsidRPr="00135E13">
              <w:rPr>
                <w:rFonts w:ascii="Times New Roman" w:hAnsi="Times New Roman" w:cs="Times New Roman"/>
                <w:sz w:val="18"/>
                <w:szCs w:val="18"/>
              </w:rPr>
              <w:t>100</w:t>
            </w:r>
          </w:p>
        </w:tc>
        <w:tc>
          <w:tcPr>
            <w:tcW w:w="1134" w:type="dxa"/>
            <w:noWrap/>
            <w:hideMark/>
          </w:tcPr>
          <w:p w14:paraId="2A7B4F79" w14:textId="5C6EA21A" w:rsidR="00CE3B37" w:rsidRPr="00135E13" w:rsidRDefault="00CE3B37">
            <w:pPr>
              <w:rPr>
                <w:rFonts w:ascii="Times New Roman" w:hAnsi="Times New Roman" w:cs="Times New Roman"/>
                <w:sz w:val="18"/>
                <w:szCs w:val="18"/>
              </w:rPr>
            </w:pPr>
            <w:r w:rsidRPr="00135E13">
              <w:rPr>
                <w:rFonts w:ascii="Times New Roman" w:hAnsi="Times New Roman" w:cs="Times New Roman"/>
                <w:sz w:val="18"/>
                <w:szCs w:val="18"/>
              </w:rPr>
              <w:t>0.5-4</w:t>
            </w:r>
          </w:p>
        </w:tc>
        <w:tc>
          <w:tcPr>
            <w:tcW w:w="2835" w:type="dxa"/>
            <w:noWrap/>
            <w:hideMark/>
          </w:tcPr>
          <w:p w14:paraId="57A48CB4" w14:textId="186C6D14" w:rsidR="00CE3B37"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vMerge/>
            <w:shd w:val="clear" w:color="auto" w:fill="FFFFFF" w:themeFill="background1"/>
          </w:tcPr>
          <w:p w14:paraId="11CAEF48" w14:textId="77777777" w:rsidR="00CE3B37" w:rsidRPr="00135E13" w:rsidRDefault="00CE3B37" w:rsidP="00441C64">
            <w:pPr>
              <w:rPr>
                <w:rFonts w:ascii="Times New Roman" w:hAnsi="Times New Roman" w:cs="Times New Roman"/>
                <w:sz w:val="18"/>
                <w:szCs w:val="18"/>
              </w:rPr>
            </w:pPr>
          </w:p>
        </w:tc>
        <w:tc>
          <w:tcPr>
            <w:tcW w:w="2800" w:type="dxa"/>
            <w:vMerge/>
            <w:shd w:val="clear" w:color="auto" w:fill="C5E0B3" w:themeFill="accent6" w:themeFillTint="66"/>
          </w:tcPr>
          <w:p w14:paraId="1A2B7022" w14:textId="1508E878" w:rsidR="00CE3B37" w:rsidRPr="00135E13" w:rsidRDefault="00CE3B37" w:rsidP="00441C64">
            <w:pPr>
              <w:rPr>
                <w:rFonts w:ascii="Times New Roman" w:hAnsi="Times New Roman" w:cs="Times New Roman"/>
                <w:sz w:val="18"/>
                <w:szCs w:val="18"/>
              </w:rPr>
            </w:pPr>
          </w:p>
        </w:tc>
      </w:tr>
      <w:tr w:rsidR="00B23C01" w:rsidRPr="00135E13" w14:paraId="1F6F4F4A" w14:textId="0F79917C" w:rsidTr="005C7D6F">
        <w:trPr>
          <w:trHeight w:val="285"/>
        </w:trPr>
        <w:tc>
          <w:tcPr>
            <w:tcW w:w="1838" w:type="dxa"/>
            <w:noWrap/>
            <w:hideMark/>
          </w:tcPr>
          <w:p w14:paraId="38E675C3" w14:textId="0780BB86" w:rsidR="00CE3B37" w:rsidRPr="00135E13" w:rsidRDefault="00CE3B37">
            <w:pPr>
              <w:rPr>
                <w:rFonts w:ascii="Times New Roman" w:hAnsi="Times New Roman" w:cs="Times New Roman"/>
                <w:sz w:val="18"/>
                <w:szCs w:val="18"/>
              </w:rPr>
            </w:pPr>
            <w:r w:rsidRPr="00135E13">
              <w:rPr>
                <w:rFonts w:ascii="Times New Roman" w:hAnsi="Times New Roman" w:cs="Times New Roman"/>
                <w:sz w:val="18"/>
                <w:szCs w:val="18"/>
              </w:rPr>
              <w:t xml:space="preserve">Sodium </w:t>
            </w:r>
            <w:r w:rsidR="00E667BF" w:rsidRPr="00135E13">
              <w:rPr>
                <w:rFonts w:ascii="Times New Roman" w:hAnsi="Times New Roman" w:cs="Times New Roman"/>
                <w:sz w:val="18"/>
                <w:szCs w:val="18"/>
              </w:rPr>
              <w:t>v</w:t>
            </w:r>
            <w:r w:rsidRPr="00135E13">
              <w:rPr>
                <w:rFonts w:ascii="Times New Roman" w:hAnsi="Times New Roman" w:cs="Times New Roman"/>
                <w:sz w:val="18"/>
                <w:szCs w:val="18"/>
              </w:rPr>
              <w:t>alproate</w:t>
            </w:r>
          </w:p>
        </w:tc>
        <w:tc>
          <w:tcPr>
            <w:tcW w:w="1418" w:type="dxa"/>
            <w:noWrap/>
            <w:hideMark/>
          </w:tcPr>
          <w:p w14:paraId="7C407C99" w14:textId="56F30560" w:rsidR="00CE3B37" w:rsidRPr="00135E13" w:rsidRDefault="00CE3B37" w:rsidP="00712F12">
            <w:pPr>
              <w:rPr>
                <w:rFonts w:ascii="Times New Roman" w:hAnsi="Times New Roman" w:cs="Times New Roman"/>
                <w:sz w:val="18"/>
                <w:szCs w:val="18"/>
              </w:rPr>
            </w:pPr>
            <w:r w:rsidRPr="00135E13">
              <w:rPr>
                <w:rFonts w:ascii="Times New Roman" w:hAnsi="Times New Roman" w:cs="Times New Roman"/>
                <w:sz w:val="18"/>
                <w:szCs w:val="18"/>
              </w:rPr>
              <w:t>100</w:t>
            </w:r>
          </w:p>
        </w:tc>
        <w:tc>
          <w:tcPr>
            <w:tcW w:w="1134" w:type="dxa"/>
            <w:noWrap/>
            <w:hideMark/>
          </w:tcPr>
          <w:p w14:paraId="50F8F3B7" w14:textId="7963BC2E" w:rsidR="00CE3B37" w:rsidRPr="00135E13" w:rsidRDefault="00CE3B37">
            <w:pPr>
              <w:rPr>
                <w:rFonts w:ascii="Times New Roman" w:hAnsi="Times New Roman" w:cs="Times New Roman"/>
                <w:sz w:val="18"/>
                <w:szCs w:val="18"/>
              </w:rPr>
            </w:pPr>
            <w:r w:rsidRPr="00135E13">
              <w:rPr>
                <w:rFonts w:ascii="Times New Roman" w:hAnsi="Times New Roman" w:cs="Times New Roman"/>
                <w:sz w:val="18"/>
                <w:szCs w:val="18"/>
              </w:rPr>
              <w:t>1-4</w:t>
            </w:r>
          </w:p>
        </w:tc>
        <w:tc>
          <w:tcPr>
            <w:tcW w:w="2835" w:type="dxa"/>
            <w:noWrap/>
            <w:hideMark/>
          </w:tcPr>
          <w:p w14:paraId="79AA9050" w14:textId="22B92002" w:rsidR="00CE3B37"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vMerge/>
            <w:shd w:val="clear" w:color="auto" w:fill="FFFFFF" w:themeFill="background1"/>
          </w:tcPr>
          <w:p w14:paraId="0A6BCF62" w14:textId="77777777" w:rsidR="00CE3B37" w:rsidRPr="00135E13" w:rsidRDefault="00CE3B37" w:rsidP="00441C64">
            <w:pPr>
              <w:rPr>
                <w:rFonts w:ascii="Times New Roman" w:hAnsi="Times New Roman" w:cs="Times New Roman"/>
                <w:sz w:val="18"/>
                <w:szCs w:val="18"/>
              </w:rPr>
            </w:pPr>
          </w:p>
        </w:tc>
        <w:tc>
          <w:tcPr>
            <w:tcW w:w="2800" w:type="dxa"/>
            <w:vMerge/>
            <w:shd w:val="clear" w:color="auto" w:fill="C5E0B3" w:themeFill="accent6" w:themeFillTint="66"/>
          </w:tcPr>
          <w:p w14:paraId="45CF0050" w14:textId="314A4CA9" w:rsidR="00CE3B37" w:rsidRPr="00135E13" w:rsidRDefault="00CE3B37" w:rsidP="00441C64">
            <w:pPr>
              <w:rPr>
                <w:rFonts w:ascii="Times New Roman" w:hAnsi="Times New Roman" w:cs="Times New Roman"/>
                <w:sz w:val="18"/>
                <w:szCs w:val="18"/>
              </w:rPr>
            </w:pPr>
          </w:p>
        </w:tc>
      </w:tr>
      <w:tr w:rsidR="00B23C01" w:rsidRPr="00135E13" w14:paraId="7A94F1C0" w14:textId="314BD4BB" w:rsidTr="005C7D6F">
        <w:trPr>
          <w:trHeight w:val="285"/>
        </w:trPr>
        <w:tc>
          <w:tcPr>
            <w:tcW w:w="1838" w:type="dxa"/>
            <w:noWrap/>
            <w:hideMark/>
          </w:tcPr>
          <w:p w14:paraId="4B11BC78" w14:textId="6947C034" w:rsidR="00CE3B37" w:rsidRPr="00135E13" w:rsidRDefault="00CE3B37">
            <w:pPr>
              <w:rPr>
                <w:rFonts w:ascii="Times New Roman" w:hAnsi="Times New Roman" w:cs="Times New Roman"/>
                <w:sz w:val="18"/>
                <w:szCs w:val="18"/>
              </w:rPr>
            </w:pPr>
            <w:r w:rsidRPr="00135E13">
              <w:rPr>
                <w:rFonts w:ascii="Times New Roman" w:hAnsi="Times New Roman" w:cs="Times New Roman"/>
                <w:sz w:val="18"/>
                <w:szCs w:val="18"/>
              </w:rPr>
              <w:t>Phenobarbital</w:t>
            </w:r>
          </w:p>
        </w:tc>
        <w:tc>
          <w:tcPr>
            <w:tcW w:w="1418" w:type="dxa"/>
            <w:noWrap/>
            <w:hideMark/>
          </w:tcPr>
          <w:p w14:paraId="02781B84" w14:textId="44222564" w:rsidR="00CE3B37" w:rsidRPr="00135E13" w:rsidRDefault="00CE3B37" w:rsidP="00712F12">
            <w:pPr>
              <w:rPr>
                <w:rFonts w:ascii="Times New Roman" w:hAnsi="Times New Roman" w:cs="Times New Roman"/>
                <w:sz w:val="18"/>
                <w:szCs w:val="18"/>
              </w:rPr>
            </w:pPr>
            <w:r w:rsidRPr="00135E13">
              <w:rPr>
                <w:rFonts w:ascii="Times New Roman" w:hAnsi="Times New Roman" w:cs="Times New Roman"/>
                <w:sz w:val="18"/>
                <w:szCs w:val="18"/>
              </w:rPr>
              <w:t>80</w:t>
            </w:r>
          </w:p>
        </w:tc>
        <w:tc>
          <w:tcPr>
            <w:tcW w:w="1134" w:type="dxa"/>
            <w:noWrap/>
            <w:hideMark/>
          </w:tcPr>
          <w:p w14:paraId="54C45B36" w14:textId="1F63DD0A" w:rsidR="00CE3B37" w:rsidRPr="00135E13" w:rsidRDefault="00CE3B37">
            <w:pPr>
              <w:rPr>
                <w:rFonts w:ascii="Times New Roman" w:hAnsi="Times New Roman" w:cs="Times New Roman"/>
                <w:sz w:val="18"/>
                <w:szCs w:val="18"/>
              </w:rPr>
            </w:pPr>
            <w:r w:rsidRPr="00135E13">
              <w:rPr>
                <w:rFonts w:ascii="Times New Roman" w:hAnsi="Times New Roman" w:cs="Times New Roman"/>
                <w:sz w:val="18"/>
                <w:szCs w:val="18"/>
              </w:rPr>
              <w:t xml:space="preserve">8 </w:t>
            </w:r>
          </w:p>
        </w:tc>
        <w:tc>
          <w:tcPr>
            <w:tcW w:w="2835" w:type="dxa"/>
            <w:noWrap/>
            <w:hideMark/>
          </w:tcPr>
          <w:p w14:paraId="0BEC12AB" w14:textId="26A98D6E" w:rsidR="00CE3B37"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vMerge/>
            <w:shd w:val="clear" w:color="auto" w:fill="FFFFFF" w:themeFill="background1"/>
          </w:tcPr>
          <w:p w14:paraId="3A58C405" w14:textId="77777777" w:rsidR="00CE3B37" w:rsidRPr="00135E13" w:rsidRDefault="00CE3B37" w:rsidP="00441C64">
            <w:pPr>
              <w:rPr>
                <w:rFonts w:ascii="Times New Roman" w:hAnsi="Times New Roman" w:cs="Times New Roman"/>
                <w:sz w:val="18"/>
                <w:szCs w:val="18"/>
              </w:rPr>
            </w:pPr>
          </w:p>
        </w:tc>
        <w:tc>
          <w:tcPr>
            <w:tcW w:w="2800" w:type="dxa"/>
            <w:vMerge/>
            <w:shd w:val="clear" w:color="auto" w:fill="C5E0B3" w:themeFill="accent6" w:themeFillTint="66"/>
          </w:tcPr>
          <w:p w14:paraId="452CD157" w14:textId="64FF89DD" w:rsidR="00CE3B37" w:rsidRPr="00135E13" w:rsidRDefault="00CE3B37" w:rsidP="00441C64">
            <w:pPr>
              <w:rPr>
                <w:rFonts w:ascii="Times New Roman" w:hAnsi="Times New Roman" w:cs="Times New Roman"/>
                <w:sz w:val="18"/>
                <w:szCs w:val="18"/>
              </w:rPr>
            </w:pPr>
          </w:p>
        </w:tc>
      </w:tr>
      <w:tr w:rsidR="00B23C01" w:rsidRPr="00135E13" w14:paraId="0054BD1C" w14:textId="6367D46A" w:rsidTr="005C7D6F">
        <w:trPr>
          <w:trHeight w:val="285"/>
        </w:trPr>
        <w:tc>
          <w:tcPr>
            <w:tcW w:w="1838" w:type="dxa"/>
            <w:noWrap/>
            <w:hideMark/>
          </w:tcPr>
          <w:p w14:paraId="2E74C3AB" w14:textId="006370AD" w:rsidR="00CE3B37" w:rsidRPr="00135E13" w:rsidRDefault="00CE3B37">
            <w:pPr>
              <w:rPr>
                <w:rFonts w:ascii="Times New Roman" w:hAnsi="Times New Roman" w:cs="Times New Roman"/>
                <w:sz w:val="18"/>
                <w:szCs w:val="18"/>
              </w:rPr>
            </w:pPr>
            <w:r w:rsidRPr="00135E13">
              <w:rPr>
                <w:rFonts w:ascii="Times New Roman" w:hAnsi="Times New Roman" w:cs="Times New Roman"/>
                <w:sz w:val="18"/>
                <w:szCs w:val="18"/>
              </w:rPr>
              <w:t>Brivaracetam</w:t>
            </w:r>
          </w:p>
        </w:tc>
        <w:tc>
          <w:tcPr>
            <w:tcW w:w="1418" w:type="dxa"/>
            <w:noWrap/>
            <w:hideMark/>
          </w:tcPr>
          <w:p w14:paraId="50833E01" w14:textId="6D014E48" w:rsidR="00CE3B37" w:rsidRPr="00135E13" w:rsidRDefault="00CE3B37" w:rsidP="00712F12">
            <w:pPr>
              <w:rPr>
                <w:rFonts w:ascii="Times New Roman" w:hAnsi="Times New Roman" w:cs="Times New Roman"/>
                <w:sz w:val="18"/>
                <w:szCs w:val="18"/>
              </w:rPr>
            </w:pPr>
            <w:r w:rsidRPr="00135E13">
              <w:rPr>
                <w:rFonts w:ascii="Times New Roman" w:hAnsi="Times New Roman" w:cs="Times New Roman"/>
                <w:sz w:val="18"/>
                <w:szCs w:val="18"/>
              </w:rPr>
              <w:t>100</w:t>
            </w:r>
          </w:p>
        </w:tc>
        <w:tc>
          <w:tcPr>
            <w:tcW w:w="1134" w:type="dxa"/>
            <w:noWrap/>
            <w:hideMark/>
          </w:tcPr>
          <w:p w14:paraId="55EE7FC2" w14:textId="2B7A422D" w:rsidR="00CE3B37" w:rsidRPr="00135E13" w:rsidRDefault="00CE3B37">
            <w:pPr>
              <w:rPr>
                <w:rFonts w:ascii="Times New Roman" w:hAnsi="Times New Roman" w:cs="Times New Roman"/>
                <w:sz w:val="18"/>
                <w:szCs w:val="18"/>
              </w:rPr>
            </w:pPr>
            <w:r w:rsidRPr="00135E13">
              <w:rPr>
                <w:rFonts w:ascii="Times New Roman" w:hAnsi="Times New Roman" w:cs="Times New Roman"/>
                <w:sz w:val="18"/>
                <w:szCs w:val="18"/>
              </w:rPr>
              <w:t>0.25-3</w:t>
            </w:r>
          </w:p>
        </w:tc>
        <w:tc>
          <w:tcPr>
            <w:tcW w:w="2835" w:type="dxa"/>
            <w:noWrap/>
            <w:hideMark/>
          </w:tcPr>
          <w:p w14:paraId="39A815AF" w14:textId="02A57A61" w:rsidR="00CE3B37" w:rsidRPr="00135E13" w:rsidRDefault="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vMerge/>
            <w:shd w:val="clear" w:color="auto" w:fill="FFFFFF" w:themeFill="background1"/>
          </w:tcPr>
          <w:p w14:paraId="054FB8F2" w14:textId="77777777" w:rsidR="00CE3B37" w:rsidRPr="00135E13" w:rsidRDefault="00CE3B37">
            <w:pPr>
              <w:rPr>
                <w:rFonts w:ascii="Times New Roman" w:hAnsi="Times New Roman" w:cs="Times New Roman"/>
                <w:sz w:val="18"/>
                <w:szCs w:val="18"/>
              </w:rPr>
            </w:pPr>
          </w:p>
        </w:tc>
        <w:tc>
          <w:tcPr>
            <w:tcW w:w="2800" w:type="dxa"/>
            <w:vMerge/>
            <w:shd w:val="clear" w:color="auto" w:fill="C5E0B3" w:themeFill="accent6" w:themeFillTint="66"/>
          </w:tcPr>
          <w:p w14:paraId="214CD03C" w14:textId="7A64BA65" w:rsidR="00CE3B37" w:rsidRPr="00135E13" w:rsidRDefault="00CE3B37">
            <w:pPr>
              <w:rPr>
                <w:rFonts w:ascii="Times New Roman" w:hAnsi="Times New Roman" w:cs="Times New Roman"/>
                <w:sz w:val="18"/>
                <w:szCs w:val="18"/>
              </w:rPr>
            </w:pPr>
          </w:p>
        </w:tc>
      </w:tr>
      <w:tr w:rsidR="00CE3B37" w:rsidRPr="00135E13" w14:paraId="7863FF71" w14:textId="1ADD4C97" w:rsidTr="00B23C01">
        <w:trPr>
          <w:trHeight w:val="285"/>
        </w:trPr>
        <w:tc>
          <w:tcPr>
            <w:tcW w:w="13994" w:type="dxa"/>
            <w:gridSpan w:val="6"/>
            <w:noWrap/>
            <w:hideMark/>
          </w:tcPr>
          <w:p w14:paraId="36CFF893" w14:textId="041827E3" w:rsidR="00CE3B37" w:rsidRPr="00135E13" w:rsidRDefault="00CE3B37" w:rsidP="00CE3B37">
            <w:pPr>
              <w:jc w:val="center"/>
              <w:rPr>
                <w:rFonts w:ascii="Times New Roman" w:hAnsi="Times New Roman" w:cs="Times New Roman"/>
                <w:sz w:val="18"/>
                <w:szCs w:val="18"/>
              </w:rPr>
            </w:pPr>
            <w:r w:rsidRPr="00135E13">
              <w:rPr>
                <w:rFonts w:ascii="Times New Roman" w:hAnsi="Times New Roman" w:cs="Times New Roman"/>
                <w:b/>
                <w:bCs/>
                <w:sz w:val="18"/>
                <w:szCs w:val="18"/>
              </w:rPr>
              <w:t>Cardiovascular medications</w:t>
            </w:r>
          </w:p>
        </w:tc>
      </w:tr>
      <w:tr w:rsidR="00845E72" w:rsidRPr="00135E13" w14:paraId="076CB33F" w14:textId="637FF053" w:rsidTr="005C7D6F">
        <w:trPr>
          <w:trHeight w:val="285"/>
        </w:trPr>
        <w:tc>
          <w:tcPr>
            <w:tcW w:w="1838" w:type="dxa"/>
            <w:noWrap/>
            <w:hideMark/>
          </w:tcPr>
          <w:p w14:paraId="74569111" w14:textId="28165B75" w:rsidR="00845E72" w:rsidRPr="00135E13" w:rsidRDefault="00845E72" w:rsidP="00E667BF">
            <w:pPr>
              <w:rPr>
                <w:rFonts w:ascii="Times New Roman" w:hAnsi="Times New Roman" w:cs="Times New Roman"/>
                <w:sz w:val="18"/>
                <w:szCs w:val="18"/>
                <w:lang w:val="en-GB"/>
              </w:rPr>
            </w:pPr>
            <w:r w:rsidRPr="00135E13">
              <w:rPr>
                <w:rFonts w:ascii="Times New Roman" w:hAnsi="Times New Roman" w:cs="Times New Roman"/>
                <w:sz w:val="18"/>
                <w:szCs w:val="18"/>
                <w:lang w:val="en-GB"/>
              </w:rPr>
              <w:t xml:space="preserve">Lercanidipine </w:t>
            </w:r>
          </w:p>
        </w:tc>
        <w:tc>
          <w:tcPr>
            <w:tcW w:w="1418" w:type="dxa"/>
            <w:noWrap/>
            <w:hideMark/>
          </w:tcPr>
          <w:p w14:paraId="38083016" w14:textId="66252201" w:rsidR="00845E72" w:rsidRPr="00135E13" w:rsidRDefault="00845E72" w:rsidP="00E667BF">
            <w:pPr>
              <w:rPr>
                <w:rFonts w:ascii="Times New Roman" w:hAnsi="Times New Roman" w:cs="Times New Roman"/>
                <w:sz w:val="18"/>
                <w:szCs w:val="18"/>
              </w:rPr>
            </w:pPr>
            <w:r w:rsidRPr="00135E13">
              <w:rPr>
                <w:rFonts w:ascii="Times New Roman" w:hAnsi="Times New Roman" w:cs="Times New Roman"/>
                <w:sz w:val="18"/>
                <w:szCs w:val="18"/>
              </w:rPr>
              <w:t>100</w:t>
            </w:r>
          </w:p>
        </w:tc>
        <w:tc>
          <w:tcPr>
            <w:tcW w:w="1134" w:type="dxa"/>
            <w:noWrap/>
            <w:hideMark/>
          </w:tcPr>
          <w:p w14:paraId="2D29A006" w14:textId="0F6DF9C3" w:rsidR="00845E72" w:rsidRPr="00135E13" w:rsidRDefault="00845E72" w:rsidP="00E667BF">
            <w:pPr>
              <w:rPr>
                <w:rFonts w:ascii="Times New Roman" w:hAnsi="Times New Roman" w:cs="Times New Roman"/>
                <w:sz w:val="18"/>
                <w:szCs w:val="18"/>
              </w:rPr>
            </w:pPr>
            <w:r w:rsidRPr="00135E13">
              <w:rPr>
                <w:rFonts w:ascii="Times New Roman" w:hAnsi="Times New Roman" w:cs="Times New Roman"/>
                <w:sz w:val="18"/>
                <w:szCs w:val="18"/>
              </w:rPr>
              <w:t>1.5-3</w:t>
            </w:r>
          </w:p>
        </w:tc>
        <w:tc>
          <w:tcPr>
            <w:tcW w:w="2835" w:type="dxa"/>
            <w:noWrap/>
            <w:hideMark/>
          </w:tcPr>
          <w:p w14:paraId="30ECCC77" w14:textId="27676FA1" w:rsidR="00845E72" w:rsidRPr="00135E13" w:rsidRDefault="00845E72" w:rsidP="00E667B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vMerge w:val="restart"/>
            <w:shd w:val="clear" w:color="auto" w:fill="FFFFFF" w:themeFill="background1"/>
          </w:tcPr>
          <w:p w14:paraId="4CA673DF" w14:textId="5FA8ADBE"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 xml:space="preserve">Current guidelines recommend oral route whenever feasible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{"citationID":"s6ByhT65","properties":{"formattedCitation":"[28]","plainCitation":"[28]","noteIndex":0},"citationItems":[{"id":"RKg9lF5b/3Ppdrh4T","uris":["http://zotero.org/users/8889971/items/V68J3674"],"itemData":{"id":4194,"type":"article-journal","container-title":"European Heart Journal","DOI":"10.1093/eurheartj/eht151","ISSN":"1522-9645","issue":"28","journalAbbreviation":"Eur Heart J","language":"eng","page":"2159-2219","PMID":"23771844","source":"PubMed","title":"2013 ESH/ESC guidelines for the management of arterial hypertension: the Task Force for the Management of Arterial Hypertension of the European Society of Hypertension (ESH) and of the European Society of Cardiology (ESC)","title-short":"2013 ESH/ESC guidelines for the management of arterial hypertension","volume":"34","author":[{"family":"Mancia","given":"Giuseppe"},{"family":"Fagard","given":"Robert"},{"family":"Narkiewicz","given":"Krzysztof"},{"family":"Redon","given":"Josep"},{"family":"Zanchetti","given":"Alberto"},{"family":"Böhm","given":"Michael"},{"family":"Christiaens","given":"Thierry"},{"family":"Cifkova","given":"Renata"},{"family":"De Backer","given":"Guy"},{"family":"Dominiczak","given":"Anna"},{"family":"Galderisi","given":"Maurizio"},{"family":"Grobbee","given":"Diederick E."},{"family":"Jaarsma","given":"Tiny"},{"family":"Kirchhof","given":"Paulus"},{"family":"Kjeldsen","given":"Sverre E."},{"family":"Laurent","given":"Stéphane"},{"family":"Manolis","given":"Athanasios J."},{"family":"Nilsson","given":"Peter M."},{"family":"Ruilope","given":"Luis Miguel"},{"family":"Schmieder","given":"Roland E."},{"family":"Sirnes","given":"Per Anton"},{"family":"Sleight","given":"Peter"},{"family":"Viigimaa","given":"Margus"},{"family":"Waeber","given":"Bernard"},{"family":"Zannad","given":"Faiez"},{"family":"Redon","given":"Josep"},{"family":"Dominiczak","given":"Anna"},{"family":"Narkiewicz","given":"Krzysztof"},{"family":"Nilsson","given":"Peter M."},{"family":"Burnier","given":"Michel"},{"family":"Viigimaa","given":"Margus"},{"family":"Ambrosioni","given":"Ettore"},{"family":"Caufield","given":"Mark"},{"family":"Coca","given":"Antonio"},{"family":"Olsen","given":"Michael Hecht"},{"family":"Schmieder","given":"Roland E."},{"family":"Tsioufis","given":"Costas"},{"family":"Borne","given":"Philippe","non-dropping-particle":"van de"},{"family":"Zamorano","given":"Jose Luis"},{"family":"Achenbach","given":"Stephan"},{"family":"Baumgartner","given":"Helmut"},{"family":"Bax","given":"Jeroen J."},{"family":"Bueno","given":"Héctor"},{"family":"Dean","given":"Veronica"},{"family":"Deaton","given":"Christi"},{"family":"Erol","given":"Cetin"},{"family":"Fagard","given":"Robert"},{"family":"Ferrari","given":"Roberto"},{"family":"Hasdai","given":"David"},{"family":"Hoes","given":"Arno W."},{"family":"Kirchhof","given":"Paulus"},{"family":"Knuuti","given":"Juhani"},{"family":"Kolh","given":"Philippe"},{"family":"Lancellotti","given":"Patrizio"},{"family":"Linhart","given":"Ales"},{"family":"Nihoyannopoulos","given":"Petros"},{"family":"Piepoli","given":"Massimo F."},{"family":"Ponikowski","given":"Piotr"},{"family":"Sirnes","given":"Per Anton"},{"family":"Tamargo","given":"Juan Luis"},{"family":"Tendera","given":"Michal"},{"family":"Torbicki","given":"Adam"},{"family":"Wijns","given":"William"},{"family":"Windecker","given":"Stephan"},{"family":"Clement","given":"Denis L."},{"family":"Coca","given":"Antonio"},{"family":"Gillebert","given":"Thierry C."},{"family":"Tendera","given":"Michal"},{"family":"Rosei","given":"Enrico Agabiti"},{"family":"Ambrosioni","given":"Ettore"},{"family":"Anker","given":"Stefan D."},{"family":"Bauersachs","given":"Johann"},{"family":"Hitij","given":"Jana Brguljan"},{"family":"Caulfield","given":"Mark"},{"family":"De Buyzere","given":"Marc"},{"family":"De Geest","given":"Sabina"},{"family":"Derumeaux","given":"Geneviève Anne"},{"family":"Erdine","given":"Serap"},{"family":"Farsang","given":"Csaba"},{"family":"Funck-Brentano","given":"Christian"},{"family":"Gerc","given":"Vjekoslav"},{"family":"Germano","given":"Giuseppe"},{"family":"Gielen","given":"Stephan"},{"family":"Haller","given":"Herman"},{"family":"Hoes","given":"Arno W."},{"family":"Jordan","given":"Jens"},{"family":"Kahan","given":"Thomas"},{"family":"Komajda","given":"Michel"},{"family":"Lovic","given":"Dragan"},{"family":"Mahrholdt","given":"Heiko"},{"family":"Olsen","given":"Michael Hecht"},{"family":"Ostergren","given":"Jan"},{"family":"Parati","given":"Gianfranco"},{"family":"Perk","given":"Joep"},{"family":"Polonia","given":"Jorge"},{"family":"Popescu","given":"Bogdan A."},{"family":"Reiner","given":"Zeljko"},{"family":"Rydén","given":"Lars"},{"family":"Sirenko","given":"Yuriy"},{"family":"Stanton","given":"Alice"},{"family":"Struijker-Boudier","given":"Harry"},{"family":"Tsioufis","given":"Costas"},{"family":"Borne","given":"Philippe","non-dropping-particle":"van de"},{"family":"Vlachopoulos","given":"Charalambos"},{"family":"Volpe","given":"Massimo"},{"family":"Wood","given":"David A."}],"issued":{"date-parts":[["2013",7]]}}}],"schema":"https://github.com/citation-style-language/schema/raw/master/csl-citation.json"}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[28]</w:t>
            </w:r>
            <w:r w:rsidRPr="00135E13">
              <w:rPr>
                <w:rFonts w:ascii="Times New Roman" w:hAnsi="Times New Roman" w:cs="Times New Roman"/>
                <w:sz w:val="18"/>
                <w:szCs w:val="18"/>
              </w:rPr>
              <w:fldChar w:fldCharType="end"/>
            </w:r>
            <w:r w:rsidRPr="00135E13">
              <w:rPr>
                <w:rFonts w:ascii="Times New Roman" w:hAnsi="Times New Roman" w:cs="Times New Roman"/>
                <w:sz w:val="18"/>
                <w:szCs w:val="18"/>
              </w:rPr>
              <w:t xml:space="preserve">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pmC8oB84","properties":{"formattedCitation":"[29]","plainCitation":"[29]","noteIndex":0},"citationItems":[{"id":"RKg9lF5b/98vy4EZU","uris":["http://zotero.org/users/8889971/items/9P9XF36E"],"itemData":{"id":4193,"type":"article-journal","container-title":"Hypertension","DOI":"10.1161/HYP.0000000000000066","issue":"6","page":"1269-1324","publisher":"American Heart Association","source":"ahajournals.org (Atypon)","title":"2017 ACC/AHA/AAPA/ABC/ACPM/AGS/APhA/ASH/ASPC/NMA/PCNA Guideline for the Prevention, Detection, Evaluation, and Management of High Blood Pressure in Adults: Executive Summary: A Report of the American College of Cardiology/American Heart Association Task Force on Clinical Practice Guidelines","title-short":"2017 ACC/AHA/AAPA/ABC/ACPM/AGS/APhA/ASH/ASPC/NMA/PCNA Guideline for the Prevention, Detection, Evaluation, and Management of High Blood Pressure in Adults","volume":"71","author":[{"family":"Whelton","given":"Paul K."},{"family":"Carey","given":"Robert M."},{"family":"Aronow","given":"Wilbert S."},{"family":"Casey","given":"Donald E."},{"family":"Collins","given":"Karen J."},{"family":"Dennison Himmelfarb","given":"Cheryl"},{"family":"DePalma","given":"Sondra M."},{"family":"Gidding","given":"Samuel"},{"family":"Jamerson","given":"Kenneth A."},{"family":"Jones","given":"Daniel W."},{"family":"MacLaughlin","given":"Eric J."},{"family":"Muntner","given":"Paul"},{"family":"Ovbiagele","given":"Bruce"},{"family":"Smith","given":"Sidney C."},{"family":"Spencer","given":"Crystal C."},{"family":"Stafford","given":"Randall S."},{"family":"Taler","given":"Sandra J."},{"family":"Thomas","given":"Randal J."},{"family":"Williams","given":"Kim A."},{"family":"Williamson","given":"Jeff D."},{"family":"Wright","given":"Jackson T."}],"issued":{"date-parts":[["2018",6]]}}}],"schema":"https://github.com/citation-style-language/schema/raw/master/csl-citation.json"}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[29]</w:t>
            </w:r>
            <w:r w:rsidRPr="00135E13">
              <w:rPr>
                <w:rFonts w:ascii="Times New Roman" w:hAnsi="Times New Roman" w:cs="Times New Roman"/>
                <w:sz w:val="18"/>
                <w:szCs w:val="18"/>
              </w:rPr>
              <w:fldChar w:fldCharType="end"/>
            </w:r>
            <w:r w:rsidRPr="00135E13">
              <w:rPr>
                <w:rFonts w:ascii="Times New Roman" w:hAnsi="Times New Roman" w:cs="Times New Roman"/>
                <w:sz w:val="18"/>
                <w:szCs w:val="18"/>
              </w:rPr>
              <w:t xml:space="preserve">. </w:t>
            </w:r>
          </w:p>
          <w:p w14:paraId="7888DEC8" w14:textId="4BF2CA78" w:rsidR="00845E72" w:rsidRPr="00135E13" w:rsidRDefault="00845E72" w:rsidP="00845E72">
            <w:pPr>
              <w:rPr>
                <w:rFonts w:ascii="Times New Roman" w:hAnsi="Times New Roman" w:cs="Times New Roman"/>
                <w:sz w:val="18"/>
                <w:szCs w:val="18"/>
                <w:lang w:val="en-GB"/>
              </w:rPr>
            </w:pPr>
            <w:r w:rsidRPr="00135E13">
              <w:rPr>
                <w:rFonts w:ascii="Times New Roman" w:hAnsi="Times New Roman" w:cs="Times New Roman"/>
                <w:sz w:val="18"/>
                <w:szCs w:val="18"/>
                <w:lang w:val="en-GB"/>
              </w:rPr>
              <w:t xml:space="preserve">No superiority of the IV route </w:t>
            </w:r>
            <w:r w:rsidRPr="00135E13">
              <w:rPr>
                <w:rFonts w:ascii="Times New Roman" w:hAnsi="Times New Roman" w:cs="Times New Roman"/>
                <w:sz w:val="18"/>
                <w:szCs w:val="18"/>
                <w:lang w:val="en-GB"/>
              </w:rPr>
              <w:fldChar w:fldCharType="begin"/>
            </w:r>
            <w:r w:rsidR="00F4471E">
              <w:rPr>
                <w:rFonts w:ascii="Times New Roman" w:hAnsi="Times New Roman" w:cs="Times New Roman"/>
                <w:sz w:val="18"/>
                <w:szCs w:val="18"/>
                <w:lang w:val="en-GB"/>
              </w:rPr>
              <w:instrText xml:space="preserve"> ADDIN ZOTERO_ITEM CSL_CITATION {"citationID":"fDkA0GBw","properties":{"formattedCitation":"[30]","plainCitation":"[30]","noteIndex":0},"citationItems":[{"id":"RKg9lF5b/4nb5wDri","uris":["http://zotero.org/users/8889971/items/VUPCLSL9"],"itemData":{"id":4195,"type":"article-journal","abstract":"Injectable nicardipine is increasingly being used to manage neurovascular conditions. To better understand its place in therapy, we conducted an evidenced-based literature review. Two-hundred twenty-three article abstracts were identified; after independent review by two individuals and a supplemental manual search, 29 were deemed relevant and were included in this review. Nicardipine has been studied or recommended for management of hypertension in many neurovascular settings (ischemic stroke, intracerebral hemorrhage, craniotomy, and spinal surgery), for vasospasm in aneurysmal subarachnoid hemorrhage, and in acute traumatic brain injury. In the management of hypertension in acute stroke, nicardipine is one of several recommended options available; expert opinion forms the basis of these recommendations in clinical guidelines, with limited randomized controlled trial evidence to support its use. Among the various antihypertensive agents, nicardipine has the highest drug acquisition cost. In two meta-analyses, intravenous nicardipine had no impact on patient outcomes (death, disability) in patients with acute traumatic brain injury (relative risk [RR] 0.25, 95% confidence interval [CI] 0.05-1.27) or in patients with aneursymal subarachnoid hemorrhage (RR 0.97, 95% CI 0.78-1.20). Intraarterial nicardipine reduced angiographic diameter (p value not reported) and peak systolic velocities on transcranial Doppler images (p&lt;0.001) in published case series. Given nicardipine's high cost relative to that of other agents and the limited evidence to support its use in patients with neurovascular conditions, this drug should be considered only in patients who have failed or have contraindications to alternative agents in the management of hypertension. Although intraarterial nicardipine appears to be promising in aneurysmal subarachnoid hemorrhage, well-designed studies are needed in this setting before its use can be routinely recommended.","container-title":"Pharmacotherapy","DOI":"10.1592/phco.29.4.398","ISSN":"1875-9114","issue":"4","journalAbbreviation":"Pharmacotherapy","language":"eng","page":"398-409","PMID":"19323619","source":"PubMed","title":"Use of injectable nicardipine for neurovascular indications","volume":"29","author":[{"family":"Reddy","given":"Prabashni"},{"family":"Yeh","given":"Yu-Chen"}],"issued":{"date-parts":[["2009",4]]}}}],"schema":"https://github.com/citation-style-language/schema/raw/master/csl-citation.json"} </w:instrText>
            </w:r>
            <w:r w:rsidRPr="00135E13">
              <w:rPr>
                <w:rFonts w:ascii="Times New Roman" w:hAnsi="Times New Roman" w:cs="Times New Roman"/>
                <w:sz w:val="18"/>
                <w:szCs w:val="18"/>
                <w:lang w:val="en-GB"/>
              </w:rPr>
              <w:fldChar w:fldCharType="separate"/>
            </w:r>
            <w:r w:rsidRPr="00135E13">
              <w:rPr>
                <w:rFonts w:ascii="Times New Roman" w:hAnsi="Times New Roman" w:cs="Times New Roman"/>
                <w:sz w:val="18"/>
                <w:szCs w:val="21"/>
              </w:rPr>
              <w:t>[30]</w:t>
            </w:r>
            <w:r w:rsidRPr="00135E13">
              <w:rPr>
                <w:rFonts w:ascii="Times New Roman" w:hAnsi="Times New Roman" w:cs="Times New Roman"/>
                <w:sz w:val="18"/>
                <w:szCs w:val="18"/>
                <w:lang w:val="en-GB"/>
              </w:rPr>
              <w:fldChar w:fldCharType="end"/>
            </w:r>
          </w:p>
        </w:tc>
        <w:tc>
          <w:tcPr>
            <w:tcW w:w="2800" w:type="dxa"/>
            <w:vMerge w:val="restart"/>
            <w:shd w:val="clear" w:color="auto" w:fill="C5E0B3" w:themeFill="accent6" w:themeFillTint="66"/>
          </w:tcPr>
          <w:p w14:paraId="3E338096" w14:textId="15A22A30" w:rsidR="00845E72" w:rsidRPr="00135E13" w:rsidRDefault="00845E72" w:rsidP="00E667BF">
            <w:pPr>
              <w:rPr>
                <w:rFonts w:ascii="Times New Roman" w:hAnsi="Times New Roman" w:cs="Times New Roman"/>
                <w:sz w:val="18"/>
                <w:szCs w:val="18"/>
              </w:rPr>
            </w:pPr>
            <w:r w:rsidRPr="00135E13">
              <w:rPr>
                <w:rFonts w:ascii="Times New Roman" w:hAnsi="Times New Roman" w:cs="Times New Roman"/>
                <w:sz w:val="18"/>
                <w:szCs w:val="18"/>
                <w:lang w:val="en-GB"/>
              </w:rPr>
              <w:t xml:space="preserve">Except in hypertensive emergencies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{"citationID":"X0me7Idu","properties":{"formattedCitation":"[28]","plainCitation":"[28]","noteIndex":0},"citationItems":[{"id":"RKg9lF5b/3Ppdrh4T","uris":["http://zotero.org/users/8889971/items/V68J3674"],"itemData":{"id":4194,"type":"article-journal","container-title":"European Heart Journal","DOI":"10.1093/eurheartj/eht151","ISSN":"1522-9645","issue":"28","journalAbbreviation":"Eur Heart J","language":"eng","page":"2159-2219","PMID":"23771844","source":"PubMed","title":"2013 ESH/ESC guidelines for the management of arterial hypertension: the Task Force for the Management of Arterial Hypertension of the European Society of Hypertension (ESH) and of the European Society of Cardiology (ESC)","title-short":"2013 ESH/ESC guidelines for the management of arterial hypertension","volume":"34","author":[{"family":"Mancia","given":"Giuseppe"},{"family":"Fagard","given":"Robert"},{"family":"Narkiewicz","given":"Krzysztof"},{"family":"Redon","given":"Josep"},{"family":"Zanchetti","given":"Alberto"},{"family":"Böhm","given":"Michael"},{"family":"Christiaens","given":"Thierry"},{"family":"Cifkova","given":"Renata"},{"family":"De Backer","given":"Guy"},{"family":"Dominiczak","given":"Anna"},{"family":"Galderisi","given":"Maurizio"},{"family":"Grobbee","given":"Diederick E."},{"family":"Jaarsma","given":"Tiny"},{"family":"Kirchhof","given":"Paulus"},{"family":"Kjeldsen","given":"Sverre E."},{"family":"Laurent","given":"Stéphane"},{"family":"Manolis","given":"Athanasios J."},{"family":"Nilsson","given":"Peter M."},{"family":"Ruilope","given":"Luis Miguel"},{"family":"Schmieder","given":"Roland E."},{"family":"Sirnes","given":"Per Anton"},{"family":"Sleight","given":"Peter"},{"family":"Viigimaa","given":"Margus"},{"family":"Waeber","given":"Bernard"},{"family":"Zannad","given":"Faiez"},{"family":"Redon","given":"Josep"},{"family":"Dominiczak","given":"Anna"},{"family":"Narkiewicz","given":"Krzysztof"},{"family":"Nilsson","given":"Peter M."},{"family":"Burnier","given":"Michel"},{"family":"Viigimaa","given":"Margus"},{"family":"Ambrosioni","given":"Ettore"},{"family":"Caufield","given":"Mark"},{"family":"Coca","given":"Antonio"},{"family":"Olsen","given":"Michael Hecht"},{"family":"Schmieder","given":"Roland E."},{"family":"Tsioufis","given":"Costas"},{"family":"Borne","given":"Philippe","non-dropping-particle":"van de"},{"family":"Zamorano","given":"Jose Luis"},{"family":"Achenbach","given":"Stephan"},{"family":"Baumgartner","given":"Helmut"},{"family":"Bax","given":"Jeroen J."},{"family":"Bueno","given":"Héctor"},{"family":"Dean","given":"Veronica"},{"family":"Deaton","given":"Christi"},{"family":"Erol","given":"Cetin"},{"family":"Fagard","given":"Robert"},{"family":"Ferrari","given":"Roberto"},{"family":"Hasdai","given":"David"},{"family":"Hoes","given":"Arno W."},{"family":"Kirchhof","given":"Paulus"},{"family":"Knuuti","given":"Juhani"},{"family":"Kolh","given":"Philippe"},{"family":"Lancellotti","given":"Patrizio"},{"family":"Linhart","given":"Ales"},{"family":"Nihoyannopoulos","given":"Petros"},{"family":"Piepoli","given":"Massimo F."},{"family":"Ponikowski","given":"Piotr"},{"family":"Sirnes","given":"Per Anton"},{"family":"Tamargo","given":"Juan Luis"},{"family":"Tendera","given":"Michal"},{"family":"Torbicki","given":"Adam"},{"family":"Wijns","given":"William"},{"family":"Windecker","given":"Stephan"},{"family":"Clement","given":"Denis L."},{"family":"Coca","given":"Antonio"},{"family":"Gillebert","given":"Thierry C."},{"family":"Tendera","given":"Michal"},{"family":"Rosei","given":"Enrico Agabiti"},{"family":"Ambrosioni","given":"Ettore"},{"family":"Anker","given":"Stefan D."},{"family":"Bauersachs","given":"Johann"},{"family":"Hitij","given":"Jana Brguljan"},{"family":"Caulfield","given":"Mark"},{"family":"De Buyzere","given":"Marc"},{"family":"De Geest","given":"Sabina"},{"family":"Derumeaux","given":"Geneviève Anne"},{"family":"Erdine","given":"Serap"},{"family":"Farsang","given":"Csaba"},{"family":"Funck-Brentano","given":"Christian"},{"family":"Gerc","given":"Vjekoslav"},{"family":"Germano","given":"Giuseppe"},{"family":"Gielen","given":"Stephan"},{"family":"Haller","given":"Herman"},{"family":"Hoes","given":"Arno W."},{"family":"Jordan","given":"Jens"},{"family":"Kahan","given":"Thomas"},{"family":"Komajda","given":"Michel"},{"family":"Lovic","given":"Dragan"},{"family":"Mahrholdt","given":"Heiko"},{"family":"Olsen","given":"Michael Hecht"},{"family":"Ostergren","given":"Jan"},{"family":"Parati","given":"Gianfranco"},{"family":"Perk","given":"Joep"},{"family":"Polonia","given":"Jorge"},{"family":"Popescu","given":"Bogdan A."},{"family":"Reiner","given":"Zeljko"},{"family":"Rydén","given":"Lars"},{"family":"Sirenko","given":"Yuriy"},{"family":"Stanton","given":"Alice"},{"family":"Struijker-Boudier","given":"Harry"},{"family":"Tsioufis","given":"Costas"},{"family":"Borne","given":"Philippe","non-dropping-particle":"van de"},{"family":"Vlachopoulos","given":"Charalambos"},{"family":"Volpe","given":"Massimo"},{"family":"Wood","given":"David A."}],"issued":{"date-parts":[["2013",7]]}}}],"schema":"https://github.com/citation-style-language/schema/raw/master/csl-citation.json"}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[28]</w:t>
            </w:r>
            <w:r w:rsidRPr="00135E13">
              <w:rPr>
                <w:rFonts w:ascii="Times New Roman" w:hAnsi="Times New Roman" w:cs="Times New Roman"/>
                <w:sz w:val="18"/>
                <w:szCs w:val="18"/>
              </w:rPr>
              <w:fldChar w:fldCharType="end"/>
            </w:r>
            <w:r w:rsidRPr="00135E13">
              <w:rPr>
                <w:rFonts w:ascii="Times New Roman" w:hAnsi="Times New Roman" w:cs="Times New Roman"/>
                <w:sz w:val="18"/>
                <w:szCs w:val="18"/>
              </w:rPr>
              <w:t xml:space="preserve">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Nphlvzpg","properties":{"formattedCitation":"[29]","plainCitation":"[29]","noteIndex":0},"citationItems":[{"id":"RKg9lF5b/98vy4EZU","uris":["http://zotero.org/users/8889971/items/9P9XF36E"],"itemData":{"id":4193,"type":"article-journal","container-title":"Hypertension","DOI":"10.1161/HYP.0000000000000066","issue":"6","page":"1269-1324","publisher":"American Heart Association","source":"ahajournals.org (Atypon)","title":"2017 ACC/AHA/AAPA/ABC/ACPM/AGS/APhA/ASH/ASPC/NMA/PCNA Guideline for the Prevention, Detection, Evaluation, and Management of High Blood Pressure in Adults: Executive Summary: A Report of the American College of Cardiology/American Heart Association Task Force on Clinical Practice Guidelines","title-short":"2017 ACC/AHA/AAPA/ABC/ACPM/AGS/APhA/ASH/ASPC/NMA/PCNA Guideline for the Prevention, Detection, Evaluation, and Management of High Blood Pressure in Adults","volume":"71","author":[{"family":"Whelton","given":"Paul K."},{"family":"Carey","given":"Robert M."},{"family":"Aronow","given":"Wilbert S."},{"family":"Casey","given":"Donald E."},{"family":"Collins","given":"Karen J."},{"family":"Dennison Himmelfarb","given":"Cheryl"},{"family":"DePalma","given":"Sondra M."},{"family":"Gidding","given":"Samuel"},{"family":"Jamerson","given":"Kenneth A."},{"family":"Jones","given":"Daniel W."},{"family":"MacLaughlin","given":"Eric J."},{"family":"Muntner","given":"Paul"},{"family":"Ovbiagele","given":"Bruce"},{"family":"Smith","given":"Sidney C."},{"family":"Spencer","given":"Crystal C."},{"family":"Stafford","given":"Randall S."},{"family":"Taler","given":"Sandra J."},{"family":"Thomas","given":"Randal J."},{"family":"Williams","given":"Kim A."},{"family":"Williamson","given":"Jeff D."},{"family":"Wright","given":"Jackson T."}],"issued":{"date-parts":[["2018",6]]}}}],"schema":"https://github.com/citation-style-language/schema/raw/master/csl-citation.json"}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[29]</w:t>
            </w:r>
            <w:r w:rsidRPr="00135E13">
              <w:rPr>
                <w:rFonts w:ascii="Times New Roman" w:hAnsi="Times New Roman" w:cs="Times New Roman"/>
                <w:sz w:val="18"/>
                <w:szCs w:val="18"/>
              </w:rPr>
              <w:fldChar w:fldCharType="end"/>
            </w:r>
          </w:p>
        </w:tc>
      </w:tr>
      <w:tr w:rsidR="00845E72" w:rsidRPr="00135E13" w14:paraId="42511C17" w14:textId="58D8CB90" w:rsidTr="005C7D6F">
        <w:trPr>
          <w:trHeight w:val="285"/>
        </w:trPr>
        <w:tc>
          <w:tcPr>
            <w:tcW w:w="1838" w:type="dxa"/>
            <w:noWrap/>
            <w:hideMark/>
          </w:tcPr>
          <w:p w14:paraId="5D22BEC6" w14:textId="691664CC" w:rsidR="00845E72" w:rsidRPr="00135E13" w:rsidRDefault="00845E72" w:rsidP="00E667BF">
            <w:pPr>
              <w:rPr>
                <w:rFonts w:ascii="Times New Roman" w:hAnsi="Times New Roman" w:cs="Times New Roman"/>
                <w:sz w:val="18"/>
                <w:szCs w:val="18"/>
              </w:rPr>
            </w:pPr>
            <w:r w:rsidRPr="00135E13">
              <w:rPr>
                <w:rFonts w:ascii="Times New Roman" w:hAnsi="Times New Roman" w:cs="Times New Roman"/>
                <w:sz w:val="18"/>
                <w:szCs w:val="18"/>
              </w:rPr>
              <w:t xml:space="preserve">Extended release urapidil </w:t>
            </w:r>
          </w:p>
        </w:tc>
        <w:tc>
          <w:tcPr>
            <w:tcW w:w="1418" w:type="dxa"/>
            <w:noWrap/>
            <w:hideMark/>
          </w:tcPr>
          <w:p w14:paraId="18FDA28D" w14:textId="39967853" w:rsidR="00845E72" w:rsidRPr="00135E13" w:rsidRDefault="00845E72" w:rsidP="00E667BF">
            <w:pPr>
              <w:rPr>
                <w:rFonts w:ascii="Times New Roman" w:hAnsi="Times New Roman" w:cs="Times New Roman"/>
                <w:sz w:val="18"/>
                <w:szCs w:val="18"/>
              </w:rPr>
            </w:pPr>
            <w:r w:rsidRPr="00135E13">
              <w:rPr>
                <w:rFonts w:ascii="Times New Roman" w:hAnsi="Times New Roman" w:cs="Times New Roman"/>
                <w:sz w:val="18"/>
                <w:szCs w:val="18"/>
              </w:rPr>
              <w:t xml:space="preserve">63-80 </w:t>
            </w:r>
          </w:p>
        </w:tc>
        <w:tc>
          <w:tcPr>
            <w:tcW w:w="1134" w:type="dxa"/>
            <w:noWrap/>
            <w:hideMark/>
          </w:tcPr>
          <w:p w14:paraId="5551AEEC" w14:textId="6A0D0554" w:rsidR="00845E72" w:rsidRPr="00135E13" w:rsidRDefault="00845E72" w:rsidP="00E667BF">
            <w:pPr>
              <w:rPr>
                <w:rFonts w:ascii="Times New Roman" w:hAnsi="Times New Roman" w:cs="Times New Roman"/>
                <w:sz w:val="18"/>
                <w:szCs w:val="18"/>
              </w:rPr>
            </w:pPr>
            <w:r w:rsidRPr="00135E13">
              <w:rPr>
                <w:rFonts w:ascii="Times New Roman" w:hAnsi="Times New Roman" w:cs="Times New Roman"/>
                <w:sz w:val="18"/>
                <w:szCs w:val="18"/>
              </w:rPr>
              <w:t>4-6</w:t>
            </w:r>
          </w:p>
        </w:tc>
        <w:tc>
          <w:tcPr>
            <w:tcW w:w="2835" w:type="dxa"/>
            <w:noWrap/>
            <w:hideMark/>
          </w:tcPr>
          <w:p w14:paraId="39B07A50" w14:textId="0FB6E4C1" w:rsidR="00845E72" w:rsidRPr="00135E13" w:rsidRDefault="00845E72" w:rsidP="00E667B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vMerge/>
            <w:shd w:val="clear" w:color="auto" w:fill="FFFFFF" w:themeFill="background1"/>
          </w:tcPr>
          <w:p w14:paraId="29558DEF" w14:textId="77777777" w:rsidR="00845E72" w:rsidRPr="00135E13" w:rsidRDefault="00845E72" w:rsidP="00E667BF">
            <w:pPr>
              <w:rPr>
                <w:rFonts w:ascii="Times New Roman" w:hAnsi="Times New Roman" w:cs="Times New Roman"/>
                <w:sz w:val="18"/>
                <w:szCs w:val="18"/>
                <w:lang w:val="en-GB"/>
              </w:rPr>
            </w:pPr>
          </w:p>
        </w:tc>
        <w:tc>
          <w:tcPr>
            <w:tcW w:w="2800" w:type="dxa"/>
            <w:vMerge/>
            <w:shd w:val="clear" w:color="auto" w:fill="C5E0B3" w:themeFill="accent6" w:themeFillTint="66"/>
          </w:tcPr>
          <w:p w14:paraId="100641AF" w14:textId="6485B7F3" w:rsidR="00845E72" w:rsidRPr="00135E13" w:rsidRDefault="00845E72" w:rsidP="00E667BF">
            <w:pPr>
              <w:rPr>
                <w:rFonts w:ascii="Times New Roman" w:hAnsi="Times New Roman" w:cs="Times New Roman"/>
                <w:sz w:val="18"/>
                <w:szCs w:val="18"/>
              </w:rPr>
            </w:pPr>
          </w:p>
        </w:tc>
      </w:tr>
      <w:tr w:rsidR="00B23C01" w:rsidRPr="00135E13" w14:paraId="19A4D5FA" w14:textId="5B129F67" w:rsidTr="005C7D6F">
        <w:trPr>
          <w:trHeight w:val="285"/>
        </w:trPr>
        <w:tc>
          <w:tcPr>
            <w:tcW w:w="1838" w:type="dxa"/>
            <w:noWrap/>
            <w:hideMark/>
          </w:tcPr>
          <w:p w14:paraId="08DFA605" w14:textId="32434A10" w:rsidR="008527B6" w:rsidRPr="00135E13" w:rsidRDefault="008527B6" w:rsidP="006B6A5F">
            <w:pPr>
              <w:rPr>
                <w:rFonts w:ascii="Times New Roman" w:hAnsi="Times New Roman" w:cs="Times New Roman"/>
                <w:sz w:val="18"/>
                <w:szCs w:val="18"/>
              </w:rPr>
            </w:pPr>
            <w:r w:rsidRPr="00135E13">
              <w:rPr>
                <w:rFonts w:ascii="Times New Roman" w:hAnsi="Times New Roman" w:cs="Times New Roman"/>
                <w:sz w:val="18"/>
                <w:szCs w:val="18"/>
              </w:rPr>
              <w:t>Furosemide</w:t>
            </w:r>
          </w:p>
        </w:tc>
        <w:tc>
          <w:tcPr>
            <w:tcW w:w="1418" w:type="dxa"/>
            <w:noWrap/>
            <w:hideMark/>
          </w:tcPr>
          <w:p w14:paraId="06F0B3F5" w14:textId="5C92DA92" w:rsidR="008527B6" w:rsidRPr="00135E13" w:rsidRDefault="008527B6" w:rsidP="006B6A5F">
            <w:pPr>
              <w:rPr>
                <w:rFonts w:ascii="Times New Roman" w:hAnsi="Times New Roman" w:cs="Times New Roman"/>
                <w:sz w:val="18"/>
                <w:szCs w:val="18"/>
              </w:rPr>
            </w:pPr>
            <w:r w:rsidRPr="00135E13">
              <w:rPr>
                <w:rFonts w:ascii="Times New Roman" w:hAnsi="Times New Roman" w:cs="Times New Roman"/>
                <w:sz w:val="18"/>
                <w:szCs w:val="18"/>
              </w:rPr>
              <w:t>65</w:t>
            </w:r>
          </w:p>
        </w:tc>
        <w:tc>
          <w:tcPr>
            <w:tcW w:w="1134" w:type="dxa"/>
            <w:noWrap/>
            <w:hideMark/>
          </w:tcPr>
          <w:p w14:paraId="5B3482F0" w14:textId="62266131" w:rsidR="008527B6" w:rsidRPr="00135E13" w:rsidRDefault="008527B6" w:rsidP="006B6A5F">
            <w:pPr>
              <w:rPr>
                <w:rFonts w:ascii="Times New Roman" w:hAnsi="Times New Roman" w:cs="Times New Roman"/>
                <w:sz w:val="18"/>
                <w:szCs w:val="18"/>
              </w:rPr>
            </w:pPr>
            <w:r w:rsidRPr="00135E13">
              <w:rPr>
                <w:rFonts w:ascii="Times New Roman" w:hAnsi="Times New Roman" w:cs="Times New Roman"/>
                <w:sz w:val="18"/>
                <w:szCs w:val="18"/>
              </w:rPr>
              <w:t>1</w:t>
            </w:r>
          </w:p>
        </w:tc>
        <w:tc>
          <w:tcPr>
            <w:tcW w:w="2835" w:type="dxa"/>
            <w:noWrap/>
            <w:hideMark/>
          </w:tcPr>
          <w:p w14:paraId="08900F3A" w14:textId="22D4367B" w:rsidR="008527B6" w:rsidRPr="00135E13" w:rsidRDefault="008527B6" w:rsidP="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shd w:val="clear" w:color="auto" w:fill="FFFFFF" w:themeFill="background1"/>
          </w:tcPr>
          <w:p w14:paraId="1F178D80" w14:textId="3693C41F" w:rsidR="008527B6" w:rsidRPr="00135E13" w:rsidRDefault="008527B6" w:rsidP="006B6A5F">
            <w:pPr>
              <w:rPr>
                <w:rFonts w:ascii="Times New Roman" w:hAnsi="Times New Roman" w:cs="Times New Roman"/>
                <w:sz w:val="18"/>
                <w:szCs w:val="18"/>
              </w:rPr>
            </w:pPr>
            <w:r w:rsidRPr="00135E13">
              <w:rPr>
                <w:rFonts w:ascii="Times New Roman" w:hAnsi="Times New Roman" w:cs="Times New Roman"/>
                <w:sz w:val="18"/>
                <w:szCs w:val="18"/>
              </w:rPr>
              <w:t xml:space="preserve">No evidence of IV superiority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{"citationID":"qDFsIRPN","properties":{"formattedCitation":"[31]","plainCitation":"[31]","noteIndex":0},"citationItems":[{"id":"RKg9lF5b/Ncg5F1dl","uris":["http://zotero.org/users/8889971/items/3MAXBMAF"],"itemData":{"id":4192,"type":"article-journal","container-title":"European Heart Journal","DOI":"10.1093/eurheartj/ehab368","ISSN":"1522-9645","issue":"36","journalAbbreviation":"Eur Heart J","language":"eng","page":"3599-3726","PMID":"34447992","source":"PubMed","title":"2021 ESC Guidelines for the diagnosis and treatment of acute and chronic heart failure","volume":"42","author":[{"family":"McDonagh","given":"Theresa A."},{"family":"Metra","given":"Marco"},{"family":"Adamo","given":"Marianna"},{"family":"Gardner","given":"Roy S."},{"family":"Baumbach","given":"Andreas"},{"family":"Böhm","given":"Michael"},{"family":"Burri","given":"Haran"},{"family":"Butler","given":"Javed"},{"family":"Čelutkienė","given":"Jelena"},{"family":"Chioncel","given":"Ovidiu"},{"family":"Cleland","given":"John G. F."},{"family":"Coats","given":"Andrew J. S."},{"family":"Crespo-Leiro","given":"Maria G."},{"family":"Farmakis","given":"Dimitrios"},{"family":"Gilard","given":"Martine"},{"family":"Heymans","given":"Stephane"},{"family":"Hoes","given":"Arno W."},{"family":"Jaarsma","given":"Tiny"},{"family":"Jankowska","given":"Ewa A."},{"family":"Lainscak","given":"Mitja"},{"family":"Lam","given":"Carolyn S. P."},{"family":"Lyon","given":"Alexander R."},{"family":"McMurray","given":"John J. V."},{"family":"Mebazaa","given":"Alexandre"},{"family":"Mindham","given":"Richard"},{"family":"Muneretto","given":"Claudio"},{"family":"Francesco Piepoli","given":"Massimo"},{"family":"Price","given":"Susanna"},{"family":"Rosano","given":"Giuseppe M. C."},{"family":"Ruschitzka","given":"Frank"},{"family":"Kathrine Skibelund","given":"Anne"},{"literal":"ESC Scientific Document Group"}],"issued":{"date-parts":[["2021",9,21]]}}}],"schema":"https://github.com/citation-style-language/schema/raw/master/csl-citation.json"}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[31]</w:t>
            </w:r>
            <w:r w:rsidRPr="00135E13">
              <w:rPr>
                <w:rFonts w:ascii="Times New Roman" w:hAnsi="Times New Roman" w:cs="Times New Roman"/>
                <w:sz w:val="18"/>
                <w:szCs w:val="18"/>
              </w:rPr>
              <w:fldChar w:fldCharType="end"/>
            </w:r>
            <w:r w:rsidRPr="00135E13">
              <w:rPr>
                <w:rFonts w:ascii="Times New Roman" w:hAnsi="Times New Roman" w:cs="Times New Roman"/>
                <w:sz w:val="18"/>
                <w:szCs w:val="18"/>
              </w:rPr>
              <w:t>.</w:t>
            </w:r>
          </w:p>
          <w:p w14:paraId="01585058" w14:textId="78D20688" w:rsidR="008527B6" w:rsidRPr="00135E13" w:rsidRDefault="008527B6" w:rsidP="006B6A5F">
            <w:pPr>
              <w:rPr>
                <w:rFonts w:ascii="Times New Roman" w:hAnsi="Times New Roman" w:cs="Times New Roman"/>
                <w:b/>
                <w:bCs/>
                <w:sz w:val="18"/>
                <w:szCs w:val="18"/>
                <w:lang w:val="en-GB"/>
              </w:rPr>
            </w:pPr>
            <w:r w:rsidRPr="00135E13">
              <w:rPr>
                <w:rFonts w:ascii="Times New Roman" w:hAnsi="Times New Roman" w:cs="Times New Roman"/>
                <w:b/>
                <w:bCs/>
                <w:sz w:val="18"/>
                <w:szCs w:val="18"/>
              </w:rPr>
              <w:t>Double the oral dose</w:t>
            </w:r>
          </w:p>
        </w:tc>
        <w:tc>
          <w:tcPr>
            <w:tcW w:w="2800" w:type="dxa"/>
            <w:vMerge w:val="restart"/>
            <w:shd w:val="clear" w:color="auto" w:fill="C5E0B3" w:themeFill="accent6" w:themeFillTint="66"/>
          </w:tcPr>
          <w:p w14:paraId="21D18C86" w14:textId="0964B534" w:rsidR="008527B6" w:rsidRPr="00135E13" w:rsidRDefault="008527B6" w:rsidP="006B6A5F">
            <w:pPr>
              <w:rPr>
                <w:rFonts w:ascii="Times New Roman" w:hAnsi="Times New Roman" w:cs="Times New Roman"/>
                <w:sz w:val="18"/>
                <w:szCs w:val="18"/>
              </w:rPr>
            </w:pPr>
            <w:r w:rsidRPr="00135E13">
              <w:rPr>
                <w:rFonts w:ascii="Times New Roman" w:hAnsi="Times New Roman" w:cs="Times New Roman"/>
                <w:sz w:val="18"/>
                <w:szCs w:val="18"/>
                <w:lang w:val="en-GB"/>
              </w:rPr>
              <w:t xml:space="preserve">Except in acute heart failure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{"citationID":"HPEKIIa2","properties":{"formattedCitation":"[31]","plainCitation":"[31]","noteIndex":0},"citationItems":[{"id":"RKg9lF5b/Ncg5F1dl","uris":["http://zotero.org/users/8889971/items/3MAXBMAF"],"itemData":{"id":4192,"type":"article-journal","container-title":"European Heart Journal","DOI":"10.1093/eurheartj/ehab368","ISSN":"1522-9645","issue":"36","journalAbbreviation":"Eur Heart J","language":"eng","page":"3599-3726","PMID":"34447992","source":"PubMed","title":"2021 ESC Guidelines for the diagnosis and treatment of acute and chronic heart failure","volume":"42","author":[{"family":"McDonagh","given":"Theresa A."},{"family":"Metra","given":"Marco"},{"family":"Adamo","given":"Marianna"},{"family":"Gardner","given":"Roy S."},{"family":"Baumbach","given":"Andreas"},{"family":"Böhm","given":"Michael"},{"family":"Burri","given":"Haran"},{"family":"Butler","given":"Javed"},{"family":"Čelutkienė","given":"Jelena"},{"family":"Chioncel","given":"Ovidiu"},{"family":"Cleland","given":"John G. F."},{"family":"Coats","given":"Andrew J. S."},{"family":"Crespo-Leiro","given":"Maria G."},{"family":"Farmakis","given":"Dimitrios"},{"family":"Gilard","given":"Martine"},{"family":"Heymans","given":"Stephane"},{"family":"Hoes","given":"Arno W."},{"family":"Jaarsma","given":"Tiny"},{"family":"Jankowska","given":"Ewa A."},{"family":"Lainscak","given":"Mitja"},{"family":"Lam","given":"Carolyn S. P."},{"family":"Lyon","given":"Alexander R."},{"family":"McMurray","given":"John J. V."},{"family":"Mebazaa","given":"Alexandre"},{"family":"Mindham","given":"Richard"},{"family":"Muneretto","given":"Claudio"},{"family":"Francesco Piepoli","given":"Massimo"},{"family":"Price","given":"Susanna"},{"family":"Rosano","given":"Giuseppe M. C."},{"family":"Ruschitzka","given":"Frank"},{"family":"Kathrine Skibelund","given":"Anne"},{"literal":"ESC Scientific Document Group"}],"issued":{"date-parts":[["2021",9,21]]}}}],"schema":"https://github.com/citation-style-language/schema/raw/master/csl-citation.json"}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[31]</w:t>
            </w:r>
            <w:r w:rsidRPr="00135E13">
              <w:rPr>
                <w:rFonts w:ascii="Times New Roman" w:hAnsi="Times New Roman" w:cs="Times New Roman"/>
                <w:sz w:val="18"/>
                <w:szCs w:val="18"/>
              </w:rPr>
              <w:fldChar w:fldCharType="end"/>
            </w:r>
          </w:p>
          <w:p w14:paraId="747A2189" w14:textId="1816E4D8" w:rsidR="008527B6" w:rsidRPr="00135E13" w:rsidRDefault="008527B6" w:rsidP="006B6A5F">
            <w:pPr>
              <w:rPr>
                <w:rFonts w:ascii="Times New Roman" w:hAnsi="Times New Roman" w:cs="Times New Roman"/>
                <w:sz w:val="18"/>
                <w:szCs w:val="18"/>
              </w:rPr>
            </w:pPr>
          </w:p>
        </w:tc>
      </w:tr>
      <w:tr w:rsidR="00B23C01" w:rsidRPr="00135E13" w14:paraId="0F1611AD" w14:textId="0C656CEC" w:rsidTr="005C7D6F">
        <w:trPr>
          <w:trHeight w:val="285"/>
        </w:trPr>
        <w:tc>
          <w:tcPr>
            <w:tcW w:w="1838" w:type="dxa"/>
            <w:noWrap/>
            <w:hideMark/>
          </w:tcPr>
          <w:p w14:paraId="2D117618" w14:textId="473B093F" w:rsidR="008527B6" w:rsidRPr="00135E13" w:rsidRDefault="008527B6" w:rsidP="006B6A5F">
            <w:pPr>
              <w:rPr>
                <w:rFonts w:ascii="Times New Roman" w:hAnsi="Times New Roman" w:cs="Times New Roman"/>
                <w:sz w:val="18"/>
                <w:szCs w:val="18"/>
              </w:rPr>
            </w:pPr>
            <w:r w:rsidRPr="00135E13">
              <w:rPr>
                <w:rFonts w:ascii="Times New Roman" w:hAnsi="Times New Roman" w:cs="Times New Roman"/>
                <w:sz w:val="18"/>
                <w:szCs w:val="18"/>
              </w:rPr>
              <w:t>Bumetanide</w:t>
            </w:r>
          </w:p>
        </w:tc>
        <w:tc>
          <w:tcPr>
            <w:tcW w:w="1418" w:type="dxa"/>
            <w:noWrap/>
            <w:hideMark/>
          </w:tcPr>
          <w:p w14:paraId="11EC3D14" w14:textId="08D80BC1" w:rsidR="008527B6" w:rsidRPr="00135E13" w:rsidRDefault="008527B6" w:rsidP="006B6A5F">
            <w:pPr>
              <w:rPr>
                <w:rFonts w:ascii="Times New Roman" w:hAnsi="Times New Roman" w:cs="Times New Roman"/>
                <w:sz w:val="18"/>
                <w:szCs w:val="18"/>
              </w:rPr>
            </w:pPr>
            <w:r w:rsidRPr="00135E13">
              <w:rPr>
                <w:rFonts w:ascii="Times New Roman" w:hAnsi="Times New Roman" w:cs="Times New Roman"/>
                <w:sz w:val="18"/>
                <w:szCs w:val="18"/>
              </w:rPr>
              <w:t>95</w:t>
            </w:r>
          </w:p>
        </w:tc>
        <w:tc>
          <w:tcPr>
            <w:tcW w:w="1134" w:type="dxa"/>
            <w:noWrap/>
            <w:hideMark/>
          </w:tcPr>
          <w:p w14:paraId="2EEFF13F" w14:textId="30E7F8E6" w:rsidR="008527B6" w:rsidRPr="00135E13" w:rsidRDefault="008527B6" w:rsidP="006B6A5F">
            <w:pPr>
              <w:rPr>
                <w:rFonts w:ascii="Times New Roman" w:hAnsi="Times New Roman" w:cs="Times New Roman"/>
                <w:sz w:val="18"/>
                <w:szCs w:val="18"/>
              </w:rPr>
            </w:pPr>
            <w:r w:rsidRPr="00135E13">
              <w:rPr>
                <w:rFonts w:ascii="Times New Roman" w:hAnsi="Times New Roman" w:cs="Times New Roman"/>
                <w:sz w:val="18"/>
                <w:szCs w:val="18"/>
              </w:rPr>
              <w:t>0.5</w:t>
            </w:r>
          </w:p>
        </w:tc>
        <w:tc>
          <w:tcPr>
            <w:tcW w:w="2835" w:type="dxa"/>
            <w:noWrap/>
            <w:hideMark/>
          </w:tcPr>
          <w:p w14:paraId="4606D494" w14:textId="3930D4DD" w:rsidR="008527B6" w:rsidRPr="00135E13" w:rsidRDefault="008527B6" w:rsidP="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shd w:val="clear" w:color="auto" w:fill="FFFFFF" w:themeFill="background1"/>
          </w:tcPr>
          <w:p w14:paraId="3D5345F1" w14:textId="76886027" w:rsidR="008527B6" w:rsidRPr="00135E13" w:rsidRDefault="008527B6" w:rsidP="006B6A5F">
            <w:pPr>
              <w:rPr>
                <w:rFonts w:ascii="Times New Roman" w:hAnsi="Times New Roman" w:cs="Times New Roman"/>
                <w:sz w:val="18"/>
                <w:szCs w:val="18"/>
                <w:lang w:val="en-GB"/>
              </w:rPr>
            </w:pPr>
            <w:r w:rsidRPr="00135E13">
              <w:rPr>
                <w:rFonts w:ascii="Times New Roman" w:hAnsi="Times New Roman" w:cs="Times New Roman"/>
                <w:sz w:val="18"/>
                <w:szCs w:val="18"/>
                <w:lang w:val="en-GB"/>
              </w:rPr>
              <w:t xml:space="preserve">Can be used alternatively to furosemide in current guidelines </w:t>
            </w:r>
            <w:r w:rsidRPr="00135E13">
              <w:rPr>
                <w:rFonts w:ascii="Times New Roman" w:hAnsi="Times New Roman" w:cs="Times New Roman"/>
                <w:sz w:val="18"/>
                <w:szCs w:val="18"/>
                <w:lang w:val="en-GB"/>
              </w:rPr>
              <w:fldChar w:fldCharType="begin"/>
            </w:r>
            <w:r w:rsidR="00F4471E">
              <w:rPr>
                <w:rFonts w:ascii="Times New Roman" w:hAnsi="Times New Roman" w:cs="Times New Roman"/>
                <w:sz w:val="18"/>
                <w:szCs w:val="18"/>
                <w:lang w:val="en-GB"/>
              </w:rPr>
              <w:instrText xml:space="preserve"> ADDIN ZOTERO_ITEM CSL_CITATION {"citationID":"9mGVh2vS","properties":{"formattedCitation":"[32]","plainCitation":"[32]","noteIndex":0},"citationItems":[{"id":"RKg9lF5b/bmjV8x9r","uris":["http://zotero.org/users/4692060/items/ERBJQMPZ"],"itemData":{"id":2044,"type":"article-journal","container-title":"European Heart Journal","DOI":"10.1093/eurheartj/ehab368","ISSN":"1522-9645","issue":"36","journalAbbreviation":"Eur Heart J","language":"eng","page":"3599-3726","PMID":"34447992","source":"PubMed","title":"2021 ESC Guidelines for the diagnosis and treatment of acute and chronic heart failure","volume":"42","author":[{"family":"McDonagh","given":"Theresa A."},{"family":"Metra","given":"Marco"},{"family":"Adamo","given":"Marianna"},{"family":"Gardner","given":"Roy S."},{"family":"Baumbach","given":"Andreas"},{"family":"Böhm","given":"Michael"},{"family":"Burri","given":"Haran"},{"family":"Butler","given":"Javed"},{"family":"Čelutkienė","given":"Jelena"},{"family":"Chioncel","given":"Ovidiu"},{"family":"Cleland","given":"John G. F."},{"family":"Coats","given":"Andrew J. S."},{"family":"Crespo-Leiro","given":"Maria G."},{"family":"Farmakis","given":"Dimitrios"},{"family":"Gilard","given":"Martine"},{"family":"Heymans","given":"Stephane"},{"family":"Hoes","given":"Arno W."},{"family":"Jaarsma","given":"Tiny"},{"family":"Jankowska","given":"Ewa A."},{"family":"Lainscak","given":"Mitja"},{"family":"Lam","given":"Carolyn S. P."},{"family":"Lyon","given":"Alexander R."},{"family":"McMurray","given":"John J. V."},{"family":"Mebazaa","given":"Alexandre"},{"family":"Mindham","given":"Richard"},{"family":"Muneretto","given":"Claudio"},{"family":"Francesco Piepoli","given":"Massimo"},{"family":"Price","given":"Susanna"},{"family":"Rosano","given":"Giuseppe M. C."},{"family":"Ruschitzka","given":"Frank"},{"family":"Kathrine Skibelund","given":"Anne"},{"literal":"ESC Scientific Document Group"}],"issued":{"date-parts":[["2021",9,21]]}}}],"schema":"https://github.com/citation-style-language/schema/raw/master/csl-citation.json"} </w:instrText>
            </w:r>
            <w:r w:rsidRPr="00135E13">
              <w:rPr>
                <w:rFonts w:ascii="Times New Roman" w:hAnsi="Times New Roman" w:cs="Times New Roman"/>
                <w:sz w:val="18"/>
                <w:szCs w:val="18"/>
                <w:lang w:val="en-GB"/>
              </w:rPr>
              <w:fldChar w:fldCharType="separate"/>
            </w:r>
            <w:r w:rsidRPr="00135E13">
              <w:rPr>
                <w:rFonts w:ascii="Times New Roman" w:hAnsi="Times New Roman" w:cs="Times New Roman"/>
                <w:sz w:val="18"/>
                <w:szCs w:val="21"/>
              </w:rPr>
              <w:t>[32]</w:t>
            </w:r>
            <w:r w:rsidRPr="00135E13">
              <w:rPr>
                <w:rFonts w:ascii="Times New Roman" w:hAnsi="Times New Roman" w:cs="Times New Roman"/>
                <w:sz w:val="18"/>
                <w:szCs w:val="18"/>
                <w:lang w:val="en-GB"/>
              </w:rPr>
              <w:fldChar w:fldCharType="end"/>
            </w:r>
          </w:p>
        </w:tc>
        <w:tc>
          <w:tcPr>
            <w:tcW w:w="2800" w:type="dxa"/>
            <w:vMerge/>
            <w:shd w:val="clear" w:color="auto" w:fill="C5E0B3" w:themeFill="accent6" w:themeFillTint="66"/>
          </w:tcPr>
          <w:p w14:paraId="2A105FCB" w14:textId="6CE17EFC" w:rsidR="008527B6" w:rsidRPr="00135E13" w:rsidRDefault="008527B6" w:rsidP="006B6A5F">
            <w:pPr>
              <w:rPr>
                <w:rFonts w:ascii="Times New Roman" w:hAnsi="Times New Roman" w:cs="Times New Roman"/>
                <w:sz w:val="18"/>
                <w:szCs w:val="18"/>
              </w:rPr>
            </w:pPr>
          </w:p>
        </w:tc>
      </w:tr>
      <w:tr w:rsidR="00B23C01" w:rsidRPr="00135E13" w14:paraId="0B7FE6E6" w14:textId="5137C237" w:rsidTr="005C7D6F">
        <w:trPr>
          <w:trHeight w:val="285"/>
        </w:trPr>
        <w:tc>
          <w:tcPr>
            <w:tcW w:w="1838" w:type="dxa"/>
            <w:noWrap/>
            <w:hideMark/>
          </w:tcPr>
          <w:p w14:paraId="08A199B8" w14:textId="50210E1B" w:rsidR="008527B6" w:rsidRPr="00135E13" w:rsidRDefault="008527B6" w:rsidP="006B6A5F">
            <w:pPr>
              <w:rPr>
                <w:rFonts w:ascii="Times New Roman" w:hAnsi="Times New Roman" w:cs="Times New Roman"/>
                <w:sz w:val="18"/>
                <w:szCs w:val="18"/>
              </w:rPr>
            </w:pPr>
            <w:r w:rsidRPr="00135E13">
              <w:rPr>
                <w:rFonts w:ascii="Times New Roman" w:hAnsi="Times New Roman" w:cs="Times New Roman"/>
                <w:sz w:val="18"/>
                <w:szCs w:val="18"/>
              </w:rPr>
              <w:t>Acetazolamide</w:t>
            </w:r>
          </w:p>
        </w:tc>
        <w:tc>
          <w:tcPr>
            <w:tcW w:w="1418" w:type="dxa"/>
            <w:noWrap/>
            <w:hideMark/>
          </w:tcPr>
          <w:p w14:paraId="3A92EE0D" w14:textId="33CF054E" w:rsidR="008527B6" w:rsidRPr="00135E13" w:rsidRDefault="008527B6" w:rsidP="006B6A5F">
            <w:pPr>
              <w:rPr>
                <w:rFonts w:ascii="Times New Roman" w:hAnsi="Times New Roman" w:cs="Times New Roman"/>
                <w:sz w:val="18"/>
                <w:szCs w:val="18"/>
              </w:rPr>
            </w:pPr>
            <w:r w:rsidRPr="00135E13">
              <w:rPr>
                <w:rFonts w:ascii="Times New Roman" w:hAnsi="Times New Roman" w:cs="Times New Roman"/>
                <w:sz w:val="18"/>
                <w:szCs w:val="18"/>
              </w:rPr>
              <w:t xml:space="preserve">100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{"citationID":"UHLB3UOd","properties":{"formattedCitation":"[33]","plainCitation":"[33]","noteIndex":0},"citationItems":[{"id":"RKg9lF5b/giRHos7z","uris":["http://zotero.org/users/8889971/items/MQAQTUMQ"],"itemData":{"id":4213,"type":"article-journal","abstract":"Plasma acetazolamide levels were measured by an enzymatic assay following single 250-mg oral tablet doses to 20 healthy volunteers; five different lots of acetazolamide tablets from a single manufacturer were used in a balanced incomplete block design. From the measured plasma levels, estimates of the bioavailability parameters (area under the plasma concentration versus time curve, time to peak plasma concentration, and peak plasm concentration) were obtained by least-squares digital computer fitting. No significant differences among the tablets were observed (alpha = 0.05) for the analysis of variance of the area under the curve or time to peak parameters. Two tablets, however, provided statistically higher peak plasma concentrations than the other three. Thus, lot-to-lot bioinequivalence of acetazolamide tablets was observed. Some in vitro tests employed showed general trends for correlation with the in vivo data. However, considerable refinement of these technique appears necessary for in vitro prediction of the observed lot-to-lot bioinequivalence.","container-title":"Journal of Pharmaceutical Sciences","DOI":"10.1002/jps.2600670233","ISSN":"0022-3549","issue":"2","journalAbbreviation":"J Pharm Sci","language":"eng","page":"252-256","PMID":"579636","source":"PubMed","title":"Bioavailability of acetazolamide tablets","volume":"67","author":[{"family":"Yakatan","given":"G. J."},{"family":"Frome","given":"E. L."},{"family":"Leonard","given":"R. G."},{"family":"Shah","given":"A. C."},{"family":"Doluisio","given":"J. T."}],"issued":{"date-parts":[["1978",2]]}}}],"schema":"https://github.com/citation-style-language/schema/raw/master/csl-citation.json"}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[33]</w:t>
            </w:r>
            <w:r w:rsidRPr="00135E13">
              <w:rPr>
                <w:rFonts w:ascii="Times New Roman" w:hAnsi="Times New Roman" w:cs="Times New Roman"/>
                <w:sz w:val="18"/>
                <w:szCs w:val="18"/>
              </w:rPr>
              <w:fldChar w:fldCharType="end"/>
            </w:r>
          </w:p>
        </w:tc>
        <w:tc>
          <w:tcPr>
            <w:tcW w:w="1134" w:type="dxa"/>
            <w:noWrap/>
            <w:hideMark/>
          </w:tcPr>
          <w:p w14:paraId="31C34A21" w14:textId="3E15D9DA" w:rsidR="008527B6" w:rsidRPr="00135E13" w:rsidRDefault="008527B6" w:rsidP="006B6A5F">
            <w:pPr>
              <w:rPr>
                <w:rFonts w:ascii="Times New Roman" w:hAnsi="Times New Roman" w:cs="Times New Roman"/>
                <w:sz w:val="18"/>
                <w:szCs w:val="18"/>
              </w:rPr>
            </w:pPr>
            <w:r w:rsidRPr="00135E13">
              <w:rPr>
                <w:rFonts w:ascii="Times New Roman" w:hAnsi="Times New Roman" w:cs="Times New Roman"/>
                <w:sz w:val="18"/>
                <w:szCs w:val="18"/>
              </w:rPr>
              <w:t xml:space="preserve">2-4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{"citationID":"yr1AL92r","properties":{"formattedCitation":"[33]","plainCitation":"[33]","noteIndex":0},"citationItems":[{"id":"RKg9lF5b/giRHos7z","uris":["http://zotero.org/users/8889971/items/MQAQTUMQ"],"itemData":{"id":4213,"type":"article-journal","abstract":"Plasma acetazolamide levels were measured by an enzymatic assay following single 250-mg oral tablet doses to 20 healthy volunteers; five different lots of acetazolamide tablets from a single manufacturer were used in a balanced incomplete block design. From the measured plasma levels, estimates of the bioavailability parameters (area under the plasma concentration versus time curve, time to peak plasma concentration, and peak plasm concentration) were obtained by least-squares digital computer fitting. No significant differences among the tablets were observed (alpha = 0.05) for the analysis of variance of the area under the curve or time to peak parameters. Two tablets, however, provided statistically higher peak plasma concentrations than the other three. Thus, lot-to-lot bioinequivalence of acetazolamide tablets was observed. Some in vitro tests employed showed general trends for correlation with the in vivo data. However, considerable refinement of these technique appears necessary for in vitro prediction of the observed lot-to-lot bioinequivalence.","container-title":"Journal of Pharmaceutical Sciences","DOI":"10.1002/jps.2600670233","ISSN":"0022-3549","issue":"2","journalAbbreviation":"J Pharm Sci","language":"eng","page":"252-256","PMID":"579636","source":"PubMed","title":"Bioavailability of acetazolamide tablets","volume":"67","author":[{"family":"Yakatan","given":"G. J."},{"family":"Frome","given":"E. L."},{"family":"Leonard","given":"R. G."},{"family":"Shah","given":"A. C."},{"family":"Doluisio","given":"J. T."}],"issued":{"date-parts":[["1978",2]]}}}],"schema":"https://github.com/citation-style-language/schema/raw/master/csl-citation.json"}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[33]</w:t>
            </w:r>
            <w:r w:rsidRPr="00135E13">
              <w:rPr>
                <w:rFonts w:ascii="Times New Roman" w:hAnsi="Times New Roman" w:cs="Times New Roman"/>
                <w:sz w:val="18"/>
                <w:szCs w:val="18"/>
              </w:rPr>
              <w:fldChar w:fldCharType="end"/>
            </w:r>
          </w:p>
        </w:tc>
        <w:tc>
          <w:tcPr>
            <w:tcW w:w="2835" w:type="dxa"/>
            <w:noWrap/>
            <w:hideMark/>
          </w:tcPr>
          <w:p w14:paraId="2BFFB2ED" w14:textId="1B7D92DD" w:rsidR="008527B6" w:rsidRPr="00135E13" w:rsidRDefault="008527B6" w:rsidP="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shd w:val="clear" w:color="auto" w:fill="FFFFFF" w:themeFill="background1"/>
          </w:tcPr>
          <w:p w14:paraId="592005B6" w14:textId="52974705" w:rsidR="008527B6" w:rsidRPr="00135E13" w:rsidRDefault="008527B6" w:rsidP="006B6A5F">
            <w:pPr>
              <w:rPr>
                <w:rFonts w:ascii="Times New Roman" w:hAnsi="Times New Roman" w:cs="Times New Roman"/>
                <w:sz w:val="18"/>
                <w:szCs w:val="18"/>
                <w:lang w:val="en-GB"/>
              </w:rPr>
            </w:pPr>
            <w:r w:rsidRPr="00135E13">
              <w:rPr>
                <w:rFonts w:ascii="Times New Roman" w:hAnsi="Times New Roman" w:cs="Times New Roman"/>
                <w:sz w:val="18"/>
                <w:szCs w:val="18"/>
                <w:lang w:val="en-GB"/>
              </w:rPr>
              <w:t xml:space="preserve">Initial correction of diuretic-induced alkalosis may be more rapid with IV form </w:t>
            </w:r>
            <w:r w:rsidRPr="00135E13">
              <w:rPr>
                <w:rFonts w:ascii="Times New Roman" w:hAnsi="Times New Roman" w:cs="Times New Roman"/>
                <w:sz w:val="18"/>
                <w:szCs w:val="18"/>
                <w:lang w:val="en-GB"/>
              </w:rPr>
              <w:fldChar w:fldCharType="begin"/>
            </w:r>
            <w:r w:rsidR="00F4471E">
              <w:rPr>
                <w:rFonts w:ascii="Times New Roman" w:hAnsi="Times New Roman" w:cs="Times New Roman"/>
                <w:sz w:val="18"/>
                <w:szCs w:val="18"/>
                <w:lang w:val="en-GB"/>
              </w:rPr>
              <w:instrText xml:space="preserve"> ADDIN ZOTERO_ITEM CSL_CITATION {"citationID":"YcS45d3Y","properties":{"formattedCitation":"[34]","plainCitation":"[34]","noteIndex":0},"citationItems":[{"id":"RKg9lF5b/RRNWD27g","uris":["http://zotero.org/users/4692060/items/6HLX3QCS"],"itemData":{"id":2051,"type":"article-journal","abstract":"BACKGROUND: Acetazolamide has been used for diuretic-induced metabolic alkalosis, but the preferred dose, route, and frequency of administration remain unknown.\nOBJECTIVE: The purpose of this study was to characterize dosing strategies and determine the effectiveness of intravenous (IV) and oral (PO) acetazolamide for patients with heart failure (HF) with diuretic-induced metabolic alkalosis.\nMETHODS: This was a multicenter, retrospective cohort study comparing the use of IV versus PO acetazolamide in patients with HF receiving at least 120 mg of furosemide for the treatment of metabolic alkalosis (serum bicarbonate CO2 ≥32). The primary outcome was the change in CO2 on the first basic metabolic panel (BMP) within 24 hours of the first dose of acetazolamide. Secondary outcomes included laboratory outcomes, such as change in bicarbonate, chloride, and incidence of hyponatremia and hypokalemia. This study was approved by the local institutional review board.\nRESULTS: IV acetazolamide was given in 35 patients and PO acetazolamide was given in 35 patients. Patients in both groups were given a median of 500 mg of acetazolamide in the first 24 hours. For the primary outcome, there was a significant decrease in CO2 on the first BMP within 24 hours after patients received the IV acetazolamide (-2 [interquartile range, IQR: -2, 0] vs 0 [IQR: -3, 1], P = 0.047). There were no differences in secondary outcomes.\nCONCLUSION AND RELEVANCE: IV acetazolamide resulted in significantly decreased bicarbonate within 24 hours of administration. IV acetazolamide may be preferred to treat diuretic-induced metabolic alkalosis in patients with HF.","container-title":"The Annals of Pharmacotherapy","DOI":"10.1177/10600280231154603","ISSN":"1542-6270","issue":"11","journalAbbreviation":"Ann Pharmacother","language":"eng","page":"1241-1247","PMID":"36803069","source":"PubMed","title":"Intravenous or Oral Acetazolamide for Treatment of Diuretic-Induced Alkalosis in Patients With Heart Failure","volume":"57","author":[{"family":"Addison","given":"Janci D."},{"family":"Peterson","given":"Evan J."},{"family":"Meyenburg","given":"Lyndsi"}],"issued":{"date-parts":[["2023",11]]}}}],"schema":"https://github.com/citation-style-language/schema/raw/master/csl-citation.json"} </w:instrText>
            </w:r>
            <w:r w:rsidRPr="00135E13">
              <w:rPr>
                <w:rFonts w:ascii="Times New Roman" w:hAnsi="Times New Roman" w:cs="Times New Roman"/>
                <w:sz w:val="18"/>
                <w:szCs w:val="18"/>
                <w:lang w:val="en-GB"/>
              </w:rPr>
              <w:fldChar w:fldCharType="separate"/>
            </w:r>
            <w:r w:rsidRPr="00135E13">
              <w:rPr>
                <w:rFonts w:ascii="Times New Roman" w:hAnsi="Times New Roman" w:cs="Times New Roman"/>
                <w:sz w:val="18"/>
                <w:szCs w:val="21"/>
              </w:rPr>
              <w:t>[34]</w:t>
            </w:r>
            <w:r w:rsidRPr="00135E13">
              <w:rPr>
                <w:rFonts w:ascii="Times New Roman" w:hAnsi="Times New Roman" w:cs="Times New Roman"/>
                <w:sz w:val="18"/>
                <w:szCs w:val="18"/>
                <w:lang w:val="en-GB"/>
              </w:rPr>
              <w:fldChar w:fldCharType="end"/>
            </w:r>
          </w:p>
        </w:tc>
        <w:tc>
          <w:tcPr>
            <w:tcW w:w="2800" w:type="dxa"/>
            <w:vMerge/>
            <w:shd w:val="clear" w:color="auto" w:fill="C5E0B3" w:themeFill="accent6" w:themeFillTint="66"/>
          </w:tcPr>
          <w:p w14:paraId="63229F28" w14:textId="4DBBE03A" w:rsidR="008527B6" w:rsidRPr="00135E13" w:rsidRDefault="008527B6" w:rsidP="006B6A5F">
            <w:pPr>
              <w:rPr>
                <w:rFonts w:ascii="Times New Roman" w:hAnsi="Times New Roman" w:cs="Times New Roman"/>
                <w:sz w:val="18"/>
                <w:szCs w:val="18"/>
              </w:rPr>
            </w:pPr>
          </w:p>
        </w:tc>
      </w:tr>
      <w:tr w:rsidR="00B23C01" w:rsidRPr="00135E13" w14:paraId="2AB7CA92" w14:textId="42409FF1" w:rsidTr="005C7D6F">
        <w:trPr>
          <w:trHeight w:val="285"/>
        </w:trPr>
        <w:tc>
          <w:tcPr>
            <w:tcW w:w="1838" w:type="dxa"/>
            <w:noWrap/>
            <w:hideMark/>
          </w:tcPr>
          <w:p w14:paraId="07FA8E88" w14:textId="762043FF"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Amiodarone</w:t>
            </w:r>
          </w:p>
        </w:tc>
        <w:tc>
          <w:tcPr>
            <w:tcW w:w="1418" w:type="dxa"/>
            <w:noWrap/>
            <w:hideMark/>
          </w:tcPr>
          <w:p w14:paraId="323AB9DE" w14:textId="45B92AC2"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30-80</w:t>
            </w:r>
          </w:p>
        </w:tc>
        <w:tc>
          <w:tcPr>
            <w:tcW w:w="1134" w:type="dxa"/>
            <w:noWrap/>
            <w:hideMark/>
          </w:tcPr>
          <w:p w14:paraId="11F957E9" w14:textId="5F2DEFF3"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3-7</w:t>
            </w:r>
          </w:p>
        </w:tc>
        <w:tc>
          <w:tcPr>
            <w:tcW w:w="2835" w:type="dxa"/>
            <w:noWrap/>
            <w:hideMark/>
          </w:tcPr>
          <w:p w14:paraId="25AE4C74" w14:textId="3FAD273C"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shd w:val="clear" w:color="auto" w:fill="FFFFFF" w:themeFill="background1"/>
          </w:tcPr>
          <w:p w14:paraId="47C066D4" w14:textId="148E947B" w:rsidR="006B6A5F" w:rsidRPr="00135E13" w:rsidRDefault="008527B6" w:rsidP="006B6A5F">
            <w:pPr>
              <w:rPr>
                <w:rFonts w:ascii="Times New Roman" w:hAnsi="Times New Roman" w:cs="Times New Roman"/>
                <w:sz w:val="18"/>
                <w:szCs w:val="18"/>
                <w:lang w:val="en-GB"/>
              </w:rPr>
            </w:pPr>
            <w:r w:rsidRPr="00135E13">
              <w:rPr>
                <w:rFonts w:ascii="Times New Roman" w:hAnsi="Times New Roman" w:cs="Times New Roman"/>
                <w:sz w:val="18"/>
                <w:szCs w:val="18"/>
              </w:rPr>
              <w:t>No evidence of IV superiority</w:t>
            </w:r>
          </w:p>
        </w:tc>
        <w:tc>
          <w:tcPr>
            <w:tcW w:w="2800" w:type="dxa"/>
            <w:shd w:val="clear" w:color="auto" w:fill="C5E0B3" w:themeFill="accent6" w:themeFillTint="66"/>
          </w:tcPr>
          <w:p w14:paraId="4444B54B" w14:textId="09464FBB"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lang w:val="en-GB"/>
              </w:rPr>
              <w:t xml:space="preserve">Except in emergency atrial fibrillation cardioversion with hemodynamic instability </w:t>
            </w:r>
            <w:r w:rsidRPr="00135E13">
              <w:rPr>
                <w:rFonts w:ascii="Times New Roman" w:hAnsi="Times New Roman" w:cs="Times New Roman"/>
                <w:sz w:val="18"/>
                <w:szCs w:val="18"/>
                <w:lang w:val="en-GB"/>
              </w:rPr>
              <w:fldChar w:fldCharType="begin"/>
            </w:r>
            <w:r w:rsidR="00F4471E">
              <w:rPr>
                <w:rFonts w:ascii="Times New Roman" w:hAnsi="Times New Roman" w:cs="Times New Roman"/>
                <w:sz w:val="18"/>
                <w:szCs w:val="18"/>
                <w:lang w:val="en-GB"/>
              </w:rPr>
              <w:instrText xml:space="preserve"> ADDIN ZOTERO_ITEM CSL_CITATION {"citationID":"4J1wQIPz","properties":{"formattedCitation":"[35]","plainCitation":"[35]","noteIndex":0},"citationItems":[{"id":"RKg9lF5b/0Fk4e70p","uris":["http://zotero.org/users/4692060/items/DUMEXFK7"],"itemData":{"id":2058,"type":"article-journal","container-title":"European Heart Journal","DOI":"10.1093/eurheartj/ehae176","ISSN":"1522-9645","issue":"36","journalAbbreviation":"Eur Heart J","language":"eng","page":"3314-3414","PMID":"39210723","source":"PubMed","title":"2024 ESC Guidelines for the management of atrial fibrillation developed in collaboration with the European Association for Cardio-Thoracic Surgery (EACTS)","volume":"45","author":[{"family":"Van Gelder","given":"Isabelle C."},{"family":"Rienstra","given":"Michiel"},{"family":"Bunting","given":"Karina V."},{"family":"Casado-Arroyo","given":"Ruben"},{"family":"Caso","given":"Valeria"},{"family":"Crijns","given":"Harry J. G. M."},{"family":"De Potter","given":"Tom J. R."},{"family":"Dwight","given":"Jeremy"},{"family":"Guasti","given":"Luigina"},{"family":"Hanke","given":"Thorsten"},{"family":"Jaarsma","given":"Tiny"},{"family":"Lettino","given":"Maddalena"},{"family":"Løchen","given":"Maja-Lisa"},{"family":"Lumbers","given":"R. Thomas"},{"family":"Maesen","given":"Bart"},{"family":"Mølgaard","given":"Inge"},{"family":"Rosano","given":"Giuseppe M. C."},{"family":"Sanders","given":"Prashanthan"},{"family":"Schnabel","given":"Renate B."},{"family":"Suwalski","given":"Piotr"},{"family":"Svennberg","given":"Emma"},{"family":"Tamargo","given":"Juan"},{"family":"Tica","given":"Otilia"},{"family":"Traykov","given":"Vassil"},{"family":"Tzeis","given":"Stylianos"},{"family":"Kotecha","given":"Dipak"},{"literal":"ESC Scientific Document Group"}],"issued":{"date-parts":[["2024",9,29]]}}}],"schema":"https://github.com/citation-style-language/schema/raw/master/csl-citation.json"} </w:instrText>
            </w:r>
            <w:r w:rsidRPr="00135E13">
              <w:rPr>
                <w:rFonts w:ascii="Times New Roman" w:hAnsi="Times New Roman" w:cs="Times New Roman"/>
                <w:sz w:val="18"/>
                <w:szCs w:val="18"/>
                <w:lang w:val="en-GB"/>
              </w:rPr>
              <w:fldChar w:fldCharType="separate"/>
            </w:r>
            <w:r w:rsidR="008527B6" w:rsidRPr="00135E13">
              <w:rPr>
                <w:rFonts w:ascii="Times New Roman" w:hAnsi="Times New Roman" w:cs="Times New Roman"/>
                <w:sz w:val="18"/>
                <w:szCs w:val="21"/>
              </w:rPr>
              <w:t>[35]</w:t>
            </w:r>
            <w:r w:rsidRPr="00135E13">
              <w:rPr>
                <w:rFonts w:ascii="Times New Roman" w:hAnsi="Times New Roman" w:cs="Times New Roman"/>
                <w:sz w:val="18"/>
                <w:szCs w:val="18"/>
                <w:lang w:val="en-GB"/>
              </w:rPr>
              <w:fldChar w:fldCharType="end"/>
            </w:r>
          </w:p>
        </w:tc>
      </w:tr>
      <w:tr w:rsidR="00B23C01" w:rsidRPr="00135E13" w14:paraId="6127B41C" w14:textId="1AEBE8CC" w:rsidTr="005C7D6F">
        <w:trPr>
          <w:trHeight w:val="285"/>
        </w:trPr>
        <w:tc>
          <w:tcPr>
            <w:tcW w:w="1838" w:type="dxa"/>
            <w:noWrap/>
            <w:hideMark/>
          </w:tcPr>
          <w:p w14:paraId="0AAA6586" w14:textId="23F669D2"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Acetylsalicylic acid</w:t>
            </w:r>
          </w:p>
        </w:tc>
        <w:tc>
          <w:tcPr>
            <w:tcW w:w="1418" w:type="dxa"/>
            <w:noWrap/>
            <w:hideMark/>
          </w:tcPr>
          <w:p w14:paraId="46057735" w14:textId="6BAA39DA"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 xml:space="preserve">&lt;60 </w:t>
            </w:r>
          </w:p>
        </w:tc>
        <w:tc>
          <w:tcPr>
            <w:tcW w:w="1134" w:type="dxa"/>
            <w:noWrap/>
            <w:hideMark/>
          </w:tcPr>
          <w:p w14:paraId="5ABB0890" w14:textId="16905877"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0,5-0,67</w:t>
            </w:r>
          </w:p>
        </w:tc>
        <w:tc>
          <w:tcPr>
            <w:tcW w:w="2835" w:type="dxa"/>
            <w:noWrap/>
            <w:hideMark/>
          </w:tcPr>
          <w:p w14:paraId="5444741F" w14:textId="73EC5142"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shd w:val="clear" w:color="auto" w:fill="FFFFFF" w:themeFill="background1"/>
          </w:tcPr>
          <w:p w14:paraId="1626945F" w14:textId="7ECFCEDB"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 xml:space="preserve">No difference in clinical outcomes in context of acute coronary syndrome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{"citationID":"RZUBfSXD","properties":{"formattedCitation":"[36]","plainCitation":"[36]","noteIndex":0},"citationItems":[{"id":"RKg9lF5b/PcGBk8Mq","uris":["http://zotero.org/users/4692060/items/JU5BUWNT"],"itemData":{"id":2034,"type":"article-journal","abstract":"BACKGROUND: Aspirin is indicated in the emergency management of acute coronary syndrome. However, oral aspirin has erratic bioavailability compared to i.v. formulation.\nOBJECTIVE: The objective of this study was to evaluate the comparative efficacy and safety of intravenous (IV) and oral aspirin in acute coronary syndrome.\nSTUDY DESIGN: This was a systematic review and meta-analysis.\nRESULTS: Two randomized controlled trials were included. Compared to oral aspirin, lower platelet aggregability was seen with IV aspirin at 5 min and 20 min. Lower thromboxane B2 and lower platelet CD-62p levels were noted in the IV group; however, no significant difference was observed in terms of \"composite cardiovascular death, stroke, and myocardial infarction (MI) at 4-6 weeks,\" \"any cause mortality,\" \"cardiovascular mortality,\" \"occurrence of stroke,\" and \"occurrence of MI/reinfarction.\" However, no difference was noted in terms of the occurrence of serious adverse events.\nCONCLUSION: IV aspirin showed some advantages in terms of platelet aggregability biomarkers at 20 min and 1 week with comparable safety to oral aspirin. No difference was seen in terms of clinical outcomes (at 24 h, 7, and 30 days) and the occurrence of serious adverse events.","container-title":"Indian Journal of Pharmacology","DOI":"10.4103/ijp.ijp_1147_20","ISSN":"1998-3751","issue":"2","journalAbbreviation":"Indian J Pharmacol","language":"eng","page":"133-137","PMID":"37313939","PMCID":"PMC10335641","source":"PubMed","title":"Role of intravenous aspirin versus oral aspirin in the treatment of acute coronary syndrome: Answering a clinical query by systematic review and meta-analysis of randomized controlled trials","title-short":"Role of intravenous aspirin versus oral aspirin in the treatment of acute coronary syndrome","volume":"55","author":[{"family":"Kaur","given":"Hardeep"},{"family":"Sarma","given":"Phulen"},{"family":"Bhattacharyya","given":"Anusuya"},{"family":"Rohit","given":"Manojkumar"},{"family":"Prajapat","given":"Manisha"},{"family":"Kumar","given":"Subodh"},{"family":"Prakash","given":"Ajay"},{"family":"Medhi","given":"Bikash"}],"issued":{"date-parts":[["2023"]]}}}],"schema":"https://github.com/citation-style-language/schema/raw/master/csl-citation.json"} </w:instrText>
            </w:r>
            <w:r w:rsidRPr="00135E13">
              <w:rPr>
                <w:rFonts w:ascii="Times New Roman" w:hAnsi="Times New Roman" w:cs="Times New Roman"/>
                <w:sz w:val="18"/>
                <w:szCs w:val="18"/>
              </w:rPr>
              <w:fldChar w:fldCharType="separate"/>
            </w:r>
            <w:r w:rsidR="008527B6" w:rsidRPr="00135E13">
              <w:rPr>
                <w:rFonts w:ascii="Times New Roman" w:hAnsi="Times New Roman" w:cs="Times New Roman"/>
                <w:sz w:val="18"/>
                <w:szCs w:val="21"/>
              </w:rPr>
              <w:t>[36]</w:t>
            </w:r>
            <w:r w:rsidRPr="00135E13">
              <w:rPr>
                <w:rFonts w:ascii="Times New Roman" w:hAnsi="Times New Roman" w:cs="Times New Roman"/>
                <w:sz w:val="18"/>
                <w:szCs w:val="18"/>
              </w:rPr>
              <w:fldChar w:fldCharType="end"/>
            </w:r>
            <w:bookmarkStart w:id="0" w:name="_Hlk230274758"/>
            <w:r w:rsidR="00135E13" w:rsidRPr="00135E13">
              <w:rPr>
                <w:rFonts w:ascii="Times New Roman" w:hAnsi="Times New Roman" w:cs="Times New Roman"/>
                <w:sz w:val="18"/>
                <w:szCs w:val="18"/>
              </w:rPr>
              <w:t xml:space="preserve">. </w:t>
            </w:r>
            <w:r w:rsidRPr="00135E13">
              <w:rPr>
                <w:rFonts w:ascii="Times New Roman" w:hAnsi="Times New Roman" w:cs="Times New Roman"/>
                <w:sz w:val="18"/>
                <w:szCs w:val="18"/>
              </w:rPr>
              <w:t xml:space="preserve">Current guidelines recommend oral route whenever feasible </w:t>
            </w:r>
            <w:bookmarkEnd w:id="0"/>
            <w:r w:rsidRPr="00135E13">
              <w:rPr>
                <w:rFonts w:ascii="Times New Roman" w:hAnsi="Times New Roman" w:cs="Times New Roman"/>
                <w:sz w:val="18"/>
                <w:szCs w:val="18"/>
              </w:rPr>
              <w:t xml:space="preserve">(platelet inhibition obtained more rapidly)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5STpWG7z","properties":{"formattedCitation":"[37]","plainCitation":"[37]","noteIndex":0},"citationItems":[{"id":"RKg9lF5b/1IEwRSLM","uris":["http://zotero.org/users/4692060/items/59CHQYFT","http://zotero.org/users/4692060/items/DFPMN67E"],"itemData":{"id":2036,"type":"article-journal","container-title":"European Heart Journal","DOI":"10.1093/eurheartj/ehad191","ISSN":"1522-9645","issue":"38","journalAbbreviation":"Eur Heart J","language":"eng","page":"3720-3826","PMID":"37622654","source":"PubMed","title":"2023 ESC Guidelines for the management of acute coronary syndromes","volume":"44","author":[{"family":"Byrne","given":"Robert A."},{"family":"Rossello","given":"Xavier"},{"family":"Coughlan","given":"J. J."},{"family":"Barbato","given":"Emanuele"},{"family":"Berry","given":"Colin"},{"family":"Chieffo","given":"Alaide"},{"family":"Claeys","given":"Marc J."},{"family":"Dan","given":"Gheorghe-Andrei"},{"family":"Dweck","given":"Marc R."},{"family":"Galbraith","given":"Mary"},{"family":"Gilard","given":"Martine"},{"family":"Hinterbuchner","given":"Lynne"},{"family":"Jankowska","given":"Ewa A."},{"family":"Jüni","given":"Peter"},{"family":"Kimura","given":"Takeshi"},{"family":"Kunadian","given":"Vijay"},{"family":"Leosdottir","given":"Margret"},{"family":"Lorusso","given":"Roberto"},{"family":"Pedretti","given":"Roberto F. E."},{"family":"Rigopoulos","given":"Angelos G."},{"family":"Rubini Gimenez","given":"Maria"},{"family":"Thiele","given":"Holger"},{"family":"Vranckx","given":"Pascal"},{"family":"Wassmann","given":"Sven"},{"family":"Wenger","given":"Nanette Kass"},{"family":"Ibanez","given":"Borja"},{"literal":"ESC Scientific Document Group"}],"issued":{"date-parts":[["2023",10,12]]}}}],"schema":"https://github.com/citation-style-language/schema/raw/master/csl-citation.json"} </w:instrText>
            </w:r>
            <w:r w:rsidRPr="00135E13">
              <w:rPr>
                <w:rFonts w:ascii="Times New Roman" w:hAnsi="Times New Roman" w:cs="Times New Roman"/>
                <w:sz w:val="18"/>
                <w:szCs w:val="18"/>
              </w:rPr>
              <w:fldChar w:fldCharType="separate"/>
            </w:r>
            <w:r w:rsidR="008527B6" w:rsidRPr="00135E13">
              <w:rPr>
                <w:rFonts w:ascii="Times New Roman" w:hAnsi="Times New Roman" w:cs="Times New Roman"/>
                <w:sz w:val="18"/>
                <w:szCs w:val="21"/>
              </w:rPr>
              <w:t>[37]</w:t>
            </w:r>
            <w:r w:rsidRPr="00135E13">
              <w:rPr>
                <w:rFonts w:ascii="Times New Roman" w:hAnsi="Times New Roman" w:cs="Times New Roman"/>
                <w:sz w:val="18"/>
                <w:szCs w:val="18"/>
              </w:rPr>
              <w:fldChar w:fldCharType="end"/>
            </w:r>
          </w:p>
        </w:tc>
        <w:tc>
          <w:tcPr>
            <w:tcW w:w="2800" w:type="dxa"/>
            <w:shd w:val="clear" w:color="auto" w:fill="C5E0B3" w:themeFill="accent6" w:themeFillTint="66"/>
          </w:tcPr>
          <w:p w14:paraId="674E98D3" w14:textId="3B35B326" w:rsidR="006B6A5F" w:rsidRPr="00135E13" w:rsidRDefault="006B6A5F" w:rsidP="006B6A5F">
            <w:pPr>
              <w:rPr>
                <w:rFonts w:ascii="Times New Roman" w:hAnsi="Times New Roman" w:cs="Times New Roman"/>
                <w:sz w:val="18"/>
                <w:szCs w:val="18"/>
              </w:rPr>
            </w:pPr>
          </w:p>
        </w:tc>
      </w:tr>
      <w:tr w:rsidR="00B23C01" w:rsidRPr="00135E13" w14:paraId="751F78D8" w14:textId="4D49B1C4" w:rsidTr="005C7D6F">
        <w:trPr>
          <w:trHeight w:val="285"/>
        </w:trPr>
        <w:tc>
          <w:tcPr>
            <w:tcW w:w="1838" w:type="dxa"/>
            <w:noWrap/>
            <w:hideMark/>
          </w:tcPr>
          <w:p w14:paraId="5C33B378" w14:textId="0528337D"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Labetalol</w:t>
            </w:r>
          </w:p>
        </w:tc>
        <w:tc>
          <w:tcPr>
            <w:tcW w:w="1418" w:type="dxa"/>
            <w:noWrap/>
            <w:hideMark/>
          </w:tcPr>
          <w:p w14:paraId="4678D923" w14:textId="7C7A572E"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25</w:t>
            </w:r>
          </w:p>
        </w:tc>
        <w:tc>
          <w:tcPr>
            <w:tcW w:w="1134" w:type="dxa"/>
            <w:noWrap/>
            <w:hideMark/>
          </w:tcPr>
          <w:p w14:paraId="252EE5B0" w14:textId="383152D3"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1-2</w:t>
            </w:r>
          </w:p>
        </w:tc>
        <w:tc>
          <w:tcPr>
            <w:tcW w:w="2835" w:type="dxa"/>
            <w:noWrap/>
            <w:hideMark/>
          </w:tcPr>
          <w:p w14:paraId="132E5FD7" w14:textId="0CD1C917"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vMerge w:val="restart"/>
            <w:shd w:val="clear" w:color="auto" w:fill="FFFFFF" w:themeFill="background1"/>
          </w:tcPr>
          <w:p w14:paraId="3ED004E9" w14:textId="6C9E9821"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 xml:space="preserve">Current guidelines recommend oral route whenever feasible (including early acute coronary syndrome management to reduce risk of reinfarction and ventricular arrhythmias)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{"citationID":"uSg66K6r","properties":{"formattedCitation":"[38]","plainCitation":"[38]","noteIndex":0},"citationItems":[{"id":"RKg9lF5b/sdFHXlJH","uris":["http://zotero.org/users/4692060/items/DQMLPZPT"],"itemData":{"id":2067,"type":"article-journal","abstract":"AIM: The \"2025 ACC/AHA/ACEP/NAEMSP/SCAI Guideline for the Management of Patients With Acute Coronary Syndromes\" incorporates new evidence since the \"2013 ACCF/AHA Guideline for the Management of ST-Elevation Myocardial Infarction\" and the corresponding \"2014 AHA/ACC Guideline for the Management of Patients With Non-ST-Elevation Acute Coronary Syndromes\" and the \"2015 ACC/AHA/SCAI Focused Update on Primary Percutaneous Coronary Intervention for Patients With ST-Elevation Myocardial Infarction.\" The \"2025 ACC/AHA/ACEP/NAEMSP/SCAI Guideline for the Management of Patients With Acute Coronary Syndromes\" and the \"2021 ACC/AHA/SCAI Guideline for Coronary Artery Revascularization\" retire and replace, respectively, the \"2016 ACC/AHA Guideline Focused Update on Duration of Dual Antiplatelet Therapy in Patients With Coronary Artery Disease.\"\nMETHODS: A comprehensive literature search was conducted from July 2023 to April 2024. Clinical studies, systematic reviews and meta-analyses, and other evidence conducted on human participants were identified that were published in English from MEDLINE (through PubMed), EMBASE, the Cochrane Library, Agency for Healthcare Research and Quality, and other selected databases relevant to this guideline.\nSTRUCTURE: Many recommendations from previously published guidelines have been updated with new evidence, and new recommendations have been created when supported by published data.","container-title":"Circulation","DOI":"10.1161/CIR.0000000000001309","ISSN":"1524-4539","issue":"13","journalAbbreviation":"Circulation","language":"eng","page":"e771-e862","PMID":"40014670","source":"PubMed","title":"2025 ACC/AHA/ACEP/NAEMSP/SCAI Guideline for the Management of Patients With Acute Coronary Syndromes: A Report of the American College of Cardiology/American Heart Association Joint Committee on Clinical Practice Guidelines","title-short":"2025 ACC/AHA/ACEP/NAEMSP/SCAI Guideline for the Management of Patients With Acute Coronary Syndromes","volume":"151","author":[{"family":"Rao","given":"Sunil V."},{"family":"O'Donoghue","given":"Michelle L."},{"family":"Ruel","given":"Marc"},{"family":"Rab","given":"Tanveer"},{"family":"Tamis-Holland","given":"Jaqueline E."},{"family":"Alexander","given":"John H."},{"family":"Baber","given":"Usman"},{"family":"Baker","given":"Heather"},{"family":"Cohen","given":"Mauricio G."},{"family":"Cruz-Ruiz","given":"Mercedes"},{"family":"Davis","given":"Leslie L."},{"family":"Lemos","given":"James A.","non-dropping-particle":"de"},{"family":"DeWald","given":"Tracy A."},{"family":"Elgendy","given":"Islam Y."},{"family":"Feldman","given":"Dmitriy N."},{"family":"Goyal","given":"Abhinav"},{"family":"Isiadinso","given":"Ijeoma"},{"family":"Menon","given":"Venu"},{"family":"Morrow","given":"David A."},{"family":"Mukherjee","given":"Debabrata"},{"family":"Platz","given":"Elke"},{"family":"Promes","given":"Susan B."},{"family":"Sandner","given":"Sigrid"},{"family":"Sandoval","given":"Yader"},{"family":"Schunder","given":"Rachel"},{"family":"Shah","given":"Binita"},{"family":"Stopyra","given":"Jason P."},{"family":"Talbot","given":"Amy W."},{"family":"Taub","given":"Pam R."},{"family":"Williams","given":"Marlene S."}],"issued":{"date-parts":[["2025",4]]}}}],"schema":"https://github.com/citation-style-language/schema/raw/master/csl-citation.json"} </w:instrText>
            </w:r>
            <w:r w:rsidRPr="00135E13">
              <w:rPr>
                <w:rFonts w:ascii="Times New Roman" w:hAnsi="Times New Roman" w:cs="Times New Roman"/>
                <w:sz w:val="18"/>
                <w:szCs w:val="18"/>
              </w:rPr>
              <w:fldChar w:fldCharType="separate"/>
            </w:r>
            <w:r w:rsidR="008527B6" w:rsidRPr="00135E13">
              <w:rPr>
                <w:rFonts w:ascii="Times New Roman" w:hAnsi="Times New Roman" w:cs="Times New Roman"/>
                <w:sz w:val="18"/>
                <w:szCs w:val="18"/>
              </w:rPr>
              <w:t>[38]</w:t>
            </w:r>
            <w:r w:rsidRPr="00135E13">
              <w:rPr>
                <w:rFonts w:ascii="Times New Roman" w:hAnsi="Times New Roman" w:cs="Times New Roman"/>
                <w:sz w:val="18"/>
                <w:szCs w:val="18"/>
              </w:rPr>
              <w:fldChar w:fldCharType="end"/>
            </w:r>
          </w:p>
        </w:tc>
        <w:tc>
          <w:tcPr>
            <w:tcW w:w="2800" w:type="dxa"/>
            <w:vMerge w:val="restart"/>
            <w:shd w:val="clear" w:color="auto" w:fill="C5E0B3" w:themeFill="accent6" w:themeFillTint="66"/>
          </w:tcPr>
          <w:p w14:paraId="1F358140" w14:textId="6116B2A3" w:rsidR="006B6A5F" w:rsidRPr="00135E13" w:rsidRDefault="006B6A5F" w:rsidP="006B6A5F">
            <w:pPr>
              <w:rPr>
                <w:rFonts w:ascii="Times New Roman" w:hAnsi="Times New Roman" w:cs="Times New Roman"/>
                <w:sz w:val="18"/>
                <w:szCs w:val="18"/>
              </w:rPr>
            </w:pPr>
          </w:p>
        </w:tc>
      </w:tr>
      <w:tr w:rsidR="00B23C01" w:rsidRPr="00135E13" w14:paraId="166F6543" w14:textId="62AC2DF1" w:rsidTr="005C7D6F">
        <w:trPr>
          <w:trHeight w:val="285"/>
        </w:trPr>
        <w:tc>
          <w:tcPr>
            <w:tcW w:w="1838" w:type="dxa"/>
            <w:noWrap/>
            <w:hideMark/>
          </w:tcPr>
          <w:p w14:paraId="6E000BF5" w14:textId="60E08BB0"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Propranolol</w:t>
            </w:r>
          </w:p>
        </w:tc>
        <w:tc>
          <w:tcPr>
            <w:tcW w:w="1418" w:type="dxa"/>
            <w:noWrap/>
            <w:hideMark/>
          </w:tcPr>
          <w:p w14:paraId="12D7982A" w14:textId="02A7ADC6"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 xml:space="preserve">25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{"citationID":"nXF4C8nW","properties":{"formattedCitation":"[39]","plainCitation":"[39]","noteIndex":0},"citationItems":[{"id":"RKg9lF5b/Fil4Xl5K","uris":["http://zotero.org/users/8889971/items/ZIFI62H2"],"itemData":{"id":4212,"type":"article-journal","abstract":"The bioavailability of propranolol was compared after oral, sublingual, and intranasal administration in eight healthy male volunteers. Relative to the bioavailability after intranasal (in) administration, which was previously shown to be nearly complete (F relin = 100%), the sublingual (sl) administration of a standard 10-mg tablet gave a bioavailability of F relsl = 63 ± 22%, while the oral (or) administration yielded only F relor = 25 ± 8%. The serum concentration-time curves of propranolol after sublingual administration resembled those of a sustained-release preparation. This sustained-release phenomenon after the sublingual route is reflected in the mean residence times (MRTs) of propranolol in the body (MRTor = 5.7 ± 1.3 hr, MRTsl - 6.4 ± 1.3 hr, MRTin = 4.6 ± 1.0 hr; mean ± SD; N = 8). MRTs after sublingual administration were significantly longer than after the oral and the intranasal doses (P &lt; 0.05 and P &lt; 0.002, respectively).","container-title":"Pharmaceutical Research","DOI":"10.1023/A:1016345504153","ISSN":"0724-8741","issue":"2","journalAbbreviation":"Pharm Res","language":"eng","page":"108-111","PMID":"24271469","source":"PubMed","title":"Bioavailability of propranolol after oral, sublingual, and intranasal administration","volume":"3","author":[{"family":"Duchateau","given":"G. S."},{"family":"Zuidema","given":"J."},{"family":"Merkus","given":"F. W."}],"issued":{"date-parts":[["1986",4]]}}}],"schema":"https://github.com/citation-style-language/schema/raw/master/csl-citation.json"} </w:instrText>
            </w:r>
            <w:r w:rsidRPr="00135E13">
              <w:rPr>
                <w:rFonts w:ascii="Times New Roman" w:hAnsi="Times New Roman" w:cs="Times New Roman"/>
                <w:sz w:val="18"/>
                <w:szCs w:val="18"/>
              </w:rPr>
              <w:fldChar w:fldCharType="separate"/>
            </w:r>
            <w:r w:rsidR="008527B6" w:rsidRPr="00135E13">
              <w:rPr>
                <w:rFonts w:ascii="Times New Roman" w:hAnsi="Times New Roman" w:cs="Times New Roman"/>
                <w:sz w:val="18"/>
                <w:szCs w:val="21"/>
              </w:rPr>
              <w:t>[39]</w:t>
            </w:r>
            <w:r w:rsidRPr="00135E13">
              <w:rPr>
                <w:rFonts w:ascii="Times New Roman" w:hAnsi="Times New Roman" w:cs="Times New Roman"/>
                <w:sz w:val="18"/>
                <w:szCs w:val="18"/>
              </w:rPr>
              <w:fldChar w:fldCharType="end"/>
            </w:r>
          </w:p>
        </w:tc>
        <w:tc>
          <w:tcPr>
            <w:tcW w:w="1134" w:type="dxa"/>
            <w:noWrap/>
            <w:hideMark/>
          </w:tcPr>
          <w:p w14:paraId="73F534EF" w14:textId="153100D3"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1-4</w:t>
            </w:r>
          </w:p>
        </w:tc>
        <w:tc>
          <w:tcPr>
            <w:tcW w:w="2835" w:type="dxa"/>
            <w:noWrap/>
            <w:hideMark/>
          </w:tcPr>
          <w:p w14:paraId="20FC9F13" w14:textId="6DD450E3"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vMerge/>
            <w:shd w:val="clear" w:color="auto" w:fill="FFFFFF" w:themeFill="background1"/>
          </w:tcPr>
          <w:p w14:paraId="7265C3E4" w14:textId="77777777" w:rsidR="006B6A5F" w:rsidRPr="00135E13" w:rsidRDefault="006B6A5F" w:rsidP="006B6A5F">
            <w:pPr>
              <w:rPr>
                <w:rFonts w:ascii="Times New Roman" w:hAnsi="Times New Roman" w:cs="Times New Roman"/>
                <w:sz w:val="18"/>
                <w:szCs w:val="18"/>
              </w:rPr>
            </w:pPr>
          </w:p>
        </w:tc>
        <w:tc>
          <w:tcPr>
            <w:tcW w:w="2800" w:type="dxa"/>
            <w:vMerge/>
            <w:shd w:val="clear" w:color="auto" w:fill="C5E0B3" w:themeFill="accent6" w:themeFillTint="66"/>
          </w:tcPr>
          <w:p w14:paraId="026B7183" w14:textId="4D59357C" w:rsidR="006B6A5F" w:rsidRPr="00135E13" w:rsidRDefault="006B6A5F" w:rsidP="006B6A5F">
            <w:pPr>
              <w:rPr>
                <w:rFonts w:ascii="Times New Roman" w:hAnsi="Times New Roman" w:cs="Times New Roman"/>
                <w:sz w:val="18"/>
                <w:szCs w:val="18"/>
              </w:rPr>
            </w:pPr>
          </w:p>
        </w:tc>
      </w:tr>
      <w:tr w:rsidR="00B23C01" w:rsidRPr="00135E13" w14:paraId="3A43A5C4" w14:textId="6EEE64D6" w:rsidTr="005C7D6F">
        <w:trPr>
          <w:trHeight w:val="285"/>
        </w:trPr>
        <w:tc>
          <w:tcPr>
            <w:tcW w:w="1838" w:type="dxa"/>
            <w:noWrap/>
            <w:hideMark/>
          </w:tcPr>
          <w:p w14:paraId="0784451D" w14:textId="09FAABD7"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Atenolol</w:t>
            </w:r>
          </w:p>
        </w:tc>
        <w:tc>
          <w:tcPr>
            <w:tcW w:w="1418" w:type="dxa"/>
            <w:noWrap/>
            <w:hideMark/>
          </w:tcPr>
          <w:p w14:paraId="785C0BB3" w14:textId="595AAA7B"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50</w:t>
            </w:r>
          </w:p>
        </w:tc>
        <w:tc>
          <w:tcPr>
            <w:tcW w:w="1134" w:type="dxa"/>
            <w:noWrap/>
            <w:hideMark/>
          </w:tcPr>
          <w:p w14:paraId="7E39CBA2" w14:textId="46636137"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 xml:space="preserve">3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{"citationID":"2OpQ5b1T","properties":{"formattedCitation":"[40]","plainCitation":"[40]","noteIndex":0},"citationItems":[{"id":"RKg9lF5b/m8Wxy7lA","uris":["http://zotero.org/users/8889971/items/CM2EHG88"],"itemData":{"id":4211,"type":"article-journal","abstract":"In this comparative bioavailability study two tablet formulations of atenolol (sales and clinical trial) were compared with an oral solution. Twelve healthy adult male volunteers received, on a cross-over basis, on three separate occasions, 100 mg oral dose of the three formulations of atenolol. Bioavailability was based on concentrations of atenolol in whole blood and urine. The atenolol blood levels peaked at approximately 3 h after dosing, with individual values ranging from 0.21 to 0.92 microgram ml-1 (a four-fold difference), with all three formulations. Three-fold variations among subjects occurred in the areas under the curve (AUC) and urinary recoveries. The average elimination of half-life of atenolol was between 6 and 7 h for all three formulations. Some statistically significant differences were observed between the tablets and the aqueous solution: the AUC (infinity) and mean peak blood concentrations were significantly greater with the U.K. sales tablet than the solution, and the mean concentrations in the blood at certain specified times after administration were significantly greater with the two tablet formulations than the solution. The profiles of absorption and excretion of the two tablet formulations were similar. No adverse reactions were encountered in this study and all subjects completed the study without incidence.","container-title":"Biopharmaceutics &amp; Drug Disposition","DOI":"10.1002/bdd.2510010604","ISSN":"0142-2782","issue":"6","journalAbbreviation":"Biopharm Drug Dispos","language":"eng","page":"323-332","PMID":"7459427","source":"PubMed","title":"Bioavailability of atenolol formulations","volume":"1","author":[{"family":"Mcainsh","given":"J."},{"family":"Simpson","given":"W. T."},{"family":"Holmes","given":"B. F."},{"family":"Young","given":"J."},{"family":"Ellis","given":"S. H."}],"issued":{"date-parts":[["1980"]]}}}],"schema":"https://github.com/citation-style-language/schema/raw/master/csl-citation.json"} </w:instrText>
            </w:r>
            <w:r w:rsidRPr="00135E13">
              <w:rPr>
                <w:rFonts w:ascii="Times New Roman" w:hAnsi="Times New Roman" w:cs="Times New Roman"/>
                <w:sz w:val="18"/>
                <w:szCs w:val="18"/>
              </w:rPr>
              <w:fldChar w:fldCharType="separate"/>
            </w:r>
            <w:r w:rsidR="008527B6" w:rsidRPr="00135E13">
              <w:rPr>
                <w:rFonts w:ascii="Times New Roman" w:hAnsi="Times New Roman" w:cs="Times New Roman"/>
                <w:sz w:val="18"/>
                <w:szCs w:val="21"/>
              </w:rPr>
              <w:t>[40]</w:t>
            </w:r>
            <w:r w:rsidRPr="00135E13">
              <w:rPr>
                <w:rFonts w:ascii="Times New Roman" w:hAnsi="Times New Roman" w:cs="Times New Roman"/>
                <w:sz w:val="18"/>
                <w:szCs w:val="18"/>
              </w:rPr>
              <w:fldChar w:fldCharType="end"/>
            </w:r>
          </w:p>
        </w:tc>
        <w:tc>
          <w:tcPr>
            <w:tcW w:w="2835" w:type="dxa"/>
            <w:noWrap/>
            <w:hideMark/>
          </w:tcPr>
          <w:p w14:paraId="0A45FE91" w14:textId="115AD9BB"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vMerge/>
            <w:shd w:val="clear" w:color="auto" w:fill="FFFFFF" w:themeFill="background1"/>
          </w:tcPr>
          <w:p w14:paraId="6753ADFC" w14:textId="77777777" w:rsidR="006B6A5F" w:rsidRPr="00135E13" w:rsidRDefault="006B6A5F" w:rsidP="006B6A5F">
            <w:pPr>
              <w:rPr>
                <w:rFonts w:ascii="Times New Roman" w:hAnsi="Times New Roman" w:cs="Times New Roman"/>
                <w:sz w:val="18"/>
                <w:szCs w:val="18"/>
              </w:rPr>
            </w:pPr>
          </w:p>
        </w:tc>
        <w:tc>
          <w:tcPr>
            <w:tcW w:w="2800" w:type="dxa"/>
            <w:vMerge/>
            <w:shd w:val="clear" w:color="auto" w:fill="C5E0B3" w:themeFill="accent6" w:themeFillTint="66"/>
          </w:tcPr>
          <w:p w14:paraId="4A9F5311" w14:textId="4518E69B" w:rsidR="006B6A5F" w:rsidRPr="00135E13" w:rsidRDefault="006B6A5F" w:rsidP="006B6A5F">
            <w:pPr>
              <w:rPr>
                <w:rFonts w:ascii="Times New Roman" w:hAnsi="Times New Roman" w:cs="Times New Roman"/>
                <w:sz w:val="18"/>
                <w:szCs w:val="18"/>
              </w:rPr>
            </w:pPr>
          </w:p>
        </w:tc>
      </w:tr>
      <w:tr w:rsidR="006B6A5F" w:rsidRPr="00135E13" w14:paraId="4DFA4B5C" w14:textId="77777777" w:rsidTr="00B23C01">
        <w:trPr>
          <w:trHeight w:val="285"/>
        </w:trPr>
        <w:tc>
          <w:tcPr>
            <w:tcW w:w="13994" w:type="dxa"/>
            <w:gridSpan w:val="6"/>
            <w:noWrap/>
          </w:tcPr>
          <w:p w14:paraId="5C2336CD" w14:textId="16E7F267" w:rsidR="006B6A5F" w:rsidRPr="00135E13" w:rsidRDefault="006B6A5F" w:rsidP="006B6A5F">
            <w:pPr>
              <w:jc w:val="center"/>
              <w:rPr>
                <w:rFonts w:ascii="Times New Roman" w:hAnsi="Times New Roman" w:cs="Times New Roman"/>
                <w:sz w:val="18"/>
                <w:szCs w:val="18"/>
              </w:rPr>
            </w:pPr>
            <w:r w:rsidRPr="00135E13">
              <w:rPr>
                <w:rFonts w:ascii="Times New Roman" w:hAnsi="Times New Roman" w:cs="Times New Roman"/>
                <w:b/>
                <w:bCs/>
                <w:sz w:val="18"/>
                <w:szCs w:val="18"/>
                <w:lang w:val="en-GB"/>
              </w:rPr>
              <w:t>Corticosteroids et immunosuppressants</w:t>
            </w:r>
          </w:p>
        </w:tc>
      </w:tr>
      <w:tr w:rsidR="00B23C01" w:rsidRPr="00135E13" w14:paraId="5D515525" w14:textId="30B752AA" w:rsidTr="005C7D6F">
        <w:trPr>
          <w:trHeight w:val="285"/>
        </w:trPr>
        <w:tc>
          <w:tcPr>
            <w:tcW w:w="1838" w:type="dxa"/>
            <w:noWrap/>
            <w:hideMark/>
          </w:tcPr>
          <w:p w14:paraId="0CD44C5F" w14:textId="220974EC"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Prednisolone</w:t>
            </w:r>
          </w:p>
        </w:tc>
        <w:tc>
          <w:tcPr>
            <w:tcW w:w="1418" w:type="dxa"/>
            <w:noWrap/>
            <w:hideMark/>
          </w:tcPr>
          <w:p w14:paraId="47829FC5" w14:textId="64A60E80"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82-89</w:t>
            </w:r>
          </w:p>
        </w:tc>
        <w:tc>
          <w:tcPr>
            <w:tcW w:w="1134" w:type="dxa"/>
            <w:noWrap/>
            <w:hideMark/>
          </w:tcPr>
          <w:p w14:paraId="79381870" w14:textId="41ADBF61"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1,5-2,3</w:t>
            </w:r>
          </w:p>
        </w:tc>
        <w:tc>
          <w:tcPr>
            <w:tcW w:w="2835" w:type="dxa"/>
            <w:noWrap/>
            <w:hideMark/>
          </w:tcPr>
          <w:p w14:paraId="780E72A6" w14:textId="497B0098"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shd w:val="clear" w:color="auto" w:fill="FFFFFF" w:themeFill="background1"/>
          </w:tcPr>
          <w:p w14:paraId="20DDE62D" w14:textId="0252C69F"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 xml:space="preserve">Oral prednisolone was not inferior to IV prednisolone In COPD exacerbation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ZVUvlY3l","properties":{"formattedCitation":"[41]","plainCitation":"[41]","noteIndex":0},"citationItems":[{"id":"RKg9lF5b/B1xC9QGQ","uris":["http://zotero.org/users/8889971/items/DTMJPNX9"],"itemData":{"id":3992,"type":"article-journal","abstract":"Background\nTreatment with systemic corticosteroids for exacerbations of COPD results in improvement in clinical outcomes. On hospitalization, corticosteroids are generally administered IV. It has not been established whether oral administration is equally effective. We conducted a study to demonstrate that therapy with oral prednisolone was not inferior to therapy with IV prednisolone using a double-blind, double-dummy design.\nMethods\nPatients hospitalized for an exacerbation of COPD were randomized to receive 5 days of therapy with prednisolone, 60 mg IV or orally. Treatment failure, the primary outcome, was defined as death, admission to the ICU, readmission to the ICU because of COPD, or the intensification of pharmacologic therapy during a 90-day follow-up period.\nResults\nA total of 435 patients were referred for a COPD exacerbation warranting hospitalization; 107 patients were randomized to receive IV therapy, and 103 to receive oral therapy. Overall treatment failure within 90 days was similar, as follows: IV prednisolone, 61.7%; oral prednisolone, 56.3% (one-sided lower bound of the 95% confidence interval [CI], −5.8%). There were also no differences in early (ie, within 2 weeks) treatment failure (17.8% and 18.4%, respectively; one-sided lower bound of the 95% CI, −9.4%), late (ie, after 2 weeks) treatment failure (54.0% and 47.0%, respectively; one-sided lower bound of the 95% CI, −5.6%), and mean (± SD) length of hospital stay (11.9 ± 8.6 and 11.2 ± 6.7 days, respectively). Over 1 week, clinically relevant improvements were found in spirometry and health-related quality of life, without significant differences between the two treatment groups.\nConclusion\nTherapy with oral prednisolone is not inferior to IV treatment in the first 90 days after starting therapy. We suggest that the oral route is preferable in the treatment of COPD exacerbations.\nTrial registration\nClinicaltrials.gov Identifier: NCT00311961.","container-title":"Chest","DOI":"10.1378/chest.07-0208","ISSN":"0012-3692","issue":"6","journalAbbreviation":"Chest","page":"1741-1747","source":"ScienceDirect","title":"Oral or IV Prednisolone in the Treatment of COPD Exacerbations","volume":"132","author":[{"family":"Jong","given":"Ynze P.","non-dropping-particle":"de"},{"family":"Uil","given":"Steven M."},{"family":"Grotjohan","given":"Hans P."},{"family":"Postma","given":"Dirkje S."},{"family":"Kerstjens","given":"Huib A. M."},{"family":"Berg","given":"Jan W. K.","non-dropping-particle":"van den"}],"issued":{"date-parts":[["2007",12,1]]}}}],"schema":"https://github.com/citation-style-language/schema/raw/master/csl-citation.json"} </w:instrText>
            </w:r>
            <w:r w:rsidRPr="00135E13">
              <w:rPr>
                <w:rFonts w:ascii="Times New Roman" w:hAnsi="Times New Roman" w:cs="Times New Roman"/>
                <w:sz w:val="18"/>
                <w:szCs w:val="18"/>
              </w:rPr>
              <w:fldChar w:fldCharType="separate"/>
            </w:r>
            <w:r w:rsidR="008527B6" w:rsidRPr="00135E13">
              <w:rPr>
                <w:rFonts w:ascii="Times New Roman" w:hAnsi="Times New Roman" w:cs="Times New Roman"/>
                <w:sz w:val="18"/>
                <w:szCs w:val="21"/>
              </w:rPr>
              <w:t>[41]</w:t>
            </w:r>
            <w:r w:rsidRPr="00135E13">
              <w:rPr>
                <w:rFonts w:ascii="Times New Roman" w:hAnsi="Times New Roman" w:cs="Times New Roman"/>
                <w:sz w:val="18"/>
                <w:szCs w:val="18"/>
              </w:rPr>
              <w:fldChar w:fldCharType="end"/>
            </w:r>
            <w:r w:rsidRPr="00135E13">
              <w:rPr>
                <w:rFonts w:ascii="Times New Roman" w:hAnsi="Times New Roman" w:cs="Times New Roman"/>
                <w:sz w:val="18"/>
                <w:szCs w:val="18"/>
              </w:rPr>
              <w:t xml:space="preserve"> or in asthma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{"citationID":"MRdHB0qP","properties":{"formattedCitation":"[42]","plainCitation":"[42]","noteIndex":0},"citationItems":[{"id":"RKg9lF5b/xTtiIQwd","uris":["http://zotero.org/users/8889971/items/3D4YLIB8"],"itemData":{"id":4222,"type":"article-journal","abstract":"To compare intravenous and orally administered corticosteroids and theophylline in treating acute episodes of airways obstruction, patients with recent worsening of obstructive symptoms were randomly divided into two groups. Group A received methylprednisolone, 80 mg/24 h, and aminophylline by continuous infusion. Group B received a comparable dose of a sustained-release theophylline and methylprednisolone, 80 mg in two equally divided doses, by mouth. Assessment of response was based on daily spirometric tests and evaluation of dyspnea and wheezing. Arterial blood gas and serum theophylline levels were also measured. The groups were comparable with respect to age, sex distribution, smoking history, and spirometric evidence of obstruction. Initial spirometric test results showed moderate obstruction, equal in the two groups. Obstruction improved markedly by both spirometric and clinical criteria in the four-day study period. The improvement in FEV1 and dyspnea index was slightly greater for group B, but the differences were not significant. We conclude that oral administration of steroids and theophylline is as effective as intravenous use in treating hospitalized patients with moderate exacerbations of airways obstruction.","container-title":"Chest","DOI":"10.1378/chest.94.4.723","ISSN":"0012-3692","issue":"4","journalAbbreviation":"Chest","language":"eng","page":"723-726","PMID":"3168567","source":"PubMed","title":"Comparison of the oral and intravenous routes for treating asthma with methylprednisolone and theophylline","volume":"94","author":[{"family":"Jónsson","given":"S."},{"family":"Kjartansson","given":"G."},{"family":"Gíslason","given":"D."},{"family":"Helgason","given":"H."}],"issued":{"date-parts":[["1988",10]]}}}],"schema":"https://github.com/citation-style-language/schema/raw/master/csl-citation.json"} </w:instrText>
            </w:r>
            <w:r w:rsidRPr="00135E13">
              <w:rPr>
                <w:rFonts w:ascii="Times New Roman" w:hAnsi="Times New Roman" w:cs="Times New Roman"/>
                <w:sz w:val="18"/>
                <w:szCs w:val="18"/>
              </w:rPr>
              <w:fldChar w:fldCharType="separate"/>
            </w:r>
            <w:r w:rsidR="008527B6" w:rsidRPr="00135E13">
              <w:rPr>
                <w:rFonts w:ascii="Times New Roman" w:hAnsi="Times New Roman" w:cs="Times New Roman"/>
                <w:sz w:val="18"/>
                <w:szCs w:val="21"/>
              </w:rPr>
              <w:t>[42]</w:t>
            </w:r>
            <w:r w:rsidRPr="00135E13">
              <w:rPr>
                <w:rFonts w:ascii="Times New Roman" w:hAnsi="Times New Roman" w:cs="Times New Roman"/>
                <w:sz w:val="18"/>
                <w:szCs w:val="18"/>
              </w:rPr>
              <w:fldChar w:fldCharType="end"/>
            </w:r>
            <w:r w:rsidRPr="00135E13">
              <w:rPr>
                <w:rFonts w:ascii="Times New Roman" w:hAnsi="Times New Roman" w:cs="Times New Roman"/>
                <w:sz w:val="18"/>
                <w:szCs w:val="18"/>
              </w:rPr>
              <w:t xml:space="preserve"> or in inflammatory disease flares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{"citationID":"pPPrXn1T","properties":{"formattedCitation":"[43]","plainCitation":"[43]","noteIndex":0},"citationItems":[{"id":"RKg9lF5b/w5YVXV0X","uris":["http://zotero.org/users/8889971/items/42RPVUCS"],"itemData":{"id":4221,"type":"article-journal","abstract":"BACKGROUND: High doses of intravenous methylprednisolone are recommended to treat relapses in patients with multiple sclerosis, but can be inconvenient and expensive. We aimed to assess whether oral administration of high-dose methylprednisolone was non-inferior to intravenous administration.\nMETHODS: We did this multicentre, double-blind, randomised, controlled, non-inferiority trial at 13 centres for multiple sclerosis in France. We enrolled patients aged 18-55 years with relapsing-remitting multiple sclerosis who reported a relapse within the previous 15 days that caused an increase of at least one point in one or more scores on the Kurtzke Functional System Scale. With use of a computer-generated randomisation list and in blocks of four, we randomly assigned (1:1) patients to either oral or intravenous methylprednisolone, 1000 mg, once a day for 3 days. Patients, treating physicians and nurses, and data and outcome assessors were all masked to treatment allocation, which was achieved with the use of saline solution and placebo capsules. The primary endpoint was the proportion of patients who had improved by day 28 (decrease of at least one point in most affected score on Kurtzke Functional System Scale), without need for retreatment with corticosteroids, in the per-protocol population. The trial was powered to assess non-inferiority of oral compared with intravenous methylprednisolone with a predetermined non-inferiority margin of 15%. This trial is registered with ClinicalTrials.gov, number NCT00984984.\nFINDINGS: Between Jan 29, 2008, and June 14, 2013, we screened 200 patients and enrolled 199. We randomly assigned 100 patients to oral methylprednisolone and 99 patients to intravenous methylprednisolone with a mean time from relapse onset to treatment of 7·0 days (SD 3·6) and 7·4 days (3·9), respectively. In the per-protocol population, 66 (81%) of 82 patients in the oral group and 72 (80%) of 90 patients in the intravenous group achieved the primary endpoint (absolute treatment difference 0·5%, 90% CI -9·5 to 10·4). Rates of adverse events were similar, but insomnia was more frequently reported in the oral group (77 [77%]) than in the intravenous group (63 [64%]).\nINTERPRETATION: Oral administration of high-dose methylprednisolone for 3 days was not inferior to intravenous administration for improvement of disability scores 1 month after treatment and had a similar safety profile. This finding could have implications for access to treatment, patient comfort, and cost, but indication should always be properly considered by clinicians.\nFUNDING: French Health Ministry, Ligue Française contre la SEP, Teva.","container-title":"Lancet","DOI":"10.1016/S0140-6736(15)61137-0","ISSN":"1474-547X","issue":"9997","journalAbbreviation":"Lancet","language":"eng","note":"publisher-place: London, England","page":"974-981","PMID":"26135706","source":"PubMed","title":"Oral versus intravenous high-dose methylprednisolone for treatment of relapses in patients with multiple sclerosis (COPOUSEP): a randomised, controlled, double-blind, non-inferiority trial","title-short":"Oral versus intravenous high-dose methylprednisolone for treatment of relapses in patients with multiple sclerosis (COPOUSEP)","volume":"386","author":[{"family":"Le Page","given":"Emmanuelle"},{"family":"Veillard","given":"David"},{"family":"Laplaud","given":"David A."},{"family":"Hamonic","given":"Stéphanie"},{"family":"Wardi","given":"Rasha"},{"family":"Lebrun","given":"Christine"},{"family":"Zagnoli","given":"Fabien"},{"family":"Wiertlewski","given":"Sandrine"},{"family":"Deburghgraeve","given":"Véronique"},{"family":"Coustans","given":"Marc"},{"family":"Edan","given":"Gilles"},{"literal":"COPOUSEP investigators"},{"literal":"West Network for Excellence in Neuroscience"}],"issued":{"date-parts":[["2015",9,5]]}}}],"schema":"https://github.com/citation-style-language/schema/raw/master/csl-citation.json"} </w:instrText>
            </w:r>
            <w:r w:rsidRPr="00135E13">
              <w:rPr>
                <w:rFonts w:ascii="Times New Roman" w:hAnsi="Times New Roman" w:cs="Times New Roman"/>
                <w:sz w:val="18"/>
                <w:szCs w:val="18"/>
              </w:rPr>
              <w:fldChar w:fldCharType="separate"/>
            </w:r>
            <w:r w:rsidR="008527B6" w:rsidRPr="00135E13">
              <w:rPr>
                <w:rFonts w:ascii="Times New Roman" w:hAnsi="Times New Roman" w:cs="Times New Roman"/>
                <w:sz w:val="18"/>
                <w:szCs w:val="21"/>
              </w:rPr>
              <w:t>[43]</w:t>
            </w:r>
            <w:r w:rsidRPr="00135E13">
              <w:rPr>
                <w:rFonts w:ascii="Times New Roman" w:hAnsi="Times New Roman" w:cs="Times New Roman"/>
                <w:sz w:val="18"/>
                <w:szCs w:val="18"/>
              </w:rPr>
              <w:fldChar w:fldCharType="end"/>
            </w:r>
          </w:p>
        </w:tc>
        <w:tc>
          <w:tcPr>
            <w:tcW w:w="2800" w:type="dxa"/>
            <w:shd w:val="clear" w:color="auto" w:fill="C5E0B3" w:themeFill="accent6" w:themeFillTint="66"/>
          </w:tcPr>
          <w:p w14:paraId="03EB1489" w14:textId="181E2231" w:rsidR="006B6A5F" w:rsidRPr="00135E13" w:rsidRDefault="00096037" w:rsidP="006B6A5F">
            <w:pPr>
              <w:rPr>
                <w:rFonts w:ascii="Times New Roman" w:hAnsi="Times New Roman" w:cs="Times New Roman"/>
                <w:sz w:val="18"/>
                <w:szCs w:val="18"/>
              </w:rPr>
            </w:pPr>
            <w:r w:rsidRPr="00135E13">
              <w:rPr>
                <w:rFonts w:ascii="Times New Roman" w:hAnsi="Times New Roman" w:cs="Times New Roman"/>
                <w:sz w:val="18"/>
                <w:szCs w:val="18"/>
                <w:lang w:val="en-GB"/>
              </w:rPr>
              <w:t>Except High-dose bolus for acute inflammatory conditions</w:t>
            </w:r>
          </w:p>
        </w:tc>
      </w:tr>
      <w:tr w:rsidR="00B23C01" w:rsidRPr="00135E13" w14:paraId="30C58799" w14:textId="6C7F77E6" w:rsidTr="005C7D6F">
        <w:trPr>
          <w:trHeight w:val="285"/>
        </w:trPr>
        <w:tc>
          <w:tcPr>
            <w:tcW w:w="1838" w:type="dxa"/>
            <w:noWrap/>
            <w:hideMark/>
          </w:tcPr>
          <w:p w14:paraId="6AB9A349" w14:textId="3CF65549"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Dexamethasone</w:t>
            </w:r>
          </w:p>
        </w:tc>
        <w:tc>
          <w:tcPr>
            <w:tcW w:w="1418" w:type="dxa"/>
            <w:noWrap/>
            <w:hideMark/>
          </w:tcPr>
          <w:p w14:paraId="6EBA26D2" w14:textId="5F14FA7B"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 xml:space="preserve">&gt;80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{"citationID":"hNAoIVNp","properties":{"formattedCitation":"[44]","plainCitation":"[44]","noteIndex":0},"citationItems":[{"id":"RKg9lF5b/FwuXHOga","uris":["http://zotero.org/users/8889971/items/QMP8M7SD"],"itemData":{"id":4210,"type":"article-journal","abstract":"BACKGROUND: Glucocorticoids, particularly dexamethasone, are often used in combination with novel agents in multiple myeloma. This study compared the safety, rate, and extent of absorption of a single dose of an orally administered 20-mg dexamethasone tablet to five 4-mg tablets (total, 20 mg).\nPATIENTS AND METHODS: This was a single-center, open-label, randomized, 3-way crossover comparative study. Thirty-six volunteers received at least 1 dose of either a single 20-mg dexamethasone tablet, under fasting or fed conditions, or five 4-mg dexamethasone tablets (total, 20 mg). Blood samples were collected before study drug administration and at 21 time points for up to 36 hours after drug administration.\nRESULTS: Mean area under the concentration-time curve from time zero to the time of last non-zero concentration (AUC0-t), mean area under the concentration-time curve from time zero to infinity (extrapolated) (AUC0-∞), and maximum observed concentration (Cmax) were 1314.38 ng × h/mL, 1329.24 ng × h/mL, and 257.22 ng/mL, respectively for fasting test formulation (single dexamethasone 20-mg tablet), 1339.74 ng × h/mL, 1358.07 ng × h/mL, and 194.56 ng/mL, respectively, for the fed test formulation (single dexamethasone 20-mg tablet), and 1325.12 ng × h/mL, 1342.12 ng × h/mL, and 244.12 ng/mL, respectively, for the reference formulation (5 dexamethasone 4-mg tablets). The median time of observed Cmax was 0.997 hours for the fasting and 2.502 hours for the fed test formulation, compared with 1.495 hours for the reference. Mean plasma elimination half-lives (t1/2) were 4.0 hours (test fasting), 4.03 hours (test fed), and 3.96 hours (reference). The point estimates and 90% confidence intervals (CIs) for AUC0-t, AUC0-∞, and Cmax were 99.37% (90% CI, 95.65%-103.24%), 99.24% (90% CI, 95.47%-103.16%), and 106.28% (90% CI, 97.69%-115.62%), respectively, satisfying the bioequivalence criteria of the United States Food and Drug Administration guidelines.\nCONCLUSION: The 2 formulations were well-tolerated, and one 20-mg tablet or five 4-mg tablets of dexamethasone are bioequivalent under fasting conditions and thus may be prescribed interchangeably.","container-title":"Clinical Lymphoma, Myeloma &amp; Leukemia","DOI":"10.1016/j.clml.2020.06.022","ISSN":"2152-2669","issue":"11","journalAbbreviation":"Clin Lymphoma Myeloma Leuk","language":"eng","page":"768-773","PMID":"32900662","source":"PubMed","title":"Comparative Safety, Bioavailability, and Pharmacokinetics of Oral Dexamethasone, 4-mg and 20-mg Tablets, in Healthy Volunteers Under Fasting and Fed Conditions: A Randomized Open-label, 3-way Crossover Study","title-short":"Comparative Safety, Bioavailability, and Pharmacokinetics of Oral Dexamethasone, 4-mg and 20-mg Tablets, in Healthy Volunteers Under Fasting and Fed Conditions","volume":"20","author":[{"family":"Bashir","given":"Qaiser"},{"family":"Acosta","given":"Mark"}],"issued":{"date-parts":[["2020",11]]}}}],"schema":"https://github.com/citation-style-language/schema/raw/master/csl-citation.json"} </w:instrText>
            </w:r>
            <w:r w:rsidRPr="00135E13">
              <w:rPr>
                <w:rFonts w:ascii="Times New Roman" w:hAnsi="Times New Roman" w:cs="Times New Roman"/>
                <w:sz w:val="18"/>
                <w:szCs w:val="18"/>
              </w:rPr>
              <w:fldChar w:fldCharType="separate"/>
            </w:r>
            <w:r w:rsidR="008527B6" w:rsidRPr="00135E13">
              <w:rPr>
                <w:rFonts w:ascii="Times New Roman" w:hAnsi="Times New Roman" w:cs="Times New Roman"/>
                <w:sz w:val="18"/>
                <w:szCs w:val="21"/>
              </w:rPr>
              <w:t>[44]</w:t>
            </w:r>
            <w:r w:rsidRPr="00135E13">
              <w:rPr>
                <w:rFonts w:ascii="Times New Roman" w:hAnsi="Times New Roman" w:cs="Times New Roman"/>
                <w:sz w:val="18"/>
                <w:szCs w:val="18"/>
              </w:rPr>
              <w:fldChar w:fldCharType="end"/>
            </w:r>
          </w:p>
        </w:tc>
        <w:tc>
          <w:tcPr>
            <w:tcW w:w="1134" w:type="dxa"/>
            <w:noWrap/>
            <w:hideMark/>
          </w:tcPr>
          <w:p w14:paraId="7670376E" w14:textId="56FD39B8"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1-2</w:t>
            </w:r>
          </w:p>
        </w:tc>
        <w:tc>
          <w:tcPr>
            <w:tcW w:w="2835" w:type="dxa"/>
            <w:noWrap/>
            <w:hideMark/>
          </w:tcPr>
          <w:p w14:paraId="4A0B5B97" w14:textId="42395702"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shd w:val="clear" w:color="auto" w:fill="FFFFFF" w:themeFill="background1"/>
          </w:tcPr>
          <w:p w14:paraId="0FD62A25" w14:textId="1E10B998" w:rsidR="006B6A5F" w:rsidRPr="00135E13" w:rsidRDefault="00197208" w:rsidP="006B6A5F">
            <w:pPr>
              <w:rPr>
                <w:rFonts w:ascii="Times New Roman" w:hAnsi="Times New Roman" w:cs="Times New Roman"/>
                <w:sz w:val="18"/>
                <w:szCs w:val="18"/>
                <w:lang w:val="en-GB"/>
              </w:rPr>
            </w:pPr>
            <w:r w:rsidRPr="00135E13">
              <w:rPr>
                <w:rFonts w:ascii="Times New Roman" w:hAnsi="Times New Roman" w:cs="Times New Roman"/>
                <w:sz w:val="18"/>
                <w:szCs w:val="18"/>
              </w:rPr>
              <w:t>No evidence of IV superiority</w:t>
            </w:r>
          </w:p>
        </w:tc>
        <w:tc>
          <w:tcPr>
            <w:tcW w:w="2800" w:type="dxa"/>
            <w:shd w:val="clear" w:color="auto" w:fill="C5E0B3" w:themeFill="accent6" w:themeFillTint="66"/>
          </w:tcPr>
          <w:p w14:paraId="7127B23B" w14:textId="7BD40524"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lang w:val="en-GB"/>
              </w:rPr>
              <w:t>Except in meningitis, Shock</w:t>
            </w:r>
          </w:p>
        </w:tc>
      </w:tr>
      <w:tr w:rsidR="00B23C01" w:rsidRPr="00135E13" w14:paraId="5A331674" w14:textId="1AED6F0E" w:rsidTr="005C7D6F">
        <w:trPr>
          <w:trHeight w:val="285"/>
        </w:trPr>
        <w:tc>
          <w:tcPr>
            <w:tcW w:w="1838" w:type="dxa"/>
            <w:noWrap/>
            <w:hideMark/>
          </w:tcPr>
          <w:p w14:paraId="1DB07EB2" w14:textId="1E9094D8"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Hydrocortisone</w:t>
            </w:r>
          </w:p>
        </w:tc>
        <w:tc>
          <w:tcPr>
            <w:tcW w:w="1418" w:type="dxa"/>
            <w:noWrap/>
            <w:hideMark/>
          </w:tcPr>
          <w:p w14:paraId="16F93667" w14:textId="51857C87"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 xml:space="preserve">100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{"citationID":"R4bhU4Fz","properties":{"formattedCitation":"[45]","plainCitation":"[45]","noteIndex":0},"citationItems":[{"id":"RKg9lF5b/ajyAREcy","uris":["http://zotero.org/users/8889971/items/4QB5YNYP"],"itemData":{"id":4209,"type":"article-journal","abstract":"CONTEXT: The assessment absolute bioavailability of oral hydrocortisone is complicated by its saturable binding to cortisol binding globulin (CBG). Previous assessment of bioavailability used a cortisol radioimmunoassay which has cross reactivity with other steroids. Salivary cortisone is a measure of free cortisol and LC-MS/MS is the gold standard method for measuring steroids. We here report the absolute bioavailability of hydrocortisone calculated using serum cortisol and salivary cortisone measured by LC-MS/MS.\nMETHODS: 14 healthy male dexamethasone suppressed volunteers were administered 20 mg hydrocortisone either intravenously or orally by tablet. Samples of serum and saliva were taken and measured for cortisol and cortisone by LC-MS/MS. Serum cortisol was corrected for saturable binding using published data and pharmacokinetic parameters derived using the program WinNonlin.\nRESULTS: The mean (95% CI) bioavailability of oral hydrocortisone calculated from serum cortisol, unbound serum cortisol and salivary cortisone was 1.00 (0.89-1.14); 0.88 (0.75-1.05); and 0.93 (0.83-1.05), respectively.\nCONCLUSION: The data confirm that, after oral administration, hydrocortisone is completely absorbed. The data derived from serum cortisol corrected for protein binding, and that from salivary cortisone, are similar supporting the concept that salivary cortisone reflects serum free cortisol levels and that salivary cortisone can be used as a non-invasive method for measuring the pharmacokinetics of hydrocortisone.","container-title":"Journal of Bioequivalence &amp; Bioavailability","DOI":"10.4172/jbb.1000365","ISSN":"0975-0851","issue":"1","journalAbbreviation":"J Bioequivalence Bioavailab","language":"eng","page":"001-003","PMID":"29795974","PMCID":"PMC5963674","source":"PubMed","title":"Bioavailability of Oral Hydrocortisone Corrected for Binding Proteins and Measured by LC-MS/MS Using Serum Cortisol and Salivary Cortisone","volume":"10","author":[{"family":"Johnson","given":"T. N."},{"family":"Whitaker","given":"M. J."},{"family":"Keevil","given":"B."},{"family":"Ross","given":"R. J."}],"issued":{"date-parts":[["2018"]]}}}],"schema":"https://github.com/citation-style-language/schema/raw/master/csl-citation.json"} </w:instrText>
            </w:r>
            <w:r w:rsidRPr="00135E13">
              <w:rPr>
                <w:rFonts w:ascii="Times New Roman" w:hAnsi="Times New Roman" w:cs="Times New Roman"/>
                <w:sz w:val="18"/>
                <w:szCs w:val="18"/>
              </w:rPr>
              <w:fldChar w:fldCharType="separate"/>
            </w:r>
            <w:r w:rsidR="008527B6" w:rsidRPr="00135E13">
              <w:rPr>
                <w:rFonts w:ascii="Times New Roman" w:hAnsi="Times New Roman" w:cs="Times New Roman"/>
                <w:sz w:val="18"/>
                <w:szCs w:val="21"/>
              </w:rPr>
              <w:t>[45]</w:t>
            </w:r>
            <w:r w:rsidRPr="00135E13">
              <w:rPr>
                <w:rFonts w:ascii="Times New Roman" w:hAnsi="Times New Roman" w:cs="Times New Roman"/>
                <w:sz w:val="18"/>
                <w:szCs w:val="18"/>
              </w:rPr>
              <w:fldChar w:fldCharType="end"/>
            </w:r>
          </w:p>
        </w:tc>
        <w:tc>
          <w:tcPr>
            <w:tcW w:w="1134" w:type="dxa"/>
            <w:noWrap/>
            <w:hideMark/>
          </w:tcPr>
          <w:p w14:paraId="71A8C8AF" w14:textId="0A8EDE79"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1</w:t>
            </w:r>
          </w:p>
        </w:tc>
        <w:tc>
          <w:tcPr>
            <w:tcW w:w="2835" w:type="dxa"/>
            <w:noWrap/>
            <w:hideMark/>
          </w:tcPr>
          <w:p w14:paraId="7327D569" w14:textId="16B08B77"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shd w:val="clear" w:color="auto" w:fill="FFFFFF" w:themeFill="background1"/>
          </w:tcPr>
          <w:p w14:paraId="0A4430FE" w14:textId="2635DF27" w:rsidR="006B6A5F" w:rsidRPr="00135E13" w:rsidRDefault="00197208" w:rsidP="006B6A5F">
            <w:pPr>
              <w:rPr>
                <w:rFonts w:ascii="Times New Roman" w:hAnsi="Times New Roman" w:cs="Times New Roman"/>
                <w:sz w:val="18"/>
                <w:szCs w:val="18"/>
                <w:lang w:val="en-GB"/>
              </w:rPr>
            </w:pPr>
            <w:r w:rsidRPr="00135E13">
              <w:rPr>
                <w:rFonts w:ascii="Times New Roman" w:hAnsi="Times New Roman" w:cs="Times New Roman"/>
                <w:sz w:val="18"/>
                <w:szCs w:val="18"/>
              </w:rPr>
              <w:t>No evidence of IV superiority</w:t>
            </w:r>
          </w:p>
        </w:tc>
        <w:tc>
          <w:tcPr>
            <w:tcW w:w="2800" w:type="dxa"/>
            <w:shd w:val="clear" w:color="auto" w:fill="C5E0B3" w:themeFill="accent6" w:themeFillTint="66"/>
          </w:tcPr>
          <w:p w14:paraId="21CA3C09" w14:textId="261B8EDB"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lang w:val="en-GB"/>
              </w:rPr>
              <w:t>Except in Shock, adrenal crisis</w:t>
            </w:r>
          </w:p>
        </w:tc>
      </w:tr>
      <w:tr w:rsidR="00B23C01" w:rsidRPr="00135E13" w14:paraId="41700B0A" w14:textId="666DF7D7" w:rsidTr="005C7D6F">
        <w:trPr>
          <w:trHeight w:val="285"/>
        </w:trPr>
        <w:tc>
          <w:tcPr>
            <w:tcW w:w="1838" w:type="dxa"/>
            <w:noWrap/>
            <w:hideMark/>
          </w:tcPr>
          <w:p w14:paraId="65BD1EAE" w14:textId="79C5B3A5"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lastRenderedPageBreak/>
              <w:t>Mycophenolate mofetil</w:t>
            </w:r>
          </w:p>
        </w:tc>
        <w:tc>
          <w:tcPr>
            <w:tcW w:w="1418" w:type="dxa"/>
            <w:noWrap/>
            <w:hideMark/>
          </w:tcPr>
          <w:p w14:paraId="234EEDBA" w14:textId="34FBD458"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94</w:t>
            </w:r>
          </w:p>
        </w:tc>
        <w:tc>
          <w:tcPr>
            <w:tcW w:w="1134" w:type="dxa"/>
            <w:noWrap/>
            <w:hideMark/>
          </w:tcPr>
          <w:p w14:paraId="2602BD5B" w14:textId="2647B088"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 xml:space="preserve">1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{"citationID":"OdNRmUPp","properties":{"formattedCitation":"[46]","plainCitation":"[46]","noteIndex":0},"citationItems":[{"id":"RKg9lF5b/BHZtuoWn","uris":["http://zotero.org/users/8889971/items/M6M3DWI6"],"itemData":{"id":3875,"type":"article-journal","abstract":"A randomized, crossover study of 12 healthy volunteers was conducted with single, 1.5-g doses of mycophenolate mofetil (MMF), a prodrug of mycophenolic acid (MPA), after oral and intravenous administration. During the intravenous infusion, phase systemic plasma clearance of MMF was approximately 10 L/min and the half-life (t1/2) was a few minutes. After oral administration, however, plasma MMF was below quantitation limits at all times. The plasma MPA profile of oral MMF showed a sharp peak at approximately 1 hour and a secondary peak at 8 to 12 hours. Mean apparent plasma t1/2 of MPA was similar for both routes (approximately 17 hours). The area under the concentration-time curve (AUC) from time 0 to 24 hours was statistically higher for intravenous than for oral administration, but total AUC showed statistical equivalence (80-120 rule), with mean bioavailability of MPA from oral administration of MMF estimated as 94.1% relative to the intravenous route. Total plasma AUC of mycophenolic acid glucuronide (MPAG), the sole metabolite of MPA, was four- to five-fold higher than MPA. Total 48-hour MPAG recovery in urine was statistically equivalent for the two routes and represented a mean of 70% of administered drug; corresponding MPA recovery was less than 1%. Renal clearance (ClR) values required transport mechanisms for MPAG, but not for MPA. The ClR of MPAG was statistically higher after intravenous administration than oral administration. MMF administered orally undergoes rapid, complete absorption and essentially complete presystemic deesterification. There was presystemic removal of MPA, but enterohepatic circulation compensated for the first pass loss. Renal metabolism of MPA also may have occurred.","container-title":"Journal of Clinical Pharmacology","DOI":"10.1002/j.1552-4604.1996.tb04207.x","ISSN":"0091-2700","issue":"4","journalAbbreviation":"J Clin Pharmacol","language":"eng","page":"315-324","PMID":"8728345","source":"PubMed","title":"Pharmacokinetics and bioavailability of mycophenolate mofetil in healthy subjects after single-dose oral and intravenous administration","volume":"36","author":[{"family":"Bullingham","given":"R."},{"family":"Monroe","given":"S."},{"family":"Nicholls","given":"A."},{"family":"Hale","given":"M."}],"issued":{"date-parts":[["1996",4]]}}}],"schema":"https://github.com/citation-style-language/schema/raw/master/csl-citation.json"} </w:instrText>
            </w:r>
            <w:r w:rsidRPr="00135E13">
              <w:rPr>
                <w:rFonts w:ascii="Times New Roman" w:hAnsi="Times New Roman" w:cs="Times New Roman"/>
                <w:sz w:val="18"/>
                <w:szCs w:val="18"/>
              </w:rPr>
              <w:fldChar w:fldCharType="separate"/>
            </w:r>
            <w:r w:rsidR="008527B6" w:rsidRPr="00135E13">
              <w:rPr>
                <w:rFonts w:ascii="Times New Roman" w:hAnsi="Times New Roman" w:cs="Times New Roman"/>
                <w:sz w:val="18"/>
                <w:szCs w:val="21"/>
              </w:rPr>
              <w:t>[46]</w:t>
            </w:r>
            <w:r w:rsidRPr="00135E13">
              <w:rPr>
                <w:rFonts w:ascii="Times New Roman" w:hAnsi="Times New Roman" w:cs="Times New Roman"/>
                <w:sz w:val="18"/>
                <w:szCs w:val="18"/>
              </w:rPr>
              <w:fldChar w:fldCharType="end"/>
            </w:r>
          </w:p>
        </w:tc>
        <w:tc>
          <w:tcPr>
            <w:tcW w:w="2835" w:type="dxa"/>
            <w:noWrap/>
            <w:hideMark/>
          </w:tcPr>
          <w:p w14:paraId="52271C28" w14:textId="0EEA4943"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 xml:space="preserve">Comparable </w:t>
            </w:r>
          </w:p>
        </w:tc>
        <w:tc>
          <w:tcPr>
            <w:tcW w:w="3969" w:type="dxa"/>
            <w:shd w:val="clear" w:color="auto" w:fill="FFFFFF" w:themeFill="background1"/>
          </w:tcPr>
          <w:p w14:paraId="598F1A5D" w14:textId="4F581FBD" w:rsidR="006B6A5F" w:rsidRPr="00135E13" w:rsidRDefault="006B6A5F" w:rsidP="006B6A5F">
            <w:pPr>
              <w:rPr>
                <w:rFonts w:ascii="Times New Roman" w:hAnsi="Times New Roman" w:cs="Times New Roman"/>
                <w:sz w:val="18"/>
                <w:szCs w:val="18"/>
                <w:lang w:val="en-GB"/>
              </w:rPr>
            </w:pPr>
            <w:r w:rsidRPr="00135E13">
              <w:rPr>
                <w:rFonts w:ascii="Times New Roman" w:hAnsi="Times New Roman" w:cs="Times New Roman"/>
                <w:color w:val="212121"/>
                <w:sz w:val="18"/>
                <w:szCs w:val="18"/>
                <w:shd w:val="clear" w:color="auto" w:fill="FFFFFF"/>
              </w:rPr>
              <w:t>Equivalent efficacy</w:t>
            </w:r>
            <w:r w:rsidR="00135E13" w:rsidRPr="00135E13">
              <w:rPr>
                <w:rFonts w:ascii="Times New Roman" w:hAnsi="Times New Roman" w:cs="Times New Roman"/>
                <w:color w:val="212121"/>
                <w:sz w:val="18"/>
                <w:szCs w:val="18"/>
                <w:shd w:val="clear" w:color="auto" w:fill="FFFFFF"/>
              </w:rPr>
              <w:t xml:space="preserve">, even </w:t>
            </w:r>
            <w:r w:rsidRPr="00135E13">
              <w:rPr>
                <w:rFonts w:ascii="Times New Roman" w:hAnsi="Times New Roman" w:cs="Times New Roman"/>
                <w:color w:val="212121"/>
                <w:sz w:val="18"/>
                <w:szCs w:val="18"/>
                <w:shd w:val="clear" w:color="auto" w:fill="FFFFFF"/>
              </w:rPr>
              <w:t xml:space="preserve">in the immediate period after transplant </w:t>
            </w:r>
            <w:r w:rsidRPr="00135E13">
              <w:rPr>
                <w:rFonts w:ascii="Times New Roman" w:hAnsi="Times New Roman" w:cs="Times New Roman"/>
                <w:sz w:val="18"/>
                <w:szCs w:val="18"/>
                <w:lang w:val="en-GB"/>
              </w:rPr>
              <w:fldChar w:fldCharType="begin"/>
            </w:r>
            <w:r w:rsidR="00F4471E">
              <w:rPr>
                <w:rFonts w:ascii="Times New Roman" w:hAnsi="Times New Roman" w:cs="Times New Roman"/>
                <w:sz w:val="18"/>
                <w:szCs w:val="18"/>
                <w:lang w:val="en-GB"/>
              </w:rPr>
              <w:instrText xml:space="preserve"> ADDIN ZOTERO_ITEM CSL_CITATION {"citationID":"utH7tc9U","properties":{"formattedCitation":"[47]","plainCitation":"[47]","noteIndex":0},"citationItems":[{"id":"RKg9lF5b/2lpbNJJf","uris":["http://zotero.org/users/8889971/items/X8A26ZUT"],"itemData":{"id":3873,"type":"article-journal","abstract":"An intravenous (i.v.) formulation of mycophenolate mofetil (MMF; CellCept, Roche Pharmaceuticals, Inc., Palo Alto, CA) that will enable its administration to patients unable to tolerate oral medication is available. Two separate studies, an open-labeled pharmacokinetic (PK) study and a double-blind safety study, were performed. Within 24 h after transplant, 153 (safety study) and 45 (PK study) first or second renal transplant recipients were started on i.v. MMF 1 g Q12h or placebo (used in the safety study only, 2:1 MMF:placebo), given over 2 h via a dedicated peripheral venous catheter. In the safety study, per os (p.o.) MMF (1g Q12h) or placebo was administered, starting within 72 h after transplant, whereas in the PK study, p.o. MMF was started on the evening of day 5. Sequential blood samples obtained on study days 5 (i.v. MMF) and 6 (p.o. MMF) before and up to 12 h after the AM dose were analyzed for mycophenolic acid (MPA) and MPA glucuronide (MPAG) concentrations by high-performance liquid chromatography. The area under the concentration curve (AUC) was calculated using the linear trapezoidal rule. The MPA AUC(0-12) was higher for i.v. MMF than p.o. MMF (40.8 +/- 11.4 microg x h/ mL vs. 32.9 +/- 15, p &lt; 0.001). There were no other significant PK differences for plasma MPA or MPAG. In the safety study (n = 98 i.v. MMF vs. n = 55 placebo), 11 patients (11%, i.v. MMF) and 4 patients (7%, placebo) discontinued their use of the drug because of an adverse event (AE). Overall, AEs were similar between i.v. MMF and placebo. Injection site phlebitis (4%) and thrombosis (4%) were observed only with i.v. MMF. MMF i.v. 1 g twice daily (b.i.d.) should provide efficacy at least equivalent to p.o. MMF without increased toxicity, and it provides an acceptable alternative dose form in the immediate period after transplant.","container-title":"Clinical Transplantation","DOI":"10.1034/j.1399-0012.2000.140301.x","ISSN":"0902-0063","issue":"3","journalAbbreviation":"Clin Transplant","language":"eng","page":"179-188","PMID":"10831074","source":"PubMed","title":"Intravenous mycophenolate mofetil: safety, tolerability, and pharmacokinetics","title-short":"Intravenous mycophenolate mofetil","volume":"14","author":[{"family":"Pescovitz","given":"M. D."},{"family":"Conti","given":"D."},{"family":"Dunn","given":"J."},{"family":"Gonwa","given":"T."},{"family":"Halloran","given":"P."},{"family":"Sollinger","given":"H."},{"family":"Tomlanovich","given":"S."},{"family":"Weinstein","given":"S."},{"family":"Inokuchi","given":"S."},{"family":"Kiberd","given":"B."},{"family":"Kittur","given":"D."},{"family":"Merion","given":"R. M."},{"family":"Norman","given":"D."},{"family":"Shoker","given":"A."},{"family":"Wilburn","given":"R."},{"family":"Nicholls","given":"A. J."},{"family":"Arterburn","given":"S."},{"family":"Dumont","given":"E."}],"issued":{"date-parts":[["2000",6]]}}}],"schema":"https://github.com/citation-style-language/schema/raw/master/csl-citation.json"} </w:instrText>
            </w:r>
            <w:r w:rsidRPr="00135E13">
              <w:rPr>
                <w:rFonts w:ascii="Times New Roman" w:hAnsi="Times New Roman" w:cs="Times New Roman"/>
                <w:sz w:val="18"/>
                <w:szCs w:val="18"/>
                <w:lang w:val="en-GB"/>
              </w:rPr>
              <w:fldChar w:fldCharType="separate"/>
            </w:r>
            <w:r w:rsidR="008527B6" w:rsidRPr="00135E13">
              <w:rPr>
                <w:rFonts w:ascii="Times New Roman" w:hAnsi="Times New Roman" w:cs="Times New Roman"/>
                <w:sz w:val="18"/>
                <w:szCs w:val="21"/>
              </w:rPr>
              <w:t>[47]</w:t>
            </w:r>
            <w:r w:rsidRPr="00135E13">
              <w:rPr>
                <w:rFonts w:ascii="Times New Roman" w:hAnsi="Times New Roman" w:cs="Times New Roman"/>
                <w:sz w:val="18"/>
                <w:szCs w:val="18"/>
                <w:lang w:val="en-GB"/>
              </w:rPr>
              <w:fldChar w:fldCharType="end"/>
            </w:r>
            <w:r w:rsidRPr="00135E13">
              <w:rPr>
                <w:rFonts w:ascii="Times New Roman" w:hAnsi="Times New Roman" w:cs="Times New Roman"/>
                <w:sz w:val="18"/>
                <w:szCs w:val="18"/>
                <w:lang w:val="en-GB"/>
              </w:rPr>
              <w:t xml:space="preserve"> </w:t>
            </w:r>
          </w:p>
          <w:p w14:paraId="3C919DE8" w14:textId="0B444696" w:rsidR="006B6A5F" w:rsidRPr="00135E13" w:rsidRDefault="006B6A5F" w:rsidP="006B6A5F">
            <w:pPr>
              <w:rPr>
                <w:rFonts w:ascii="Times New Roman" w:hAnsi="Times New Roman" w:cs="Times New Roman"/>
                <w:b/>
                <w:bCs/>
                <w:sz w:val="18"/>
                <w:szCs w:val="18"/>
                <w:lang w:val="en-GB"/>
              </w:rPr>
            </w:pPr>
            <w:r w:rsidRPr="00135E13">
              <w:rPr>
                <w:rFonts w:ascii="Times New Roman" w:hAnsi="Times New Roman" w:cs="Times New Roman"/>
                <w:b/>
                <w:bCs/>
                <w:color w:val="1B1B1B"/>
                <w:sz w:val="18"/>
                <w:szCs w:val="18"/>
                <w:shd w:val="clear" w:color="auto" w:fill="FFFFFF"/>
              </w:rPr>
              <w:t>Therapeutic drug monitoring is necessary</w:t>
            </w:r>
          </w:p>
        </w:tc>
        <w:tc>
          <w:tcPr>
            <w:tcW w:w="2800" w:type="dxa"/>
            <w:shd w:val="clear" w:color="auto" w:fill="C5E0B3" w:themeFill="accent6" w:themeFillTint="66"/>
          </w:tcPr>
          <w:p w14:paraId="23C9D364" w14:textId="7326C5C6"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lang w:val="en-GB"/>
              </w:rPr>
              <w:t>Except within 24h after solid organ transplantation</w:t>
            </w:r>
          </w:p>
        </w:tc>
      </w:tr>
      <w:tr w:rsidR="00B23C01" w:rsidRPr="00135E13" w14:paraId="15536FB5" w14:textId="10BF6678" w:rsidTr="00406AA3">
        <w:trPr>
          <w:trHeight w:val="285"/>
        </w:trPr>
        <w:tc>
          <w:tcPr>
            <w:tcW w:w="1838" w:type="dxa"/>
            <w:noWrap/>
            <w:hideMark/>
          </w:tcPr>
          <w:p w14:paraId="5E5DEEBB" w14:textId="1A88E84E"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Tacrolimus</w:t>
            </w:r>
          </w:p>
        </w:tc>
        <w:tc>
          <w:tcPr>
            <w:tcW w:w="1418" w:type="dxa"/>
            <w:noWrap/>
            <w:hideMark/>
          </w:tcPr>
          <w:p w14:paraId="549C6B81" w14:textId="3BD07521"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20-25</w:t>
            </w:r>
          </w:p>
        </w:tc>
        <w:tc>
          <w:tcPr>
            <w:tcW w:w="1134" w:type="dxa"/>
            <w:noWrap/>
            <w:hideMark/>
          </w:tcPr>
          <w:p w14:paraId="0FD5101A" w14:textId="423C616E"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1-3</w:t>
            </w:r>
          </w:p>
        </w:tc>
        <w:tc>
          <w:tcPr>
            <w:tcW w:w="2835" w:type="dxa"/>
            <w:noWrap/>
            <w:hideMark/>
          </w:tcPr>
          <w:p w14:paraId="7BD77FEC" w14:textId="20B0EC42"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 xml:space="preserve">IV form carries a higher risk of nephrotoxicity, neurotoxicity and anaphylactoid reaction </w:t>
            </w:r>
            <w:r w:rsidRPr="00135E13">
              <w:rPr>
                <w:rFonts w:ascii="Times New Roman" w:hAnsi="Times New Roman" w:cs="Times New Roman"/>
                <w:color w:val="1B1B1B"/>
                <w:sz w:val="18"/>
                <w:szCs w:val="18"/>
                <w:shd w:val="clear" w:color="auto" w:fill="FFFFFF"/>
              </w:rPr>
              <w:t xml:space="preserve">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{"citationID":"Vtq5rSKJ","properties":{"formattedCitation":"[48]","plainCitation":"[48]","noteIndex":0},"citationItems":[{"id":"RKg9lF5b/0KsekJrR","uris":["http://zotero.org/users/8889971/items/N8JZXKDH"],"itemData":{"id":4220,"type":"article-journal","abstract":"BACKGROUND AND OBJECTIVE: High variability in tacrolimus pharmacokinetics directly after lung transplantation (LuTx) may increase the risk for acute kidney injury (AKI) and transplant rejection. The primary objective was to compare pharmacokinetic variability in patients receiving tacrolimus orally versus intravenously early after LuTx.\nMETHODS: Pharmacokinetic and clinical data from 522 LuTx patients transplanted between 2010 and 2020 in two university hospitals were collected to compare orally administered tacrolimus to intravenous tacrolimus early post-transplantation. Tacrolimus blood concentration variability, measured as intrapatient variability (IPV%) and  percentage of time within the therapeutic range (TTR%), was analyzed within the first 14 days after LuTx. Secondary outcomes were AKI, acute rejection, length of stay in the intensive care unit (ICU), and mortality in the ICU and during hospital admission.\nRESULTS: We included 224 patients in the oral and 298 in the intravenous group. The mean adjusted IPV% was 10.8% (95% confidence interval [CI] 6.9-14.6; p &lt; 0.001) higher in the oral group (27.2%) than the intravenous group (16.4%). The mean TTR% was 7.3% (95% CI - 11.3 to - 3.4; p &lt; 0.001) lower in the oral group (39.6%) than in the intravenous group (46.9%). The incidence of AKI was 46.0% for oral and 42.6% for intravenous administration (adjusted odds ratio [OR] 1.2; 95% CI 0.8-1.8; p = 0.451). The frequencies of clinically diagnosed acute rejection in the oral and intravenous groups were nonsignificant (24.6% vs 17.8%; OR 1.5 [95% CI 1.0-2.3; p = 0.059]). ICU and hospital mortality rate and ICU length of stay were similar.\nCONCLUSIONS: Administering tacrolimus orally directly after LuTx leads to a higher variability in blood concentrations compared to intravenous administration. There was no difference in the occurrence of AKI or transplant rejection.","container-title":"Clinical Pharmacokinetics","DOI":"10.1007/s40262-024-01368-1","ISSN":"1179-1926","issue":"5","journalAbbreviation":"Clin Pharmacokinet","language":"eng","page":"683-693","PMID":"38581638","PMCID":"PMC11106167","source":"PubMed","title":"Tacrolimus Variability and Clinical Outcomes in the Early Post-lung Transplantation Period: Oral Versus Continuous Intravenous Administration","title-short":"Tacrolimus Variability and Clinical Outcomes in the Early Post-lung Transplantation Period","volume":"63","author":[{"family":"Dommelen","given":"Julia E. M.","non-dropping-particle":"van"},{"family":"Grootjans","given":"Heleen"},{"family":"Uijtendaal","given":"Esther V."},{"family":"Ruigrok","given":"Dieuwertje"},{"family":"Luijk","given":"Bart"},{"family":"Luin","given":"Matthijs","non-dropping-particle":"van"},{"family":"Bult","given":"Wouter"},{"family":"Lange","given":"Dylan W.","non-dropping-particle":"de"},{"family":"Kusadasi","given":"Nuray"},{"family":"Droogh","given":"Joep M."},{"family":"Egberts","given":"Toine C. G."},{"family":"Verschuuren","given":"Erik A. M."},{"family":"Sikma","given":"Maaike A."}],"issued":{"date-parts":[["2024",5]]}}}],"schema":"https://github.com/citation-style-language/schema/raw/master/csl-citation.json"} </w:instrText>
            </w:r>
            <w:r w:rsidRPr="00135E13">
              <w:rPr>
                <w:rFonts w:ascii="Times New Roman" w:hAnsi="Times New Roman" w:cs="Times New Roman"/>
                <w:sz w:val="18"/>
                <w:szCs w:val="18"/>
              </w:rPr>
              <w:fldChar w:fldCharType="separate"/>
            </w:r>
            <w:r w:rsidR="008527B6" w:rsidRPr="00135E13">
              <w:rPr>
                <w:rFonts w:ascii="Times New Roman" w:hAnsi="Times New Roman" w:cs="Times New Roman"/>
                <w:sz w:val="18"/>
                <w:szCs w:val="21"/>
              </w:rPr>
              <w:t>[48]</w:t>
            </w:r>
            <w:r w:rsidRPr="00135E13">
              <w:rPr>
                <w:rFonts w:ascii="Times New Roman" w:hAnsi="Times New Roman" w:cs="Times New Roman"/>
                <w:sz w:val="18"/>
                <w:szCs w:val="18"/>
              </w:rPr>
              <w:fldChar w:fldCharType="end"/>
            </w:r>
            <w:r w:rsidRPr="00135E13">
              <w:rPr>
                <w:rFonts w:ascii="Times New Roman" w:hAnsi="Times New Roman" w:cs="Times New Roman"/>
                <w:sz w:val="18"/>
                <w:szCs w:val="18"/>
              </w:rPr>
              <w:t xml:space="preserve"> </w:t>
            </w:r>
          </w:p>
        </w:tc>
        <w:tc>
          <w:tcPr>
            <w:tcW w:w="3969" w:type="dxa"/>
            <w:shd w:val="clear" w:color="auto" w:fill="FFFFFF" w:themeFill="background1"/>
          </w:tcPr>
          <w:p w14:paraId="2783BEE6" w14:textId="61B16DFB" w:rsidR="006B6A5F" w:rsidRPr="00135E13" w:rsidRDefault="006B6A5F" w:rsidP="006B6A5F">
            <w:pPr>
              <w:rPr>
                <w:rFonts w:ascii="Times New Roman" w:hAnsi="Times New Roman" w:cs="Times New Roman"/>
                <w:sz w:val="18"/>
                <w:szCs w:val="18"/>
                <w:lang w:val="en-GB"/>
              </w:rPr>
            </w:pPr>
            <w:r w:rsidRPr="00135E13">
              <w:rPr>
                <w:rFonts w:ascii="Times New Roman" w:hAnsi="Times New Roman" w:cs="Times New Roman"/>
                <w:sz w:val="18"/>
                <w:szCs w:val="18"/>
                <w:lang w:val="en-GB"/>
              </w:rPr>
              <w:t>Comparable efficacy profiles</w:t>
            </w:r>
          </w:p>
          <w:p w14:paraId="6ED52693" w14:textId="311E1835"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 xml:space="preserve">but oral administration is associated with </w:t>
            </w:r>
            <w:r w:rsidRPr="00135E13">
              <w:rPr>
                <w:rFonts w:ascii="Times New Roman" w:hAnsi="Times New Roman" w:cs="Times New Roman"/>
                <w:color w:val="1B1B1B"/>
                <w:sz w:val="18"/>
                <w:szCs w:val="18"/>
                <w:shd w:val="clear" w:color="auto" w:fill="FFFFFF"/>
              </w:rPr>
              <w:t xml:space="preserve">higher variability in tacrolimus concentrations in comparison to IV administration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{"citationID":"lvX8rT4R","properties":{"formattedCitation":"[48]","plainCitation":"[48]","noteIndex":0},"citationItems":[{"id":"RKg9lF5b/0KsekJrR","uris":["http://zotero.org/users/8889971/items/N8JZXKDH"],"itemData":{"id":4220,"type":"article-journal","abstract":"BACKGROUND AND OBJECTIVE: High variability in tacrolimus pharmacokinetics directly after lung transplantation (LuTx) may increase the risk for acute kidney injury (AKI) and transplant rejection. The primary objective was to compare pharmacokinetic variability in patients receiving tacrolimus orally versus intravenously early after LuTx.\nMETHODS: Pharmacokinetic and clinical data from 522 LuTx patients transplanted between 2010 and 2020 in two university hospitals were collected to compare orally administered tacrolimus to intravenous tacrolimus early post-transplantation. Tacrolimus blood concentration variability, measured as intrapatient variability (IPV%) and  percentage of time within the therapeutic range (TTR%), was analyzed within the first 14 days after LuTx. Secondary outcomes were AKI, acute rejection, length of stay in the intensive care unit (ICU), and mortality in the ICU and during hospital admission.\nRESULTS: We included 224 patients in the oral and 298 in the intravenous group. The mean adjusted IPV% was 10.8% (95% confidence interval [CI] 6.9-14.6; p &lt; 0.001) higher in the oral group (27.2%) than the intravenous group (16.4%). The mean TTR% was 7.3% (95% CI - 11.3 to - 3.4; p &lt; 0.001) lower in the oral group (39.6%) than in the intravenous group (46.9%). The incidence of AKI was 46.0% for oral and 42.6% for intravenous administration (adjusted odds ratio [OR] 1.2; 95% CI 0.8-1.8; p = 0.451). The frequencies of clinically diagnosed acute rejection in the oral and intravenous groups were nonsignificant (24.6% vs 17.8%; OR 1.5 [95% CI 1.0-2.3; p = 0.059]). ICU and hospital mortality rate and ICU length of stay were similar.\nCONCLUSIONS: Administering tacrolimus orally directly after LuTx leads to a higher variability in blood concentrations compared to intravenous administration. There was no difference in the occurrence of AKI or transplant rejection.","container-title":"Clinical Pharmacokinetics","DOI":"10.1007/s40262-024-01368-1","ISSN":"1179-1926","issue":"5","journalAbbreviation":"Clin Pharmacokinet","language":"eng","page":"683-693","PMID":"38581638","PMCID":"PMC11106167","source":"PubMed","title":"Tacrolimus Variability and Clinical Outcomes in the Early Post-lung Transplantation Period: Oral Versus Continuous Intravenous Administration","title-short":"Tacrolimus Variability and Clinical Outcomes in the Early Post-lung Transplantation Period","volume":"63","author":[{"family":"Dommelen","given":"Julia E. M.","non-dropping-particle":"van"},{"family":"Grootjans","given":"Heleen"},{"family":"Uijtendaal","given":"Esther V."},{"family":"Ruigrok","given":"Dieuwertje"},{"family":"Luijk","given":"Bart"},{"family":"Luin","given":"Matthijs","non-dropping-particle":"van"},{"family":"Bult","given":"Wouter"},{"family":"Lange","given":"Dylan W.","non-dropping-particle":"de"},{"family":"Kusadasi","given":"Nuray"},{"family":"Droogh","given":"Joep M."},{"family":"Egberts","given":"Toine C. G."},{"family":"Verschuuren","given":"Erik A. M."},{"family":"Sikma","given":"Maaike A."}],"issued":{"date-parts":[["2024",5]]}}}],"schema":"https://github.com/citation-style-language/schema/raw/master/csl-citation.json"} </w:instrText>
            </w:r>
            <w:r w:rsidRPr="00135E13">
              <w:rPr>
                <w:rFonts w:ascii="Times New Roman" w:hAnsi="Times New Roman" w:cs="Times New Roman"/>
                <w:sz w:val="18"/>
                <w:szCs w:val="18"/>
              </w:rPr>
              <w:fldChar w:fldCharType="separate"/>
            </w:r>
            <w:r w:rsidR="008527B6" w:rsidRPr="00135E13">
              <w:rPr>
                <w:rFonts w:ascii="Times New Roman" w:hAnsi="Times New Roman" w:cs="Times New Roman"/>
                <w:sz w:val="18"/>
                <w:szCs w:val="21"/>
              </w:rPr>
              <w:t>[48]</w:t>
            </w:r>
            <w:r w:rsidRPr="00135E13">
              <w:rPr>
                <w:rFonts w:ascii="Times New Roman" w:hAnsi="Times New Roman" w:cs="Times New Roman"/>
                <w:sz w:val="18"/>
                <w:szCs w:val="18"/>
              </w:rPr>
              <w:fldChar w:fldCharType="end"/>
            </w:r>
          </w:p>
          <w:p w14:paraId="3C8B3EE7" w14:textId="0825C6CA" w:rsidR="006B6A5F" w:rsidRPr="00135E13" w:rsidRDefault="006B6A5F" w:rsidP="006B6A5F">
            <w:pPr>
              <w:rPr>
                <w:rFonts w:ascii="Times New Roman" w:hAnsi="Times New Roman" w:cs="Times New Roman"/>
                <w:b/>
                <w:bCs/>
                <w:sz w:val="18"/>
                <w:szCs w:val="18"/>
              </w:rPr>
            </w:pPr>
            <w:r w:rsidRPr="00135E13">
              <w:rPr>
                <w:rFonts w:ascii="Times New Roman" w:hAnsi="Times New Roman" w:cs="Times New Roman"/>
                <w:b/>
                <w:bCs/>
                <w:color w:val="1B1B1B"/>
                <w:sz w:val="18"/>
                <w:szCs w:val="18"/>
                <w:shd w:val="clear" w:color="auto" w:fill="FFFFFF"/>
              </w:rPr>
              <w:t>Therapeutic drug monitoring is necessary</w:t>
            </w:r>
          </w:p>
        </w:tc>
        <w:tc>
          <w:tcPr>
            <w:tcW w:w="2800" w:type="dxa"/>
            <w:shd w:val="clear" w:color="auto" w:fill="ED7D31" w:themeFill="accent2"/>
          </w:tcPr>
          <w:p w14:paraId="19CAB37B" w14:textId="4AFBD663"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lang w:val="en-GB"/>
              </w:rPr>
              <w:t>Except within 24h after solid organ transplantation</w:t>
            </w:r>
          </w:p>
        </w:tc>
      </w:tr>
      <w:tr w:rsidR="00B23C01" w:rsidRPr="00135E13" w14:paraId="0A34FECF" w14:textId="10543DC5" w:rsidTr="00135E13">
        <w:trPr>
          <w:trHeight w:val="285"/>
        </w:trPr>
        <w:tc>
          <w:tcPr>
            <w:tcW w:w="11194" w:type="dxa"/>
            <w:gridSpan w:val="5"/>
            <w:noWrap/>
            <w:hideMark/>
          </w:tcPr>
          <w:p w14:paraId="1F7689CA" w14:textId="2E7AAC2A" w:rsidR="006B6A5F" w:rsidRPr="00135E13" w:rsidRDefault="006B6A5F" w:rsidP="006B6A5F">
            <w:pPr>
              <w:jc w:val="center"/>
              <w:rPr>
                <w:rFonts w:ascii="Times New Roman" w:hAnsi="Times New Roman" w:cs="Times New Roman"/>
                <w:b/>
                <w:bCs/>
                <w:sz w:val="18"/>
                <w:szCs w:val="18"/>
                <w:lang w:val="en-GB"/>
              </w:rPr>
            </w:pPr>
            <w:r w:rsidRPr="00135E13">
              <w:rPr>
                <w:rFonts w:ascii="Times New Roman" w:hAnsi="Times New Roman" w:cs="Times New Roman"/>
                <w:b/>
                <w:bCs/>
                <w:sz w:val="18"/>
                <w:szCs w:val="18"/>
              </w:rPr>
              <w:t xml:space="preserve">            Antimicrobials</w:t>
            </w:r>
          </w:p>
        </w:tc>
        <w:tc>
          <w:tcPr>
            <w:tcW w:w="2800" w:type="dxa"/>
          </w:tcPr>
          <w:p w14:paraId="0AD25801" w14:textId="6AD49633"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b/>
                <w:bCs/>
                <w:sz w:val="18"/>
                <w:szCs w:val="18"/>
                <w:lang w:val="en-GB"/>
              </w:rPr>
              <w:t>For all antimicrobials: except in shock or</w:t>
            </w:r>
            <w:r w:rsidR="00964E73">
              <w:rPr>
                <w:rFonts w:ascii="Times New Roman" w:hAnsi="Times New Roman" w:cs="Times New Roman"/>
                <w:b/>
                <w:bCs/>
                <w:sz w:val="18"/>
                <w:szCs w:val="18"/>
                <w:lang w:val="en-GB"/>
              </w:rPr>
              <w:t xml:space="preserve"> in the initial phase</w:t>
            </w:r>
            <w:r w:rsidR="00964E73" w:rsidRPr="00135E13">
              <w:rPr>
                <w:rFonts w:ascii="Times New Roman" w:hAnsi="Times New Roman" w:cs="Times New Roman"/>
                <w:b/>
                <w:bCs/>
                <w:sz w:val="18"/>
                <w:szCs w:val="18"/>
                <w:lang w:val="en-GB"/>
              </w:rPr>
              <w:t xml:space="preserve"> </w:t>
            </w:r>
            <w:r w:rsidR="00964E73">
              <w:rPr>
                <w:rFonts w:ascii="Times New Roman" w:hAnsi="Times New Roman" w:cs="Times New Roman"/>
                <w:b/>
                <w:bCs/>
                <w:sz w:val="18"/>
                <w:szCs w:val="18"/>
                <w:lang w:val="en-GB"/>
              </w:rPr>
              <w:t>of a</w:t>
            </w:r>
            <w:r w:rsidRPr="00135E13">
              <w:rPr>
                <w:rFonts w:ascii="Times New Roman" w:hAnsi="Times New Roman" w:cs="Times New Roman"/>
                <w:b/>
                <w:bCs/>
                <w:sz w:val="18"/>
                <w:szCs w:val="18"/>
                <w:lang w:val="en-GB"/>
              </w:rPr>
              <w:t xml:space="preserve"> severe infections</w:t>
            </w:r>
            <w:r w:rsidR="00B23C01" w:rsidRPr="00135E13">
              <w:rPr>
                <w:sz w:val="21"/>
                <w:szCs w:val="21"/>
                <w:vertAlign w:val="superscript"/>
              </w:rPr>
              <w:t>#</w:t>
            </w:r>
          </w:p>
        </w:tc>
      </w:tr>
      <w:tr w:rsidR="00C04110" w:rsidRPr="00135E13" w14:paraId="601B4C33" w14:textId="77777777" w:rsidTr="00B23C01">
        <w:trPr>
          <w:trHeight w:val="285"/>
        </w:trPr>
        <w:tc>
          <w:tcPr>
            <w:tcW w:w="13994" w:type="dxa"/>
            <w:gridSpan w:val="6"/>
            <w:noWrap/>
          </w:tcPr>
          <w:p w14:paraId="56C509F1" w14:textId="44516C38" w:rsidR="00C04110" w:rsidRPr="00135E13" w:rsidRDefault="00C04110" w:rsidP="00B23C01">
            <w:pPr>
              <w:jc w:val="center"/>
              <w:rPr>
                <w:rFonts w:ascii="Times New Roman" w:hAnsi="Times New Roman" w:cs="Times New Roman"/>
                <w:b/>
                <w:bCs/>
                <w:i/>
                <w:iCs/>
                <w:sz w:val="18"/>
                <w:szCs w:val="18"/>
              </w:rPr>
            </w:pPr>
            <w:r w:rsidRPr="00135E13">
              <w:rPr>
                <w:rFonts w:ascii="Times New Roman" w:hAnsi="Times New Roman" w:cs="Times New Roman"/>
                <w:b/>
                <w:bCs/>
                <w:i/>
                <w:iCs/>
                <w:sz w:val="18"/>
                <w:szCs w:val="18"/>
              </w:rPr>
              <w:t>Antibiotics</w:t>
            </w:r>
          </w:p>
        </w:tc>
      </w:tr>
      <w:tr w:rsidR="00B23C01" w:rsidRPr="00135E13" w14:paraId="0CEB5272" w14:textId="4286E2FF" w:rsidTr="005C7D6F">
        <w:trPr>
          <w:trHeight w:val="285"/>
        </w:trPr>
        <w:tc>
          <w:tcPr>
            <w:tcW w:w="1838" w:type="dxa"/>
            <w:noWrap/>
            <w:hideMark/>
          </w:tcPr>
          <w:p w14:paraId="1E00F2EF" w14:textId="0EE3EA5F" w:rsidR="00780B62" w:rsidRPr="00135E13" w:rsidRDefault="00780B62" w:rsidP="006B6A5F">
            <w:pPr>
              <w:rPr>
                <w:rFonts w:ascii="Times New Roman" w:hAnsi="Times New Roman" w:cs="Times New Roman"/>
                <w:sz w:val="18"/>
                <w:szCs w:val="18"/>
              </w:rPr>
            </w:pPr>
            <w:r w:rsidRPr="00135E13">
              <w:rPr>
                <w:rFonts w:ascii="Times New Roman" w:hAnsi="Times New Roman" w:cs="Times New Roman"/>
                <w:sz w:val="18"/>
                <w:szCs w:val="18"/>
              </w:rPr>
              <w:t>Amoxicillin</w:t>
            </w:r>
          </w:p>
        </w:tc>
        <w:tc>
          <w:tcPr>
            <w:tcW w:w="1418" w:type="dxa"/>
            <w:noWrap/>
            <w:hideMark/>
          </w:tcPr>
          <w:p w14:paraId="25747CD7" w14:textId="472A3CA5" w:rsidR="00780B62" w:rsidRPr="00135E13" w:rsidRDefault="00780B62" w:rsidP="006B6A5F">
            <w:pPr>
              <w:rPr>
                <w:rFonts w:ascii="Times New Roman" w:hAnsi="Times New Roman" w:cs="Times New Roman"/>
                <w:sz w:val="18"/>
                <w:szCs w:val="18"/>
              </w:rPr>
            </w:pPr>
            <w:r w:rsidRPr="00135E13">
              <w:rPr>
                <w:rFonts w:ascii="Times New Roman" w:hAnsi="Times New Roman" w:cs="Times New Roman"/>
                <w:sz w:val="18"/>
                <w:szCs w:val="18"/>
              </w:rPr>
              <w:t>70</w:t>
            </w:r>
          </w:p>
        </w:tc>
        <w:tc>
          <w:tcPr>
            <w:tcW w:w="1134" w:type="dxa"/>
            <w:noWrap/>
            <w:hideMark/>
          </w:tcPr>
          <w:p w14:paraId="00E5F88F" w14:textId="14F8ABB3" w:rsidR="00780B62" w:rsidRPr="00135E13" w:rsidRDefault="00780B62" w:rsidP="006B6A5F">
            <w:pPr>
              <w:rPr>
                <w:rFonts w:ascii="Times New Roman" w:hAnsi="Times New Roman" w:cs="Times New Roman"/>
                <w:sz w:val="18"/>
                <w:szCs w:val="18"/>
              </w:rPr>
            </w:pPr>
            <w:r w:rsidRPr="00135E13">
              <w:rPr>
                <w:rFonts w:ascii="Times New Roman" w:hAnsi="Times New Roman" w:cs="Times New Roman"/>
                <w:sz w:val="18"/>
                <w:szCs w:val="18"/>
              </w:rPr>
              <w:t>1-2</w:t>
            </w:r>
          </w:p>
        </w:tc>
        <w:tc>
          <w:tcPr>
            <w:tcW w:w="2835" w:type="dxa"/>
            <w:vMerge w:val="restart"/>
            <w:noWrap/>
            <w:hideMark/>
          </w:tcPr>
          <w:p w14:paraId="117D3F1F" w14:textId="330A78D6" w:rsidR="00780B62" w:rsidRPr="00135E13" w:rsidRDefault="00EC724C" w:rsidP="006B6A5F">
            <w:pPr>
              <w:rPr>
                <w:rFonts w:ascii="Times New Roman" w:hAnsi="Times New Roman" w:cs="Times New Roman"/>
                <w:sz w:val="18"/>
                <w:szCs w:val="18"/>
              </w:rPr>
            </w:pPr>
            <w:r w:rsidRPr="00135E13">
              <w:rPr>
                <w:rFonts w:ascii="Times New Roman" w:hAnsi="Times New Roman" w:cs="Times New Roman"/>
                <w:sz w:val="18"/>
                <w:szCs w:val="18"/>
              </w:rPr>
              <w:t xml:space="preserve">Comparable </w:t>
            </w:r>
          </w:p>
        </w:tc>
        <w:tc>
          <w:tcPr>
            <w:tcW w:w="3969" w:type="dxa"/>
            <w:vMerge w:val="restart"/>
            <w:shd w:val="clear" w:color="auto" w:fill="FFFFFF" w:themeFill="background1"/>
          </w:tcPr>
          <w:p w14:paraId="72717D8D" w14:textId="77777777" w:rsidR="002C0A18" w:rsidRPr="00135E13" w:rsidRDefault="002C0A18" w:rsidP="002C0A18">
            <w:pPr>
              <w:rPr>
                <w:rFonts w:ascii="Times New Roman" w:hAnsi="Times New Roman" w:cs="Times New Roman"/>
                <w:sz w:val="18"/>
                <w:szCs w:val="18"/>
              </w:rPr>
            </w:pPr>
            <w:r w:rsidRPr="00135E13">
              <w:rPr>
                <w:rFonts w:ascii="Times New Roman" w:hAnsi="Times New Roman" w:cs="Times New Roman"/>
                <w:sz w:val="18"/>
                <w:szCs w:val="18"/>
              </w:rPr>
              <w:t>Switch is recommended</w:t>
            </w:r>
            <w:r w:rsidRPr="00135E13">
              <w:rPr>
                <w:sz w:val="21"/>
                <w:szCs w:val="21"/>
                <w:vertAlign w:val="superscript"/>
              </w:rPr>
              <w:t>#</w:t>
            </w:r>
          </w:p>
          <w:p w14:paraId="7BC1F5D0" w14:textId="7DB217B9" w:rsidR="00780B62" w:rsidRPr="00135E13" w:rsidRDefault="00E10051" w:rsidP="006B6A5F">
            <w:pPr>
              <w:rPr>
                <w:rFonts w:ascii="Times New Roman" w:hAnsi="Times New Roman" w:cs="Times New Roman"/>
                <w:sz w:val="18"/>
                <w:szCs w:val="18"/>
              </w:rPr>
            </w:pPr>
            <w:r w:rsidRPr="00135E13">
              <w:rPr>
                <w:rFonts w:ascii="Times New Roman" w:hAnsi="Times New Roman" w:cs="Times New Roman"/>
                <w:sz w:val="18"/>
                <w:szCs w:val="18"/>
              </w:rPr>
              <w:t>Comparable</w:t>
            </w:r>
            <w:r w:rsidR="00780B62" w:rsidRPr="00135E13">
              <w:rPr>
                <w:rFonts w:ascii="Times New Roman" w:hAnsi="Times New Roman" w:cs="Times New Roman"/>
                <w:sz w:val="18"/>
                <w:szCs w:val="18"/>
              </w:rPr>
              <w:t xml:space="preserve"> efficacy between oral amoxicillin-clavulanate and IV third-generation cephalosporin </w:t>
            </w:r>
            <w:r w:rsidRPr="00135E13">
              <w:rPr>
                <w:rFonts w:ascii="Times New Roman" w:hAnsi="Times New Roman" w:cs="Times New Roman"/>
                <w:sz w:val="18"/>
                <w:szCs w:val="18"/>
              </w:rPr>
              <w:t xml:space="preserve">in non-ICU pneumonia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{"citationID":"e3SBHrBd","properties":{"formattedCitation":"[49]","plainCitation":"[49]","noteIndex":0},"citationItems":[{"id":"RKg9lF5b/YPkg9JtU","uris":["http://zotero.org/users/8889971/items/EX37VJVT"],"itemData":{"id":4092,"type":"article-journal","abstract":"OBJECTIVES: In this study, we aimed to assess the efficacy of different ways of administration and types of beta-lactams for hospitalized community-acquired pneumonia (CAP).\nMETHODS: In this post-hoc analysis of randomized controlled trials (RCT) on patients hospitalized for CAP (pneumonia short treatment trial) comparing 3-day vs. 8-day durations of beta-lactams, which concluded to non-inferiority, we included patients who received either amoxicillin-clavulanate (AMC) or third-generation cephalosporin (3GC) regimens, and exclusively either intravenous or oral treatment for the first 3 days (followed by either 5 days of oral placebo or AMC according to randomization). The choice of route and molecule was left to the physician in charge. The main outcome was a failure at 15 days after the first antibiotic intake, defined as temperature &gt;37.9°C, and/or absence of resolution/improvement of respiratory symptoms, and/or additional antibiotic treatment for any cause. The primary outcome according to the route of administration was evaluated through logistic regression. Inverse probability treatment weighting with a propensity score model was used to adjust for non-randomization of treatment routes and potential confounders. The difference in failure rates was also evaluated among several sub-populations (AMC vs. 3GC treatments, intravenous vs. oral AMC, patients with multi-lobar infection, patients aged ≥65 years old, and patients with CURB65 scores of 3-4).\nRESULTS: We included 200 patients from the original trial, with 93/200 (46.5%) patients only treated with intravenous treatment and 107/200 (53.5%) patients only treated with oral therapy. The failure rate at Day 15 was not significantly different among patients treated with initial intravenous vs. oral treatment [25/93 (26.9%) vs. 28/107 (26.2%), adjusted odds ratios (aOR) 0.973 (95% CI 0.519-1.823), p 0.932)]. Failure rates at Day 15 were not significantly different among the subgroup populations.\nDISCUSSION: Among hospitalized patients with CAP, there was no significant difference in efficacy between initial intravenous and exclusive oral treatment.\nTRIAL REGISTRATION: This trial is registered with ClinicalTrials.gov, NCT01963442.","container-title":"Clinical Microbiology and Infection: The Official Publication of the European Society of Clinical Microbiology and Infectious Diseases","DOI":"10.1016/j.cmi.2024.05.003","ISSN":"1469-0691","issue":"8","journalAbbreviation":"Clin Microbiol Infect","language":"eng","page":"1020-1028","PMID":"38734138","source":"PubMed","title":"Exclusive oral antibiotic treatment for hospitalized community-acquired pneumonia: a post-hoc analysis of a randomized clinical trial","title-short":"Exclusive oral antibiotic treatment for hospitalized community-acquired pneumonia","volume":"30","author":[{"family":"Dinh","given":"Aurélien"},{"family":"Duran","given":"Clara"},{"family":"Ropers","given":"Jacques"},{"family":"Bouchand","given":"Frédérique"},{"family":"Deconinck","given":"Laurène"},{"family":"Matt","given":"Morgan"},{"family":"Senard","given":"Olivia"},{"family":"Lagrange","given":"Aurore"},{"family":"Mellon","given":"Guillaume"},{"family":"Calin","given":"Ruxandra"},{"family":"Makhloufi","given":"Sabrina"},{"family":"Lastours","given":"Victoire","non-dropping-particle":"de"},{"family":"Mathieu","given":"Emmanuel"},{"family":"Kahn","given":"Jean-Emmanuel"},{"family":"Rouveix","given":"Elisabeth"},{"family":"Grenet","given":"Julie"},{"family":"Dumoulin","given":"Jennifer"},{"family":"Chinet","given":"Thierry"},{"family":"Pépin","given":"Marion"},{"family":"Delcey","given":"Véronique"},{"family":"Diamantis","given":"Sylvain"},{"family":"Benhamou","given":"Daniel"},{"family":"Vitrat","given":"Virginie"},{"family":"Dombret","given":"Marie-Christine"},{"family":"Renaud","given":"Bertrand"},{"family":"Claessens","given":"Yann-Erick"},{"family":"Labarère","given":"José"},{"family":"Bedos","given":"Jean-Pierre"},{"family":"Aegerter","given":"Philippe"},{"family":"Crémieux","given":"Anne-Claude"},{"literal":"Pneumonia short treatment (PTC) study group"}],"issued":{"date-parts":[["2024",8]]}}}],"schema":"https://github.com/citation-style-language/schema/raw/master/csl-citation.json"}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[49]</w:t>
            </w:r>
            <w:r w:rsidRPr="00135E13">
              <w:rPr>
                <w:rFonts w:ascii="Times New Roman" w:hAnsi="Times New Roman" w:cs="Times New Roman"/>
                <w:sz w:val="18"/>
                <w:szCs w:val="18"/>
              </w:rPr>
              <w:fldChar w:fldCharType="end"/>
            </w:r>
            <w:r w:rsidRPr="00135E13">
              <w:rPr>
                <w:rFonts w:ascii="Times New Roman" w:hAnsi="Times New Roman" w:cs="Times New Roman"/>
                <w:sz w:val="18"/>
                <w:szCs w:val="18"/>
              </w:rPr>
              <w:t xml:space="preserve">. </w:t>
            </w:r>
            <w:r w:rsidR="00377F1B" w:rsidRPr="00135E13">
              <w:rPr>
                <w:rFonts w:ascii="Times New Roman" w:hAnsi="Times New Roman" w:cs="Times New Roman"/>
                <w:sz w:val="18"/>
                <w:szCs w:val="18"/>
              </w:rPr>
              <w:t xml:space="preserve">In ICU patients with infection who improved after </w:t>
            </w:r>
            <w:r w:rsidR="00964E73">
              <w:rPr>
                <w:rFonts w:ascii="Times New Roman" w:hAnsi="Times New Roman" w:cs="Times New Roman"/>
                <w:sz w:val="18"/>
                <w:szCs w:val="18"/>
              </w:rPr>
              <w:t xml:space="preserve">72 </w:t>
            </w:r>
            <w:r w:rsidR="00377F1B" w:rsidRPr="00135E13">
              <w:rPr>
                <w:rFonts w:ascii="Times New Roman" w:hAnsi="Times New Roman" w:cs="Times New Roman"/>
                <w:sz w:val="18"/>
                <w:szCs w:val="18"/>
              </w:rPr>
              <w:t xml:space="preserve">hours, switching was associated with similar tolerability and mortality </w:t>
            </w:r>
            <w:r w:rsidR="00377F1B"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ig4QCXuX","properties":{"formattedCitation":"[50]","plainCitation":"[50]","noteIndex":0},"citationItems":[{"id":"RKg9lF5b/I2neX4y6","uris":["http://zotero.org/users/8889971/items/26XIDCNH"],"itemData":{"id":4080,"type":"article-journal","abstract":"Background\nWhile there are valid concerns regarding the use of Enteral Antibiotics (EN) in the Intensive Care Unit (ICU), the evidence opposing this practice has not been thoroughly evaluated in prior research.\nAim\nThis study aimed to evaluate the transition from sequential Intravenous (IV) antibiotics to EN antibiotics in critically ill patients with infections.\nMethods\nThis was a prospective, multicenter, randomized, unblinded clinical trial involving patients with infections who received antibiotic therapy. The study compared sequential IV antibiotic treatment to EN therapy in patients who continued standard IV therapy in the intensive care unit. Primary outcome measures included mortality and clinical improvement assessed on days 3, 5, and 10. Secondary outcomes encompassed hospital and ICU length of stay, costs, and evaluation of microbiological failure.\nResults\nA total of67 patients were included in the EN group and 60 patients in the IV group. Most patients were classified as infected (66.1 %), with 33.1 % diagnosed with sepsis. In-hospital mortality rates were comparable between the two groups, with 31 % in the EN group and 30 % in the IV group. Clinical outcomes assessed on days 3, 5, and 10 showed no significant differences between the groups. Among the 67 patients in the EN group, 7 (10.5 %) required a return to intravenous antibiotic therapy. Notably, drug costs in the IV group increased by 207 %.\nConclusion\nThis is the first controlled and randomized study to evaluate the oral/enteral route of antibiotic administration in the ICU. The findings indicate no significant differences in clinical outcomes or survival rates between the two groups, while demonstrating reduced costs and comparable safety with EN antibiotics.","container-title":"The Brazilian Journal of Infectious Diseases","DOI":"10.1016/j.bjid.2025.104538","ISSN":"1413-8670","issue":"4","journalAbbreviation":"The Brazilian Journal of Infectious Diseases","page":"104538","source":"ScienceDirect","title":"Enteral versus intravenous antibiotics for critically ill patients: A pilot study","title-short":"Enteral versus intravenous antibiotics for critically ill patients","volume":"29","author":[{"family":"Oliveira","given":"Dayana dos Santos"},{"family":"Rocha","given":"Julia Vitória","non-dropping-particle":"da"},{"family":"Gasparetto","given":"Juliano"},{"family":"Yamada","given":"Carolina Hikari"},{"family":"Telles","given":"Joao Paulo"},{"family":"Tuon","given":"Felipe Francisco"}],"issued":{"date-parts":[["2025",7,1]]}}}],"schema":"https://github.com/citation-style-language/schema/raw/master/csl-citation.json"} </w:instrText>
            </w:r>
            <w:r w:rsidR="00377F1B" w:rsidRPr="00135E13">
              <w:rPr>
                <w:rFonts w:ascii="Times New Roman" w:hAnsi="Times New Roman" w:cs="Times New Roman"/>
                <w:sz w:val="18"/>
                <w:szCs w:val="18"/>
              </w:rPr>
              <w:fldChar w:fldCharType="separate"/>
            </w:r>
            <w:r w:rsidR="00377F1B" w:rsidRPr="00135E13">
              <w:rPr>
                <w:rFonts w:ascii="Times New Roman" w:hAnsi="Times New Roman" w:cs="Times New Roman"/>
                <w:sz w:val="18"/>
                <w:szCs w:val="18"/>
              </w:rPr>
              <w:t>[50]</w:t>
            </w:r>
            <w:r w:rsidR="00377F1B" w:rsidRPr="00135E13">
              <w:rPr>
                <w:rFonts w:ascii="Times New Roman" w:hAnsi="Times New Roman" w:cs="Times New Roman"/>
                <w:sz w:val="18"/>
                <w:szCs w:val="18"/>
              </w:rPr>
              <w:fldChar w:fldCharType="end"/>
            </w:r>
          </w:p>
          <w:p w14:paraId="49EFE5A9" w14:textId="0097B8CA" w:rsidR="00EC724C" w:rsidRPr="00135E13" w:rsidRDefault="00EC724C" w:rsidP="006B6A5F">
            <w:pPr>
              <w:rPr>
                <w:rFonts w:ascii="Times New Roman" w:hAnsi="Times New Roman" w:cs="Times New Roman"/>
                <w:b/>
                <w:bCs/>
                <w:sz w:val="18"/>
                <w:szCs w:val="18"/>
              </w:rPr>
            </w:pPr>
            <w:r w:rsidRPr="00135E13">
              <w:rPr>
                <w:rFonts w:ascii="Times New Roman" w:hAnsi="Times New Roman" w:cs="Times New Roman"/>
                <w:b/>
                <w:bCs/>
                <w:sz w:val="18"/>
                <w:szCs w:val="18"/>
              </w:rPr>
              <w:t>Beyond 9 g/day, IV administration should be prioritized</w:t>
            </w:r>
          </w:p>
        </w:tc>
        <w:tc>
          <w:tcPr>
            <w:tcW w:w="2800" w:type="dxa"/>
            <w:vMerge w:val="restart"/>
            <w:shd w:val="clear" w:color="auto" w:fill="ED7D31" w:themeFill="accent2"/>
          </w:tcPr>
          <w:p w14:paraId="4BBF3929" w14:textId="2190C55B" w:rsidR="00780B62" w:rsidRPr="00135E13" w:rsidRDefault="00780B62" w:rsidP="006B6A5F">
            <w:pPr>
              <w:rPr>
                <w:rFonts w:ascii="Times New Roman" w:hAnsi="Times New Roman" w:cs="Times New Roman"/>
                <w:sz w:val="18"/>
                <w:szCs w:val="18"/>
              </w:rPr>
            </w:pPr>
          </w:p>
        </w:tc>
      </w:tr>
      <w:tr w:rsidR="00B23C01" w:rsidRPr="00135E13" w14:paraId="09C3B27D" w14:textId="0200C2A6" w:rsidTr="005C7D6F">
        <w:trPr>
          <w:trHeight w:val="285"/>
        </w:trPr>
        <w:tc>
          <w:tcPr>
            <w:tcW w:w="1838" w:type="dxa"/>
            <w:noWrap/>
            <w:hideMark/>
          </w:tcPr>
          <w:p w14:paraId="6FB48E49" w14:textId="2AA44D57" w:rsidR="00780B62" w:rsidRPr="00135E13" w:rsidRDefault="00780B62" w:rsidP="006B6A5F">
            <w:pPr>
              <w:rPr>
                <w:rFonts w:ascii="Times New Roman" w:hAnsi="Times New Roman" w:cs="Times New Roman"/>
                <w:sz w:val="18"/>
                <w:szCs w:val="18"/>
              </w:rPr>
            </w:pPr>
            <w:r w:rsidRPr="00135E13">
              <w:rPr>
                <w:rFonts w:ascii="Times New Roman" w:hAnsi="Times New Roman" w:cs="Times New Roman"/>
                <w:sz w:val="18"/>
                <w:szCs w:val="18"/>
              </w:rPr>
              <w:t>Amoxicillin-clavulanic acid</w:t>
            </w:r>
          </w:p>
        </w:tc>
        <w:tc>
          <w:tcPr>
            <w:tcW w:w="1418" w:type="dxa"/>
            <w:noWrap/>
            <w:hideMark/>
          </w:tcPr>
          <w:p w14:paraId="7CC379E8" w14:textId="042199D8" w:rsidR="00780B62" w:rsidRPr="00135E13" w:rsidRDefault="00780B62" w:rsidP="006B6A5F">
            <w:pPr>
              <w:rPr>
                <w:rFonts w:ascii="Times New Roman" w:hAnsi="Times New Roman" w:cs="Times New Roman"/>
                <w:sz w:val="18"/>
                <w:szCs w:val="18"/>
              </w:rPr>
            </w:pPr>
            <w:r w:rsidRPr="00135E13">
              <w:rPr>
                <w:rFonts w:ascii="Times New Roman" w:hAnsi="Times New Roman" w:cs="Times New Roman"/>
                <w:sz w:val="18"/>
                <w:szCs w:val="18"/>
              </w:rPr>
              <w:t>70</w:t>
            </w:r>
            <w:r w:rsidR="00DD53A7" w:rsidRPr="00135E13">
              <w:rPr>
                <w:rFonts w:ascii="Times New Roman" w:hAnsi="Times New Roman" w:cs="Times New Roman"/>
                <w:sz w:val="18"/>
                <w:szCs w:val="18"/>
              </w:rPr>
              <w:t xml:space="preserve"> </w:t>
            </w:r>
            <w:r w:rsidR="00B23C01"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{"citationID":"kzyjUQGy","properties":{"formattedCitation":"[51]","plainCitation":"[51]","noteIndex":0},"citationItems":[{"id":"RKg9lF5b/sOedCdCf","uris":["http://zotero.org/users/8889971/items/NQTEBXBB"],"itemData":{"id":4082,"type":"article-journal","abstract":"Oral amoxicillin/clavulanate is a community workhorse antibiotic, routinely prescribed for respiratory tract infections, skin infections as well as urinary tract infections (UTIs). Multiple adult and paediatric dose formulations of amoxicillin/clavulanate are available in different parts of the world. In adult formulations, clavulanic acid dose is restricted to 125 mg because of tolerability issues. Despite its popular use for 40 years, few pharmacokinetic/pharmacodynamic (PK/PD) studies were undertaken to justify the doses and breakpoints currently in use for various infections. Clavulanate has a minimal role in the combination's use for respiratory infections. In the context of rising extended spectrum beta-lactamase (ESBL) prevalence globally, empirical and overuse of orally administered amoxicillin/clavulanate may select resistance in Gram-negative pathogens. The susceptibility test methods and interpretive criteria differ between the Clinical and Laboratory Standards Institute (CLSI) and European Committee on Antimicrobial Susceptibility Testing (EUCAST). Third-generation oral cephalosporins such as ceftibuten or cefpodoxime can be combined with amoxicillin/clavulanate to tackle UTIs involving ESBL producing Escherichia coli and Klebsiella spp. Clinicians who routinely prescribe amoxicillin/clavulanate in outpatient settings should be aware of potential benefits and limitations of this combination.","container-title":"Infectious Diseases and Therapy","DOI":"10.1007/s40121-020-00374-7","ISSN":"2193-8229","issue":"1","journalAbbreviation":"Infect Dis Ther","language":"eng","page":"15-25","PMID":"33306184","PMCID":"PMC7954971","source":"PubMed","title":"Orally Administered Amoxicillin/Clavulanate: Current Role in Outpatient Therapy","title-short":"Orally Administered Amoxicillin/Clavulanate","volume":"10","author":[{"family":"Veeraraghavan","given":"Balaji"},{"family":"Bakthavatchalam","given":"Yamuna Devi"},{"family":"Sahni","given":"Rani Diana"}],"issued":{"date-parts":[["2021",3]]}}}],"schema":"https://github.com/citation-style-language/schema/raw/master/csl-citation.json"} </w:instrText>
            </w:r>
            <w:r w:rsidR="00B23C01" w:rsidRPr="00135E13">
              <w:rPr>
                <w:rFonts w:ascii="Times New Roman" w:hAnsi="Times New Roman" w:cs="Times New Roman"/>
                <w:sz w:val="18"/>
                <w:szCs w:val="18"/>
              </w:rPr>
              <w:fldChar w:fldCharType="separate"/>
            </w:r>
            <w:r w:rsidR="00EC724C" w:rsidRPr="00135E13">
              <w:rPr>
                <w:rFonts w:ascii="Times New Roman" w:hAnsi="Times New Roman" w:cs="Times New Roman"/>
                <w:sz w:val="18"/>
                <w:szCs w:val="21"/>
              </w:rPr>
              <w:t>[51]</w:t>
            </w:r>
            <w:r w:rsidR="00B23C01" w:rsidRPr="00135E13">
              <w:rPr>
                <w:rFonts w:ascii="Times New Roman" w:hAnsi="Times New Roman" w:cs="Times New Roman"/>
                <w:sz w:val="18"/>
                <w:szCs w:val="18"/>
              </w:rPr>
              <w:fldChar w:fldCharType="end"/>
            </w:r>
          </w:p>
        </w:tc>
        <w:tc>
          <w:tcPr>
            <w:tcW w:w="1134" w:type="dxa"/>
            <w:noWrap/>
            <w:hideMark/>
          </w:tcPr>
          <w:p w14:paraId="7228AEFE" w14:textId="0824F1D7" w:rsidR="00780B62" w:rsidRPr="00135E13" w:rsidRDefault="00780B62" w:rsidP="006B6A5F">
            <w:pPr>
              <w:rPr>
                <w:rFonts w:ascii="Times New Roman" w:hAnsi="Times New Roman" w:cs="Times New Roman"/>
                <w:sz w:val="18"/>
                <w:szCs w:val="18"/>
              </w:rPr>
            </w:pPr>
            <w:r w:rsidRPr="00135E13">
              <w:rPr>
                <w:rFonts w:ascii="Times New Roman" w:hAnsi="Times New Roman" w:cs="Times New Roman"/>
                <w:sz w:val="18"/>
                <w:szCs w:val="18"/>
              </w:rPr>
              <w:t>0.75-2</w:t>
            </w:r>
          </w:p>
        </w:tc>
        <w:tc>
          <w:tcPr>
            <w:tcW w:w="2835" w:type="dxa"/>
            <w:vMerge/>
            <w:noWrap/>
            <w:hideMark/>
          </w:tcPr>
          <w:p w14:paraId="1DCE2DE7" w14:textId="77777777" w:rsidR="00780B62" w:rsidRPr="00135E13" w:rsidRDefault="00780B62" w:rsidP="006B6A5F">
            <w:pPr>
              <w:rPr>
                <w:rFonts w:ascii="Times New Roman" w:hAnsi="Times New Roman" w:cs="Times New Roman"/>
                <w:sz w:val="18"/>
                <w:szCs w:val="18"/>
              </w:rPr>
            </w:pPr>
          </w:p>
        </w:tc>
        <w:tc>
          <w:tcPr>
            <w:tcW w:w="3969" w:type="dxa"/>
            <w:vMerge/>
            <w:shd w:val="clear" w:color="auto" w:fill="FFFFFF" w:themeFill="background1"/>
          </w:tcPr>
          <w:p w14:paraId="2878252D" w14:textId="77777777" w:rsidR="00780B62" w:rsidRPr="00135E13" w:rsidRDefault="00780B62" w:rsidP="006B6A5F">
            <w:pPr>
              <w:rPr>
                <w:rFonts w:ascii="Times New Roman" w:hAnsi="Times New Roman" w:cs="Times New Roman"/>
                <w:sz w:val="18"/>
                <w:szCs w:val="18"/>
              </w:rPr>
            </w:pPr>
          </w:p>
        </w:tc>
        <w:tc>
          <w:tcPr>
            <w:tcW w:w="2800" w:type="dxa"/>
            <w:vMerge/>
            <w:shd w:val="clear" w:color="auto" w:fill="ED7D31" w:themeFill="accent2"/>
          </w:tcPr>
          <w:p w14:paraId="72380B3B" w14:textId="45A1DBA5" w:rsidR="00780B62" w:rsidRPr="00135E13" w:rsidRDefault="00780B62" w:rsidP="0044659F">
            <w:pPr>
              <w:rPr>
                <w:rFonts w:ascii="Times New Roman" w:hAnsi="Times New Roman" w:cs="Times New Roman"/>
                <w:sz w:val="18"/>
                <w:szCs w:val="18"/>
              </w:rPr>
            </w:pPr>
          </w:p>
        </w:tc>
      </w:tr>
      <w:tr w:rsidR="00B23C01" w:rsidRPr="00135E13" w14:paraId="099DACAA" w14:textId="6B13C7BA" w:rsidTr="005C7D6F">
        <w:trPr>
          <w:trHeight w:val="285"/>
        </w:trPr>
        <w:tc>
          <w:tcPr>
            <w:tcW w:w="1838" w:type="dxa"/>
            <w:noWrap/>
            <w:hideMark/>
          </w:tcPr>
          <w:p w14:paraId="1551935F" w14:textId="2ECCFDAE"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Sulfamethoxazole-trimethoprim</w:t>
            </w:r>
          </w:p>
        </w:tc>
        <w:tc>
          <w:tcPr>
            <w:tcW w:w="1418" w:type="dxa"/>
            <w:noWrap/>
            <w:hideMark/>
          </w:tcPr>
          <w:p w14:paraId="758F4D78" w14:textId="531FF202"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90</w:t>
            </w:r>
            <w:r w:rsidR="003A30F2" w:rsidRPr="00135E13">
              <w:rPr>
                <w:rFonts w:ascii="Times New Roman" w:hAnsi="Times New Roman" w:cs="Times New Roman"/>
                <w:sz w:val="18"/>
                <w:szCs w:val="18"/>
              </w:rPr>
              <w:t xml:space="preserve"> </w:t>
            </w:r>
            <w:r w:rsidR="00377F1B"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{"citationID":"21uTucKY","properties":{"formattedCitation":"[52]","plainCitation":"[52]","noteIndex":0},"citationItems":[{"id":"RKg9lF5b/tMBLX2YF","uris":["http://zotero.org/users/8889971/items/7GLCE29R"],"itemData":{"id":4133,"type":"article-journal","abstract":"Current dosage regimens of trimethoprim-sulfamethoxazole used to treat Pneumocystis carinii pneumonia in AIDS patients have been based on data from healthy subjects or patients without AIDS. The clearance and absorption characteristics of the drugs may potentially be different between patients with and without AIDS. This study was conducted to assess the pharmacokinetics of trimethoprim-sulfamethoxazole in critically ill and non-critically ill AIDS patients treated for P. carinii pneumonia. Patients received trimethoprim at 15 mg/kg of body weight and sulfamethoxazole at 75 mg/kg of body weight daily intravenously in three to four divided doses and were switched to the oral route when the regimen was tolerated. Serum samples for determination of drug concentrations were obtained over 12 h after intravenous and oral dosing. The pharmacokinetics of trimethoprim and sulfamethoxazole were compared in eight critically ill versus nine non-critically ill male patients and were as follows, respectively: clearance, 1.88 +/- 0.44 versus 1.73 +/- 0.64 ml/min/kg for trimethoprim and 0.40 +/- 0.12 versus 0.34 +/- 0.11 ml/min/kg for sulfamethoxazole; volume of distribution, 1.6 +/- 0.5 versus 1.5 +/- 0.5 liters/kg for trimethoprim and 0.5 +/- 0.3 versus 0.4 +/- 0.1 liters/kg for sulfamethoxazole; and half-life, 10.9 +/- 7.4 versus 11.3 +/- 4.0 h for trimethoprim, and 15.5 +/- 9.5 versus 14.3 +/- 4.7 h for sulfamethoxazole. No significant differences (P &gt; 0.05) were observed between patient groups, although there was wide intersubject variability. Absorption appeared to be similar between the critically ill and non-critically patients: bioavailability was 97.5% +/- 22.4% versus 101.8% +/- 22.7% for trimethoprim and 86.2% +/- 17.9% versus 99.1% +/- 20.5% for sulfamethoxazole, respectively. Because of the similar pharmacokinetics of trimethoprim-sulfamethoxazole in critically ill and non-critically ill AIDS patients, the two groups of patients may receive similar dosages. Dosage adjustment does not appear to be required when switching from the intravenous to the oral route.","container-title":"Antimicrobial Agents and Chemotherapy","DOI":"10.1128/AAC.39.1.28","ISSN":"0066-4804","issue":"1","journalAbbreviation":"Antimicrob Agents Chemother","language":"eng","page":"28-33","PMID":"7695325","PMCID":"PMC162479","source":"PubMed","title":"Pharmacokinetics of trimethoprim-sulfamethoxazole in critically ill and non-critically ill AIDS patients","volume":"39","author":[{"family":"Chin","given":"T. W."},{"family":"Vandenbroucke","given":"A."},{"family":"Fong","given":"I. W."}],"issued":{"date-parts":[["1995",1]]}}}],"schema":"https://github.com/citation-style-language/schema/raw/master/csl-citation.json"} </w:instrText>
            </w:r>
            <w:r w:rsidR="00377F1B" w:rsidRPr="00135E13">
              <w:rPr>
                <w:rFonts w:ascii="Times New Roman" w:hAnsi="Times New Roman" w:cs="Times New Roman"/>
                <w:sz w:val="18"/>
                <w:szCs w:val="18"/>
              </w:rPr>
              <w:fldChar w:fldCharType="separate"/>
            </w:r>
            <w:r w:rsidR="00377F1B" w:rsidRPr="00135E13">
              <w:rPr>
                <w:rFonts w:ascii="Times New Roman" w:hAnsi="Times New Roman" w:cs="Times New Roman"/>
                <w:sz w:val="18"/>
                <w:szCs w:val="21"/>
              </w:rPr>
              <w:t>[52]</w:t>
            </w:r>
            <w:r w:rsidR="00377F1B" w:rsidRPr="00135E13">
              <w:rPr>
                <w:rFonts w:ascii="Times New Roman" w:hAnsi="Times New Roman" w:cs="Times New Roman"/>
                <w:sz w:val="18"/>
                <w:szCs w:val="18"/>
              </w:rPr>
              <w:fldChar w:fldCharType="end"/>
            </w:r>
          </w:p>
        </w:tc>
        <w:tc>
          <w:tcPr>
            <w:tcW w:w="1134" w:type="dxa"/>
            <w:noWrap/>
            <w:hideMark/>
          </w:tcPr>
          <w:p w14:paraId="159BEA02" w14:textId="73289111"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2-4</w:t>
            </w:r>
          </w:p>
        </w:tc>
        <w:tc>
          <w:tcPr>
            <w:tcW w:w="2835" w:type="dxa"/>
            <w:noWrap/>
            <w:hideMark/>
          </w:tcPr>
          <w:p w14:paraId="196D1A7B" w14:textId="2C7612A6" w:rsidR="006B6A5F" w:rsidRPr="00135E13" w:rsidRDefault="000936D4" w:rsidP="006B6A5F">
            <w:pPr>
              <w:rPr>
                <w:rFonts w:ascii="Times New Roman" w:hAnsi="Times New Roman" w:cs="Times New Roman"/>
                <w:sz w:val="18"/>
                <w:szCs w:val="18"/>
              </w:rPr>
            </w:pPr>
            <w:r w:rsidRPr="00135E13">
              <w:rPr>
                <w:rFonts w:ascii="Times New Roman" w:hAnsi="Times New Roman" w:cs="Times New Roman"/>
                <w:sz w:val="18"/>
                <w:szCs w:val="18"/>
              </w:rPr>
              <w:t>Comparable</w:t>
            </w:r>
            <w:r w:rsidR="00377F1B" w:rsidRPr="00135E13">
              <w:rPr>
                <w:rFonts w:ascii="Times New Roman" w:hAnsi="Times New Roman" w:cs="Times New Roman"/>
                <w:sz w:val="18"/>
                <w:szCs w:val="18"/>
              </w:rPr>
              <w:t xml:space="preserve"> </w:t>
            </w:r>
          </w:p>
        </w:tc>
        <w:tc>
          <w:tcPr>
            <w:tcW w:w="3969" w:type="dxa"/>
          </w:tcPr>
          <w:p w14:paraId="3C0A4E7A" w14:textId="77777777" w:rsidR="002C0A18" w:rsidRPr="00135E13" w:rsidRDefault="002C0A18" w:rsidP="002C0A18">
            <w:pPr>
              <w:rPr>
                <w:rFonts w:ascii="Times New Roman" w:hAnsi="Times New Roman" w:cs="Times New Roman"/>
                <w:sz w:val="18"/>
                <w:szCs w:val="18"/>
              </w:rPr>
            </w:pPr>
            <w:r w:rsidRPr="00135E13">
              <w:rPr>
                <w:rFonts w:ascii="Times New Roman" w:hAnsi="Times New Roman" w:cs="Times New Roman"/>
                <w:sz w:val="18"/>
                <w:szCs w:val="18"/>
              </w:rPr>
              <w:t>Switch is recommended</w:t>
            </w:r>
            <w:r w:rsidRPr="00135E13">
              <w:rPr>
                <w:sz w:val="21"/>
                <w:szCs w:val="21"/>
                <w:vertAlign w:val="superscript"/>
              </w:rPr>
              <w:t>#</w:t>
            </w:r>
          </w:p>
          <w:p w14:paraId="6B436C51" w14:textId="0797CF3D" w:rsidR="006B6A5F" w:rsidRPr="00135E13" w:rsidRDefault="00377F1B" w:rsidP="006B6A5F">
            <w:pPr>
              <w:rPr>
                <w:rFonts w:ascii="Times New Roman" w:hAnsi="Times New Roman" w:cs="Times New Roman"/>
                <w:sz w:val="18"/>
                <w:szCs w:val="18"/>
              </w:rPr>
            </w:pPr>
            <w:r w:rsidRPr="00135E13">
              <w:rPr>
                <w:rFonts w:ascii="Times New Roman" w:hAnsi="Times New Roman" w:cs="Times New Roman"/>
                <w:b/>
                <w:bCs/>
                <w:sz w:val="18"/>
                <w:szCs w:val="18"/>
              </w:rPr>
              <w:t>D</w:t>
            </w:r>
            <w:r w:rsidR="006954E4" w:rsidRPr="00135E13">
              <w:rPr>
                <w:rFonts w:ascii="Times New Roman" w:hAnsi="Times New Roman" w:cs="Times New Roman"/>
                <w:b/>
                <w:bCs/>
                <w:sz w:val="18"/>
                <w:szCs w:val="18"/>
              </w:rPr>
              <w:t>oses should be adjusted according to the expected MIC</w:t>
            </w:r>
            <w:r w:rsidR="006954E4" w:rsidRPr="00135E13">
              <w:rPr>
                <w:rFonts w:ascii="Times New Roman" w:hAnsi="Times New Roman" w:cs="Times New Roman"/>
                <w:sz w:val="18"/>
                <w:szCs w:val="18"/>
              </w:rPr>
              <w:t xml:space="preserve">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{"citationID":"Mhv7It1R","properties":{"formattedCitation":"[53]","plainCitation":"[53]","noteIndex":0},"citationItems":[{"id":"RKg9lF5b/YXGGW4x8","uris":["http://zotero.org/users/8889971/items/TVAH4ZLB"],"itemData":{"id":4132,"type":"article-journal","abstract":"The optimum dosage regimen for cotrimoxazole in the treatment of life threatening infections due to susceptible organisms encountered in critically ill patients is unclear despite decades of the drug’s use. Therapeutic drug monitoring to determine the appropriate dosing for successful infection eradication is not widely available. The clinician must utilize published pharmacokinetic, pharmacodynamic, and effective inhibitory concentration information to determine potential dosing regimens for individual patients when treating specific pathogens. Using minimum inhibitory concentrations known to successfully block growth for target pathogens, the pharmacokinetics of both trimethoprim and sulfamethoxazole can be utilized to establish empiric dosing regimens for critically ill patients while considering organ of clearance impairment. The author’s recommendations for appropriate dosing regimens are forwarded based on these parameters.","container-title":"Annals of Intensive Care","DOI":"10.1186/2110-5820-4-13","ISSN":"2110-5820","journalAbbreviation":"Ann Intensive Care","page":"13","PMID":"24910807","PMCID":"PMC4031607","source":"PubMed Central","title":"Cotrimoxazole - optimal dosing in the critically ill","volume":"4","author":[{"family":"Brown","given":"Glen R"}],"issued":{"date-parts":[["2014",4,28]]}}}],"schema":"https://github.com/citation-style-language/schema/raw/master/csl-citation.json"}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[53]</w:t>
            </w:r>
            <w:r w:rsidRPr="00135E13">
              <w:rPr>
                <w:rFonts w:ascii="Times New Roman" w:hAnsi="Times New Roman" w:cs="Times New Roman"/>
                <w:sz w:val="18"/>
                <w:szCs w:val="18"/>
              </w:rPr>
              <w:fldChar w:fldCharType="end"/>
            </w:r>
          </w:p>
        </w:tc>
        <w:tc>
          <w:tcPr>
            <w:tcW w:w="2800" w:type="dxa"/>
            <w:shd w:val="clear" w:color="auto" w:fill="A8D08D" w:themeFill="accent6" w:themeFillTint="99"/>
          </w:tcPr>
          <w:p w14:paraId="70E20DB3" w14:textId="431FBF49" w:rsidR="006B6A5F" w:rsidRPr="00135E13" w:rsidRDefault="006B6A5F" w:rsidP="006B6A5F">
            <w:pPr>
              <w:rPr>
                <w:rFonts w:ascii="Times New Roman" w:hAnsi="Times New Roman" w:cs="Times New Roman"/>
                <w:sz w:val="18"/>
                <w:szCs w:val="18"/>
              </w:rPr>
            </w:pPr>
          </w:p>
        </w:tc>
      </w:tr>
      <w:tr w:rsidR="00B23C01" w:rsidRPr="00135E13" w14:paraId="46085FCF" w14:textId="2B3471DB" w:rsidTr="005C7D6F">
        <w:trPr>
          <w:trHeight w:val="285"/>
        </w:trPr>
        <w:tc>
          <w:tcPr>
            <w:tcW w:w="1838" w:type="dxa"/>
            <w:noWrap/>
            <w:hideMark/>
          </w:tcPr>
          <w:p w14:paraId="6C78684F" w14:textId="33507582" w:rsidR="006E2261" w:rsidRPr="00135E13" w:rsidRDefault="006E2261" w:rsidP="006B6A5F">
            <w:pPr>
              <w:rPr>
                <w:rFonts w:ascii="Times New Roman" w:hAnsi="Times New Roman" w:cs="Times New Roman"/>
                <w:sz w:val="18"/>
                <w:szCs w:val="18"/>
              </w:rPr>
            </w:pPr>
            <w:r w:rsidRPr="00135E13">
              <w:rPr>
                <w:rFonts w:ascii="Times New Roman" w:hAnsi="Times New Roman" w:cs="Times New Roman"/>
                <w:sz w:val="18"/>
                <w:szCs w:val="18"/>
              </w:rPr>
              <w:t>Ciprofloxacin</w:t>
            </w:r>
          </w:p>
        </w:tc>
        <w:tc>
          <w:tcPr>
            <w:tcW w:w="1418" w:type="dxa"/>
            <w:noWrap/>
            <w:hideMark/>
          </w:tcPr>
          <w:p w14:paraId="62469AB4" w14:textId="15004BE7" w:rsidR="006E2261" w:rsidRPr="00135E13" w:rsidRDefault="006E2261" w:rsidP="00DD53A7">
            <w:pPr>
              <w:rPr>
                <w:rFonts w:ascii="Times New Roman" w:hAnsi="Times New Roman" w:cs="Times New Roman"/>
                <w:sz w:val="18"/>
                <w:szCs w:val="18"/>
              </w:rPr>
            </w:pPr>
            <w:r w:rsidRPr="00135E13">
              <w:rPr>
                <w:rFonts w:ascii="Times New Roman" w:hAnsi="Times New Roman" w:cs="Times New Roman"/>
                <w:sz w:val="18"/>
                <w:szCs w:val="18"/>
              </w:rPr>
              <w:t>70-80</w:t>
            </w:r>
            <w:r w:rsidR="00DD53A7" w:rsidRPr="00135E13">
              <w:rPr>
                <w:rFonts w:ascii="Times New Roman" w:hAnsi="Times New Roman" w:cs="Times New Roman"/>
                <w:sz w:val="18"/>
                <w:szCs w:val="18"/>
              </w:rPr>
              <w:t xml:space="preserve"> </w:t>
            </w:r>
          </w:p>
        </w:tc>
        <w:tc>
          <w:tcPr>
            <w:tcW w:w="1134" w:type="dxa"/>
            <w:noWrap/>
            <w:hideMark/>
          </w:tcPr>
          <w:p w14:paraId="49A9E872" w14:textId="4B0F9189" w:rsidR="006E2261" w:rsidRPr="00135E13" w:rsidRDefault="006E2261" w:rsidP="006B6A5F">
            <w:pPr>
              <w:rPr>
                <w:rFonts w:ascii="Times New Roman" w:hAnsi="Times New Roman" w:cs="Times New Roman"/>
                <w:sz w:val="18"/>
                <w:szCs w:val="18"/>
              </w:rPr>
            </w:pPr>
            <w:r w:rsidRPr="00135E13">
              <w:rPr>
                <w:rFonts w:ascii="Times New Roman" w:hAnsi="Times New Roman" w:cs="Times New Roman"/>
                <w:sz w:val="18"/>
                <w:szCs w:val="18"/>
              </w:rPr>
              <w:t>1-2</w:t>
            </w:r>
          </w:p>
        </w:tc>
        <w:tc>
          <w:tcPr>
            <w:tcW w:w="2835" w:type="dxa"/>
            <w:noWrap/>
            <w:hideMark/>
          </w:tcPr>
          <w:p w14:paraId="16473D53" w14:textId="39161C28" w:rsidR="006E2261" w:rsidRPr="00135E13" w:rsidRDefault="000936D4" w:rsidP="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vMerge w:val="restart"/>
          </w:tcPr>
          <w:p w14:paraId="7601BF06" w14:textId="77777777" w:rsidR="002C0A18" w:rsidRPr="00135E13" w:rsidRDefault="002C0A18" w:rsidP="002C0A18">
            <w:pPr>
              <w:rPr>
                <w:rFonts w:ascii="Times New Roman" w:hAnsi="Times New Roman" w:cs="Times New Roman"/>
                <w:sz w:val="18"/>
                <w:szCs w:val="18"/>
              </w:rPr>
            </w:pPr>
            <w:r w:rsidRPr="00135E13">
              <w:rPr>
                <w:rFonts w:ascii="Times New Roman" w:hAnsi="Times New Roman" w:cs="Times New Roman"/>
                <w:sz w:val="18"/>
                <w:szCs w:val="18"/>
              </w:rPr>
              <w:t>Switch is recommended</w:t>
            </w:r>
            <w:r w:rsidRPr="00135E13">
              <w:rPr>
                <w:sz w:val="21"/>
                <w:szCs w:val="21"/>
                <w:vertAlign w:val="superscript"/>
              </w:rPr>
              <w:t>#</w:t>
            </w:r>
          </w:p>
          <w:p w14:paraId="2B8C781E" w14:textId="7D4AC0C9" w:rsidR="00135E13" w:rsidRPr="00135E13" w:rsidRDefault="00EC724C" w:rsidP="006B6A5F">
            <w:pPr>
              <w:rPr>
                <w:rFonts w:ascii="Times New Roman" w:hAnsi="Times New Roman" w:cs="Times New Roman"/>
                <w:sz w:val="18"/>
                <w:szCs w:val="18"/>
              </w:rPr>
            </w:pPr>
            <w:r w:rsidRPr="00135E13">
              <w:rPr>
                <w:rFonts w:ascii="Times New Roman" w:hAnsi="Times New Roman" w:cs="Times New Roman"/>
                <w:sz w:val="18"/>
                <w:szCs w:val="18"/>
              </w:rPr>
              <w:t xml:space="preserve">In ICU patients with infection who improved after </w:t>
            </w:r>
            <w:r w:rsidR="00964E73">
              <w:rPr>
                <w:rFonts w:ascii="Times New Roman" w:hAnsi="Times New Roman" w:cs="Times New Roman"/>
                <w:sz w:val="18"/>
                <w:szCs w:val="18"/>
              </w:rPr>
              <w:t>72</w:t>
            </w:r>
            <w:r w:rsidRPr="00135E13">
              <w:rPr>
                <w:rFonts w:ascii="Times New Roman" w:hAnsi="Times New Roman" w:cs="Times New Roman"/>
                <w:sz w:val="18"/>
                <w:szCs w:val="18"/>
              </w:rPr>
              <w:t xml:space="preserve"> hours, switching was associated with similar tolerability and mortality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z4E9lKGT","properties":{"formattedCitation":"[50]","plainCitation":"[50]","noteIndex":0},"citationItems":[{"id":"RKg9lF5b/I2neX4y6","uris":["http://zotero.org/users/8889971/items/26XIDCNH"],"itemData":{"id":4080,"type":"article-journal","abstract":"Background\nWhile there are valid concerns regarding the use of Enteral Antibiotics (EN) in the Intensive Care Unit (ICU), the evidence opposing this practice has not been thoroughly evaluated in prior research.\nAim\nThis study aimed to evaluate the transition from sequential Intravenous (IV) antibiotics to EN antibiotics in critically ill patients with infections.\nMethods\nThis was a prospective, multicenter, randomized, unblinded clinical trial involving patients with infections who received antibiotic therapy. The study compared sequential IV antibiotic treatment to EN therapy in patients who continued standard IV therapy in the intensive care unit. Primary outcome measures included mortality and clinical improvement assessed on days 3, 5, and 10. Secondary outcomes encompassed hospital and ICU length of stay, costs, and evaluation of microbiological failure.\nResults\nA total of67 patients were included in the EN group and 60 patients in the IV group. Most patients were classified as infected (66.1 %), with 33.1 % diagnosed with sepsis. In-hospital mortality rates were comparable between the two groups, with 31 % in the EN group and 30 % in the IV group. Clinical outcomes assessed on days 3, 5, and 10 showed no significant differences between the groups. Among the 67 patients in the EN group, 7 (10.5 %) required a return to intravenous antibiotic therapy. Notably, drug costs in the IV group increased by 207 %.\nConclusion\nThis is the first controlled and randomized study to evaluate the oral/enteral route of antibiotic administration in the ICU. The findings indicate no significant differences in clinical outcomes or survival rates between the two groups, while demonstrating reduced costs and comparable safety with EN antibiotics.","container-title":"The Brazilian Journal of Infectious Diseases","DOI":"10.1016/j.bjid.2025.104538","ISSN":"1413-8670","issue":"4","journalAbbreviation":"The Brazilian Journal of Infectious Diseases","page":"104538","source":"ScienceDirect","title":"Enteral versus intravenous antibiotics for critically ill patients: A pilot study","title-short":"Enteral versus intravenous antibiotics for critically ill patients","volume":"29","author":[{"family":"Oliveira","given":"Dayana dos Santos"},{"family":"Rocha","given":"Julia Vitória","non-dropping-particle":"da"},{"family":"Gasparetto","given":"Juliano"},{"family":"Yamada","given":"Carolina Hikari"},{"family":"Telles","given":"Joao Paulo"},{"family":"Tuon","given":"Felipe Francisco"}],"issued":{"date-parts":[["2025",7,1]]}}}],"schema":"https://github.com/citation-style-language/schema/raw/master/csl-citation.json"}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18"/>
              </w:rPr>
              <w:t>[50]</w:t>
            </w:r>
            <w:r w:rsidRPr="00135E13">
              <w:rPr>
                <w:rFonts w:ascii="Times New Roman" w:hAnsi="Times New Roman" w:cs="Times New Roman"/>
                <w:sz w:val="18"/>
                <w:szCs w:val="18"/>
              </w:rPr>
              <w:fldChar w:fldCharType="end"/>
            </w:r>
            <w:r w:rsidR="00135E13" w:rsidRPr="00135E13">
              <w:rPr>
                <w:rFonts w:ascii="Times New Roman" w:hAnsi="Times New Roman" w:cs="Times New Roman"/>
                <w:sz w:val="18"/>
                <w:szCs w:val="18"/>
              </w:rPr>
              <w:t xml:space="preserve">. </w:t>
            </w:r>
          </w:p>
          <w:p w14:paraId="418630D7" w14:textId="11AAAD0B" w:rsidR="00EC724C" w:rsidRPr="00135E13" w:rsidRDefault="00EC724C" w:rsidP="006B6A5F">
            <w:pPr>
              <w:rPr>
                <w:rFonts w:ascii="Times New Roman" w:hAnsi="Times New Roman" w:cs="Times New Roman"/>
                <w:sz w:val="18"/>
                <w:szCs w:val="18"/>
              </w:rPr>
            </w:pPr>
            <w:r w:rsidRPr="00135E13">
              <w:rPr>
                <w:rFonts w:ascii="Times New Roman" w:hAnsi="Times New Roman" w:cs="Times New Roman"/>
                <w:b/>
                <w:bCs/>
                <w:sz w:val="18"/>
                <w:szCs w:val="18"/>
              </w:rPr>
              <w:t xml:space="preserve">With Staphylococcus aureus or Pseudomonas aeruginosa, higher dosages than 750 mg should be given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{"citationID":"G0UFh9Vs","properties":{"formattedCitation":"[54]","plainCitation":"[54]","noteIndex":0},"citationItems":[{"id":"RKg9lF5b/qXw2aOaM","uris":["http://zotero.org/users/8889971/items/LSE5HKP2"],"itemData":{"id":4076,"type":"article-journal","abstract":"The authors determined the pharmacokinetic parameters of a new immediate-release ciprofloxacin suspension in tube-fed intensive care patients with bacterial pneumonia, to compare two dosage regimens: 500 mg b.i.d and 750 mg b.i.d. in this prospective clinical trial. The 20 patients were critically ill and on mechanical ventilation and enteral feeding with bacterial pneumonia. They were randomized to receive two different ciprofloxacin dosages: 500 mg b.i.d (group 1) versus 750 mg b.i.d. (group 2). Blood samples were collected from these patients after reaching steady-state and the pharmacokinetic parameters were determined. The mean (range) serum steady-state concentration at 2 h after enteral administration was: C(max 500) = 2.6 (1.2-4.3) mg/L in group 1 and C(max 750) = 3.5 (1.5-5.9) mg/L in group 2. The mean (range) calculated 12-h area under the serum concentration was high in both groups: AUC(0-12 (500)) = 24.7 (12.9-36.2) mg.h/L in group 1 and AUC(0-12 (750)) = 28.9 (18.3-47.5) mg.h/L in group 2. In conclusion, ciprofloxacin oral suspension was well absorbed via nasogastric route in intensive care patients with severe pneumonia, achieving reliable pharmacokinetic parameters for most of the pathogens and important cost reduction compared to intravenous delivery. However, with less susceptible pathogens such as Staphylococcus aureus or Pseudomonas aeruginosa, higher dosages than 750 mg b.i.d. should be given.","container-title":"Journal of Chemotherapy","DOI":"10.1179/joc.2002.14.2.175","ISSN":"1120-009X","issue":"2","journalAbbreviation":"J Chemother","language":"eng","note":"publisher-place: Florence, Italy","page":"175-180","PMID":"12017373","source":"PubMed","title":"Pharmacokinetic parameters of ciprofloxacin (500 mg/5 mL) oral suspension in critically ill patients with severe bacterial pneumonia: a comparison of two dosages","title-short":"Pharmacokinetic parameters of ciprofloxacin (500 mg/5 mL) oral suspension in critically ill patients with severe bacterial pneumonia","volume":"14","author":[{"family":"Debon","given":"R."},{"family":"Breilh","given":"D."},{"family":"Boselli","given":"E."},{"family":"Saux","given":"M. C."},{"family":"Duflo","given":"F."},{"family":"Chassard","given":"D."},{"family":"Allaouchiche","given":"B."}],"issued":{"date-parts":[["2002",4]]}}}],"schema":"https://github.com/citation-style-language/schema/raw/master/csl-citation.json"}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[54]</w:t>
            </w:r>
            <w:r w:rsidRPr="00135E13">
              <w:rPr>
                <w:rFonts w:ascii="Times New Roman" w:hAnsi="Times New Roman" w:cs="Times New Roman"/>
                <w:sz w:val="18"/>
                <w:szCs w:val="18"/>
              </w:rPr>
              <w:fldChar w:fldCharType="end"/>
            </w:r>
          </w:p>
        </w:tc>
        <w:tc>
          <w:tcPr>
            <w:tcW w:w="2800" w:type="dxa"/>
            <w:shd w:val="clear" w:color="auto" w:fill="A8D08D" w:themeFill="accent6" w:themeFillTint="99"/>
          </w:tcPr>
          <w:p w14:paraId="1600B2B5" w14:textId="149F622E" w:rsidR="006E2261" w:rsidRPr="00135E13" w:rsidRDefault="006E2261" w:rsidP="006B6A5F">
            <w:pPr>
              <w:rPr>
                <w:rFonts w:ascii="Times New Roman" w:hAnsi="Times New Roman" w:cs="Times New Roman"/>
                <w:sz w:val="18"/>
                <w:szCs w:val="18"/>
              </w:rPr>
            </w:pPr>
          </w:p>
        </w:tc>
      </w:tr>
      <w:tr w:rsidR="00B23C01" w:rsidRPr="00135E13" w14:paraId="04FA6238" w14:textId="33D47C8E" w:rsidTr="005C7D6F">
        <w:trPr>
          <w:trHeight w:val="285"/>
        </w:trPr>
        <w:tc>
          <w:tcPr>
            <w:tcW w:w="1838" w:type="dxa"/>
            <w:noWrap/>
            <w:hideMark/>
          </w:tcPr>
          <w:p w14:paraId="79C999EB" w14:textId="4C39C891" w:rsidR="006E2261" w:rsidRPr="00135E13" w:rsidRDefault="006E2261" w:rsidP="006B6A5F">
            <w:pPr>
              <w:rPr>
                <w:rFonts w:ascii="Times New Roman" w:hAnsi="Times New Roman" w:cs="Times New Roman"/>
                <w:sz w:val="18"/>
                <w:szCs w:val="18"/>
              </w:rPr>
            </w:pPr>
            <w:r w:rsidRPr="00135E13">
              <w:rPr>
                <w:rFonts w:ascii="Times New Roman" w:hAnsi="Times New Roman" w:cs="Times New Roman"/>
                <w:sz w:val="18"/>
                <w:szCs w:val="18"/>
              </w:rPr>
              <w:t>Levofloxacin</w:t>
            </w:r>
          </w:p>
        </w:tc>
        <w:tc>
          <w:tcPr>
            <w:tcW w:w="1418" w:type="dxa"/>
            <w:noWrap/>
            <w:hideMark/>
          </w:tcPr>
          <w:p w14:paraId="4622D0FE" w14:textId="46E3FF68" w:rsidR="006E2261" w:rsidRPr="00135E13" w:rsidRDefault="006E2261" w:rsidP="006B6A5F">
            <w:pPr>
              <w:rPr>
                <w:rFonts w:ascii="Times New Roman" w:hAnsi="Times New Roman" w:cs="Times New Roman"/>
                <w:sz w:val="18"/>
                <w:szCs w:val="18"/>
              </w:rPr>
            </w:pPr>
            <w:r w:rsidRPr="00135E13">
              <w:rPr>
                <w:rFonts w:ascii="Times New Roman" w:hAnsi="Times New Roman" w:cs="Times New Roman"/>
                <w:sz w:val="18"/>
                <w:szCs w:val="18"/>
              </w:rPr>
              <w:t>100</w:t>
            </w:r>
          </w:p>
        </w:tc>
        <w:tc>
          <w:tcPr>
            <w:tcW w:w="1134" w:type="dxa"/>
            <w:noWrap/>
            <w:hideMark/>
          </w:tcPr>
          <w:p w14:paraId="40B88D98" w14:textId="73F8BA47" w:rsidR="006E2261" w:rsidRPr="00135E13" w:rsidRDefault="006E2261" w:rsidP="006B6A5F">
            <w:pPr>
              <w:rPr>
                <w:rFonts w:ascii="Times New Roman" w:hAnsi="Times New Roman" w:cs="Times New Roman"/>
                <w:sz w:val="18"/>
                <w:szCs w:val="18"/>
              </w:rPr>
            </w:pPr>
            <w:r w:rsidRPr="00135E13">
              <w:rPr>
                <w:rFonts w:ascii="Times New Roman" w:hAnsi="Times New Roman" w:cs="Times New Roman"/>
                <w:sz w:val="18"/>
                <w:szCs w:val="18"/>
              </w:rPr>
              <w:t>1-2</w:t>
            </w:r>
          </w:p>
        </w:tc>
        <w:tc>
          <w:tcPr>
            <w:tcW w:w="2835" w:type="dxa"/>
            <w:noWrap/>
            <w:hideMark/>
          </w:tcPr>
          <w:p w14:paraId="031CDA96" w14:textId="204303FF" w:rsidR="006E2261" w:rsidRPr="00135E13" w:rsidRDefault="000936D4" w:rsidP="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vMerge/>
          </w:tcPr>
          <w:p w14:paraId="7C1BF287" w14:textId="77777777" w:rsidR="006E2261" w:rsidRPr="00135E13" w:rsidRDefault="006E2261" w:rsidP="006B6A5F">
            <w:pPr>
              <w:rPr>
                <w:rFonts w:ascii="Times New Roman" w:hAnsi="Times New Roman" w:cs="Times New Roman"/>
                <w:sz w:val="18"/>
                <w:szCs w:val="18"/>
              </w:rPr>
            </w:pPr>
          </w:p>
        </w:tc>
        <w:tc>
          <w:tcPr>
            <w:tcW w:w="2800" w:type="dxa"/>
            <w:shd w:val="clear" w:color="auto" w:fill="A8D08D" w:themeFill="accent6" w:themeFillTint="99"/>
          </w:tcPr>
          <w:p w14:paraId="79BB3344" w14:textId="24318438" w:rsidR="006E2261" w:rsidRPr="00135E13" w:rsidRDefault="00AE0208" w:rsidP="006B6A5F">
            <w:pPr>
              <w:rPr>
                <w:rFonts w:ascii="Times New Roman" w:hAnsi="Times New Roman" w:cs="Times New Roman"/>
                <w:sz w:val="18"/>
                <w:szCs w:val="18"/>
              </w:rPr>
            </w:pPr>
            <w:r w:rsidRPr="00135E13">
              <w:rPr>
                <w:rFonts w:ascii="Times New Roman" w:hAnsi="Times New Roman" w:cs="Times New Roman"/>
                <w:sz w:val="18"/>
                <w:szCs w:val="18"/>
              </w:rPr>
              <w:t xml:space="preserve"> </w:t>
            </w:r>
          </w:p>
        </w:tc>
      </w:tr>
      <w:tr w:rsidR="00B23C01" w:rsidRPr="00135E13" w14:paraId="1821566F" w14:textId="1DAAB62F" w:rsidTr="005C7D6F">
        <w:trPr>
          <w:trHeight w:val="285"/>
        </w:trPr>
        <w:tc>
          <w:tcPr>
            <w:tcW w:w="1838" w:type="dxa"/>
            <w:noWrap/>
            <w:hideMark/>
          </w:tcPr>
          <w:p w14:paraId="758C7E4E" w14:textId="542B2F7D"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Linezolid</w:t>
            </w:r>
          </w:p>
        </w:tc>
        <w:tc>
          <w:tcPr>
            <w:tcW w:w="1418" w:type="dxa"/>
            <w:noWrap/>
            <w:hideMark/>
          </w:tcPr>
          <w:p w14:paraId="29D65DDA" w14:textId="33CA116C"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100</w:t>
            </w:r>
          </w:p>
        </w:tc>
        <w:tc>
          <w:tcPr>
            <w:tcW w:w="1134" w:type="dxa"/>
            <w:noWrap/>
            <w:hideMark/>
          </w:tcPr>
          <w:p w14:paraId="1FDB3875" w14:textId="6EBD559C"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1.5-2.2</w:t>
            </w:r>
          </w:p>
        </w:tc>
        <w:tc>
          <w:tcPr>
            <w:tcW w:w="2835" w:type="dxa"/>
            <w:noWrap/>
            <w:hideMark/>
          </w:tcPr>
          <w:p w14:paraId="3811A630" w14:textId="45FD22D5" w:rsidR="006B6A5F" w:rsidRPr="00135E13" w:rsidRDefault="000936D4" w:rsidP="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tcPr>
          <w:p w14:paraId="45695C2B" w14:textId="77777777" w:rsidR="002C0A18" w:rsidRPr="00135E13" w:rsidRDefault="002C0A18" w:rsidP="002C0A18">
            <w:pPr>
              <w:rPr>
                <w:rFonts w:ascii="Times New Roman" w:hAnsi="Times New Roman" w:cs="Times New Roman"/>
                <w:sz w:val="18"/>
                <w:szCs w:val="18"/>
              </w:rPr>
            </w:pPr>
            <w:r w:rsidRPr="00135E13">
              <w:rPr>
                <w:rFonts w:ascii="Times New Roman" w:hAnsi="Times New Roman" w:cs="Times New Roman"/>
                <w:sz w:val="18"/>
                <w:szCs w:val="18"/>
              </w:rPr>
              <w:t>Switch is recommended</w:t>
            </w:r>
            <w:r w:rsidRPr="00135E13">
              <w:rPr>
                <w:sz w:val="21"/>
                <w:szCs w:val="21"/>
                <w:vertAlign w:val="superscript"/>
              </w:rPr>
              <w:t>#</w:t>
            </w:r>
          </w:p>
          <w:p w14:paraId="03C57366" w14:textId="5AB2BF13" w:rsidR="006B6A5F" w:rsidRPr="00135E13" w:rsidRDefault="00EC724C" w:rsidP="006B6A5F">
            <w:pPr>
              <w:rPr>
                <w:rFonts w:ascii="Times New Roman" w:hAnsi="Times New Roman" w:cs="Times New Roman"/>
                <w:sz w:val="18"/>
                <w:szCs w:val="18"/>
              </w:rPr>
            </w:pPr>
            <w:r w:rsidRPr="00135E13">
              <w:rPr>
                <w:rFonts w:ascii="Times New Roman" w:hAnsi="Times New Roman" w:cs="Times New Roman"/>
                <w:sz w:val="18"/>
                <w:szCs w:val="18"/>
              </w:rPr>
              <w:t>C</w:t>
            </w:r>
            <w:r w:rsidR="004B2694" w:rsidRPr="00135E13">
              <w:rPr>
                <w:rFonts w:ascii="Times New Roman" w:hAnsi="Times New Roman" w:cs="Times New Roman"/>
                <w:sz w:val="18"/>
                <w:szCs w:val="18"/>
              </w:rPr>
              <w:t xml:space="preserve">omparable microbiological and clinical effectiveness between oral and IV administration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{"citationID":"Vp2t9P4u","properties":{"formattedCitation":"[55]","plainCitation":"[55]","noteIndex":0},"citationItems":[{"id":"RKg9lF5b/Rg2y6TfN","uris":["http://zotero.org/users/8889971/items/LPUES9SX"],"itemData":{"id":4072,"type":"article-journal","abstract":"Patients with severe infection often require careful fluid management. Intravenous linezolid can increase the fluid volume, whereas oral linezolid can effectively limit the fluid volume. However, the differences in the treatment effect and incidence of thrombocytopenia between oral and intravenous linezolid in patients with severe infection remain unclear.","container-title":"Intensive Care Research","DOI":"10.1007/s44231-024-00071-w","ISSN":"2666-9862","issue":"3","journalAbbreviation":"Intensive Care Res","language":"en","page":"171-179","source":"Springer Link","title":"Effects of Oral Versus Intravenous Linezolid Administration on Treatment Effect and Incidence of Thrombocytopenia in Patients with Severe Infection","volume":"4","author":[{"family":"Liu","given":"Yanxin"},{"family":"Liu","given":"Tingting"},{"family":"Xiao","given":"Kun"},{"family":"Wang","given":"Jiang"},{"family":"Yan","given":"Peng"},{"family":"Fang","given":"Xiangqun"},{"family":"Xie","given":"Lixin"}],"issued":{"date-parts":[["2024",9,1]]}}}],"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[55]</w:t>
            </w:r>
            <w:r w:rsidRPr="00135E13">
              <w:rPr>
                <w:rFonts w:ascii="Times New Roman" w:hAnsi="Times New Roman" w:cs="Times New Roman"/>
                <w:sz w:val="18"/>
                <w:szCs w:val="18"/>
              </w:rPr>
              <w:fldChar w:fldCharType="end"/>
            </w:r>
          </w:p>
        </w:tc>
        <w:tc>
          <w:tcPr>
            <w:tcW w:w="2800" w:type="dxa"/>
            <w:shd w:val="clear" w:color="auto" w:fill="A8D08D" w:themeFill="accent6" w:themeFillTint="99"/>
          </w:tcPr>
          <w:p w14:paraId="391BF3EE" w14:textId="2085A826" w:rsidR="006B6A5F" w:rsidRPr="00135E13" w:rsidRDefault="006B6A5F" w:rsidP="006B6A5F">
            <w:pPr>
              <w:rPr>
                <w:rFonts w:ascii="Times New Roman" w:hAnsi="Times New Roman" w:cs="Times New Roman"/>
                <w:sz w:val="18"/>
                <w:szCs w:val="18"/>
              </w:rPr>
            </w:pPr>
          </w:p>
        </w:tc>
      </w:tr>
      <w:tr w:rsidR="00B23C01" w:rsidRPr="00135E13" w14:paraId="60A26976" w14:textId="0069B68D" w:rsidTr="005C7D6F">
        <w:trPr>
          <w:trHeight w:val="285"/>
        </w:trPr>
        <w:tc>
          <w:tcPr>
            <w:tcW w:w="1838" w:type="dxa"/>
            <w:noWrap/>
            <w:hideMark/>
          </w:tcPr>
          <w:p w14:paraId="433CB5C2" w14:textId="4161389B"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Clindamycin</w:t>
            </w:r>
          </w:p>
        </w:tc>
        <w:tc>
          <w:tcPr>
            <w:tcW w:w="1418" w:type="dxa"/>
            <w:noWrap/>
            <w:hideMark/>
          </w:tcPr>
          <w:p w14:paraId="0B15BA5B" w14:textId="34DA5283" w:rsidR="006B6A5F" w:rsidRPr="00135E13" w:rsidRDefault="006B6A5F" w:rsidP="00DD53A7">
            <w:pPr>
              <w:rPr>
                <w:rFonts w:ascii="Times New Roman" w:hAnsi="Times New Roman" w:cs="Times New Roman"/>
                <w:sz w:val="18"/>
                <w:szCs w:val="18"/>
              </w:rPr>
            </w:pPr>
            <w:r w:rsidRPr="00135E13">
              <w:rPr>
                <w:rFonts w:ascii="Times New Roman" w:hAnsi="Times New Roman" w:cs="Times New Roman"/>
                <w:sz w:val="18"/>
                <w:szCs w:val="18"/>
              </w:rPr>
              <w:t>90</w:t>
            </w:r>
          </w:p>
        </w:tc>
        <w:tc>
          <w:tcPr>
            <w:tcW w:w="1134" w:type="dxa"/>
            <w:noWrap/>
            <w:hideMark/>
          </w:tcPr>
          <w:p w14:paraId="5B9AF798" w14:textId="03169FD0"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 xml:space="preserve">1 </w:t>
            </w:r>
          </w:p>
        </w:tc>
        <w:tc>
          <w:tcPr>
            <w:tcW w:w="2835" w:type="dxa"/>
            <w:noWrap/>
            <w:hideMark/>
          </w:tcPr>
          <w:p w14:paraId="63196772" w14:textId="1B2E0D03" w:rsidR="006B6A5F" w:rsidRPr="00135E13" w:rsidRDefault="000936D4" w:rsidP="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tcPr>
          <w:p w14:paraId="0746E26E" w14:textId="77777777" w:rsidR="002C0A18" w:rsidRPr="00135E13" w:rsidRDefault="002C0A18" w:rsidP="002C0A18">
            <w:pPr>
              <w:rPr>
                <w:rFonts w:ascii="Times New Roman" w:hAnsi="Times New Roman" w:cs="Times New Roman"/>
                <w:sz w:val="18"/>
                <w:szCs w:val="18"/>
              </w:rPr>
            </w:pPr>
            <w:r w:rsidRPr="00135E13">
              <w:rPr>
                <w:rFonts w:ascii="Times New Roman" w:hAnsi="Times New Roman" w:cs="Times New Roman"/>
                <w:sz w:val="18"/>
                <w:szCs w:val="18"/>
              </w:rPr>
              <w:t>Switch is recommended</w:t>
            </w:r>
            <w:r w:rsidRPr="00135E13">
              <w:rPr>
                <w:sz w:val="21"/>
                <w:szCs w:val="21"/>
                <w:vertAlign w:val="superscript"/>
              </w:rPr>
              <w:t>#</w:t>
            </w:r>
          </w:p>
          <w:p w14:paraId="22BC3FF0" w14:textId="1DD9812D" w:rsidR="006B6A5F" w:rsidRPr="00135E13" w:rsidRDefault="00DD53A7" w:rsidP="006B6A5F">
            <w:pPr>
              <w:rPr>
                <w:rFonts w:ascii="Times New Roman" w:hAnsi="Times New Roman" w:cs="Times New Roman"/>
                <w:sz w:val="18"/>
                <w:szCs w:val="18"/>
              </w:rPr>
            </w:pPr>
            <w:r w:rsidRPr="00135E13">
              <w:rPr>
                <w:rFonts w:ascii="Times New Roman" w:hAnsi="Times New Roman" w:cs="Times New Roman"/>
                <w:sz w:val="18"/>
                <w:szCs w:val="18"/>
              </w:rPr>
              <w:t>Specific clinical outcome data in the ICU setting are lacking.</w:t>
            </w:r>
          </w:p>
        </w:tc>
        <w:tc>
          <w:tcPr>
            <w:tcW w:w="2800" w:type="dxa"/>
            <w:shd w:val="clear" w:color="auto" w:fill="A8D08D" w:themeFill="accent6" w:themeFillTint="99"/>
          </w:tcPr>
          <w:p w14:paraId="728CDE77" w14:textId="48E8B6DE" w:rsidR="006B6A5F" w:rsidRPr="00135E13" w:rsidRDefault="006B6A5F" w:rsidP="006B6A5F">
            <w:pPr>
              <w:rPr>
                <w:rFonts w:ascii="Times New Roman" w:hAnsi="Times New Roman" w:cs="Times New Roman"/>
                <w:sz w:val="18"/>
                <w:szCs w:val="18"/>
              </w:rPr>
            </w:pPr>
          </w:p>
        </w:tc>
      </w:tr>
      <w:tr w:rsidR="00B23C01" w:rsidRPr="00135E13" w14:paraId="4E3C07F3" w14:textId="213F719F" w:rsidTr="005C7D6F">
        <w:trPr>
          <w:trHeight w:val="285"/>
        </w:trPr>
        <w:tc>
          <w:tcPr>
            <w:tcW w:w="1838" w:type="dxa"/>
            <w:noWrap/>
            <w:hideMark/>
          </w:tcPr>
          <w:p w14:paraId="1F445EB7" w14:textId="3B7EAD94"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Doxycycline</w:t>
            </w:r>
          </w:p>
        </w:tc>
        <w:tc>
          <w:tcPr>
            <w:tcW w:w="1418" w:type="dxa"/>
            <w:noWrap/>
            <w:hideMark/>
          </w:tcPr>
          <w:p w14:paraId="1CF26009" w14:textId="26B7A356"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 xml:space="preserve">73-93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{"citationID":"SBbV4Ugf","properties":{"formattedCitation":"[56]","plainCitation":"[56]","noteIndex":0},"citationItems":[{"id":"RKg9lF5b/muWP9XKu","uris":["http://zotero.org/users/8889971/items/224JDL2U"],"itemData":{"id":4207,"type":"article-journal","abstract":"The literature presently lacks a population pharmacokinetic analysis of doxycycline. This study aimed to develop a population pharmacokinetic model of doxycycline plasma concentrations that could be used to assess the power of bioequivalence between Doryx delayed-release tablets and Doryx MPC. Doxycycline pharmacokinetic data were available from eight phase 1 clinical trials following single/multiple doses of conventional-release doxycycline capsules, Doryx delayed-release tablets, and Doryx MPC under fed and fasted conditions. A population pharmacokinetic model was developed in a stepwise manner using NONMEM, version 7.3. The final covariate model was developed according to a forward inclusion (P &lt; 0.01) and then backward deletion (P &lt; 0.001) procedure. The final model was a two-compartment model with two-transit absorption compartments. Structural covariates in the base model included formulation effects on relative bioavailability (F), absorption lag (ALAG), and the transit absorption rate (KTR) under the fed status. An absorption delay (lag) for the fed status (FTLAG2 = 0.203 h) was also included in the model as a structural covariate. The fed status was observed to decrease F by 10.5%, and the effect of female sex was a 14.4% increase in clearance. The manuscript presents the first population pharmacokinetic model of doxycycline plasma concentrations following oral doxycycline administration. The model was used to assess the power of bioequivalence between Doryx delayed-release tablets and Doryx MPC, and it could potentially be used to critically examine and optimize doxycycline dose regimens.","container-title":"Antimicrobial Agents and Chemotherapy","DOI":"10.1128/AAC.02401-16","ISSN":"1098-6596","issue":"3","journalAbbreviation":"Antimicrob Agents Chemother","language":"eng","page":"e02401-16","PMID":"28052851","PMCID":"PMC5328550","source":"PubMed","title":"Population Pharmacokinetic Model of Doxycycline Plasma Concentrations Using Pooled Study Data","volume":"61","author":[{"family":"Hopkins","given":"Ashley M."},{"family":"Wojciechowski","given":"Jessica"},{"family":"Abuhelwa","given":"Ahmad Y."},{"family":"Mudge","given":"Stuart"},{"family":"Upton","given":"Richard N."},{"family":"Foster","given":"David J. R."}],"issued":{"date-parts":[["2017",3]]}}}],"schema":"https://github.com/citation-style-language/schema/raw/master/csl-citation.json"} </w:instrText>
            </w:r>
            <w:r w:rsidRPr="00135E13">
              <w:rPr>
                <w:rFonts w:ascii="Times New Roman" w:hAnsi="Times New Roman" w:cs="Times New Roman"/>
                <w:sz w:val="18"/>
                <w:szCs w:val="18"/>
              </w:rPr>
              <w:fldChar w:fldCharType="separate"/>
            </w:r>
            <w:r w:rsidR="00EC724C" w:rsidRPr="00135E13">
              <w:rPr>
                <w:rFonts w:ascii="Times New Roman" w:hAnsi="Times New Roman" w:cs="Times New Roman"/>
                <w:sz w:val="18"/>
                <w:szCs w:val="21"/>
              </w:rPr>
              <w:t>[56]</w:t>
            </w:r>
            <w:r w:rsidRPr="00135E13">
              <w:rPr>
                <w:rFonts w:ascii="Times New Roman" w:hAnsi="Times New Roman" w:cs="Times New Roman"/>
                <w:sz w:val="18"/>
                <w:szCs w:val="18"/>
              </w:rPr>
              <w:fldChar w:fldCharType="end"/>
            </w:r>
          </w:p>
        </w:tc>
        <w:tc>
          <w:tcPr>
            <w:tcW w:w="1134" w:type="dxa"/>
            <w:noWrap/>
            <w:hideMark/>
          </w:tcPr>
          <w:p w14:paraId="195AECAC" w14:textId="23DEAD04"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2-4</w:t>
            </w:r>
          </w:p>
        </w:tc>
        <w:tc>
          <w:tcPr>
            <w:tcW w:w="2835" w:type="dxa"/>
            <w:noWrap/>
            <w:hideMark/>
          </w:tcPr>
          <w:p w14:paraId="50364D30" w14:textId="50B5F871" w:rsidR="006B6A5F" w:rsidRPr="00135E13" w:rsidRDefault="000936D4" w:rsidP="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tcPr>
          <w:p w14:paraId="2A9A94B0" w14:textId="77777777" w:rsidR="002C0A18" w:rsidRPr="00135E13" w:rsidRDefault="002C0A18" w:rsidP="002C0A18">
            <w:pPr>
              <w:rPr>
                <w:rFonts w:ascii="Times New Roman" w:hAnsi="Times New Roman" w:cs="Times New Roman"/>
                <w:sz w:val="18"/>
                <w:szCs w:val="18"/>
              </w:rPr>
            </w:pPr>
            <w:r w:rsidRPr="00135E13">
              <w:rPr>
                <w:rFonts w:ascii="Times New Roman" w:hAnsi="Times New Roman" w:cs="Times New Roman"/>
                <w:sz w:val="18"/>
                <w:szCs w:val="18"/>
              </w:rPr>
              <w:t>Switch is recommended</w:t>
            </w:r>
            <w:r w:rsidRPr="00135E13">
              <w:rPr>
                <w:sz w:val="21"/>
                <w:szCs w:val="21"/>
                <w:vertAlign w:val="superscript"/>
              </w:rPr>
              <w:t>#</w:t>
            </w:r>
          </w:p>
          <w:p w14:paraId="77325AFC" w14:textId="56FF706C" w:rsidR="006B6A5F" w:rsidRPr="00135E13" w:rsidRDefault="00F67543" w:rsidP="006B6A5F">
            <w:pPr>
              <w:rPr>
                <w:rFonts w:ascii="Times New Roman" w:hAnsi="Times New Roman" w:cs="Times New Roman"/>
                <w:sz w:val="18"/>
                <w:szCs w:val="18"/>
              </w:rPr>
            </w:pPr>
            <w:r w:rsidRPr="00135E13">
              <w:rPr>
                <w:rFonts w:ascii="Times New Roman" w:hAnsi="Times New Roman" w:cs="Times New Roman"/>
                <w:sz w:val="18"/>
                <w:szCs w:val="18"/>
              </w:rPr>
              <w:t xml:space="preserve">Comparable efficacy profiles in Neuroborreliosis </w:t>
            </w:r>
            <w:r w:rsidRPr="00135E13">
              <w:rPr>
                <w:rFonts w:ascii="Times New Roman" w:hAnsi="Times New Roman" w:cs="Times New Roman"/>
                <w:sz w:val="18"/>
                <w:szCs w:val="18"/>
                <w:lang w:val="fr-FR"/>
              </w:rPr>
              <w:fldChar w:fldCharType="begin"/>
            </w:r>
            <w:r w:rsidR="00F4471E">
              <w:rPr>
                <w:rFonts w:ascii="Times New Roman" w:hAnsi="Times New Roman" w:cs="Times New Roman"/>
                <w:sz w:val="18"/>
                <w:szCs w:val="18"/>
              </w:rPr>
              <w:instrText xml:space="preserve"> ADDIN ZOTERO_ITEM CSL_CITATION {"citationID":"Xroxoc8h","properties":{"formattedCitation":"[57]","plainCitation":"[57]","noteIndex":0},"citationItems":[{"id":"RKg9lF5b/mP6wsnQH","uris":["http://zotero.org/users/8889971/items/GV723U9M"],"itemData":{"id":4069,"type":"article-journal","abstract":"BACKGROUND: Lyme neuroborreliosis (LNB) is often treated with intravenous ceftriaxone even if doxycycline is suggested to be noninferior to ceftriaxone. We evaluated the efficacy of oral doxycycline in comparison to ceftriaxone in the treatment of LNB.\nMETHODS: Patients with neurological symptoms suggestive of LNB without other obvious reasons were recruited. The inclusion criteria were (1) production of Borrelia burgdorferi-specific antibodies in cerebrospinal fluid (CSF) or serum; (2) B. burgdorferi DNA in the CSF; or (3) an erythema migrans during the past 3 months. Participants were randomized in a 1:1 ratio to receive either oral doxycycline 100 mg twice daily for 4 weeks, or intravenous ceftriaxone 2 g daily for 3 weeks. The participants described their subjective condition with a visual analogue scale (VAS) from 0 to 10 (0 = normal; 10 = worst) before the treatment, and 4 and 12 months after the treatment. The primary outcome was the change in the VAS score at 12 months.\nRESULTS: Between 14 September 2012 and 28 December 2017, 210 adults with suspected LNB were assigned to receive doxycycline (n = 104) or ceftriaxone (n = 106). The per-protocol analysis comprised 82 patients with doxycycline and 84 patients with ceftriaxone. The mean change in the VAS score was -3.9 in the doxycycline group and -3.8 in the ceftriaxone group (mean difference, 0.17 [95% confidence interval, -.59 to .92], which is within the prespecified equivalence margins of -1 to 1 units). Participants in both groups improved equally.\nCONCLUSIONS: Oral doxycycline is equally effective as intravenous ceftriaxone in the treatment of LNB.\nCLINICAL TRIALS REGISTRATION: NCT01635530 and EudraCT 2012-000313-37.","container-title":"Clinical Infectious Diseases: An Official Publication of the Infectious Diseases Society of America","DOI":"10.1093/cid/ciaa217","ISSN":"1537-6591","issue":"8","journalAbbreviation":"Clin Infect Dis","language":"eng","page":"1323-1331","PMID":"32133487","source":"PubMed","title":"Oral Doxycycline Compared to Intravenous Ceftriaxone in the Treatment of Lyme Neuroborreliosis: A Multicenter, Equivalence, Randomized, Open-label Trial","title-short":"Oral Doxycycline Compared to Intravenous Ceftriaxone in the Treatment of Lyme Neuroborreliosis","volume":"72","author":[{"family":"Kortela","given":"Elisa"},{"family":"Kanerva","given":"Mari J."},{"family":"Puustinen","given":"Juha"},{"family":"Hurme","given":"Saija"},{"family":"Airas","given":"Laura"},{"family":"Lauhio","given":"Anneli"},{"family":"Hohenthal","given":"Ulla"},{"family":"Jalava-Karvinen","given":"Päivi"},{"family":"Nieminen","given":"Tuomas"},{"family":"Finnilä","given":"Taru"},{"family":"Häggblom","given":"Tony"},{"family":"Pietikäinen","given":"Annukka"},{"family":"Koivisto","given":"Mari"},{"family":"Vilhonen","given":"Johanna"},{"family":"Marttila-Vaara","given":"Minna"},{"family":"Hytönen","given":"Jukka"},{"family":"Oksi","given":"Jarmo"}],"issued":{"date-parts":[["2021",4,26]]}}}],"schema":"https://github.com/citation-style-language/schema/raw/master/csl-citation.json"} </w:instrText>
            </w:r>
            <w:r w:rsidRPr="00135E13">
              <w:rPr>
                <w:rFonts w:ascii="Times New Roman" w:hAnsi="Times New Roman" w:cs="Times New Roman"/>
                <w:sz w:val="18"/>
                <w:szCs w:val="18"/>
                <w:lang w:val="fr-FR"/>
              </w:rPr>
              <w:fldChar w:fldCharType="separate"/>
            </w:r>
            <w:r w:rsidRPr="00135E13">
              <w:rPr>
                <w:rFonts w:ascii="Times New Roman" w:hAnsi="Times New Roman" w:cs="Times New Roman"/>
                <w:sz w:val="18"/>
                <w:szCs w:val="21"/>
              </w:rPr>
              <w:t>[57]</w:t>
            </w:r>
            <w:r w:rsidRPr="00135E13">
              <w:rPr>
                <w:rFonts w:ascii="Times New Roman" w:hAnsi="Times New Roman" w:cs="Times New Roman"/>
                <w:sz w:val="18"/>
                <w:szCs w:val="18"/>
                <w:lang w:val="fr-FR"/>
              </w:rPr>
              <w:fldChar w:fldCharType="end"/>
            </w:r>
          </w:p>
        </w:tc>
        <w:tc>
          <w:tcPr>
            <w:tcW w:w="2800" w:type="dxa"/>
            <w:shd w:val="clear" w:color="auto" w:fill="A8D08D" w:themeFill="accent6" w:themeFillTint="99"/>
          </w:tcPr>
          <w:p w14:paraId="19F6A254" w14:textId="2AED9322" w:rsidR="006B6A5F" w:rsidRPr="00135E13" w:rsidRDefault="006B6A5F" w:rsidP="006B6A5F">
            <w:pPr>
              <w:rPr>
                <w:rFonts w:ascii="Times New Roman" w:hAnsi="Times New Roman" w:cs="Times New Roman"/>
                <w:sz w:val="18"/>
                <w:szCs w:val="18"/>
              </w:rPr>
            </w:pPr>
          </w:p>
        </w:tc>
      </w:tr>
      <w:tr w:rsidR="00964E73" w:rsidRPr="00135E13" w14:paraId="179B6A14" w14:textId="77777777" w:rsidTr="005C7D6F">
        <w:trPr>
          <w:trHeight w:val="285"/>
        </w:trPr>
        <w:tc>
          <w:tcPr>
            <w:tcW w:w="1838" w:type="dxa"/>
            <w:noWrap/>
          </w:tcPr>
          <w:p w14:paraId="4D57F72F" w14:textId="6D7B30DE" w:rsidR="00964E73" w:rsidRPr="00135E13" w:rsidRDefault="00964E73" w:rsidP="00964E73">
            <w:pPr>
              <w:rPr>
                <w:rFonts w:ascii="Times New Roman" w:hAnsi="Times New Roman" w:cs="Times New Roman"/>
                <w:sz w:val="18"/>
                <w:szCs w:val="18"/>
              </w:rPr>
            </w:pPr>
            <w:r w:rsidRPr="00135E13">
              <w:rPr>
                <w:rFonts w:ascii="Times New Roman" w:hAnsi="Times New Roman" w:cs="Times New Roman"/>
                <w:sz w:val="18"/>
                <w:szCs w:val="18"/>
              </w:rPr>
              <w:lastRenderedPageBreak/>
              <w:t>Metronidazole</w:t>
            </w:r>
          </w:p>
        </w:tc>
        <w:tc>
          <w:tcPr>
            <w:tcW w:w="1418" w:type="dxa"/>
            <w:noWrap/>
          </w:tcPr>
          <w:p w14:paraId="42B2A05D" w14:textId="2A0E9F59" w:rsidR="00964E73" w:rsidRPr="00135E13" w:rsidRDefault="00964E73" w:rsidP="00964E73">
            <w:pPr>
              <w:rPr>
                <w:rFonts w:ascii="Times New Roman" w:hAnsi="Times New Roman" w:cs="Times New Roman"/>
                <w:sz w:val="18"/>
                <w:szCs w:val="18"/>
              </w:rPr>
            </w:pPr>
            <w:r w:rsidRPr="00135E13">
              <w:rPr>
                <w:rFonts w:ascii="Times New Roman" w:hAnsi="Times New Roman" w:cs="Times New Roman"/>
                <w:sz w:val="18"/>
                <w:szCs w:val="18"/>
              </w:rPr>
              <w:t>100</w:t>
            </w:r>
          </w:p>
        </w:tc>
        <w:tc>
          <w:tcPr>
            <w:tcW w:w="1134" w:type="dxa"/>
            <w:noWrap/>
          </w:tcPr>
          <w:p w14:paraId="59BEE4E7" w14:textId="0E03E5FD" w:rsidR="00964E73" w:rsidRPr="00135E13" w:rsidRDefault="00964E73" w:rsidP="00964E73">
            <w:pPr>
              <w:rPr>
                <w:rFonts w:ascii="Times New Roman" w:hAnsi="Times New Roman" w:cs="Times New Roman"/>
                <w:sz w:val="18"/>
                <w:szCs w:val="18"/>
              </w:rPr>
            </w:pPr>
            <w:r w:rsidRPr="00135E13">
              <w:rPr>
                <w:rFonts w:ascii="Times New Roman" w:hAnsi="Times New Roman" w:cs="Times New Roman"/>
                <w:sz w:val="18"/>
                <w:szCs w:val="18"/>
              </w:rPr>
              <w:t>1-3</w:t>
            </w:r>
          </w:p>
        </w:tc>
        <w:tc>
          <w:tcPr>
            <w:tcW w:w="2835" w:type="dxa"/>
            <w:noWrap/>
          </w:tcPr>
          <w:p w14:paraId="0B6058F3" w14:textId="469AC76B" w:rsidR="00964E73" w:rsidRPr="00135E13" w:rsidRDefault="00964E73" w:rsidP="00964E73">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tcPr>
          <w:p w14:paraId="0A410C64" w14:textId="3AE129AA" w:rsidR="00964E73" w:rsidRPr="00135E13" w:rsidRDefault="00964E73" w:rsidP="00964E73">
            <w:pPr>
              <w:rPr>
                <w:rFonts w:ascii="Times New Roman" w:hAnsi="Times New Roman" w:cs="Times New Roman"/>
                <w:sz w:val="18"/>
                <w:szCs w:val="18"/>
              </w:rPr>
            </w:pPr>
            <w:r w:rsidRPr="00135E13">
              <w:rPr>
                <w:rFonts w:ascii="Times New Roman" w:hAnsi="Times New Roman" w:cs="Times New Roman"/>
                <w:sz w:val="18"/>
                <w:szCs w:val="18"/>
              </w:rPr>
              <w:t>Switch is recommended</w:t>
            </w:r>
            <w:r w:rsidRPr="00135E13">
              <w:rPr>
                <w:sz w:val="21"/>
                <w:szCs w:val="21"/>
                <w:vertAlign w:val="superscript"/>
              </w:rPr>
              <w:t>#</w:t>
            </w:r>
          </w:p>
        </w:tc>
        <w:tc>
          <w:tcPr>
            <w:tcW w:w="2800" w:type="dxa"/>
            <w:shd w:val="clear" w:color="auto" w:fill="A8D08D" w:themeFill="accent6" w:themeFillTint="99"/>
          </w:tcPr>
          <w:p w14:paraId="7C850EF3" w14:textId="77777777" w:rsidR="00964E73" w:rsidRPr="00135E13" w:rsidRDefault="00964E73" w:rsidP="00964E73">
            <w:pPr>
              <w:rPr>
                <w:rFonts w:ascii="Times New Roman" w:hAnsi="Times New Roman" w:cs="Times New Roman"/>
                <w:sz w:val="18"/>
                <w:szCs w:val="18"/>
              </w:rPr>
            </w:pPr>
          </w:p>
        </w:tc>
      </w:tr>
      <w:tr w:rsidR="005C58C5" w:rsidRPr="00135E13" w14:paraId="761B628F" w14:textId="77777777" w:rsidTr="00B23C01">
        <w:trPr>
          <w:trHeight w:val="285"/>
        </w:trPr>
        <w:tc>
          <w:tcPr>
            <w:tcW w:w="13994" w:type="dxa"/>
            <w:gridSpan w:val="6"/>
            <w:noWrap/>
          </w:tcPr>
          <w:p w14:paraId="6E4F5FCE" w14:textId="059ECBE3" w:rsidR="005C58C5" w:rsidRPr="00135E13" w:rsidRDefault="005C58C5" w:rsidP="00EF420C">
            <w:pPr>
              <w:jc w:val="center"/>
              <w:rPr>
                <w:rFonts w:ascii="Times New Roman" w:hAnsi="Times New Roman" w:cs="Times New Roman"/>
                <w:b/>
                <w:bCs/>
                <w:i/>
                <w:iCs/>
                <w:sz w:val="18"/>
                <w:szCs w:val="18"/>
              </w:rPr>
            </w:pPr>
            <w:r w:rsidRPr="00135E13">
              <w:rPr>
                <w:rFonts w:ascii="Times New Roman" w:hAnsi="Times New Roman" w:cs="Times New Roman"/>
                <w:b/>
                <w:bCs/>
                <w:i/>
                <w:iCs/>
                <w:sz w:val="18"/>
                <w:szCs w:val="18"/>
              </w:rPr>
              <w:t>Antituberculosis drugs</w:t>
            </w:r>
          </w:p>
        </w:tc>
      </w:tr>
      <w:tr w:rsidR="00CC6204" w:rsidRPr="00135E13" w14:paraId="090CBA3F" w14:textId="721FAEE9" w:rsidTr="005C7D6F">
        <w:trPr>
          <w:trHeight w:val="285"/>
        </w:trPr>
        <w:tc>
          <w:tcPr>
            <w:tcW w:w="1838" w:type="dxa"/>
            <w:noWrap/>
            <w:hideMark/>
          </w:tcPr>
          <w:p w14:paraId="15A8DF10" w14:textId="38DFC715" w:rsidR="00CC6204" w:rsidRPr="00135E13" w:rsidRDefault="00CC6204" w:rsidP="006B6A5F">
            <w:pPr>
              <w:rPr>
                <w:rFonts w:ascii="Times New Roman" w:hAnsi="Times New Roman" w:cs="Times New Roman"/>
                <w:sz w:val="18"/>
                <w:szCs w:val="18"/>
              </w:rPr>
            </w:pPr>
            <w:r w:rsidRPr="00135E13">
              <w:rPr>
                <w:rFonts w:ascii="Times New Roman" w:hAnsi="Times New Roman" w:cs="Times New Roman"/>
                <w:sz w:val="18"/>
                <w:szCs w:val="18"/>
              </w:rPr>
              <w:t>Rifampicin</w:t>
            </w:r>
          </w:p>
        </w:tc>
        <w:tc>
          <w:tcPr>
            <w:tcW w:w="1418" w:type="dxa"/>
            <w:noWrap/>
            <w:hideMark/>
          </w:tcPr>
          <w:p w14:paraId="0A8216D2" w14:textId="0AC7F6AF" w:rsidR="00CC6204" w:rsidRPr="00135E13" w:rsidRDefault="00CC6204" w:rsidP="006B6A5F">
            <w:pPr>
              <w:rPr>
                <w:rFonts w:ascii="Times New Roman" w:hAnsi="Times New Roman" w:cs="Times New Roman"/>
                <w:sz w:val="18"/>
                <w:szCs w:val="18"/>
              </w:rPr>
            </w:pPr>
            <w:r w:rsidRPr="00135E13">
              <w:rPr>
                <w:rFonts w:ascii="Times New Roman" w:hAnsi="Times New Roman" w:cs="Times New Roman"/>
                <w:sz w:val="18"/>
                <w:szCs w:val="18"/>
              </w:rPr>
              <w:t>100</w:t>
            </w:r>
          </w:p>
        </w:tc>
        <w:tc>
          <w:tcPr>
            <w:tcW w:w="1134" w:type="dxa"/>
            <w:noWrap/>
            <w:hideMark/>
          </w:tcPr>
          <w:p w14:paraId="3BB23DFF" w14:textId="63D2EACE" w:rsidR="00CC6204" w:rsidRPr="00135E13" w:rsidRDefault="00CC6204" w:rsidP="006B6A5F">
            <w:pPr>
              <w:rPr>
                <w:rFonts w:ascii="Times New Roman" w:hAnsi="Times New Roman" w:cs="Times New Roman"/>
                <w:sz w:val="18"/>
                <w:szCs w:val="18"/>
              </w:rPr>
            </w:pPr>
            <w:r w:rsidRPr="00135E13">
              <w:rPr>
                <w:rFonts w:ascii="Times New Roman" w:hAnsi="Times New Roman" w:cs="Times New Roman"/>
                <w:sz w:val="18"/>
                <w:szCs w:val="18"/>
              </w:rPr>
              <w:t>2-3</w:t>
            </w:r>
          </w:p>
        </w:tc>
        <w:tc>
          <w:tcPr>
            <w:tcW w:w="2835" w:type="dxa"/>
            <w:noWrap/>
            <w:hideMark/>
          </w:tcPr>
          <w:p w14:paraId="400132F5" w14:textId="202F766D" w:rsidR="00CC6204" w:rsidRPr="00135E13" w:rsidRDefault="00CC6204" w:rsidP="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vMerge w:val="restart"/>
          </w:tcPr>
          <w:p w14:paraId="42C89AC2" w14:textId="3B56CD24" w:rsidR="00CC6204" w:rsidRPr="00135E13" w:rsidRDefault="00CC6204" w:rsidP="002C0A18">
            <w:pPr>
              <w:rPr>
                <w:rFonts w:ascii="Times New Roman" w:hAnsi="Times New Roman" w:cs="Times New Roman"/>
                <w:sz w:val="18"/>
                <w:szCs w:val="18"/>
                <w:vertAlign w:val="superscript"/>
              </w:rPr>
            </w:pPr>
            <w:r w:rsidRPr="00135E13">
              <w:rPr>
                <w:rFonts w:ascii="Times New Roman" w:hAnsi="Times New Roman" w:cs="Times New Roman"/>
                <w:sz w:val="18"/>
                <w:szCs w:val="18"/>
              </w:rPr>
              <w:t>Switch is recommended</w:t>
            </w:r>
            <w:r w:rsidRPr="00135E13">
              <w:rPr>
                <w:rFonts w:ascii="Times New Roman" w:hAnsi="Times New Roman" w:cs="Times New Roman"/>
                <w:sz w:val="18"/>
                <w:szCs w:val="18"/>
                <w:vertAlign w:val="superscript"/>
              </w:rPr>
              <w:t xml:space="preserve"># </w:t>
            </w:r>
          </w:p>
          <w:p w14:paraId="4E2173AE" w14:textId="65A999DF" w:rsidR="00CC6204" w:rsidRPr="00135E13" w:rsidRDefault="000B426F" w:rsidP="002C0A18">
            <w:pPr>
              <w:rPr>
                <w:rFonts w:ascii="Times New Roman" w:hAnsi="Times New Roman" w:cs="Times New Roman"/>
                <w:sz w:val="18"/>
                <w:szCs w:val="18"/>
              </w:rPr>
            </w:pPr>
            <w:r w:rsidRPr="00135E13">
              <w:rPr>
                <w:rFonts w:ascii="Times New Roman" w:hAnsi="Times New Roman" w:cs="Times New Roman"/>
                <w:sz w:val="18"/>
                <w:szCs w:val="18"/>
              </w:rPr>
              <w:t xml:space="preserve">Enteral nutrition and ICU conditions may reduce the drug’s absorption </w:t>
            </w:r>
            <w:r w:rsidR="00CC6204"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{"citationID":"K2YWo22H","properties":{"formattedCitation":"[58]","plainCitation":"[58]","noteIndex":0},"citationItems":[{"id":"RKg9lF5b/0OrzhfIi","uris":["http://zotero.org/users/8889971/items/F7YYVZAR"],"itemData":{"id":4129,"type":"article-journal","abstract":"BACKGROUND: There is a paucity of data on the pharmacokinetics of fixed-dose combination enteral antituberculosis treatment in critically ill patients.\nOBJECTIVES: To establish the pharmacokinetic profile of a fixed-dose combination of rifampicin, isoniazid, pyrazinamide and ethambutol given according to weight via a nasogastric tube to patients admitted to an intensive care unit (ICU).\nMETHODS: We conducted a prospective, observational study on 10 patients (mean age 32 years, 6 male) admitted to an ICU and treated for tuberculosis (TB). Serum concentrations of the drugs were determined at eight predetermined intervals over 24 hours by means of high-performance liquid chromatography.\nRESULTS: The therapeutic maximum plasma concentration (Cmax) for rifampicin at time to peak concentration was achieved in only 4 patients, whereas 2 did not achieve therapeutic Cmax for isoniazid. No patient reached sub-therapeutic Cmax for pyrazinamide (6 were within and 4 above therapeutic range). Three patients reached sub-therapeutic Cmax for ethambutol, and 6 patients were within and 1 above the therapeutic range. Patients with a sub-therapeutic rifampicin level had a higher mean Acute Physiology and Chronic Health Evaluation II (APACHE II) score (p=0.03) and a lower estimated glomerular filtration rate (GFR) (p=0.03).\nCONCLUSIONS: A fixed-dose combination tablet, crushed and mixed with water, given according to weight via a nasogastric tube to patients with TB admitted to an ICU resulted in sub-therapeutic rifampicin plasma concentrations in the majority of patients, whereas the other drugs had a more favourable pharmacokinetic profile. Patients with a sub-therapeutic rifampicin concentration had a higher APACHE II score and a lower estimated GFR, which may contribute to suboptimal outcomes in critically ill patients. Studies in other settings have reported similar proportions of patients with 'sub-therapeutic' rifampicin concentrations.","container-title":"South African Medical Journal = Suid-Afrikaanse Tydskrif Vir Geneeskunde","DOI":"10.7196/samj.6344","ISSN":"0256-9574","issue":"6","journalAbbreviation":"S Afr Med J","language":"eng","page":"394-398","PMID":"23725959","source":"PubMed","title":"The pharmacokinetics of enteral antituberculosis drugs in patients requiring intensive care","volume":"103","author":[{"family":"Koegelenberg","given":"C. F. N."},{"family":"Nortje","given":"A."},{"family":"Lalla","given":"U."},{"family":"Enslin","given":"A."},{"family":"Irusen","given":"E. M."},{"family":"Rosenkranz","given":"B."},{"family":"Seifart","given":"H. I."},{"family":"Bolliger","given":"C. T."}],"issued":{"date-parts":[["2013",4,5]]}}}],"schema":"https://github.com/citation-style-language/schema/raw/master/csl-citation.json"} </w:instrText>
            </w:r>
            <w:r w:rsidR="00CC6204" w:rsidRPr="00135E13">
              <w:rPr>
                <w:rFonts w:ascii="Times New Roman" w:hAnsi="Times New Roman" w:cs="Times New Roman"/>
                <w:sz w:val="18"/>
                <w:szCs w:val="18"/>
              </w:rPr>
              <w:fldChar w:fldCharType="separate"/>
            </w:r>
            <w:r w:rsidR="00CC6204" w:rsidRPr="00135E13">
              <w:rPr>
                <w:rFonts w:ascii="Times New Roman" w:hAnsi="Times New Roman" w:cs="Times New Roman"/>
                <w:sz w:val="18"/>
                <w:szCs w:val="21"/>
              </w:rPr>
              <w:t>[58]</w:t>
            </w:r>
            <w:r w:rsidR="00CC6204" w:rsidRPr="00135E13">
              <w:rPr>
                <w:rFonts w:ascii="Times New Roman" w:hAnsi="Times New Roman" w:cs="Times New Roman"/>
                <w:sz w:val="18"/>
                <w:szCs w:val="18"/>
              </w:rPr>
              <w:fldChar w:fldCharType="end"/>
            </w:r>
            <w:r w:rsidR="00CC6204" w:rsidRPr="00135E13">
              <w:rPr>
                <w:rFonts w:ascii="Times New Roman" w:hAnsi="Times New Roman" w:cs="Times New Roman"/>
                <w:sz w:val="18"/>
                <w:szCs w:val="18"/>
              </w:rPr>
              <w:t xml:space="preserve"> </w:t>
            </w:r>
            <w:r w:rsidR="00CC6204"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{"citationID":"hMJBaK7K","properties":{"formattedCitation":"[59]","plainCitation":"[59]","noteIndex":0},"citationItems":[{"id":"RKg9lF5b/A2UAT2fr","uris":["http://zotero.org/users/8889971/items/4JXE2CPH"],"itemData":{"id":4130,"type":"article-journal","abstract":"BACKGROUND: Patients with tuberculosis (TB) may develop multi-organ failure and require admission to intensive care. In these cases, the mortality rates are as high as 78% and may be caused by suboptimal serum concentrations of first-line TB drugs. This study aims to compare the pharmacokinetics of oral rifampin, isoniazid, pyrazinamide and ethambutol patients in intensive care units (ICU) to outpatients and to evaluate drug serum concentrations as a potential cause of mortality.\nMETHODS: A prospective pharmacokinetic (PK) study was performed in Amazonas State, Brazil. The primary PK parameters of outpatients who achieved clinical and microbiological cure were used as a comparative target in a non-compartmental analysis.\nRESULTS: Thirteen ICU and twenty outpatients were recruited. The clearance and volume of distribution were lower for rifampin, isoniazid, pyrazinamide and ethambutol. ICU thirty-day mortality was 77% versus a cure rate of 89% in outpatients.\nCONCLUSIONS: ICU patients had a lower clearance and volume of distribution for rifampin, isoniazid, pyrazinamide and ethambutol compared to the outpatient group. These may reflect changes to organ function, impeded absorption and distribution to the site of infection in ICU patients and have the potential to impact clinical outcomes.","container-title":"Tropical Medicine and Infectious Disease","DOI":"10.3390/tropicalmed8060312","ISSN":"2414-6366","issue":"6","journalAbbreviation":"Trop Med Infect Dis","language":"eng","page":"312","PMID":"37368730","PMCID":"PMC10303681","source":"PubMed","title":"Is the Pharmacokinetics of First-Line Anti-TB Drugs a Cause of High Mortality Rates in TB Patients Admitted to the ICU? A Non-Compartmental Pharmacokinetic Analysis","title-short":"Is the Pharmacokinetics of First-Line Anti-TB Drugs a Cause of High Mortality Rates in TB Patients Admitted to the ICU?","volume":"8","author":[{"family":"Beraldi-Magalhaes","given":"Francisco"},{"family":"Parker","given":"Suzanne L."},{"family":"Sanches","given":"Cristina"},{"family":"Garcia","given":"Leandro Sousa"},{"family":"Souza Carvalho","given":"Brenda Karoline"},{"family":"Costa","given":"Amanda Araujo"},{"family":"Fachi","given":"Mariana Millan"},{"family":"Liz","given":"Marcus Vinicius","non-dropping-particle":"de"},{"family":"Souza","given":"Alexandra Brito","non-dropping-particle":"de"},{"family":"Safe","given":"Izabella Picinin"},{"family":"Pontarolo","given":"Roberto"},{"family":"Wallis","given":"Steven"},{"family":"Lipman","given":"Jeffrey"},{"family":"Roberts","given":"Jason A."},{"family":"Cordeiro-Santos","given":"Marcelo"}],"issued":{"date-parts":[["2023",6,8]]}}}],"schema":"https://github.com/citation-style-language/schema/raw/master/csl-citation.json"} </w:instrText>
            </w:r>
            <w:r w:rsidR="00CC6204" w:rsidRPr="00135E13">
              <w:rPr>
                <w:rFonts w:ascii="Times New Roman" w:hAnsi="Times New Roman" w:cs="Times New Roman"/>
                <w:sz w:val="18"/>
                <w:szCs w:val="18"/>
              </w:rPr>
              <w:fldChar w:fldCharType="separate"/>
            </w:r>
            <w:r w:rsidR="00CC6204" w:rsidRPr="00135E13">
              <w:rPr>
                <w:rFonts w:ascii="Times New Roman" w:hAnsi="Times New Roman" w:cs="Times New Roman"/>
                <w:sz w:val="18"/>
                <w:szCs w:val="21"/>
              </w:rPr>
              <w:t>[59]</w:t>
            </w:r>
            <w:r w:rsidR="00CC6204" w:rsidRPr="00135E13">
              <w:rPr>
                <w:rFonts w:ascii="Times New Roman" w:hAnsi="Times New Roman" w:cs="Times New Roman"/>
                <w:sz w:val="18"/>
                <w:szCs w:val="18"/>
              </w:rPr>
              <w:fldChar w:fldCharType="end"/>
            </w:r>
            <w:r w:rsidR="00CC6204" w:rsidRPr="00135E13">
              <w:rPr>
                <w:rFonts w:ascii="Times New Roman" w:hAnsi="Times New Roman" w:cs="Times New Roman"/>
                <w:sz w:val="18"/>
                <w:szCs w:val="18"/>
              </w:rPr>
              <w:t>.</w:t>
            </w:r>
          </w:p>
          <w:p w14:paraId="0492DB7E" w14:textId="5C102509" w:rsidR="00CC6204" w:rsidRPr="00135E13" w:rsidRDefault="00CC6204" w:rsidP="002C0A18">
            <w:pPr>
              <w:rPr>
                <w:sz w:val="21"/>
                <w:szCs w:val="21"/>
                <w:vertAlign w:val="superscript"/>
              </w:rPr>
            </w:pPr>
            <w:r w:rsidRPr="00135E13">
              <w:rPr>
                <w:rFonts w:ascii="Times New Roman" w:hAnsi="Times New Roman" w:cs="Times New Roman"/>
                <w:b/>
                <w:bCs/>
                <w:color w:val="1B1B1B"/>
                <w:sz w:val="18"/>
                <w:szCs w:val="18"/>
                <w:shd w:val="clear" w:color="auto" w:fill="FFFFFF"/>
              </w:rPr>
              <w:t>Therapeutic drug monitoring is necessary</w:t>
            </w:r>
            <w:r w:rsidRPr="00135E13">
              <w:rPr>
                <w:sz w:val="18"/>
                <w:szCs w:val="18"/>
              </w:rPr>
              <w:t xml:space="preserve"> </w:t>
            </w:r>
          </w:p>
        </w:tc>
        <w:tc>
          <w:tcPr>
            <w:tcW w:w="2800" w:type="dxa"/>
            <w:vMerge w:val="restart"/>
            <w:shd w:val="clear" w:color="auto" w:fill="ED7D31" w:themeFill="accent2"/>
          </w:tcPr>
          <w:p w14:paraId="448608DF" w14:textId="06EA8542" w:rsidR="00CC6204" w:rsidRPr="00135E13" w:rsidRDefault="00CC6204" w:rsidP="0097397F">
            <w:pPr>
              <w:pStyle w:val="NormalWeb"/>
              <w:spacing w:before="0" w:beforeAutospacing="0" w:after="0" w:afterAutospacing="0"/>
              <w:jc w:val="both"/>
              <w:rPr>
                <w:sz w:val="18"/>
                <w:szCs w:val="18"/>
              </w:rPr>
            </w:pPr>
            <w:r w:rsidRPr="00135E13">
              <w:rPr>
                <w:sz w:val="18"/>
                <w:szCs w:val="18"/>
              </w:rPr>
              <w:t xml:space="preserve">Except during the first 2 weeks of neuro-meningeal tuberculosis </w:t>
            </w:r>
          </w:p>
        </w:tc>
      </w:tr>
      <w:tr w:rsidR="00CC6204" w:rsidRPr="00135E13" w14:paraId="22A7AF4B" w14:textId="77777777" w:rsidTr="005C7D6F">
        <w:trPr>
          <w:trHeight w:val="285"/>
        </w:trPr>
        <w:tc>
          <w:tcPr>
            <w:tcW w:w="1838" w:type="dxa"/>
            <w:noWrap/>
            <w:hideMark/>
          </w:tcPr>
          <w:p w14:paraId="3C248F68" w14:textId="77777777" w:rsidR="00CC6204" w:rsidRPr="00135E13" w:rsidRDefault="00CC6204" w:rsidP="00AC28A1">
            <w:pPr>
              <w:rPr>
                <w:rFonts w:ascii="Times New Roman" w:hAnsi="Times New Roman" w:cs="Times New Roman"/>
                <w:sz w:val="18"/>
                <w:szCs w:val="18"/>
              </w:rPr>
            </w:pPr>
            <w:r w:rsidRPr="00135E13">
              <w:rPr>
                <w:rFonts w:ascii="Times New Roman" w:hAnsi="Times New Roman" w:cs="Times New Roman"/>
                <w:sz w:val="18"/>
                <w:szCs w:val="18"/>
              </w:rPr>
              <w:t>Isoniazid</w:t>
            </w:r>
          </w:p>
        </w:tc>
        <w:tc>
          <w:tcPr>
            <w:tcW w:w="1418" w:type="dxa"/>
            <w:noWrap/>
            <w:hideMark/>
          </w:tcPr>
          <w:p w14:paraId="619E4DF0" w14:textId="0D7E38E0" w:rsidR="00CC6204" w:rsidRPr="00135E13" w:rsidRDefault="00CC6204" w:rsidP="00AC28A1">
            <w:pPr>
              <w:rPr>
                <w:rFonts w:ascii="Times New Roman" w:hAnsi="Times New Roman" w:cs="Times New Roman"/>
                <w:sz w:val="18"/>
                <w:szCs w:val="18"/>
              </w:rPr>
            </w:pPr>
            <w:r w:rsidRPr="00135E13">
              <w:rPr>
                <w:rFonts w:ascii="Times New Roman" w:hAnsi="Times New Roman" w:cs="Times New Roman"/>
                <w:sz w:val="18"/>
                <w:szCs w:val="18"/>
              </w:rPr>
              <w:t xml:space="preserve">100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{"citationID":"gkJIECfM","properties":{"formattedCitation":"[60]","plainCitation":"[60]","noteIndex":0},"citationItems":[{"id":"RKg9lF5b/GsPKCY35","uris":["http://zotero.org/users/8889971/items/5AM8G9VM"],"itemData":{"id":4206,"type":"article-journal","abstract":"A study was performed at the National Tuberculosis and Lung Diseases Research Institute (NTLDRI) in Warsaw according to the protocol by the Ethics Committee of the Institute. The main target of the mentioned study was a comparison of the bioavailability of rifampicin. isoniazid and pyrazinamid fixed together in one capsule with the bioavailability of the same doses of these drugs, which were given separately. The absorption of rifampicin, isoniazid and pyrazinamid were tested after oral administration of each drug in free simultaneous combinations and in a fixed-dose combination of three drugs--Trifazid. The study was carried out as an open randomised crossover experiment comprising 16 volunteers. The results have shown that the pattern of absorption, plasma concentrations and pharmacokinetic parameters were found to be very similar after administration of the drugs in free and fixed combinations. The triple combination of antituberculosis drugs could replace the separate drugs in the treatment of tuberculosis.","container-title":"Acta Poloniae Pharmaceutica","ISSN":"0001-6837","issue":"6","journalAbbreviation":"Acta Pol Pharm","language":"eng","page":"448-452","PMID":"12669769","source":"PubMed","title":"The pharmacokinetic factors and bioavailability of rifampicin, isoniazid and pyrazinamid fixed in one dose capsule","volume":"59","author":[{"family":"Zwolska","given":"Zofia"},{"family":"Augustynowicz-Kopeć","given":"Ewa"},{"family":"Niemirowska-Mikulska","given":"Hanna"}],"issued":{"date-parts":[["2002"]]}}}],"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[60]</w:t>
            </w:r>
            <w:r w:rsidRPr="00135E13">
              <w:rPr>
                <w:rFonts w:ascii="Times New Roman" w:hAnsi="Times New Roman" w:cs="Times New Roman"/>
                <w:sz w:val="18"/>
                <w:szCs w:val="18"/>
              </w:rPr>
              <w:fldChar w:fldCharType="end"/>
            </w:r>
          </w:p>
        </w:tc>
        <w:tc>
          <w:tcPr>
            <w:tcW w:w="1134" w:type="dxa"/>
            <w:noWrap/>
            <w:hideMark/>
          </w:tcPr>
          <w:p w14:paraId="1120E321" w14:textId="77777777" w:rsidR="00CC6204" w:rsidRPr="00135E13" w:rsidRDefault="00CC6204" w:rsidP="00AC28A1">
            <w:pPr>
              <w:rPr>
                <w:rFonts w:ascii="Times New Roman" w:hAnsi="Times New Roman" w:cs="Times New Roman"/>
                <w:sz w:val="18"/>
                <w:szCs w:val="18"/>
              </w:rPr>
            </w:pPr>
            <w:r w:rsidRPr="00135E13">
              <w:rPr>
                <w:rFonts w:ascii="Times New Roman" w:hAnsi="Times New Roman" w:cs="Times New Roman"/>
                <w:sz w:val="18"/>
                <w:szCs w:val="18"/>
              </w:rPr>
              <w:t>1-2</w:t>
            </w:r>
          </w:p>
        </w:tc>
        <w:tc>
          <w:tcPr>
            <w:tcW w:w="2835" w:type="dxa"/>
            <w:noWrap/>
            <w:hideMark/>
          </w:tcPr>
          <w:p w14:paraId="35B634E4" w14:textId="57DEE4D3" w:rsidR="00CC6204" w:rsidRPr="00135E13" w:rsidRDefault="00CC6204" w:rsidP="00AC28A1">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vMerge/>
          </w:tcPr>
          <w:p w14:paraId="2A17E8BE" w14:textId="77777777" w:rsidR="00CC6204" w:rsidRPr="00135E13" w:rsidRDefault="00CC6204" w:rsidP="00AC28A1">
            <w:pPr>
              <w:pStyle w:val="NormalWeb"/>
              <w:spacing w:before="0" w:beforeAutospacing="0" w:after="0" w:afterAutospacing="0"/>
              <w:jc w:val="both"/>
              <w:rPr>
                <w:sz w:val="18"/>
                <w:szCs w:val="18"/>
              </w:rPr>
            </w:pPr>
          </w:p>
        </w:tc>
        <w:tc>
          <w:tcPr>
            <w:tcW w:w="2800" w:type="dxa"/>
            <w:vMerge/>
            <w:shd w:val="clear" w:color="auto" w:fill="ED7D31" w:themeFill="accent2"/>
          </w:tcPr>
          <w:p w14:paraId="663BE406" w14:textId="77777777" w:rsidR="00CC6204" w:rsidRPr="00135E13" w:rsidRDefault="00CC6204" w:rsidP="00AC28A1">
            <w:pPr>
              <w:rPr>
                <w:rFonts w:ascii="Times New Roman" w:hAnsi="Times New Roman" w:cs="Times New Roman"/>
                <w:sz w:val="18"/>
                <w:szCs w:val="18"/>
              </w:rPr>
            </w:pPr>
          </w:p>
        </w:tc>
      </w:tr>
      <w:tr w:rsidR="00CC6204" w:rsidRPr="00135E13" w14:paraId="3F75A60D" w14:textId="650F1FF6" w:rsidTr="005C7D6F">
        <w:trPr>
          <w:trHeight w:val="285"/>
        </w:trPr>
        <w:tc>
          <w:tcPr>
            <w:tcW w:w="1838" w:type="dxa"/>
            <w:noWrap/>
            <w:hideMark/>
          </w:tcPr>
          <w:p w14:paraId="03B96959" w14:textId="7291C888" w:rsidR="00CC6204" w:rsidRPr="00135E13" w:rsidRDefault="00CC6204" w:rsidP="006B6A5F">
            <w:pPr>
              <w:rPr>
                <w:rFonts w:ascii="Times New Roman" w:hAnsi="Times New Roman" w:cs="Times New Roman"/>
                <w:sz w:val="18"/>
                <w:szCs w:val="18"/>
              </w:rPr>
            </w:pPr>
            <w:r w:rsidRPr="00135E13">
              <w:rPr>
                <w:rFonts w:ascii="Times New Roman" w:hAnsi="Times New Roman" w:cs="Times New Roman"/>
                <w:sz w:val="18"/>
                <w:szCs w:val="18"/>
              </w:rPr>
              <w:t>Ethambutol</w:t>
            </w:r>
          </w:p>
        </w:tc>
        <w:tc>
          <w:tcPr>
            <w:tcW w:w="1418" w:type="dxa"/>
            <w:noWrap/>
            <w:hideMark/>
          </w:tcPr>
          <w:p w14:paraId="7B0B2032" w14:textId="589C4C41" w:rsidR="00CC6204" w:rsidRPr="00135E13" w:rsidRDefault="00CC6204" w:rsidP="006B6A5F">
            <w:pPr>
              <w:rPr>
                <w:rFonts w:ascii="Times New Roman" w:hAnsi="Times New Roman" w:cs="Times New Roman"/>
                <w:sz w:val="18"/>
                <w:szCs w:val="18"/>
              </w:rPr>
            </w:pPr>
            <w:r w:rsidRPr="00135E13">
              <w:rPr>
                <w:rFonts w:ascii="Times New Roman" w:hAnsi="Times New Roman" w:cs="Times New Roman"/>
                <w:sz w:val="18"/>
                <w:szCs w:val="18"/>
              </w:rPr>
              <w:t>75-80</w:t>
            </w:r>
          </w:p>
        </w:tc>
        <w:tc>
          <w:tcPr>
            <w:tcW w:w="1134" w:type="dxa"/>
            <w:noWrap/>
            <w:hideMark/>
          </w:tcPr>
          <w:p w14:paraId="74DF0616" w14:textId="6C856E7E" w:rsidR="00CC6204" w:rsidRPr="00135E13" w:rsidRDefault="00CC6204" w:rsidP="006B6A5F">
            <w:pPr>
              <w:rPr>
                <w:rFonts w:ascii="Times New Roman" w:hAnsi="Times New Roman" w:cs="Times New Roman"/>
                <w:sz w:val="18"/>
                <w:szCs w:val="18"/>
              </w:rPr>
            </w:pPr>
            <w:r w:rsidRPr="00135E13">
              <w:rPr>
                <w:rFonts w:ascii="Times New Roman" w:hAnsi="Times New Roman" w:cs="Times New Roman"/>
                <w:sz w:val="18"/>
                <w:szCs w:val="18"/>
              </w:rPr>
              <w:t>2-3</w:t>
            </w:r>
          </w:p>
        </w:tc>
        <w:tc>
          <w:tcPr>
            <w:tcW w:w="2835" w:type="dxa"/>
            <w:noWrap/>
            <w:hideMark/>
          </w:tcPr>
          <w:p w14:paraId="2AF977CC" w14:textId="1CFD5975" w:rsidR="00CC6204" w:rsidRPr="00135E13" w:rsidRDefault="00CC6204" w:rsidP="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vMerge/>
          </w:tcPr>
          <w:p w14:paraId="0E6B1443" w14:textId="77777777" w:rsidR="00CC6204" w:rsidRPr="00135E13" w:rsidRDefault="00CC6204" w:rsidP="006B6A5F">
            <w:pPr>
              <w:pStyle w:val="NormalWeb"/>
              <w:spacing w:before="0" w:beforeAutospacing="0" w:after="0" w:afterAutospacing="0"/>
              <w:jc w:val="both"/>
              <w:rPr>
                <w:sz w:val="18"/>
                <w:szCs w:val="18"/>
              </w:rPr>
            </w:pPr>
          </w:p>
        </w:tc>
        <w:tc>
          <w:tcPr>
            <w:tcW w:w="2800" w:type="dxa"/>
            <w:vMerge/>
            <w:shd w:val="clear" w:color="auto" w:fill="ED7D31" w:themeFill="accent2"/>
          </w:tcPr>
          <w:p w14:paraId="104A0F1D" w14:textId="77777777" w:rsidR="00CC6204" w:rsidRPr="00135E13" w:rsidRDefault="00CC6204" w:rsidP="0097397F">
            <w:pPr>
              <w:pStyle w:val="NormalWeb"/>
              <w:spacing w:before="0" w:beforeAutospacing="0" w:after="0" w:afterAutospacing="0"/>
              <w:jc w:val="both"/>
              <w:rPr>
                <w:sz w:val="18"/>
                <w:szCs w:val="18"/>
              </w:rPr>
            </w:pPr>
          </w:p>
        </w:tc>
      </w:tr>
      <w:tr w:rsidR="005C58C5" w:rsidRPr="00135E13" w14:paraId="78167672" w14:textId="77777777" w:rsidTr="00B23C01">
        <w:trPr>
          <w:trHeight w:val="285"/>
        </w:trPr>
        <w:tc>
          <w:tcPr>
            <w:tcW w:w="13994" w:type="dxa"/>
            <w:gridSpan w:val="6"/>
            <w:noWrap/>
          </w:tcPr>
          <w:p w14:paraId="5FDE8EBB" w14:textId="65C3C87E" w:rsidR="005C58C5" w:rsidRPr="00135E13" w:rsidRDefault="005C58C5" w:rsidP="00F67543">
            <w:pPr>
              <w:jc w:val="center"/>
              <w:rPr>
                <w:rFonts w:ascii="Times New Roman" w:hAnsi="Times New Roman" w:cs="Times New Roman"/>
                <w:b/>
                <w:bCs/>
                <w:i/>
                <w:iCs/>
                <w:sz w:val="18"/>
                <w:szCs w:val="18"/>
              </w:rPr>
            </w:pPr>
            <w:r w:rsidRPr="00135E13">
              <w:rPr>
                <w:rFonts w:ascii="Times New Roman" w:hAnsi="Times New Roman" w:cs="Times New Roman"/>
                <w:b/>
                <w:bCs/>
                <w:i/>
                <w:iCs/>
                <w:sz w:val="18"/>
                <w:szCs w:val="18"/>
              </w:rPr>
              <w:t>Antiviral therapy</w:t>
            </w:r>
          </w:p>
        </w:tc>
      </w:tr>
      <w:tr w:rsidR="00B23C01" w:rsidRPr="00135E13" w14:paraId="0F4DF89E" w14:textId="32106EF8" w:rsidTr="00C82F98">
        <w:trPr>
          <w:trHeight w:val="285"/>
        </w:trPr>
        <w:tc>
          <w:tcPr>
            <w:tcW w:w="1838" w:type="dxa"/>
            <w:noWrap/>
            <w:hideMark/>
          </w:tcPr>
          <w:p w14:paraId="0F633DBF" w14:textId="00B10061"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Acyclovir</w:t>
            </w:r>
          </w:p>
        </w:tc>
        <w:tc>
          <w:tcPr>
            <w:tcW w:w="1418" w:type="dxa"/>
            <w:noWrap/>
            <w:hideMark/>
          </w:tcPr>
          <w:p w14:paraId="6D448560" w14:textId="7076E18B"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54</w:t>
            </w:r>
          </w:p>
        </w:tc>
        <w:tc>
          <w:tcPr>
            <w:tcW w:w="1134" w:type="dxa"/>
            <w:noWrap/>
            <w:hideMark/>
          </w:tcPr>
          <w:p w14:paraId="78BDAE88" w14:textId="36697A59" w:rsidR="006B6A5F" w:rsidRPr="00135E13" w:rsidRDefault="006B6A5F" w:rsidP="006B6A5F">
            <w:pPr>
              <w:rPr>
                <w:rFonts w:ascii="Times New Roman" w:hAnsi="Times New Roman" w:cs="Times New Roman"/>
                <w:sz w:val="18"/>
                <w:szCs w:val="18"/>
              </w:rPr>
            </w:pPr>
            <w:r w:rsidRPr="00135E13">
              <w:rPr>
                <w:rFonts w:ascii="Times New Roman" w:hAnsi="Times New Roman" w:cs="Times New Roman"/>
                <w:sz w:val="18"/>
                <w:szCs w:val="18"/>
              </w:rPr>
              <w:t>0.75-3</w:t>
            </w:r>
          </w:p>
        </w:tc>
        <w:tc>
          <w:tcPr>
            <w:tcW w:w="2835" w:type="dxa"/>
            <w:noWrap/>
            <w:hideMark/>
          </w:tcPr>
          <w:p w14:paraId="1FDD7E96" w14:textId="417F59C5" w:rsidR="006B6A5F" w:rsidRPr="00135E13" w:rsidRDefault="00EF420C" w:rsidP="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tcPr>
          <w:p w14:paraId="0C0DE42F" w14:textId="77777777" w:rsidR="006B6A5F" w:rsidRDefault="00C82F98" w:rsidP="006B6A5F">
            <w:pPr>
              <w:rPr>
                <w:rFonts w:ascii="Times New Roman" w:hAnsi="Times New Roman" w:cs="Times New Roman"/>
                <w:sz w:val="18"/>
                <w:szCs w:val="18"/>
              </w:rPr>
            </w:pPr>
            <w:r>
              <w:rPr>
                <w:rFonts w:ascii="Times New Roman" w:hAnsi="Times New Roman" w:cs="Times New Roman"/>
                <w:sz w:val="18"/>
                <w:szCs w:val="18"/>
              </w:rPr>
              <w:t>French</w:t>
            </w:r>
            <w:r w:rsidRPr="00C82F98">
              <w:rPr>
                <w:rFonts w:ascii="Times New Roman" w:hAnsi="Times New Roman" w:cs="Times New Roman"/>
                <w:sz w:val="18"/>
                <w:szCs w:val="18"/>
              </w:rPr>
              <w:t xml:space="preserve"> guidelines recommend oral antiviral therapy for primary episodes and recurrent genital or orofacial herpes simplex infections in immunocompetent patients.</w:t>
            </w:r>
            <w:r>
              <w:t xml:space="preserve"> </w:t>
            </w:r>
            <w:r w:rsidR="00964E73" w:rsidRPr="00135E13">
              <w:rPr>
                <w:rFonts w:ascii="Times New Roman" w:hAnsi="Times New Roman" w:cs="Times New Roman"/>
                <w:sz w:val="18"/>
                <w:szCs w:val="18"/>
              </w:rPr>
              <w:t>Specific clinical outcome data in the ICU setting are lacking.</w:t>
            </w:r>
          </w:p>
          <w:p w14:paraId="43D70860" w14:textId="526BB8EF" w:rsidR="00406AA3" w:rsidRPr="00406AA3" w:rsidRDefault="00406AA3" w:rsidP="006B6A5F">
            <w:pPr>
              <w:rPr>
                <w:rFonts w:ascii="Times New Roman" w:hAnsi="Times New Roman" w:cs="Times New Roman"/>
                <w:b/>
                <w:bCs/>
                <w:sz w:val="18"/>
                <w:szCs w:val="18"/>
              </w:rPr>
            </w:pPr>
            <w:r w:rsidRPr="00406AA3">
              <w:rPr>
                <w:rFonts w:ascii="Times New Roman" w:hAnsi="Times New Roman" w:cs="Times New Roman"/>
                <w:b/>
                <w:bCs/>
                <w:sz w:val="18"/>
                <w:szCs w:val="18"/>
                <w:highlight w:val="yellow"/>
              </w:rPr>
              <w:t>Therapeutic drug monitoring can be performed</w:t>
            </w:r>
          </w:p>
        </w:tc>
        <w:tc>
          <w:tcPr>
            <w:tcW w:w="2800" w:type="dxa"/>
            <w:shd w:val="clear" w:color="auto" w:fill="A8D08D" w:themeFill="accent6" w:themeFillTint="99"/>
          </w:tcPr>
          <w:p w14:paraId="3B7DF284" w14:textId="4DA3BE25" w:rsidR="006B6A5F" w:rsidRPr="00135E13" w:rsidRDefault="006B6A5F" w:rsidP="006B6A5F">
            <w:pPr>
              <w:rPr>
                <w:rFonts w:ascii="Times New Roman" w:hAnsi="Times New Roman" w:cs="Times New Roman"/>
                <w:color w:val="ED7D31" w:themeColor="accent2"/>
                <w:sz w:val="18"/>
                <w:szCs w:val="18"/>
              </w:rPr>
            </w:pPr>
          </w:p>
        </w:tc>
      </w:tr>
      <w:tr w:rsidR="00B23C01" w:rsidRPr="00135E13" w14:paraId="5C4BF955" w14:textId="77777777" w:rsidTr="005C7D6F">
        <w:trPr>
          <w:trHeight w:val="285"/>
        </w:trPr>
        <w:tc>
          <w:tcPr>
            <w:tcW w:w="1838" w:type="dxa"/>
            <w:noWrap/>
          </w:tcPr>
          <w:p w14:paraId="45F62B71" w14:textId="0F9149E0" w:rsidR="00CC68F5" w:rsidRPr="00135E13" w:rsidRDefault="00CC68F5" w:rsidP="006B6A5F">
            <w:pPr>
              <w:rPr>
                <w:rFonts w:ascii="Times New Roman" w:hAnsi="Times New Roman" w:cs="Times New Roman"/>
                <w:sz w:val="18"/>
                <w:szCs w:val="18"/>
              </w:rPr>
            </w:pPr>
            <w:proofErr w:type="spellStart"/>
            <w:r w:rsidRPr="00135E13">
              <w:rPr>
                <w:rFonts w:ascii="Times New Roman" w:hAnsi="Times New Roman" w:cs="Times New Roman"/>
                <w:sz w:val="18"/>
                <w:szCs w:val="18"/>
              </w:rPr>
              <w:t>Valganc</w:t>
            </w:r>
            <w:r w:rsidR="002C0A18" w:rsidRPr="00135E13">
              <w:rPr>
                <w:rFonts w:ascii="Times New Roman" w:hAnsi="Times New Roman" w:cs="Times New Roman"/>
                <w:sz w:val="18"/>
                <w:szCs w:val="18"/>
              </w:rPr>
              <w:t>y</w:t>
            </w:r>
            <w:r w:rsidRPr="00135E13">
              <w:rPr>
                <w:rFonts w:ascii="Times New Roman" w:hAnsi="Times New Roman" w:cs="Times New Roman"/>
                <w:sz w:val="18"/>
                <w:szCs w:val="18"/>
              </w:rPr>
              <w:t>clovir</w:t>
            </w:r>
            <w:proofErr w:type="spellEnd"/>
            <w:r w:rsidRPr="00135E13">
              <w:rPr>
                <w:rFonts w:ascii="Times New Roman" w:hAnsi="Times New Roman" w:cs="Times New Roman"/>
                <w:sz w:val="18"/>
                <w:szCs w:val="18"/>
              </w:rPr>
              <w:t xml:space="preserve"> </w:t>
            </w:r>
          </w:p>
        </w:tc>
        <w:tc>
          <w:tcPr>
            <w:tcW w:w="1418" w:type="dxa"/>
            <w:noWrap/>
          </w:tcPr>
          <w:p w14:paraId="0FED5BAE" w14:textId="66215F04" w:rsidR="00CC68F5" w:rsidRPr="00135E13" w:rsidRDefault="00CC68F5" w:rsidP="006B6A5F">
            <w:pPr>
              <w:rPr>
                <w:rFonts w:ascii="Times New Roman" w:hAnsi="Times New Roman" w:cs="Times New Roman"/>
                <w:sz w:val="18"/>
                <w:szCs w:val="18"/>
              </w:rPr>
            </w:pPr>
            <w:r w:rsidRPr="00135E13">
              <w:rPr>
                <w:rFonts w:ascii="Times New Roman" w:hAnsi="Times New Roman" w:cs="Times New Roman"/>
                <w:sz w:val="18"/>
                <w:szCs w:val="18"/>
              </w:rPr>
              <w:t>40–60</w:t>
            </w:r>
            <w:r w:rsidR="0050641F" w:rsidRPr="00135E13">
              <w:rPr>
                <w:rFonts w:ascii="Times New Roman" w:hAnsi="Times New Roman" w:cs="Times New Roman"/>
                <w:sz w:val="18"/>
                <w:szCs w:val="18"/>
              </w:rPr>
              <w:t xml:space="preserve"> </w:t>
            </w:r>
          </w:p>
        </w:tc>
        <w:tc>
          <w:tcPr>
            <w:tcW w:w="1134" w:type="dxa"/>
            <w:noWrap/>
          </w:tcPr>
          <w:p w14:paraId="1FE2DC95" w14:textId="2F721792" w:rsidR="00CC68F5" w:rsidRPr="00135E13" w:rsidRDefault="00EF420C" w:rsidP="006B6A5F">
            <w:pPr>
              <w:rPr>
                <w:rFonts w:ascii="Times New Roman" w:hAnsi="Times New Roman" w:cs="Times New Roman"/>
                <w:sz w:val="18"/>
                <w:szCs w:val="18"/>
              </w:rPr>
            </w:pPr>
            <w:r w:rsidRPr="00135E13">
              <w:rPr>
                <w:rFonts w:ascii="Times New Roman" w:hAnsi="Times New Roman" w:cs="Times New Roman"/>
                <w:sz w:val="18"/>
                <w:szCs w:val="18"/>
              </w:rPr>
              <w:t>1-2</w:t>
            </w:r>
          </w:p>
        </w:tc>
        <w:tc>
          <w:tcPr>
            <w:tcW w:w="2835" w:type="dxa"/>
            <w:noWrap/>
          </w:tcPr>
          <w:p w14:paraId="5D3506B6" w14:textId="23430C78" w:rsidR="00CC68F5" w:rsidRPr="00135E13" w:rsidRDefault="000936D4" w:rsidP="006B6A5F">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tcPr>
          <w:p w14:paraId="564F5200" w14:textId="36584B3F" w:rsidR="00CC68F5" w:rsidRPr="00135E13" w:rsidRDefault="00197208" w:rsidP="006B6A5F">
            <w:pPr>
              <w:rPr>
                <w:rFonts w:ascii="Times New Roman" w:hAnsi="Times New Roman" w:cs="Times New Roman"/>
                <w:sz w:val="18"/>
                <w:szCs w:val="18"/>
              </w:rPr>
            </w:pPr>
            <w:r w:rsidRPr="00135E13">
              <w:rPr>
                <w:rFonts w:ascii="Times New Roman" w:hAnsi="Times New Roman" w:cs="Times New Roman"/>
                <w:sz w:val="18"/>
                <w:szCs w:val="18"/>
              </w:rPr>
              <w:t>No evidence of IV superiority</w:t>
            </w:r>
            <w:r w:rsidR="008265CD">
              <w:rPr>
                <w:rFonts w:ascii="Times New Roman" w:hAnsi="Times New Roman" w:cs="Times New Roman"/>
                <w:sz w:val="18"/>
                <w:szCs w:val="18"/>
              </w:rPr>
              <w:t xml:space="preserve"> </w:t>
            </w:r>
          </w:p>
        </w:tc>
        <w:tc>
          <w:tcPr>
            <w:tcW w:w="2800" w:type="dxa"/>
            <w:shd w:val="clear" w:color="auto" w:fill="A8D08D" w:themeFill="accent6" w:themeFillTint="99"/>
          </w:tcPr>
          <w:p w14:paraId="3C09BAB1" w14:textId="77777777" w:rsidR="00CC68F5" w:rsidRPr="00135E13" w:rsidRDefault="00CC68F5" w:rsidP="006B6A5F">
            <w:pPr>
              <w:rPr>
                <w:rFonts w:ascii="Times New Roman" w:hAnsi="Times New Roman" w:cs="Times New Roman"/>
                <w:sz w:val="18"/>
                <w:szCs w:val="18"/>
              </w:rPr>
            </w:pPr>
          </w:p>
        </w:tc>
      </w:tr>
      <w:tr w:rsidR="005C58C5" w:rsidRPr="00135E13" w14:paraId="6D28817E" w14:textId="77777777" w:rsidTr="00B23C01">
        <w:trPr>
          <w:trHeight w:val="285"/>
        </w:trPr>
        <w:tc>
          <w:tcPr>
            <w:tcW w:w="13994" w:type="dxa"/>
            <w:gridSpan w:val="6"/>
            <w:noWrap/>
          </w:tcPr>
          <w:p w14:paraId="1F8930F9" w14:textId="3FA0FBB0" w:rsidR="005C58C5" w:rsidRPr="00135E13" w:rsidRDefault="005C58C5" w:rsidP="003F4E93">
            <w:pPr>
              <w:tabs>
                <w:tab w:val="left" w:pos="1578"/>
              </w:tabs>
              <w:jc w:val="center"/>
              <w:rPr>
                <w:rFonts w:ascii="Times New Roman" w:hAnsi="Times New Roman" w:cs="Times New Roman"/>
                <w:b/>
                <w:bCs/>
                <w:i/>
                <w:iCs/>
                <w:sz w:val="18"/>
                <w:szCs w:val="18"/>
              </w:rPr>
            </w:pPr>
            <w:r w:rsidRPr="00135E13">
              <w:rPr>
                <w:rFonts w:ascii="Times New Roman" w:hAnsi="Times New Roman" w:cs="Times New Roman"/>
                <w:b/>
                <w:bCs/>
                <w:i/>
                <w:iCs/>
                <w:sz w:val="18"/>
                <w:szCs w:val="18"/>
              </w:rPr>
              <w:t>Antifungal therapy</w:t>
            </w:r>
          </w:p>
        </w:tc>
      </w:tr>
      <w:tr w:rsidR="00845E72" w:rsidRPr="00135E13" w14:paraId="1BB5C706" w14:textId="77777777" w:rsidTr="005C7D6F">
        <w:trPr>
          <w:trHeight w:val="285"/>
        </w:trPr>
        <w:tc>
          <w:tcPr>
            <w:tcW w:w="1838" w:type="dxa"/>
            <w:noWrap/>
          </w:tcPr>
          <w:p w14:paraId="3E0F98BA" w14:textId="4A881ED0"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Fluconazole</w:t>
            </w:r>
          </w:p>
        </w:tc>
        <w:tc>
          <w:tcPr>
            <w:tcW w:w="1418" w:type="dxa"/>
            <w:noWrap/>
          </w:tcPr>
          <w:p w14:paraId="7762EF63" w14:textId="6312EBA0"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 xml:space="preserve">90 </w:t>
            </w:r>
          </w:p>
        </w:tc>
        <w:tc>
          <w:tcPr>
            <w:tcW w:w="1134" w:type="dxa"/>
            <w:noWrap/>
          </w:tcPr>
          <w:p w14:paraId="29869550" w14:textId="67E63FB3"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0.5-1.5</w:t>
            </w:r>
          </w:p>
        </w:tc>
        <w:tc>
          <w:tcPr>
            <w:tcW w:w="2835" w:type="dxa"/>
            <w:noWrap/>
          </w:tcPr>
          <w:p w14:paraId="2B1AEA91" w14:textId="0726A96C"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tcPr>
          <w:p w14:paraId="42A5819C" w14:textId="0E48B143"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 xml:space="preserve">Switch is recommended  in candidiasis infections after 5 days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{"citationID":"uLWuJsfW","properties":{"formattedCitation":"[61]","plainCitation":"[61]","noteIndex":0},"citationItems":[{"id":"RKg9lF5b/zeNFN1V2","uris":["http://zotero.org/users/8889971/items/V55K69YI"],"itemData":{"id":4154,"type":"article-journal","abstract":"Candida species are the predominant cause of fungal infections in patients treated in hospital, contributing substantially to morbidity and mortality. Candidaemia and other forms of invasive candidiasis primarily affect patients who are immunocompromised or critically ill. In contrast, mucocutaneous forms of candidiasis, such as oral thrush and vulvovaginal candidiasis, can occur in otherwise healthy individuals. Although mucocutaneous candidiasis is generally not life-threatening, it can cause considerable discomfort, recurrent infections, and complications, particularly in patients with underlying conditions such as diabetes or in those taking immunosuppressive therapies. The rise of difficult-to-treat Candida infections is driven by new host factors and antifungal resistance. Pathogens, such as Candida auris (Candidozyma auris) and fluconazole-resistant Candida parapsilosis, pose serious global health risks. Recent taxonomic revisions have reclassified several Candida spp, potentially causing confusion in clinical practice. Current management guidelines are limited in scope, with poor coverage of emerging pathogens and new treatment options. In this Review, we provide updated recommendations for managing Candida infections, with detailed evidence summaries available in the appendix.","container-title":"The Lancet. Infectious Diseases","DOI":"10.1016/S1473-3099(24)00749-7","ISSN":"1474-4457","issue":"5","journalAbbreviation":"Lancet Infect Dis","language":"eng","page":"e280-e293","PMID":"39956121","source":"PubMed","title":"Global guideline for the diagnosis and management of candidiasis: an initiative of the ECMM in cooperation with ISHAM and ASM","title-short":"Global guideline for the diagnosis and management of candidiasis","volume":"25","author":[{"family":"Cornely","given":"Oliver A."},{"family":"Sprute","given":"Rosanne"},{"family":"Bassetti","given":"Matteo"},{"family":"Chen","given":"Sharon C.-A."},{"family":"Groll","given":"Andreas H."},{"family":"Kurzai","given":"Oliver"},{"family":"Lass-Flörl","given":"Cornelia"},{"family":"Ostrosky-Zeichner","given":"Luis"},{"family":"Rautemaa-Richardson","given":"Riina"},{"family":"Revathi","given":"Gunturu"},{"family":"Santolaya","given":"Maria E."},{"family":"White","given":"P. Lewis"},{"family":"Alastruey-Izquierdo","given":"Ana"},{"family":"Arendrup","given":"Maiken C."},{"family":"Baddley","given":"John"},{"family":"Barac","given":"Aleksandra"},{"family":"Ben-Ami","given":"Ronen"},{"family":"Brink","given":"Adrian J."},{"family":"Grothe","given":"Jan H."},{"family":"Guinea","given":"Jesus"},{"family":"Hagen","given":"Ferry"},{"family":"Hochhegger","given":"Bruno"},{"family":"Hoenigl","given":"Martin"},{"family":"Husain","given":"Shahid"},{"family":"Jabeen","given":"Kauser"},{"family":"Jensen","given":"Henrik E."},{"family":"Kanj","given":"Souha S."},{"family":"Koehler","given":"Philipp"},{"family":"Lehrnbecher","given":"Thomas"},{"family":"Lewis","given":"Russell E."},{"family":"Meis","given":"Jacques F."},{"family":"Nguyen","given":"M. Hong"},{"family":"Pana","given":"Zoi D."},{"family":"Rath","given":"Peter-Michael"},{"family":"Reinhold","given":"Ilana"},{"family":"Seidel","given":"Danila"},{"family":"Takazono","given":"Takahiro"},{"family":"Vinh","given":"Donald C."},{"family":"Zhang","given":"Sean X."},{"family":"Afeltra","given":"Javier"},{"family":"Al-Hatmi","given":"Abdullah M. S."},{"family":"Arastehfar","given":"Amir"},{"family":"Arikan-Akdagli","given":"Sevtap"},{"family":"Bongomin","given":"Felix"},{"family":"Carlesse","given":"Fabianne"},{"family":"Chayakulkeeree","given":"Methee"},{"family":"Chai","given":"Louis Y. A."},{"family":"Chamani-Tabriz","given":"Leili"},{"family":"Chiller","given":"Tom"},{"family":"Chowdhary","given":"Anuradha"},{"family":"Clancy","given":"Cornelius J."},{"family":"Colombo","given":"Arnaldo L."},{"family":"Cortegiani","given":"Andrea"},{"family":"Corzo Leon","given":"Dora E."},{"family":"Drgona","given":"Lubos"},{"family":"Dudakova","given":"Anna"},{"family":"Farooqi","given":"Joveria"},{"family":"Gago","given":"Sara"},{"family":"Ilkit","given":"Macit"},{"family":"Jenks","given":"Jeffrey D."},{"family":"Klimko","given":"Nikolai"},{"family":"Krause","given":"Robert"},{"family":"Kumar","given":"Anil"},{"family":"Lagrou","given":"Katrien"},{"family":"Lionakis","given":"Michail S."},{"family":"Lmimouni","given":"Badre E."},{"family":"Mansour","given":"Michael K."},{"family":"Meletiadis","given":"Joseph"},{"family":"Mellinghoff","given":"Sibylle C."},{"family":"Mer","given":"Mervyn"},{"family":"Mikulska","given":"Malgorzata"},{"family":"Montravers","given":"Philippe"},{"family":"Neoh","given":"Chin Fen"},{"family":"Ozenci","given":"Volkan"},{"family":"Pagano","given":"Livio"},{"family":"Pappas","given":"Peter"},{"family":"Patterson","given":"Thomas F."},{"family":"Puerta-Alcalde","given":"Pedro"},{"family":"Rahimli","given":"Laman"},{"family":"Rahn","given":"Sebastian"},{"family":"Roilides","given":"Emmanuel"},{"family":"Rotstein","given":"Coleman"},{"family":"Ruegamer","given":"Tamara"},{"family":"Sabino","given":"Raquel"},{"family":"Salmanton-García","given":"Jon"},{"family":"Schwartz","given":"Ilan S."},{"family":"Segal","given":"Esther"},{"family":"Sidharthan","given":"Neeraj"},{"family":"Singhal","given":"Tanu"},{"family":"Sinko","given":"Janos"},{"family":"Soman","given":"Rajeev"},{"family":"Spec","given":"Andrej"},{"family":"Steinmann","given":"Joerg"},{"family":"Stemler","given":"Jannik"},{"family":"Taj-Aldeen","given":"Saad J."},{"family":"Talento","given":"Alida Fe"},{"family":"Thompson","given":"George R."},{"family":"Toebben","given":"Christina"},{"family":"Villanueva-Lozano","given":"Hiram"},{"family":"Wahyuningsih","given":"Retno"},{"family":"Weinbergerová","given":"Barbora"},{"family":"Wiederhold","given":"Nathan"},{"family":"Willinger","given":"Birgit"},{"family":"Woo","given":"Patrick C. Y."},{"family":"Zhu","given":"Li-Ping"}],"issued":{"date-parts":[["2025",5]]}}}],"schema":"https://github.com/citation-style-language/schema/raw/master/csl-citation.json"}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[61]</w:t>
            </w:r>
            <w:r w:rsidRPr="00135E13">
              <w:rPr>
                <w:rFonts w:ascii="Times New Roman" w:hAnsi="Times New Roman" w:cs="Times New Roman"/>
                <w:sz w:val="18"/>
                <w:szCs w:val="18"/>
              </w:rPr>
              <w:fldChar w:fldCharType="end"/>
            </w:r>
            <w:r w:rsidRPr="00135E13">
              <w:rPr>
                <w:rFonts w:ascii="Times New Roman" w:hAnsi="Times New Roman" w:cs="Times New Roman"/>
                <w:sz w:val="18"/>
                <w:szCs w:val="18"/>
              </w:rPr>
              <w:t xml:space="preserve"> </w:t>
            </w:r>
          </w:p>
        </w:tc>
        <w:tc>
          <w:tcPr>
            <w:tcW w:w="2800" w:type="dxa"/>
            <w:shd w:val="clear" w:color="auto" w:fill="A8D08D" w:themeFill="accent6" w:themeFillTint="99"/>
          </w:tcPr>
          <w:p w14:paraId="626A1BB5" w14:textId="77777777" w:rsidR="00845E72" w:rsidRPr="00135E13" w:rsidRDefault="00845E72" w:rsidP="00845E72">
            <w:pPr>
              <w:rPr>
                <w:rFonts w:ascii="Times New Roman" w:hAnsi="Times New Roman" w:cs="Times New Roman"/>
                <w:sz w:val="18"/>
                <w:szCs w:val="18"/>
              </w:rPr>
            </w:pPr>
          </w:p>
        </w:tc>
      </w:tr>
      <w:tr w:rsidR="00845E72" w:rsidRPr="00135E13" w14:paraId="7A3834A9" w14:textId="77777777" w:rsidTr="008265CD">
        <w:trPr>
          <w:trHeight w:val="955"/>
        </w:trPr>
        <w:tc>
          <w:tcPr>
            <w:tcW w:w="1838" w:type="dxa"/>
            <w:noWrap/>
            <w:hideMark/>
          </w:tcPr>
          <w:p w14:paraId="3382FE78" w14:textId="77777777"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Posaconazole</w:t>
            </w:r>
          </w:p>
        </w:tc>
        <w:tc>
          <w:tcPr>
            <w:tcW w:w="1418" w:type="dxa"/>
            <w:hideMark/>
          </w:tcPr>
          <w:p w14:paraId="44FC1F23" w14:textId="2BFC7E5B" w:rsidR="00845E72"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 xml:space="preserve">10-17 </w:t>
            </w:r>
            <w:r>
              <w:rPr>
                <w:rFonts w:ascii="Times New Roman" w:hAnsi="Times New Roman" w:cs="Times New Roman"/>
                <w:sz w:val="18"/>
                <w:szCs w:val="18"/>
              </w:rPr>
              <w:t>(</w:t>
            </w:r>
            <w:r w:rsidRPr="00135E13">
              <w:rPr>
                <w:rFonts w:ascii="Times New Roman" w:hAnsi="Times New Roman" w:cs="Times New Roman"/>
                <w:sz w:val="18"/>
                <w:szCs w:val="18"/>
              </w:rPr>
              <w:t>fasted conditions</w:t>
            </w:r>
            <w:r>
              <w:rPr>
                <w:rFonts w:ascii="Times New Roman" w:hAnsi="Times New Roman" w:cs="Times New Roman"/>
                <w:sz w:val="18"/>
                <w:szCs w:val="18"/>
              </w:rPr>
              <w:t>)</w:t>
            </w:r>
            <w:r w:rsidRPr="00135E13">
              <w:rPr>
                <w:rFonts w:ascii="Times New Roman" w:hAnsi="Times New Roman" w:cs="Times New Roman"/>
                <w:sz w:val="18"/>
                <w:szCs w:val="18"/>
              </w:rPr>
              <w:t xml:space="preserve"> </w:t>
            </w:r>
          </w:p>
          <w:p w14:paraId="3C92B3EE" w14:textId="6DC1C16C"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 xml:space="preserve">49-59 </w:t>
            </w:r>
            <w:r>
              <w:rPr>
                <w:rFonts w:ascii="Times New Roman" w:hAnsi="Times New Roman" w:cs="Times New Roman"/>
                <w:sz w:val="18"/>
                <w:szCs w:val="18"/>
              </w:rPr>
              <w:t>(</w:t>
            </w:r>
            <w:r w:rsidRPr="00135E13">
              <w:rPr>
                <w:rFonts w:ascii="Times New Roman" w:hAnsi="Times New Roman" w:cs="Times New Roman"/>
                <w:sz w:val="18"/>
                <w:szCs w:val="18"/>
              </w:rPr>
              <w:t>fed conditions</w:t>
            </w:r>
            <w:r>
              <w:rPr>
                <w:rFonts w:ascii="Times New Roman" w:hAnsi="Times New Roman" w:cs="Times New Roman"/>
                <w:sz w:val="18"/>
                <w:szCs w:val="18"/>
              </w:rPr>
              <w:t>)</w:t>
            </w:r>
            <w:r w:rsidRPr="00135E13">
              <w:rPr>
                <w:rFonts w:ascii="Times New Roman" w:hAnsi="Times New Roman" w:cs="Times New Roman"/>
                <w:sz w:val="18"/>
                <w:szCs w:val="18"/>
              </w:rPr>
              <w:t xml:space="preserve">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{"citationID":"IylObGwE","properties":{"formattedCitation":"[62]","plainCitation":"[62]","noteIndex":0},"citationItems":[{"id":"RKg9lF5b/KNZJ6SG7","uris":["http://zotero.org/users/8889971/items/FKB84GMI"],"itemData":{"id":4150,"type":"article-journal","abstract":"BACKGROUND: Posaconazole is widely used for the prophylaxis and treatment of invasive fungal diseases. Because of the limited and variable absorption of the initially available oral suspension, a delayed-release tablet and intravenous formulation were developed.\nOBJECTIVE: This study aimed to characterize the pharmacokinetics, including the absolute oral bioavailability, of all posaconazole formulations in healthy volunteers.\nMETHODS: Data from 182 healthy volunteers with 3898 densely sampled posaconazole concentrations were pooled from eight phase I clinical studies on the three formulations of various single and multiple dosage regimens between 50 and 400 mg. Analysis and simulations were performed using NONMEM 7.5.0. In the covariate analysis, the influence of food (fed vs fasted), nonlinearity, and for the delayed-release tablet, comedication (antacid, ranitidine, esomeprazole, and metoclopramide) were tested.\nRESULTS: A two-compartment model with respectively, four and eight absorption transit compartments, best described the profiles of the oral suspension and delayed-release tablet. For the suspension, both a food effect and a dose-dependent nonlinear bioavailability were quantified, resulting in lower bioavailability when fasted or at a higher dose. The typical bioavailability of the suspension at 100 mg and 400 mg was derived to be respectively, 17.1% and 10.1% under fasted conditions and 59.1% and 49.2% under fed conditions. The absolute bioavailability of the delayed-release tablet was 58.8% (95% confidence interval 33.2-80.4) under fasted conditions and approached complete absorption under fed conditions for dosages up to 300 mg. Food intake reduced the absorption rate constant of the suspension by 52.2% (confidence interval 45.2-59.2). The impact of comedication on the absorption of the delayed-release tablet was not statistically significant. Model-based simulations indicate that under fed conditions, the licensed dosages of the three formulations yield a steady-state trough concentration ≥ 0.7 mg/L in over 90% of healthy volunteers. About 35% of healthy volunteers who receive the licensed 300-mg delayed-release tablet under fasted conditions do not achieve this target, while for the suspension this percentage varies between 55 and 85%, depending on the dose.\nCONCLUSIONS: For both oral posaconazole formulations, we quantified bioavailability and absorption rate, including food effects, in healthy volunteers. The pharmacokinetic superiority of the delayed-release tablet was demonstrated under both fed and fasted conditions, compared with the oral suspension. The impact of food on the bioavailability of the delayed-release tablet was larger than anticipated, suggesting that administering the delayed-release tablet with food enhances absorption.","container-title":"Drugs","DOI":"10.1007/s40265-022-01819-8","ISSN":"1179-1950","issue":"1","journalAbbreviation":"Drugs","language":"eng","page":"75-86","PMID":"36607589","source":"PubMed","title":"An Integrated Population Pharmacokinetic Analysis for Posaconazole Oral Suspension, Delayed-Release Tablet, and Intravenous Infusion in Healthy Volunteers","volume":"83","author":[{"family":"Chen","given":"Lu"},{"family":"Krekels","given":"Elke H. J."},{"family":"Heijnen","given":"Anne R."},{"family":"Knibbe","given":"Catherijne A. J."},{"family":"Brüggemann","given":"Roger J."}],"issued":{"date-parts":[["2023",1]]}}}],"schema":"https://github.com/citation-style-language/schema/raw/master/csl-citation.json"}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[62]</w:t>
            </w:r>
            <w:r w:rsidRPr="00135E13">
              <w:rPr>
                <w:rFonts w:ascii="Times New Roman" w:hAnsi="Times New Roman" w:cs="Times New Roman"/>
                <w:sz w:val="18"/>
                <w:szCs w:val="18"/>
              </w:rPr>
              <w:fldChar w:fldCharType="end"/>
            </w:r>
          </w:p>
        </w:tc>
        <w:tc>
          <w:tcPr>
            <w:tcW w:w="1134" w:type="dxa"/>
            <w:noWrap/>
            <w:hideMark/>
          </w:tcPr>
          <w:p w14:paraId="630D91D1" w14:textId="77777777"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4-5</w:t>
            </w:r>
          </w:p>
        </w:tc>
        <w:tc>
          <w:tcPr>
            <w:tcW w:w="2835" w:type="dxa"/>
            <w:hideMark/>
          </w:tcPr>
          <w:p w14:paraId="1A9FEF65" w14:textId="0EA9ABA5"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tcPr>
          <w:p w14:paraId="4C3BEAF1" w14:textId="578EF11C"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 xml:space="preserve">Possible subtherapeutic systemic concentrations in ICU patient with oral form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{"citationID":"LmPS5LpI","properties":{"formattedCitation":"[63]","plainCitation":"[63]","noteIndex":0},"citationItems":[{"id":"RKg9lF5b/uxKJgStJ","uris":["http://zotero.org/users/8889971/items/JZ8NVT7I"],"itemData":{"id":4149,"type":"article-journal","abstract":"BACKGROUND: Posaconazole is an azole antifungal agent with a broad spectrum of activity and a manageable side-effect profile. Although the pharmacokinetics of posaconazole have been described in healthy volunteers who received the drug by means of a nasogastric tube or with nutritional supplements, the pharmacokinetics of posaconazole have not been reported in critically ill patients.\nMETHODS: Twenty-seven patients in the general intensive care unit managed according to standard protocols were randomly allocated to dose regimens of either 400 mg twice daily or 200 mg 4 times daily. Plasma samples were collected for pharmacokinetic analysis after the first dose and at steady-state. Posaconazole plasma concentrations were compared with suggested effect targets for prophylaxis and treatment.\nRESULTS: Mean Cmin steady-state plasma concentrations of posaconazole were low for both regimens (306 and 137 ng/mL for 400 mg twice daily and 200 mg 4 times daily regimens, respectively), as was total exposure to posaconazole in each group [area under the concentration-time curve (AUC0-t) for first dose: 761 and 299 μg·h/L]. Only 17% of patients achieved steady-state Cmin posaconazole plasma concentrations above the suggested target for prophylaxis, and only one patient had a Cmin posaconazole concentration that exceeded the suggested target for treatment effect. Systemic exposure to posaconazole seemed to be subtherapeutic in most patients in this cohort. Poor absorption of posaconazole due to drug interactions may explain the low systemic exposure; however, further investigation is necessary.\nCONCLUSIONS: These data suggest that there is a need for an intraveneous formulation of the drug if it is to be used effectively in critically ill patients, and therapeutic drug monitoring is an essential tool in this setting to identify patients with low systemic exposure to prevent therapeutic failure.","container-title":"Therapeutic Drug Monitoring","DOI":"10.1097/FTD.0b013e31821fb197","ISSN":"1536-3694","issue":"4","journalAbbreviation":"Ther Drug Monit","language":"eng","page":"387-392","PMID":"21654350","source":"PubMed","title":"Posaconazole plasma concentrations in critically ill patients","volume":"33","author":[{"family":"Ray","given":"John"},{"family":"Campbell","given":"Lewis"},{"family":"Rudham","given":"Sam"},{"family":"Nguyen","given":"Quoc"},{"family":"Marriott","given":"Deborah"}],"issued":{"date-parts":[["2011",8]]}}}],"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[63]</w:t>
            </w:r>
            <w:r w:rsidRPr="00135E13">
              <w:rPr>
                <w:rFonts w:ascii="Times New Roman" w:hAnsi="Times New Roman" w:cs="Times New Roman"/>
                <w:sz w:val="18"/>
                <w:szCs w:val="18"/>
              </w:rPr>
              <w:fldChar w:fldCharType="end"/>
            </w:r>
            <w:r w:rsidRPr="00135E13">
              <w:rPr>
                <w:rFonts w:ascii="Times New Roman" w:hAnsi="Times New Roman" w:cs="Times New Roman"/>
                <w:sz w:val="18"/>
                <w:szCs w:val="18"/>
              </w:rPr>
              <w:t xml:space="preserve">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{"citationID":"GsfsXmqD","properties":{"formattedCitation":"[64]","plainCitation":"[64]","noteIndex":0},"citationItems":[{"id":"RKg9lF5b/0G9zI1I8","uris":["http://zotero.org/users/8889971/items/XN6DSZ39"],"itemData":{"id":4148,"type":"article-journal","abstract":"PURPOSE: Posaconazole is an antifungal drug currently being used for prophylaxis and treatment of invasive fungal infections such as aspergillosis. To date, therapeutic drug monitoring (TDM) of posaconazole is recommended with the use of oral suspension, but the potential need of TDM with the use of IV formulations is rising. Therefore, we aimed to investigate the pharmacokinetics of IV posaconazole in critically ill patients.\nMETHODS: In a prospective study, we analysed 168 consecutivelly collected posaconazole levels from 10 critically ill patients drawn during a 7 day curse. Posaconazole concentrations were measured using a chromatographic method. Demographic and laboratory data were collected, and the data was analysed using descriptive statistics.\nRESULTS: We included 168 posaconazole levels, resulting in a median trough of 0.62 [0.29-1.05] mg/L with 58% not reaching the suggested target of 0.5 mg/L for fungal prophylaxis. Moreover, 74% of the trough levels were under the target of 1 mg/L which is proposed for the treatment of aspergillosis.\nCONCLUSION: Posaconazole exposure is highly variable in critically ill patients resulting in potentially insufficient drug concentrations in many cases. TDM is highly recommended to identify and avoid underexposure.\nTRIAL REGISTRATION NUMBER: NCT05275179, March 11, 2022.","container-title":"Infection","DOI":"10.1007/s15010-023-02078-9","ISSN":"1439-0973","issue":"6","journalAbbreviation":"Infection","language":"eng","page":"1767-1772","PMID":"37498488","PMCID":"PMC10665255","source":"PubMed","title":"Posaconazole exposure in critically ill ICU patients: a need for action","title-short":"Posaconazole exposure in critically ill ICU patients","volume":"51","author":[{"family":"König","given":"Christina"},{"family":"Göpfert","given":"Melanie"},{"family":"Kluge","given":"Stefan"},{"family":"Wichmann","given":"Dominic"}],"issued":{"date-parts":[["2023",12]]}}}],"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[64]</w:t>
            </w:r>
            <w:r w:rsidRPr="00135E13">
              <w:rPr>
                <w:rFonts w:ascii="Times New Roman" w:hAnsi="Times New Roman" w:cs="Times New Roman"/>
                <w:sz w:val="18"/>
                <w:szCs w:val="18"/>
              </w:rPr>
              <w:fldChar w:fldCharType="end"/>
            </w:r>
          </w:p>
          <w:p w14:paraId="04AFC1D3" w14:textId="6FDE9F3F"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b/>
                <w:bCs/>
                <w:color w:val="1B1B1B"/>
                <w:sz w:val="18"/>
                <w:szCs w:val="18"/>
                <w:shd w:val="clear" w:color="auto" w:fill="FFFFFF"/>
              </w:rPr>
              <w:t>Therapeutic drug monitoring is necessary</w:t>
            </w:r>
            <w:r w:rsidRPr="00135E13">
              <w:rPr>
                <w:rFonts w:ascii="Times New Roman" w:hAnsi="Times New Roman" w:cs="Times New Roman"/>
                <w:sz w:val="18"/>
                <w:szCs w:val="18"/>
              </w:rPr>
              <w:t xml:space="preserve"> </w:t>
            </w:r>
          </w:p>
        </w:tc>
        <w:tc>
          <w:tcPr>
            <w:tcW w:w="2800" w:type="dxa"/>
            <w:shd w:val="clear" w:color="auto" w:fill="ED7D31" w:themeFill="accent2"/>
          </w:tcPr>
          <w:p w14:paraId="65AB5DBE" w14:textId="77777777" w:rsidR="00845E72" w:rsidRPr="00135E13" w:rsidRDefault="00845E72" w:rsidP="00845E72">
            <w:pPr>
              <w:rPr>
                <w:rFonts w:ascii="Times New Roman" w:hAnsi="Times New Roman" w:cs="Times New Roman"/>
                <w:sz w:val="18"/>
                <w:szCs w:val="18"/>
              </w:rPr>
            </w:pPr>
          </w:p>
        </w:tc>
      </w:tr>
      <w:tr w:rsidR="00845E72" w:rsidRPr="00135E13" w14:paraId="2CCF9CB9" w14:textId="77777777" w:rsidTr="005C7D6F">
        <w:trPr>
          <w:trHeight w:val="285"/>
        </w:trPr>
        <w:tc>
          <w:tcPr>
            <w:tcW w:w="1838" w:type="dxa"/>
            <w:noWrap/>
            <w:hideMark/>
          </w:tcPr>
          <w:p w14:paraId="10DDA1A7" w14:textId="77777777"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Voriconazole</w:t>
            </w:r>
          </w:p>
        </w:tc>
        <w:tc>
          <w:tcPr>
            <w:tcW w:w="1418" w:type="dxa"/>
            <w:noWrap/>
            <w:hideMark/>
          </w:tcPr>
          <w:p w14:paraId="218F35DF" w14:textId="77777777"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96</w:t>
            </w:r>
          </w:p>
        </w:tc>
        <w:tc>
          <w:tcPr>
            <w:tcW w:w="1134" w:type="dxa"/>
            <w:noWrap/>
            <w:hideMark/>
          </w:tcPr>
          <w:p w14:paraId="0E127A51" w14:textId="77777777"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1-2</w:t>
            </w:r>
          </w:p>
        </w:tc>
        <w:tc>
          <w:tcPr>
            <w:tcW w:w="2835" w:type="dxa"/>
            <w:noWrap/>
            <w:hideMark/>
          </w:tcPr>
          <w:p w14:paraId="75EB21C8" w14:textId="576DF2F0" w:rsidR="00845E72" w:rsidRPr="00135E13" w:rsidRDefault="00964E73" w:rsidP="00845E72">
            <w:pPr>
              <w:rPr>
                <w:rFonts w:ascii="Times New Roman" w:hAnsi="Times New Roman" w:cs="Times New Roman"/>
                <w:sz w:val="18"/>
                <w:szCs w:val="18"/>
              </w:rPr>
            </w:pPr>
            <w:r w:rsidRPr="00135E13">
              <w:rPr>
                <w:rFonts w:ascii="Times New Roman" w:hAnsi="Times New Roman" w:cs="Times New Roman"/>
                <w:sz w:val="18"/>
                <w:szCs w:val="18"/>
              </w:rPr>
              <w:t xml:space="preserve">Potential </w:t>
            </w:r>
            <w:r>
              <w:rPr>
                <w:rFonts w:ascii="Times New Roman" w:hAnsi="Times New Roman" w:cs="Times New Roman"/>
                <w:sz w:val="18"/>
                <w:szCs w:val="18"/>
              </w:rPr>
              <w:t xml:space="preserve">accumulation and </w:t>
            </w:r>
            <w:r w:rsidRPr="00135E13">
              <w:rPr>
                <w:rFonts w:ascii="Times New Roman" w:hAnsi="Times New Roman" w:cs="Times New Roman"/>
                <w:sz w:val="18"/>
                <w:szCs w:val="18"/>
              </w:rPr>
              <w:t xml:space="preserve">toxicity </w:t>
            </w:r>
            <w:r>
              <w:rPr>
                <w:rFonts w:ascii="Times New Roman" w:hAnsi="Times New Roman" w:cs="Times New Roman"/>
                <w:sz w:val="18"/>
                <w:szCs w:val="18"/>
              </w:rPr>
              <w:t xml:space="preserve">of </w:t>
            </w:r>
            <w:proofErr w:type="spellStart"/>
            <w:r w:rsidRPr="00455F32">
              <w:rPr>
                <w:rFonts w:ascii="Times New Roman" w:hAnsi="Times New Roman" w:cs="Times New Roman"/>
                <w:sz w:val="18"/>
                <w:szCs w:val="18"/>
              </w:rPr>
              <w:t>sulfobutylether</w:t>
            </w:r>
            <w:proofErr w:type="spellEnd"/>
            <w:r w:rsidRPr="00455F32">
              <w:rPr>
                <w:rFonts w:ascii="Times New Roman" w:hAnsi="Times New Roman" w:cs="Times New Roman"/>
                <w:sz w:val="18"/>
                <w:szCs w:val="18"/>
              </w:rPr>
              <w:t xml:space="preserve">-β-cyclodextrin </w:t>
            </w:r>
            <w:r w:rsidRPr="00135E13">
              <w:rPr>
                <w:rFonts w:ascii="Times New Roman" w:hAnsi="Times New Roman" w:cs="Times New Roman"/>
                <w:sz w:val="18"/>
                <w:szCs w:val="18"/>
              </w:rPr>
              <w:t>with IV formulation in patient with kidney failure.</w:t>
            </w:r>
          </w:p>
        </w:tc>
        <w:tc>
          <w:tcPr>
            <w:tcW w:w="3969" w:type="dxa"/>
          </w:tcPr>
          <w:p w14:paraId="4717050E" w14:textId="2C85A6C0"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 xml:space="preserve">Enteral nutrition may reduce the drug’s absorption. Variability in antifungal target attainment among critically ill patients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{"citationID":"GWHWwPg3","properties":{"formattedCitation":"[65]","plainCitation":"[65]","noteIndex":0},"citationItems":[{"id":"RKg9lF5b/Zlvv60ul","uris":["http://zotero.org/users/8889971/items/CP6H8DIH"],"itemData":{"id":4146,"type":"article-journal","abstract":"PURPOSE: Appropriate antifungal therapy is a major determinant of survival in critically ill patients with invasive fungal disease. We sought to describe whether contemporary dosing of antifungals achieves therapeutic exposures in critically ill patients.\nMETHODS: In a prospective, open-label, multicenter pharmacokinetic study, intensive care unit (ICU) patients prescribed azoles, echinocandins, or polyene antifungals for treatment or prophylaxis of invasive fungal disease were enrolled. Blood samples were collected on two occasions, with three samples taken during a single dosing interval on each occasion. Total concentrations were centrally measured using validated chromatographic methods. Pharmacokinetic parameters were estimated using noncompartmental methods. Antifungal dosing adequacy was assessed using predefined PK/PD targets.\nRESULTS: We included 339 patients from 30 ICUs across 12 countries. Median age 62 (interquartile range [IQR], 51-70) years, median APACHE II score 22 (IQR, 17-28), and 61% males. Antifungal therapy was primarily prescribed for treatment (80.8%). Fluconazole was the most frequently prescribed antifungal (40.7%). The most common indication for treatment was intra-abdominal infection (30.7%). Fungi were identified in 45% of patients, of which only 26% had a minimum inhibitory concentration available. Target attainment was higher for patients receiving prophylaxis (&gt; 80% for most drugs). For patients receiving treatment, low target attainment was noted for voriconazole (57.1%), posaconazole (63.2%), micafungin (64.1%) and amphotericin B (41.7%).\nCONCLUSION: This study highlights the varying degrees of target attainment across antifungal agents in critically ill patients. While a significant proportion of patients achieved the predefined PK/PD targets, wide variability and subtherapeutic exposures persist.\nTRIAL REGISTRATION: ClinicalTrials.gov Identifier: NCT03136926, 2017-04-21.","container-title":"Intensive Care Medicine","DOI":"10.1007/s00134-025-07793-5","ISSN":"1432-1238","issue":"2","journalAbbreviation":"Intensive Care Med","language":"eng","page":"302-317","PMID":"39899034","PMCID":"PMC11903579","source":"PubMed","title":"Are contemporary antifungal doses sufficient for critically ill patients? Outcomes from an international, multicenter pharmacokinetics study for Screening Antifungal Exposure in Intensive Care Units-the SAFE-ICU study","title-short":"Are contemporary antifungal doses sufficient for critically ill patients?","volume":"51","author":[{"family":"Roberts","given":"Jason A."},{"family":"Sime","given":"Fekade B."},{"family":"Lipman","given":"Jeffrey"},{"family":"Hernández-Mitre","given":"María Patricia"},{"family":"Baptista","given":"João Pedro"},{"family":"Brüggemann","given":"Roger J."},{"family":"Darvall","given":"Jai"},{"family":"De Waele","given":"Jan J."},{"family":"Dimopoulos","given":"George"},{"family":"Lefrant","given":"Jean-Yves"},{"family":"Mat Nor","given":"Mohd Basri"},{"family":"Rello","given":"Jordi"},{"family":"Seoane","given":"Leonardo"},{"family":"Slavin","given":"Monica A."},{"family":"Valkonen","given":"Miia"},{"family":"Venditti","given":"Mario"},{"family":"Ceccarelli","given":"Giancarlo"},{"family":"Wong","given":"Wai Tat"},{"family":"Zeitlinger","given":"Markus"},{"family":"Roger","given":"Claire"}],"issued":{"date-parts":[["2025",2]]}}}],"schema":"https://github.com/citation-style-language/schema/raw/master/csl-citation.json"}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[65]</w:t>
            </w:r>
            <w:r w:rsidRPr="00135E13">
              <w:rPr>
                <w:rFonts w:ascii="Times New Roman" w:hAnsi="Times New Roman" w:cs="Times New Roman"/>
                <w:sz w:val="18"/>
                <w:szCs w:val="18"/>
              </w:rPr>
              <w:fldChar w:fldCharType="end"/>
            </w:r>
            <w:r w:rsidRPr="00135E13">
              <w:rPr>
                <w:rFonts w:ascii="Times New Roman" w:hAnsi="Times New Roman" w:cs="Times New Roman"/>
                <w:sz w:val="18"/>
                <w:szCs w:val="18"/>
              </w:rPr>
              <w:t xml:space="preserve">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{"citationID":"QEpJpI0G","properties":{"formattedCitation":"[66]","plainCitation":"[66]","noteIndex":0},"citationItems":[{"id":"RKg9lF5b/fawYR8LK","uris":["http://zotero.org/users/8889971/items/JYNSN7Y3"],"itemData":{"id":4147,"type":"article-journal","abstract":"BACKGROUND: The efficacy and toxicity of voriconazole, a broad-spectrum antifungal agent, are correlated with its trough concentration (Ctrough). Patients hospitalised in the intensive care unit (ICU) frequently experience inadequate voriconazole exposure. We sought to identify factors associated with variability of voriconazole Ctrough in ICU patients.\nMETHODS: We searched MEDLINE, Web of Science and Cochrane Library databases from inception through July 2025.\nRESULTS: Thirty-one studies describing nine factors of variability were included. Liver dysfunction, high body mass index, high SOFA score and high inflammation status were associated with voriconazole overexposure, whereas the oral route of administration, renal replacement therapy and low body mass index were associated with voriconazole underexposure. The effects of extracorporeal membrane oxygenation and hypoalbuminemia on voriconazole exposure were unclear.\nCONCLUSIONS: A systematic dose adaptation is required for patients with liver dysfunction, and voriconazole dose calculation should not be based on total body weight, with an adjusted body weight a preferred alternative. Intravenous administration should be favoured in patients without severe renal dysfunction. Further research to define the benefit of an individualised dosing approach for voriconazole in ICU patients that combines pharmacokinetic modelling and machine learning, is warranted. Meanwhile, close therapeutic drug monitoring is needed for ICU patients, especially those with identified risk factors for under- or overexposure.","container-title":"Critical Care","DOI":"10.1186/s13054-025-05697-w","ISSN":"1466-609X","issue":"1","journalAbbreviation":"Crit Care","language":"eng","note":"publisher-place: London, England","page":"536","PMID":"41291870","PMCID":"PMC12752375","source":"PubMed","title":"Factors affecting voriconazole pharmacokinetic variability in critically ill patients: a systematic review","title-short":"Factors affecting voriconazole pharmacokinetic variability in critically ill patients","volume":"29","author":[{"family":"Coste","given":"Anne"},{"family":"Aubron","given":"Cécile"},{"family":"Ansart","given":"Séverine"},{"family":"Roberts","given":"Jason"},{"family":"Morio","given":"Florent"},{"family":"Grégoire","given":"Matthieu"}],"issued":{"date-parts":[["2025",11,25]]}}}],"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[66]</w:t>
            </w:r>
            <w:r w:rsidRPr="00135E13">
              <w:rPr>
                <w:rFonts w:ascii="Times New Roman" w:hAnsi="Times New Roman" w:cs="Times New Roman"/>
                <w:sz w:val="18"/>
                <w:szCs w:val="18"/>
              </w:rPr>
              <w:fldChar w:fldCharType="end"/>
            </w:r>
          </w:p>
          <w:p w14:paraId="587BE3E0" w14:textId="0A9463D4"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b/>
                <w:bCs/>
                <w:color w:val="1B1B1B"/>
                <w:sz w:val="18"/>
                <w:szCs w:val="18"/>
                <w:shd w:val="clear" w:color="auto" w:fill="FFFFFF"/>
              </w:rPr>
              <w:t>Therapeutic drug monitoring is necessary</w:t>
            </w:r>
            <w:r w:rsidRPr="00135E13">
              <w:rPr>
                <w:rFonts w:ascii="Times New Roman" w:hAnsi="Times New Roman" w:cs="Times New Roman"/>
                <w:sz w:val="18"/>
                <w:szCs w:val="18"/>
              </w:rPr>
              <w:t xml:space="preserve"> </w:t>
            </w:r>
          </w:p>
        </w:tc>
        <w:tc>
          <w:tcPr>
            <w:tcW w:w="2800" w:type="dxa"/>
            <w:shd w:val="clear" w:color="auto" w:fill="ED7D31" w:themeFill="accent2"/>
          </w:tcPr>
          <w:p w14:paraId="23E1E9B5" w14:textId="77777777" w:rsidR="00845E72" w:rsidRPr="00135E13" w:rsidRDefault="00845E72" w:rsidP="00845E72">
            <w:pPr>
              <w:rPr>
                <w:rFonts w:ascii="Times New Roman" w:hAnsi="Times New Roman" w:cs="Times New Roman"/>
                <w:sz w:val="18"/>
                <w:szCs w:val="18"/>
              </w:rPr>
            </w:pPr>
          </w:p>
        </w:tc>
      </w:tr>
      <w:tr w:rsidR="00845E72" w:rsidRPr="00135E13" w14:paraId="4C307AF8" w14:textId="046DFB88" w:rsidTr="005C7D6F">
        <w:trPr>
          <w:trHeight w:val="285"/>
        </w:trPr>
        <w:tc>
          <w:tcPr>
            <w:tcW w:w="1838" w:type="dxa"/>
            <w:noWrap/>
            <w:hideMark/>
          </w:tcPr>
          <w:p w14:paraId="47FC656D" w14:textId="27FD7289" w:rsidR="00845E72" w:rsidRPr="00135E13" w:rsidRDefault="00845E72" w:rsidP="00845E72">
            <w:pPr>
              <w:rPr>
                <w:rFonts w:ascii="Times New Roman" w:hAnsi="Times New Roman" w:cs="Times New Roman"/>
                <w:sz w:val="18"/>
                <w:szCs w:val="18"/>
              </w:rPr>
            </w:pPr>
            <w:proofErr w:type="spellStart"/>
            <w:r w:rsidRPr="00135E13">
              <w:rPr>
                <w:rFonts w:ascii="Times New Roman" w:hAnsi="Times New Roman" w:cs="Times New Roman"/>
                <w:sz w:val="18"/>
                <w:szCs w:val="18"/>
              </w:rPr>
              <w:t>Isavuconazole</w:t>
            </w:r>
            <w:proofErr w:type="spellEnd"/>
          </w:p>
        </w:tc>
        <w:tc>
          <w:tcPr>
            <w:tcW w:w="1418" w:type="dxa"/>
            <w:noWrap/>
            <w:hideMark/>
          </w:tcPr>
          <w:p w14:paraId="38CBE54F" w14:textId="683001E2"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98</w:t>
            </w:r>
          </w:p>
        </w:tc>
        <w:tc>
          <w:tcPr>
            <w:tcW w:w="1134" w:type="dxa"/>
            <w:noWrap/>
            <w:hideMark/>
          </w:tcPr>
          <w:p w14:paraId="0128D1F5" w14:textId="2AA6D153"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2-3</w:t>
            </w:r>
          </w:p>
        </w:tc>
        <w:tc>
          <w:tcPr>
            <w:tcW w:w="2835" w:type="dxa"/>
            <w:noWrap/>
            <w:hideMark/>
          </w:tcPr>
          <w:p w14:paraId="160B57B5" w14:textId="5BC3717A"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Comparable</w:t>
            </w:r>
          </w:p>
        </w:tc>
        <w:tc>
          <w:tcPr>
            <w:tcW w:w="3969" w:type="dxa"/>
          </w:tcPr>
          <w:p w14:paraId="4CB31721" w14:textId="2DC9FF3A"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 xml:space="preserve">In critically ill patients, interindividual pharmacokinetic variability and suboptimal drug exposure have been observed.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{"citationID":"v1KWZqjn","properties":{"formattedCitation":"[67]","plainCitation":"[67]","noteIndex":0},"citationItems":[{"id":"RKg9lF5b/rMfLCqeK","uris":["http://zotero.org/users/8889971/items/JWBWICVH"],"itemData":{"id":4152,"type":"article-journal","abstract":"BACKGROUND AND OBJECTIVES: Isavuconazole is a broad-spectrum antifungal agent for the management of invasive fungal disease. Optimised drug exposure is critical for patient outcomes, specifically in the critically ill population. Solid information on isavuconazole pharmacokinetics including protein binding in patients in the intensive care unit is scarce. We aimed to describe the total and unbound isavuconazole pharmacokinetics and subsequently propose a dosage optimisation strategy.\nMETHODS: A prospective multi-centre study in adult intensive care unit patients receiving isavuconazole was performed. Blood samples were collected on eight timepoints over one dosing interval between days 3-7 of treatment and optionally on one timepoint after discontinuation. Total and unbound isavuconazole pharmacokinetics were analysed by means of population pharmacokinetic modelling using NONMEM. The final model was used to perform simulations to assess exposure described by the area under the concentration-time curve and propose an adaptive dosing approach.\nRESULTS: Population pharmacokinetics of total and unbound isavuconazole were best described by an allometrically scaled two-compartment model with a saturable protein-binding model and interindividual variability on clearance and the maximum binding capacity. The median (range) isavuconazole unbound fraction was 1.65% (0.83-3.25%). After standard dosing, only 35.8% of simulated patients reached a total isavuconazole area under the concentration-time curve &gt; 60 mg·h/L at day 14. The proposed adaptive dosing strategy resulted in an increase to 62.3% of patients at adequate steady-state exposure.\nCONCLUSIONS: In critically ill patients, total isavuconazole exposure is reduced and protein binding is highly variable. We proposed an adaptive dosing approach to enhance early treatment optimisation in this high-risk population.\nCLINICAL TRIAL REGISTRATION: ClinicalTrials.gov identifier: NCT04777058.","container-title":"Clinical Pharmacokinetics","DOI":"10.1007/s40262-023-01305-8","ISSN":"1179-1926","issue":"12","journalAbbreviation":"Clin Pharmacokinet","language":"eng","page":"1701-1711","PMID":"37819503","PMCID":"PMC10684418","source":"PubMed","title":"Population Pharmacokinetics of Total and Unbound Isavuconazole in Critically Ill Patients: Implications for Adaptive Dosing Strategies","title-short":"Population Pharmacokinetics of Total and Unbound Isavuconazole in Critically Ill Patients","volume":"62","author":[{"family":"Jansen","given":"Anouk M. E."},{"family":"Mertens","given":"Beatrijs"},{"family":"Spriet","given":"Isabel"},{"family":"Verweij","given":"Paul E."},{"family":"Schouten","given":"Jeroen"},{"family":"Wauters","given":"Joost"},{"family":"Debaveye","given":"Yves"},{"family":"Ter Heine","given":"Rob"},{"family":"Brüggemann","given":"Roger J. M."}],"issued":{"date-parts":[["2023",12]]}}}],"schema":"https://github.com/citation-style-language/schema/raw/master/csl-citation.json"}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[67]</w:t>
            </w:r>
            <w:r w:rsidRPr="00135E13">
              <w:rPr>
                <w:rFonts w:ascii="Times New Roman" w:hAnsi="Times New Roman" w:cs="Times New Roman"/>
                <w:sz w:val="18"/>
                <w:szCs w:val="18"/>
              </w:rPr>
              <w:fldChar w:fldCharType="end"/>
            </w:r>
            <w:r w:rsidRPr="00135E13">
              <w:rPr>
                <w:rFonts w:ascii="Times New Roman" w:hAnsi="Times New Roman" w:cs="Times New Roman"/>
                <w:sz w:val="18"/>
                <w:szCs w:val="18"/>
              </w:rPr>
              <w:t xml:space="preserve">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{"citationID":"rqOUtHqF","properties":{"formattedCitation":"[68]","plainCitation":"[68]","noteIndex":0},"citationItems":[{"id":"RKg9lF5b/v4Vf9Sgi","uris":["http://zotero.org/users/8889971/items/VREGVV9I"],"itemData":{"id":4151,"type":"article-journal","abstract":"BACKGROUND: Isavuconazole is approved for first-line treatment of aspergillosis, including COVID-19-associated pulmonary aspergillosis, and as an alternative for mucormycosis. However, its use in intensive care units (ICU) is not well characterized.\nRESEARCH DESIGN AND METHODS: We developed a population pharmacokinetic (popPK) model using 134 isavuconazole plasma concentrations retrospectively collected from 22 ICU patients over four years. Monte Carlo simulations were performed to optimize dosing strategies for rapid and maximal isavuconazole exposure.\nRESULTS: Diagnoses included suspected or probable aspergillosis (n = 17) and mucormycosis (n = 3). During the first 10 days of treatment, one-third of observed trough concentrations were below the target of 1 mg/L. A two-compartment model best estimated pharmacokinetic parameters, with no significant covariates identified to explain high variability. Simulations indicated that the standard dosing regimen (200 mg q8h for 2 days, then 200 mg qd) would not achieve the targeted area under the concentration-time curve during a 24-hour period to the minimal inhibitory concentration ratio of 33.34 mg/L in 45% of patients during the first ten days. Conversely, a loading dose of 400 mg q8h followed by a maintenance dose of 400 mg qd achieved the target in over 80% of patients.\nCONCLUSIONS: Isavuconazole exposure in the ICU was suboptimal with high pharmacokinetic variability. Pending external validation, isavuconazole concentrations should be monitored, and higher dosing regimens considered at treatment initiation.","container-title":"Expert Opinion on Drug Metabolism &amp; Toxicology","DOI":"10.1080/17425255.2025.2545920","ISSN":"1744-7607","issue":"9","journalAbbreviation":"Expert Opin Drug Metab Toxicol","language":"eng","page":"1125-1130","PMID":"40783797","source":"PubMed","title":"Suboptimal concentrations of isavuconazole in critically ill patients treated for mold infections: a population pharmacokinetic analysis","title-short":"Suboptimal concentrations of isavuconazole in critically ill patients treated for mold infections","volume":"21","author":[{"family":"Rabault","given":"Charlotte"},{"family":"Bailly","given":"Sébastien"},{"family":"Thy","given":"Michael"},{"family":"Montmollin","given":"Etienne","non-dropping-particle":"de"},{"family":"Wicky","given":"Paul-Henri"},{"family":"Bouadma","given":"Lila"},{"family":"Sonneville","given":"Romain"},{"family":"Bonnal","given":"Christine"},{"family":"Timsit","given":"Jean-François"},{"family":"Lê","given":"Minh Patrick"}],"issued":{"date-parts":[["2025",9]]}}}],"schema":"https://github.com/citation-style-language/schema/raw/master/csl-citation.json"}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[68]</w:t>
            </w:r>
            <w:r w:rsidRPr="00135E13">
              <w:rPr>
                <w:rFonts w:ascii="Times New Roman" w:hAnsi="Times New Roman" w:cs="Times New Roman"/>
                <w:sz w:val="18"/>
                <w:szCs w:val="18"/>
              </w:rPr>
              <w:fldChar w:fldCharType="end"/>
            </w:r>
          </w:p>
          <w:p w14:paraId="30171BD7" w14:textId="536D8DE9"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b/>
                <w:bCs/>
                <w:color w:val="1B1B1B"/>
                <w:sz w:val="18"/>
                <w:szCs w:val="18"/>
                <w:shd w:val="clear" w:color="auto" w:fill="FFFFFF"/>
              </w:rPr>
              <w:t>Therapeutic drug monitoring is necessary</w:t>
            </w:r>
            <w:r w:rsidRPr="00135E13">
              <w:rPr>
                <w:rFonts w:ascii="Times New Roman" w:hAnsi="Times New Roman" w:cs="Times New Roman"/>
                <w:sz w:val="18"/>
                <w:szCs w:val="18"/>
              </w:rPr>
              <w:t xml:space="preserve"> </w:t>
            </w:r>
            <w:r w:rsidRPr="00135E13">
              <w:rPr>
                <w:rFonts w:ascii="Times New Roman" w:hAnsi="Times New Roman" w:cs="Times New Roman"/>
                <w:b/>
                <w:bCs/>
                <w:sz w:val="18"/>
                <w:szCs w:val="18"/>
              </w:rPr>
              <w:t>and higher enteral dosing regimens should be considered at treatment initiation</w:t>
            </w:r>
            <w:r w:rsidRPr="00135E13">
              <w:rPr>
                <w:rFonts w:ascii="Times New Roman" w:hAnsi="Times New Roman" w:cs="Times New Roman"/>
                <w:sz w:val="18"/>
                <w:szCs w:val="18"/>
              </w:rPr>
              <w:t xml:space="preserve"> </w:t>
            </w:r>
          </w:p>
        </w:tc>
        <w:tc>
          <w:tcPr>
            <w:tcW w:w="2800" w:type="dxa"/>
            <w:shd w:val="clear" w:color="auto" w:fill="ED7D31" w:themeFill="accent2"/>
          </w:tcPr>
          <w:p w14:paraId="0A57515F" w14:textId="461F0BDE" w:rsidR="00845E72" w:rsidRPr="00135E13" w:rsidRDefault="00845E72" w:rsidP="00845E72">
            <w:pPr>
              <w:rPr>
                <w:rFonts w:ascii="Times New Roman" w:hAnsi="Times New Roman" w:cs="Times New Roman"/>
                <w:sz w:val="18"/>
                <w:szCs w:val="18"/>
              </w:rPr>
            </w:pPr>
          </w:p>
        </w:tc>
      </w:tr>
      <w:tr w:rsidR="00845E72" w:rsidRPr="00135E13" w14:paraId="4BF198EF" w14:textId="0B16D2EC" w:rsidTr="00B23C01">
        <w:trPr>
          <w:trHeight w:val="285"/>
        </w:trPr>
        <w:tc>
          <w:tcPr>
            <w:tcW w:w="13994" w:type="dxa"/>
            <w:gridSpan w:val="6"/>
            <w:noWrap/>
            <w:hideMark/>
          </w:tcPr>
          <w:p w14:paraId="05A66CE6" w14:textId="481EE4AF" w:rsidR="00845E72" w:rsidRPr="00135E13" w:rsidRDefault="00845E72" w:rsidP="00845E72">
            <w:pPr>
              <w:jc w:val="center"/>
              <w:rPr>
                <w:rFonts w:ascii="Times New Roman" w:hAnsi="Times New Roman" w:cs="Times New Roman"/>
                <w:sz w:val="18"/>
                <w:szCs w:val="18"/>
              </w:rPr>
            </w:pPr>
            <w:r w:rsidRPr="00135E13">
              <w:rPr>
                <w:rFonts w:ascii="Times New Roman" w:hAnsi="Times New Roman" w:cs="Times New Roman"/>
                <w:b/>
                <w:bCs/>
                <w:sz w:val="18"/>
                <w:szCs w:val="18"/>
              </w:rPr>
              <w:t>Other</w:t>
            </w:r>
          </w:p>
        </w:tc>
      </w:tr>
      <w:tr w:rsidR="00845E72" w:rsidRPr="00135E13" w14:paraId="208A0F80" w14:textId="5CAC59C4" w:rsidTr="00406AA3">
        <w:trPr>
          <w:trHeight w:val="285"/>
        </w:trPr>
        <w:tc>
          <w:tcPr>
            <w:tcW w:w="1838" w:type="dxa"/>
            <w:noWrap/>
            <w:hideMark/>
          </w:tcPr>
          <w:p w14:paraId="5C9A1B59" w14:textId="5771209B" w:rsidR="00845E72" w:rsidRPr="00135E13" w:rsidRDefault="00845E72" w:rsidP="00845E72">
            <w:pPr>
              <w:rPr>
                <w:rFonts w:ascii="Times New Roman" w:hAnsi="Times New Roman" w:cs="Times New Roman"/>
                <w:i/>
                <w:iCs/>
                <w:sz w:val="18"/>
                <w:szCs w:val="18"/>
              </w:rPr>
            </w:pPr>
            <w:r w:rsidRPr="00135E13">
              <w:rPr>
                <w:rFonts w:ascii="Times New Roman" w:hAnsi="Times New Roman" w:cs="Times New Roman"/>
                <w:sz w:val="18"/>
                <w:szCs w:val="18"/>
              </w:rPr>
              <w:t>Cetirizine</w:t>
            </w:r>
          </w:p>
        </w:tc>
        <w:tc>
          <w:tcPr>
            <w:tcW w:w="1418" w:type="dxa"/>
            <w:noWrap/>
            <w:hideMark/>
          </w:tcPr>
          <w:p w14:paraId="1F1813DB" w14:textId="00771CD3"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 xml:space="preserve">93 </w:t>
            </w:r>
          </w:p>
        </w:tc>
        <w:tc>
          <w:tcPr>
            <w:tcW w:w="1134" w:type="dxa"/>
            <w:noWrap/>
            <w:hideMark/>
          </w:tcPr>
          <w:p w14:paraId="79BE68F6" w14:textId="2FF70713"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 xml:space="preserve">0.9 </w:t>
            </w:r>
          </w:p>
        </w:tc>
        <w:tc>
          <w:tcPr>
            <w:tcW w:w="2835" w:type="dxa"/>
            <w:noWrap/>
            <w:hideMark/>
          </w:tcPr>
          <w:p w14:paraId="18CD8C3F" w14:textId="4D095626"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 xml:space="preserve">Comparable </w:t>
            </w:r>
          </w:p>
        </w:tc>
        <w:tc>
          <w:tcPr>
            <w:tcW w:w="3969" w:type="dxa"/>
          </w:tcPr>
          <w:p w14:paraId="7A5B0D55" w14:textId="7B329880"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lang w:val="en-GB"/>
              </w:rPr>
              <w:t xml:space="preserve">Comparable efficacy profiles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{"citationID":"xdcdOC9c","properties":{"formattedCitation":"[69]","plainCitation":"[69]","noteIndex":0},"citationItems":[{"id":"RKg9lF5b/jRJhdyFM","uris":["http://zotero.org/users/8889971/items/DGXVQNIL"],"itemData":{"id":4197,"type":"article-journal","abstract":"BACKGROUND: Bilastine is a well-known non-sedating second-generation antihistamine authorised worldwide for the symptomatic treatment of allergic rhinoconjunctivitis (seasonal and perennial) and urticaria with proven efficacy and good safety and tolerability profile. When the oral route is not suitable or a rapid onset of action is preferred, parenteral formulations represent an effective treatment option. However, the parenteral formulations currently available are sedating antihistamines. The objective of this research was to compare the peripheral anti-H1 activity of different bilastine formulations (i.v., i.m. and oral) and dexchlorpheniramine among them also versus placebo.\nMETHODS: This was a single-dose, randomized, crossover, double-blind, placebo-controlled, phase I clinical study performed on 25 adult healthy volunteers that compared the peripheral antihistaminic activity of a single dose of bilastine 12 mg i.v., bilastine 12 mg i.m., bilastine 20 mg oral tablets and dexchlorpheniramine 5 mg i.m. among them and versus placebo by inhibiting the histamine-induced wheal and flare (W&amp;F) response. Pharmacokinetics, safety, and tolerability were also evaluated.\nRESULTS: All bilastine formulations showed a rapid onset of action (15 min for parenteral and 30 min for the oral formulation), and the maximum effect in both wheal (i.v. 74.44 %; i.m.:74.29 %; oral 70,27 %) and flare area reduction (i.v. and i.m. 80.63 %; oral 77.67 %), was significantly larger compared to dexchlorpheniramine i.m. (25.85 % for wheal and 28.65 % for flare) and placebo (1.35 % for wheal and 4.02 % for flare). A more pronounced reduction in itching score was reached for bilastine oral, followed by i.m. and i.v. formulations. No serious adverse events (SAEs) were reported during the study, and 8 treatment-emergent adverse events (TEAEs) were reported by 5 subjects, all resolved without sequelae. For psychomotor assessments, dexchlorpheniramine i.m. showed a fast onset of drowsiness, as well as decreased attention and coordination when compared to all bilastine formulations and placebo.\nCONCLUSIONS: All bilastine formulations showed a peripheral H1-blocking effect inducing a significantly greater inhibition of the wheal and flare response as compared to dexchlorpheniramine i.m. or placebo and provided a greater reduction of the itching sensation score. This study reconfirmed that bilastine has no sedative effect, even in a parenteral formulation. These results suggest that new bilastine parenteral formulation (i.v. or i.m.) may represent a suitable alternative for patients requiring immediate treatment of histamine-mediated type I hypersensitivity reactions, such as acute urticaria, or in those cases where oral administration is not possible.","container-title":"European Journal of Pharmaceutical Sciences: Official Journal of the European Federation for Pharmaceutical Sciences","DOI":"10.1016/j.ejps.2024.106900","ISSN":"1879-0720","journalAbbreviation":"Eur J Pharm Sci","language":"eng","page":"106900","PMID":"39265704","source":"PubMed","title":"Comparative inhibition by oral bilastine, parenteral dexchlorpheniramine, and a new bilastine parenteral (i.v. and i.m.) formulation of histamine-induced wheal and flare response: A randomised phase I trial","title-short":"Comparative inhibition by oral bilastine, parenteral dexchlorpheniramine, and a new bilastine parenteral (i.v. and i.m.) formulation of histamine-induced wheal and flare response","volume":"203","author":[{"family":"Coimbra","given":"Jimena"},{"family":"Puntes","given":"Montserrat"},{"family":"Molina","given":"Pol"},{"family":"Gich","given":"Ignasi"},{"family":"Antonijoan","given":"Rosa"},{"family":"Gilaberte","given":"Inmaculada"},{"family":"Arranz","given":"Paula"},{"family":"Sánchez","given":"Carlos"}],"issued":{"date-parts":[["2024",12,1]]}}}],"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[69]</w:t>
            </w:r>
            <w:r w:rsidRPr="00135E13">
              <w:rPr>
                <w:rFonts w:ascii="Times New Roman" w:hAnsi="Times New Roman" w:cs="Times New Roman"/>
                <w:sz w:val="18"/>
                <w:szCs w:val="18"/>
              </w:rPr>
              <w:fldChar w:fldCharType="end"/>
            </w:r>
            <w:r w:rsidRPr="00135E13">
              <w:rPr>
                <w:rFonts w:ascii="Times New Roman" w:hAnsi="Times New Roman" w:cs="Times New Roman"/>
                <w:sz w:val="18"/>
                <w:szCs w:val="18"/>
              </w:rPr>
              <w:t xml:space="preserve">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{"citationID":"vbVwwYD5","properties":{"formattedCitation":"[70]","plainCitation":"[70]","noteIndex":0},"citationItems":[{"id":"RKg9lF5b/gXDcCivd","uris":["http://zotero.org/users/8889971/items/2S4BP6SS"],"itemData":{"id":4196,"type":"article-journal","abstract":"In a double-blind, crossover, randomized clinical pharmacological study performed on 10 healthy volunteers, peripheral and central effects of 10 mg cetirizine and 10 and 40 mg loratadine were compared. Cetirizine (10 mg) significantly (P less than 0.001) inhibited 10 or 100 mg/ml histamine-induced weals 2 and 6 h after drug intake. Cetirizine was more potent than 10 mg loratadine after 2 and 6 h, and was even more potent than 40 mg loratadine after 6 h. Neither drug affected subjective evaluation of central effects and cetirizine was completely devoid of electro-encephalographic (EEG) changes, whereas 10 and 40 mg loratadine induced only slight and limited EEG changes.","container-title":"The Journal of International Medical Research","DOI":"10.1177/030006059101900401","ISSN":"0300-0605","issue":"4","journalAbbreviation":"J Int Med Res","language":"eng","page":"289-295","PMID":"1680760","source":"PubMed","title":"A comparison of central and peripheral effects of cetirizine and loratadine","volume":"19","author":[{"family":"Pechadre","given":"J. C."},{"family":"Beudin","given":"P."},{"family":"Eschalier","given":"A."},{"family":"Trolese","given":"J. F."},{"family":"Rihoux","given":"J. P."}],"issued":{"date-parts":[["1991"]]}}}],"schema":"https://github.com/citation-style-language/schema/raw/master/csl-citation.json"}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[70]</w:t>
            </w:r>
            <w:r w:rsidRPr="00135E13">
              <w:rPr>
                <w:rFonts w:ascii="Times New Roman" w:hAnsi="Times New Roman" w:cs="Times New Roman"/>
                <w:sz w:val="18"/>
                <w:szCs w:val="18"/>
              </w:rPr>
              <w:fldChar w:fldCharType="end"/>
            </w:r>
          </w:p>
        </w:tc>
        <w:tc>
          <w:tcPr>
            <w:tcW w:w="2800" w:type="dxa"/>
            <w:shd w:val="clear" w:color="auto" w:fill="A8D08D" w:themeFill="accent6" w:themeFillTint="99"/>
          </w:tcPr>
          <w:p w14:paraId="5AFCA678" w14:textId="4BD32408" w:rsidR="00845E72" w:rsidRPr="00135E13" w:rsidRDefault="00845E72" w:rsidP="00845E72">
            <w:pPr>
              <w:rPr>
                <w:rFonts w:ascii="Times New Roman" w:hAnsi="Times New Roman" w:cs="Times New Roman"/>
                <w:sz w:val="18"/>
                <w:szCs w:val="18"/>
              </w:rPr>
            </w:pPr>
          </w:p>
        </w:tc>
      </w:tr>
      <w:tr w:rsidR="00845E72" w:rsidRPr="00135E13" w14:paraId="577FF011" w14:textId="77777777" w:rsidTr="00406AA3">
        <w:trPr>
          <w:trHeight w:val="586"/>
        </w:trPr>
        <w:tc>
          <w:tcPr>
            <w:tcW w:w="1838" w:type="dxa"/>
            <w:noWrap/>
          </w:tcPr>
          <w:p w14:paraId="6A85293A" w14:textId="69CAEAF0"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 xml:space="preserve">Desmopressin   </w:t>
            </w:r>
          </w:p>
        </w:tc>
        <w:tc>
          <w:tcPr>
            <w:tcW w:w="1418" w:type="dxa"/>
            <w:noWrap/>
          </w:tcPr>
          <w:p w14:paraId="3C3DAC8A" w14:textId="77777777" w:rsidR="008265CD" w:rsidRDefault="008265CD" w:rsidP="008265CD">
            <w:pPr>
              <w:rPr>
                <w:rFonts w:ascii="Times New Roman" w:hAnsi="Times New Roman" w:cs="Times New Roman"/>
                <w:sz w:val="20"/>
                <w:szCs w:val="20"/>
              </w:rPr>
            </w:pPr>
            <w:r>
              <w:rPr>
                <w:rFonts w:ascii="Times New Roman" w:hAnsi="Times New Roman" w:cs="Times New Roman"/>
                <w:sz w:val="20"/>
                <w:szCs w:val="20"/>
              </w:rPr>
              <w:t>Intranasal: 10</w:t>
            </w:r>
          </w:p>
          <w:p w14:paraId="3386DB50" w14:textId="5394E52B" w:rsidR="00845E72" w:rsidRPr="00135E13" w:rsidRDefault="008265CD" w:rsidP="00845E72">
            <w:pPr>
              <w:rPr>
                <w:rFonts w:ascii="Times New Roman" w:hAnsi="Times New Roman" w:cs="Times New Roman"/>
                <w:sz w:val="18"/>
                <w:szCs w:val="18"/>
              </w:rPr>
            </w:pPr>
            <w:r>
              <w:rPr>
                <w:rFonts w:ascii="Times New Roman" w:hAnsi="Times New Roman" w:cs="Times New Roman"/>
                <w:sz w:val="18"/>
                <w:szCs w:val="18"/>
              </w:rPr>
              <w:t>Oral: 0.</w:t>
            </w:r>
            <w:r w:rsidR="00197208">
              <w:rPr>
                <w:rFonts w:ascii="Times New Roman" w:hAnsi="Times New Roman" w:cs="Times New Roman"/>
                <w:sz w:val="18"/>
                <w:szCs w:val="18"/>
              </w:rPr>
              <w:t>2</w:t>
            </w:r>
            <w:r w:rsidR="00845E72" w:rsidRPr="00135E13">
              <w:rPr>
                <w:rFonts w:ascii="Times New Roman" w:hAnsi="Times New Roman" w:cs="Times New Roman"/>
                <w:sz w:val="18"/>
                <w:szCs w:val="18"/>
              </w:rPr>
              <w:t xml:space="preserve">5 </w:t>
            </w:r>
            <w:r w:rsidR="00845E72"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{"citationID":"7AjBjRqO","properties":{"formattedCitation":"[71]","plainCitation":"[71]","noteIndex":0},"citationItems":[{"id":"RKg9lF5b/YKHQs7YA","uris":["http://zotero.org/users/8889971/items/4B8CN2PI"],"itemData":{"id":4203,"type":"article-journal","abstract":"1The pharmacokinetics and pharmacodynamics of intranasal (IN) and oral 1-deamino-8-d-arginine vasopressin (DDAVP) were compared in 10 Chinese adults with central diabetes insipidus previously controlled on IN DDAVP. This was followed by comparison of the acute pharmacodynamics of commonly used oral preparations (containing 100, 200 and 400 μg per tablet) and a 1 year prospective evaluation of the long-term safety and efficacy of oral DDAVP.\n\t\t\t\t, 2Following 20 μg IN and 200 μg orally, respective plasma DDAVP concentrations peaked after 45.6±7.3 and 93.3±3.3 (mean±s.e.mean) min, reaching 24.1±4.7 and 15.1±3.2 pmol l−1 and respective terminal half-lives were 2.2±0.1 and 2.0±0.1 h. Based on the area under the concentration-time-curve, the bioequivalent IN/oral ratio was 1:16.\n\t\t\t\t, 3As judged by changes in urine flow rate and osmolality after IN or oral (100, 200 or 400 μg) DDAVP, antidiuretic activity increased rapidly during the second hour and peaked at 4 h. The antidiuresis duration and magnitude correlated with the oral dose (P&lt;0.001 and &lt;0.05 respectively), and was least following 100 μg (P&lt;0.01 vs 200 or 400 μg). Increasing the dose from 200 to 400 μg did not increase maximal antidiuretic activity significantly, but there was a trend towards a longer duration of action (P=0.076).\n\t\t\t\t, 4During the 1-year prospective study with oral DDAVP 300–600 μg per day in two to three doses, stable and satisfactory antidiuresis (comparable with that on previous IN therapy) was maintained; tablets were well-tolerated and no side-effect warranted drug withdrawal.\n\t\t\t\t, 5These findings suggest that the 100 and 200 μg preparations of oral DDAVP are adequate for the long-term control of central diabetes insipidus in our population, and that the 400 μg preparation may have a role if the frequency of administration is to be reduced.","container-title":"British Journal of Clinical Pharmacology","DOI":"10.1046/j.1365-2125.1996.39914.x","ISSN":"0306-5251","issue":"3","journalAbbreviation":"Br J Clin Pharmacol","page":"379-385","PMID":"8877030","PMCID":"PMC2042683","source":"PubMed Central","title":"Pharmacokinetics, pharmacodynamics, long-term efficacy and safety of oral 1-deamino-8-d-arginine vasopressin in adult patients with central diabetes insipidus","volume":"42","author":[{"family":"LAM","given":"K. S. L."},{"family":"WAT","given":"M. S."},{"family":"CHOI","given":"K. L."},{"family":"IP","given":"T. P."},{"family":"PANG","given":"R. W. C."},{"family":"KUMANA","given":"C. R."}],"issued":{"date-parts":[["1996",9]]}}}],"schema":"https://github.com/citation-style-language/schema/raw/master/csl-citation.json"} </w:instrText>
            </w:r>
            <w:r w:rsidR="00845E72" w:rsidRPr="00135E13">
              <w:rPr>
                <w:rFonts w:ascii="Times New Roman" w:hAnsi="Times New Roman" w:cs="Times New Roman"/>
                <w:sz w:val="18"/>
                <w:szCs w:val="18"/>
              </w:rPr>
              <w:fldChar w:fldCharType="separate"/>
            </w:r>
            <w:r w:rsidR="00845E72" w:rsidRPr="00135E13">
              <w:rPr>
                <w:rFonts w:ascii="Times New Roman" w:hAnsi="Times New Roman" w:cs="Times New Roman"/>
                <w:sz w:val="18"/>
                <w:szCs w:val="21"/>
              </w:rPr>
              <w:t>[71]</w:t>
            </w:r>
            <w:r w:rsidR="00845E72" w:rsidRPr="00135E13">
              <w:rPr>
                <w:rFonts w:ascii="Times New Roman" w:hAnsi="Times New Roman" w:cs="Times New Roman"/>
                <w:sz w:val="18"/>
                <w:szCs w:val="18"/>
              </w:rPr>
              <w:fldChar w:fldCharType="end"/>
            </w:r>
          </w:p>
          <w:p w14:paraId="118B9946" w14:textId="77777777" w:rsidR="00845E72" w:rsidRPr="00135E13" w:rsidRDefault="00845E72" w:rsidP="00845E72">
            <w:pPr>
              <w:rPr>
                <w:rFonts w:ascii="Times New Roman" w:hAnsi="Times New Roman" w:cs="Times New Roman"/>
                <w:sz w:val="18"/>
                <w:szCs w:val="18"/>
              </w:rPr>
            </w:pPr>
          </w:p>
        </w:tc>
        <w:tc>
          <w:tcPr>
            <w:tcW w:w="1134" w:type="dxa"/>
            <w:noWrap/>
          </w:tcPr>
          <w:p w14:paraId="3383C7EE" w14:textId="25B37F32" w:rsidR="00845E72" w:rsidRPr="00135E13" w:rsidRDefault="008265CD" w:rsidP="00845E72">
            <w:pPr>
              <w:rPr>
                <w:rFonts w:ascii="Times New Roman" w:hAnsi="Times New Roman" w:cs="Times New Roman"/>
                <w:sz w:val="18"/>
                <w:szCs w:val="18"/>
              </w:rPr>
            </w:pPr>
            <w:r>
              <w:rPr>
                <w:rFonts w:ascii="Times New Roman" w:hAnsi="Times New Roman" w:cs="Times New Roman"/>
                <w:sz w:val="18"/>
                <w:szCs w:val="18"/>
              </w:rPr>
              <w:t xml:space="preserve">Intranasal:1Oral: </w:t>
            </w:r>
            <w:r w:rsidR="00845E72" w:rsidRPr="00135E13">
              <w:rPr>
                <w:rFonts w:ascii="Times New Roman" w:hAnsi="Times New Roman" w:cs="Times New Roman"/>
                <w:sz w:val="18"/>
                <w:szCs w:val="18"/>
              </w:rPr>
              <w:t xml:space="preserve">0.5-2 </w:t>
            </w:r>
          </w:p>
        </w:tc>
        <w:tc>
          <w:tcPr>
            <w:tcW w:w="2835" w:type="dxa"/>
            <w:noWrap/>
          </w:tcPr>
          <w:p w14:paraId="6199C376" w14:textId="03318001"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 xml:space="preserve">Higher Risk of </w:t>
            </w:r>
            <w:r w:rsidRPr="00135E13">
              <w:rPr>
                <w:rFonts w:ascii="Times New Roman" w:hAnsi="Times New Roman" w:cs="Times New Roman"/>
                <w:color w:val="212121"/>
                <w:sz w:val="18"/>
                <w:szCs w:val="18"/>
                <w:shd w:val="clear" w:color="auto" w:fill="FFFFFF"/>
              </w:rPr>
              <w:t xml:space="preserve">hyponatremia </w:t>
            </w:r>
            <w:r w:rsidRPr="00135E13">
              <w:rPr>
                <w:rFonts w:ascii="Times New Roman" w:hAnsi="Times New Roman" w:cs="Times New Roman"/>
                <w:sz w:val="18"/>
                <w:szCs w:val="18"/>
              </w:rPr>
              <w:t xml:space="preserve">with IV forms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{"citationID":"eIKKtgP5","properties":{"formattedCitation":"[71]","plainCitation":"[71]","noteIndex":0},"citationItems":[{"id":"RKg9lF5b/YKHQs7YA","uris":["http://zotero.org/users/8889971/items/4B8CN2PI"],"itemData":{"id":4203,"type":"article-journal","abstract":"1The pharmacokinetics and pharmacodynamics of intranasal (IN) and oral 1-deamino-8-d-arginine vasopressin (DDAVP) were compared in 10 Chinese adults with central diabetes insipidus previously controlled on IN DDAVP. This was followed by comparison of the acute pharmacodynamics of commonly used oral preparations (containing 100, 200 and 400 μg per tablet) and a 1 year prospective evaluation of the long-term safety and efficacy of oral DDAVP.\n\t\t\t\t, 2Following 20 μg IN and 200 μg orally, respective plasma DDAVP concentrations peaked after 45.6±7.3 and 93.3±3.3 (mean±s.e.mean) min, reaching 24.1±4.7 and 15.1±3.2 pmol l−1 and respective terminal half-lives were 2.2±0.1 and 2.0±0.1 h. Based on the area under the concentration-time-curve, the bioequivalent IN/oral ratio was 1:16.\n\t\t\t\t, 3As judged by changes in urine flow rate and osmolality after IN or oral (100, 200 or 400 μg) DDAVP, antidiuretic activity increased rapidly during the second hour and peaked at 4 h. The antidiuresis duration and magnitude correlated with the oral dose (P&lt;0.001 and &lt;0.05 respectively), and was least following 100 μg (P&lt;0.01 vs 200 or 400 μg). Increasing the dose from 200 to 400 μg did not increase maximal antidiuretic activity significantly, but there was a trend towards a longer duration of action (P=0.076).\n\t\t\t\t, 4During the 1-year prospective study with oral DDAVP 300–600 μg per day in two to three doses, stable and satisfactory antidiuresis (comparable with that on previous IN therapy) was maintained; tablets were well-tolerated and no side-effect warranted drug withdrawal.\n\t\t\t\t, 5These findings suggest that the 100 and 200 μg preparations of oral DDAVP are adequate for the long-term control of central diabetes insipidus in our population, and that the 400 μg preparation may have a role if the frequency of administration is to be reduced.","container-title":"British Journal of Clinical Pharmacology","DOI":"10.1046/j.1365-2125.1996.39914.x","ISSN":"0306-5251","issue":"3","journalAbbreviation":"Br J Clin Pharmacol","page":"379-385","PMID":"8877030","PMCID":"PMC2042683","source":"PubMed Central","title":"Pharmacokinetics, pharmacodynamics, long-term efficacy and safety of oral 1-deamino-8-d-arginine vasopressin in adult patients with central diabetes insipidus","volume":"42","author":[{"family":"LAM","given":"K. S. L."},{"family":"WAT","given":"M. S."},{"family":"CHOI","given":"K. L."},{"family":"IP","given":"T. P."},{"family":"PANG","given":"R. W. C."},{"family":"KUMANA","given":"C. R."}],"issued":{"date-parts":[["1996",9]]}}}],"schema":"https://github.com/citation-style-language/schema/raw/master/csl-citation.json"}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[71]</w:t>
            </w:r>
            <w:r w:rsidRPr="00135E13">
              <w:rPr>
                <w:rFonts w:ascii="Times New Roman" w:hAnsi="Times New Roman" w:cs="Times New Roman"/>
                <w:sz w:val="18"/>
                <w:szCs w:val="18"/>
              </w:rPr>
              <w:fldChar w:fldCharType="end"/>
            </w:r>
            <w:r w:rsidRPr="00135E13">
              <w:rPr>
                <w:rFonts w:ascii="Times New Roman" w:hAnsi="Times New Roman" w:cs="Times New Roman"/>
                <w:sz w:val="18"/>
                <w:szCs w:val="18"/>
              </w:rPr>
              <w:t xml:space="preserve">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zXvLHOn6","properties":{"formattedCitation":"[72]","plainCitation":"[72]","noteIndex":0},"citationItems":[{"id":"RKg9lF5b/3GLCQUa3","uris":["http://zotero.org/users/8889971/items/M2HMBW33"],"itemData":{"id":4198,"type":"article-journal","abstract":"Background\nHemorrhage represents the primary complication associated with kidney biopsy, with post-biopsy bleeding occurring in up to 14% of cases. Some clinicians routinely administer hemostatic agents, such as desmopressin, prior to kidney biopsy to mitigate the risk of significant bleeding. However, the efficacy of this practice remains contentious. Consequently, this meta-analysis was undertaken to assess existing studies regarding the efficacy and safety of desmopressin used before kidney biopsy.\n\nMethods\nThis systematic review and meta-analysis incorporated both randomized controlled trials and observational studies that examined the outcomes of desmopressin administration prior to percutaneous renal biopsy. Efficacy was measured by the incidence of bleeding events, while safety was assessed through the rate of hyponatremia. A comprehensive search of multiple databases was performed, and the risk of bias was evaluated, and statistical analyses were conducted using appropriate models.\n\nResults\nTwelve studies were included. The primary meta-analysis showed no significant reduction in overall bleeding risk with desmopressin (pooled OR 0.71, 95% CI: 0.47 - 1.09; I² = 79%; p = 0.12).Statistically significant differences were observed in the intranasal administration group (pooled OR 0.41;95% CI: 0.28 to 0.60; I 2 = 20%; p &lt; 0.0001)(Fixed effect), the RCT group (pooled OR 0.30; 95% CI: 0.17 to 0.53; I 2 = 0%; p &lt; 0.0001)(Fixed effect), the low bias group (pooled OR 0.53; 95% CI: 0.32 to 0.87; I 2 = 74%; p = 0.01)(Random effect). We conducted statistical analysis on six studies with specific data on hyponatremia, and the pooled OR used fixed model was 2.14 (95% CI: 1.51 to 3.03; I 2 = 28%) (Fixed effect), indicating there was a statistical difference between the two groups (p &lt; 0.0001).\n\nConclusion\nDesmopressin did not significantly reduce overall bleeding risk after kidney biopsy. While intranasal administration, RCT only and low bias group showed efficacy in subgroup analyses, it carried a significant hyponatremia risk. Route-specific protocols warrant further study.\n\nSystematic review registration\n\nhttps://www.crd.york.ac.uk/PROSPERO/, identifier CRD42023391915.","container-title":"Frontiers in Nephrology","DOI":"10.3389/fneph.2025.1645418","ISSN":"2813-0626","journalAbbreviation":"Front Nephrol","page":"1645418","PMID":"41063799","PMCID":"PMC12500430","source":"PubMed Central","title":"Route-specific effects of desmopressin on bleeding and hyponatremia after kidney biopsy: meta-analysis of intranasal vs. intravenous administration","title-short":"Route-specific effects of desmopressin on bleeding and hyponatremia after kidney biopsy","volume":"5","author":[{"family":"Zheng","given":"Li"},{"family":"Cai","given":"Zhoujun"},{"family":"Shao","given":"Lina"},{"family":"Zhang","given":"Wei"},{"family":"Zhu","given":"Bin"},{"family":"Ren","given":"Yan"}],"issued":{"date-parts":[["2025",9,23]]}}}],"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[72]</w:t>
            </w:r>
            <w:r w:rsidRPr="00135E13">
              <w:rPr>
                <w:rFonts w:ascii="Times New Roman" w:hAnsi="Times New Roman" w:cs="Times New Roman"/>
                <w:sz w:val="18"/>
                <w:szCs w:val="18"/>
              </w:rPr>
              <w:fldChar w:fldCharType="end"/>
            </w:r>
          </w:p>
        </w:tc>
        <w:tc>
          <w:tcPr>
            <w:tcW w:w="3969" w:type="dxa"/>
          </w:tcPr>
          <w:p w14:paraId="5CE972D3" w14:textId="77777777" w:rsidR="008265CD" w:rsidRDefault="00845E72" w:rsidP="00845E72">
            <w:pPr>
              <w:rPr>
                <w:rFonts w:ascii="Times New Roman" w:hAnsi="Times New Roman" w:cs="Times New Roman"/>
                <w:sz w:val="18"/>
                <w:szCs w:val="18"/>
              </w:rPr>
            </w:pPr>
            <w:r w:rsidRPr="00135E13">
              <w:rPr>
                <w:rFonts w:ascii="Times New Roman" w:hAnsi="Times New Roman" w:cs="Times New Roman"/>
                <w:sz w:val="18"/>
                <w:szCs w:val="18"/>
              </w:rPr>
              <w:t xml:space="preserve">Similar efficacy between forms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{"citationID":"EvjESNwh","properties":{"formattedCitation":"[71]","plainCitation":"[71]","noteIndex":0},"citationItems":[{"id":"RKg9lF5b/YKHQs7YA","uris":["http://zotero.org/users/8889971/items/4B8CN2PI"],"itemData":{"id":4203,"type":"article-journal","abstract":"1The pharmacokinetics and pharmacodynamics of intranasal (IN) and oral 1-deamino-8-d-arginine vasopressin (DDAVP) were compared in 10 Chinese adults with central diabetes insipidus previously controlled on IN DDAVP. This was followed by comparison of the acute pharmacodynamics of commonly used oral preparations (containing 100, 200 and 400 μg per tablet) and a 1 year prospective evaluation of the long-term safety and efficacy of oral DDAVP.\n\t\t\t\t, 2Following 20 μg IN and 200 μg orally, respective plasma DDAVP concentrations peaked after 45.6±7.3 and 93.3±3.3 (mean±s.e.mean) min, reaching 24.1±4.7 and 15.1±3.2 pmol l−1 and respective terminal half-lives were 2.2±0.1 and 2.0±0.1 h. Based on the area under the concentration-time-curve, the bioequivalent IN/oral ratio was 1:16.\n\t\t\t\t, 3As judged by changes in urine flow rate and osmolality after IN or oral (100, 200 or 400 μg) DDAVP, antidiuretic activity increased rapidly during the second hour and peaked at 4 h. The antidiuresis duration and magnitude correlated with the oral dose (P&lt;0.001 and &lt;0.05 respectively), and was least following 100 μg (P&lt;0.01 vs 200 or 400 μg). Increasing the dose from 200 to 400 μg did not increase maximal antidiuretic activity significantly, but there was a trend towards a longer duration of action (P=0.076).\n\t\t\t\t, 4During the 1-year prospective study with oral DDAVP 300–600 μg per day in two to three doses, stable and satisfactory antidiuresis (comparable with that on previous IN therapy) was maintained; tablets were well-tolerated and no side-effect warranted drug withdrawal.\n\t\t\t\t, 5These findings suggest that the 100 and 200 μg preparations of oral DDAVP are adequate for the long-term control of central diabetes insipidus in our population, and that the 400 μg preparation may have a role if the frequency of administration is to be reduced.","container-title":"British Journal of Clinical Pharmacology","DOI":"10.1046/j.1365-2125.1996.39914.x","ISSN":"0306-5251","issue":"3","journalAbbreviation":"Br J Clin Pharmacol","page":"379-385","PMID":"8877030","PMCID":"PMC2042683","source":"PubMed Central","title":"Pharmacokinetics, pharmacodynamics, long-term efficacy and safety of oral 1-deamino-8-d-arginine vasopressin in adult patients with central diabetes insipidus","volume":"42","author":[{"family":"LAM","given":"K. S. L."},{"family":"WAT","given":"M. S."},{"family":"CHOI","given":"K. L."},{"family":"IP","given":"T. P."},{"family":"PANG","given":"R. W. C."},{"family":"KUMANA","given":"C. R."}],"issued":{"date-parts":[["1996",9]]}}}],"schema":"https://github.com/citation-style-language/schema/raw/master/csl-citation.json"}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[71]</w:t>
            </w:r>
            <w:r w:rsidRPr="00135E13">
              <w:rPr>
                <w:rFonts w:ascii="Times New Roman" w:hAnsi="Times New Roman" w:cs="Times New Roman"/>
                <w:sz w:val="18"/>
                <w:szCs w:val="18"/>
              </w:rPr>
              <w:fldChar w:fldCharType="end"/>
            </w:r>
            <w:r w:rsidRPr="00135E13">
              <w:rPr>
                <w:rFonts w:ascii="Times New Roman" w:hAnsi="Times New Roman" w:cs="Times New Roman"/>
                <w:sz w:val="18"/>
                <w:szCs w:val="18"/>
              </w:rPr>
              <w:t xml:space="preserve">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{"citationID":"rCQeLwJN","properties":{"formattedCitation":"[73]","plainCitation":"[73]","noteIndex":0},"citationItems":[{"id":"RKg9lF5b/x5mWJAVz","uris":["http://zotero.org/users/8889971/items/LHQXCILN"],"itemData":{"id":4201,"type":"article-journal","abstract":"INTRODUCTION: Desmopressin is commonly used to reduce bleeding in patients with mucocutaneous bleeding disorders and is available in both intravenous and intranasal forms. Given the variability in response to desmopressin at an individual level, its effectiveness should be assessed with a test dose prior to being advised for use. At this time, no trial has extensively compared the use of intranasal desmopressin to intravenous desmopressin.\nAIMS: To determine whether both forms of desmopressin are equally effective in yielding a positive response in laboratory assays in paediatric patients with von Willebrand disease or probable von Willebrand disease.\nMETHODS: We evaluated medical record data for 58 patients who underwent desmopressin stimulation testing in our haematology clinic during a 1-year period. Data were collected on demographic information and haematologic laboratory assays prior to desmopressin administration and one hour following desmopressin.\nRESULTS: There was an absolute increase in von Willebrand antigen to levels appropriate for haemostasis following both forms of desmopressin, although this increase was significantly greater in the intravenous group compared to the intranasal group. There was also a significant absolute increase in Ristocetin Cofactor and Factor VIII levels following desmopressin in both groups.\nCONCLUSION: Both intravenous and intranasal forms of desmopressin produce a positive response during desmopressin stimulation testing and can be used to identify patients for whom this medication would be effective.","container-title":"Haemophilia: The Official Journal of the World Federation of Hemophilia","DOI":"10.1111/hae.13452","ISSN":"1365-2516","issue":"4","journalAbbreviation":"Haemophilia","language":"eng","page":"e194-e198","PMID":"29578274","PMCID":"PMC6108897","source":"PubMed","title":"Desmopressin stimulation testing: Response to intravenous and intranasal forms","title-short":"Desmopressin stimulation testing","volume":"24","author":[{"family":"McCormick","given":"M. C."},{"family":"Siripong","given":"N."},{"family":"Cooper","given":"J. D."}],"issued":{"date-parts":[["2018",7]]}}}],"schema":"https://github.com/citation-style-language/schema/raw/master/csl-citation.json"}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[73]</w:t>
            </w:r>
            <w:r w:rsidRPr="00135E13">
              <w:rPr>
                <w:rFonts w:ascii="Times New Roman" w:hAnsi="Times New Roman" w:cs="Times New Roman"/>
                <w:sz w:val="18"/>
                <w:szCs w:val="18"/>
              </w:rPr>
              <w:fldChar w:fldCharType="end"/>
            </w:r>
            <w:r w:rsidRPr="00135E13">
              <w:rPr>
                <w:rFonts w:ascii="Times New Roman" w:hAnsi="Times New Roman" w:cs="Times New Roman"/>
                <w:sz w:val="18"/>
                <w:szCs w:val="18"/>
              </w:rPr>
              <w:t xml:space="preserve">. </w:t>
            </w:r>
          </w:p>
          <w:p w14:paraId="62EC6314" w14:textId="068CA6D8" w:rsidR="00845E72" w:rsidRPr="00135E13" w:rsidRDefault="00845E72" w:rsidP="00845E72">
            <w:pPr>
              <w:rPr>
                <w:rFonts w:ascii="Times New Roman" w:hAnsi="Times New Roman" w:cs="Times New Roman"/>
                <w:sz w:val="18"/>
                <w:szCs w:val="18"/>
              </w:rPr>
            </w:pPr>
            <w:r w:rsidRPr="00135E13">
              <w:rPr>
                <w:rFonts w:ascii="Times New Roman" w:hAnsi="Times New Roman" w:cs="Times New Roman"/>
                <w:b/>
                <w:bCs/>
                <w:sz w:val="18"/>
                <w:szCs w:val="18"/>
              </w:rPr>
              <w:t>Use different dosage between form (30-time higher in oral form)</w:t>
            </w:r>
          </w:p>
        </w:tc>
        <w:tc>
          <w:tcPr>
            <w:tcW w:w="2800" w:type="dxa"/>
            <w:shd w:val="clear" w:color="auto" w:fill="A8D08D" w:themeFill="accent6" w:themeFillTint="99"/>
          </w:tcPr>
          <w:p w14:paraId="73E290D7" w14:textId="332F2141" w:rsidR="00845E72" w:rsidRPr="00135E13" w:rsidRDefault="00845E72" w:rsidP="00845E72">
            <w:pPr>
              <w:rPr>
                <w:rFonts w:ascii="Times New Roman" w:hAnsi="Times New Roman" w:cs="Times New Roman"/>
                <w:sz w:val="18"/>
                <w:szCs w:val="21"/>
              </w:rPr>
            </w:pPr>
            <w:r w:rsidRPr="00135E13">
              <w:rPr>
                <w:rFonts w:ascii="Times New Roman" w:hAnsi="Times New Roman" w:cs="Times New Roman"/>
                <w:sz w:val="18"/>
                <w:szCs w:val="18"/>
              </w:rPr>
              <w:t xml:space="preserve">Except in central diabetes insipidus </w:t>
            </w:r>
            <w:r>
              <w:rPr>
                <w:rFonts w:ascii="Times New Roman" w:hAnsi="Times New Roman" w:cs="Times New Roman"/>
                <w:sz w:val="18"/>
                <w:szCs w:val="18"/>
              </w:rPr>
              <w:t>in</w:t>
            </w:r>
            <w:r w:rsidRPr="00135E13">
              <w:rPr>
                <w:rFonts w:ascii="Times New Roman" w:hAnsi="Times New Roman" w:cs="Times New Roman"/>
                <w:sz w:val="18"/>
                <w:szCs w:val="18"/>
              </w:rPr>
              <w:t xml:space="preserve"> head trauma or surgery </w:t>
            </w:r>
            <w:r w:rsidRPr="00135E1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{"citationID":"yRPgytOo","properties":{"formattedCitation":"[74]","plainCitation":"[74]","noteIndex":0},"citationItems":[{"id":"RKg9lF5b/IH7Gpt3l","uris":["http://zotero.org/users/8889971/items/EMGU2E6Y"],"itemData":{"id":4199,"type":"article-journal","abstract":"INTRODUCTION: The study was aimed at verifying whether the occurrence of hypernatremia during the intensive care unit (ICU) stay increases the risk of death in patients with severe traumatic brain injury (TBI). We performed a retrospective study on a prospectively collected database including all patients consecutively admitted over a 3-year period with a diagnosis of TBI (post-resuscitation Glasgow Coma Score &lt; or = 8) to a general/neurotrauma ICU of a university hospital, providing critical care services in a catchment area of about 1,200,000 inhabitants.\nMETHODS: Demographic, clinical, and ICU laboratory data were prospectively collected; serum sodium was assessed an average of three times per day. Hypernatremia was defined as two daily values of serum sodium above 145 mmol/l. The major outcome was death in the ICU after 14 days. Cox proportional-hazards regression models were used, with time-dependent variates designed to reflect exposure over time during the ICU stay: hypernatremia, desmopressin acetate (DDAVP) administration as a surrogate marker for the presence of central diabetes insipidus, and urinary output. The same models were adjusted for potential confounding factors.\nRESULTS: We included in the study 130 TBI patients (mean age 52 years (standard deviation 23); males 74%; median Glasgow Coma Score 3 (range 3 to 8); mean Simplified Acute Physiology Score II 50 (standard deviation 15)); all were mechanically ventilated; 35 (26.9%) died within 14 days after ICU admission. Hypernatremia was detected in 51.5% of the patients and in 15.9% of the 1,103 patient-day ICU follow-up. In most instances hypernatremia was mild (mean 150 mmol/l, interquartile range 148 to 152). The occurrence of hypernatremia was highest (P = 0.003) in patients with suspected central diabetes insipidus (25/130, 19.2%), a condition that was associated with increased severity of brain injury and ICU mortality. After adjustment for the baseline risk, the incidence of hypernatremia over the course of the ICU stay was significantly related with increased mortality (hazard ratio 3.00 (95% confidence interval: 1.34 to 6.51; P = 0.003)). However, DDAVP use modified this relation (P = 0.06), hypernatremia providing no additional prognostic information in the instances of suspected central diabetes insipidus.\nCONCLUSIONS: Mild hypernatremia is associated with an increased risk of death in patients with severe TBI. In a proportion of the patients the association between hypernatremia and death is accounted for by the presence of central diabetes insipidus.","container-title":"Critical Care","DOI":"10.1186/cc7953","ISSN":"1466-609X","issue":"4","journalAbbreviation":"Crit Care","language":"eng","note":"publisher-place: London, England","page":"R110","PMID":"19583864","PMCID":"PMC2750153","source":"PubMed","title":"The relation between the incidence of hypernatremia and mortality in patients with severe traumatic brain injury","volume":"13","author":[{"family":"Maggiore","given":"Umberto"},{"family":"Picetti","given":"Edoardo"},{"family":"Antonucci","given":"Elio"},{"family":"Parenti","given":"Elisabetta"},{"family":"Regolisti","given":"Giuseppe"},{"family":"Mergoni","given":"Mario"},{"family":"Vezzani","given":"Antonella"},{"family":"Cabassi","given":"Aderville"},{"family":"Fiaccadori","given":"Enrico"}],"issued":{"date-parts":[["2009"]]}}}],"schema":"https://github.com/citation-style-language/schema/raw/master/csl-citation.json"} </w:instrText>
            </w:r>
            <w:r w:rsidRPr="00135E13">
              <w:rPr>
                <w:rFonts w:ascii="Times New Roman" w:hAnsi="Times New Roman" w:cs="Times New Roman"/>
                <w:sz w:val="18"/>
                <w:szCs w:val="18"/>
              </w:rPr>
              <w:fldChar w:fldCharType="separate"/>
            </w:r>
            <w:r w:rsidRPr="00135E13">
              <w:rPr>
                <w:rFonts w:ascii="Times New Roman" w:hAnsi="Times New Roman" w:cs="Times New Roman"/>
                <w:sz w:val="18"/>
                <w:szCs w:val="21"/>
              </w:rPr>
              <w:t>[74]</w:t>
            </w:r>
            <w:r w:rsidRPr="00135E13">
              <w:rPr>
                <w:rFonts w:ascii="Times New Roman" w:hAnsi="Times New Roman" w:cs="Times New Roman"/>
                <w:sz w:val="18"/>
                <w:szCs w:val="18"/>
              </w:rPr>
              <w:fldChar w:fldCharType="end"/>
            </w:r>
          </w:p>
          <w:p w14:paraId="21A1CE9C" w14:textId="145E68F4" w:rsidR="00845E72" w:rsidRPr="00135E13" w:rsidRDefault="00845E72" w:rsidP="00845E72">
            <w:pPr>
              <w:jc w:val="center"/>
              <w:rPr>
                <w:rFonts w:ascii="Times New Roman" w:hAnsi="Times New Roman" w:cs="Times New Roman"/>
                <w:sz w:val="18"/>
                <w:szCs w:val="18"/>
              </w:rPr>
            </w:pPr>
          </w:p>
        </w:tc>
      </w:tr>
      <w:tr w:rsidR="00845E72" w:rsidRPr="00135E13" w14:paraId="1A70AD48" w14:textId="77777777" w:rsidTr="00C82F98">
        <w:trPr>
          <w:trHeight w:val="380"/>
        </w:trPr>
        <w:tc>
          <w:tcPr>
            <w:tcW w:w="13994" w:type="dxa"/>
            <w:gridSpan w:val="6"/>
            <w:noWrap/>
          </w:tcPr>
          <w:p w14:paraId="7C9926C1" w14:textId="6C082381" w:rsidR="00845E72" w:rsidRPr="003F4E93" w:rsidRDefault="00845E72" w:rsidP="00845E72">
            <w:pPr>
              <w:jc w:val="center"/>
              <w:rPr>
                <w:rFonts w:ascii="Times New Roman" w:hAnsi="Times New Roman" w:cs="Times New Roman"/>
                <w:b/>
                <w:bCs/>
                <w:sz w:val="18"/>
                <w:szCs w:val="18"/>
              </w:rPr>
            </w:pPr>
            <w:r w:rsidRPr="003F4E93">
              <w:rPr>
                <w:rFonts w:ascii="Times New Roman" w:hAnsi="Times New Roman" w:cs="Times New Roman"/>
                <w:b/>
                <w:bCs/>
                <w:sz w:val="18"/>
                <w:szCs w:val="18"/>
              </w:rPr>
              <w:t>Vitamins and electrolytes</w:t>
            </w:r>
          </w:p>
        </w:tc>
      </w:tr>
      <w:tr w:rsidR="00845E72" w:rsidRPr="00135E13" w14:paraId="645AEBB5" w14:textId="77777777" w:rsidTr="00406AA3">
        <w:trPr>
          <w:trHeight w:val="416"/>
        </w:trPr>
        <w:tc>
          <w:tcPr>
            <w:tcW w:w="1838" w:type="dxa"/>
            <w:noWrap/>
          </w:tcPr>
          <w:p w14:paraId="5A3BF585" w14:textId="24E8B7A2" w:rsidR="00845E72" w:rsidRPr="00135E13" w:rsidRDefault="00845E72" w:rsidP="00845E72">
            <w:pPr>
              <w:rPr>
                <w:rFonts w:ascii="Times New Roman" w:hAnsi="Times New Roman" w:cs="Times New Roman"/>
                <w:sz w:val="18"/>
                <w:szCs w:val="18"/>
              </w:rPr>
            </w:pPr>
            <w:r>
              <w:rPr>
                <w:rFonts w:ascii="Times New Roman" w:hAnsi="Times New Roman" w:cs="Times New Roman"/>
                <w:sz w:val="18"/>
                <w:szCs w:val="18"/>
              </w:rPr>
              <w:lastRenderedPageBreak/>
              <w:t>Thiamine</w:t>
            </w:r>
          </w:p>
        </w:tc>
        <w:tc>
          <w:tcPr>
            <w:tcW w:w="1418" w:type="dxa"/>
            <w:noWrap/>
          </w:tcPr>
          <w:p w14:paraId="4946D153" w14:textId="21BA4345" w:rsidR="00845E72" w:rsidRPr="00135E13" w:rsidRDefault="00F4471E" w:rsidP="00845E72">
            <w:pPr>
              <w:rPr>
                <w:rFonts w:ascii="Times New Roman" w:hAnsi="Times New Roman" w:cs="Times New Roman"/>
                <w:sz w:val="18"/>
                <w:szCs w:val="18"/>
              </w:rPr>
            </w:pPr>
            <w:r>
              <w:rPr>
                <w:rFonts w:ascii="Times New Roman" w:hAnsi="Times New Roman" w:cs="Times New Roman"/>
                <w:sz w:val="18"/>
                <w:szCs w:val="18"/>
              </w:rPr>
              <w:t xml:space="preserve">70-90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{"citationID":"RsbMOl0o","properties":{"unsorted":false,"formattedCitation":"[75]","plainCitation":"[75]","noteIndex":0},"citationItems":[{"id":2881,"uris":["http://zotero.org/users/1937657/items/EJVVWV95"],"itemData":{"id":2881,"type":"article-journal","abstract":"PURPOSE OF REVIEW: To summarize the properties of thiamine and evaluate current evidence on thiamine status and supplementation, for different populations of critically ill patients.\nRECENT FINDINGS: Thiamine, in the form of thiamine pyrophosphate, is a critical co-factor in the glyocolysis and oxidative decarboxylation of carbohydrates for energy production. Different studies have shown that critical illness in adults and children is characterized by absolute or relative thiamine depletion, which is associated with an almost 50% increase in mortality. Thiamine deficiency should be suspected in different clinical scenarios such as severe sepsis, burns, unexplained heart failure or lactic acidosis, neurological disorder in patients with previous history of alcoholism, starvation, chronic malnutrition, long-term parenteral feeding, hyperemesis gravidarum, or bariatric surgery. Nonetheless, thiamine supplements are not routinely given to critically ill patients. Clinicians should be able to suspect and recognize risk factors for the occurrence of severe neurological disorders secondary to thiamine deficiency, as early treatment can prevent the appearance of permanent neurological damage.\nSUMMARY: Symptoms and signs associated with thiamine deficiency lack sensitivity and specificity in critically ill patients. Consequently, depletion is frequently unrecognized and underdiagnosed by clinicians. Potentially deleterious consequences of thiamine depletion should be avoided by early and appropriate supplementation.","container-title":"Current Opinion in Clinical Nutrition and Metabolic Care","DOI":"10.1097/MCO.0b013e32834b8911","ISSN":"1473-6519","issue":"6","journalAbbreviation":"Curr Opin Clin Nutr Metab Care","language":"eng","page":"610-617","PMID":"21912244","source":"PubMed","title":"Thiamine supplementation in the critically ill","volume":"14","author":[{"family":"Manzanares","given":"William"},{"family":"Hardy","given":"Gil"}],"issued":{"date-parts":[["2011",11]]}}}],"schema":"https://github.com/citation-style-language/schema/raw/master/csl-citation.json"} </w:instrText>
            </w:r>
            <w:r>
              <w:rPr>
                <w:rFonts w:ascii="Times New Roman" w:hAnsi="Times New Roman" w:cs="Times New Roman"/>
                <w:sz w:val="18"/>
                <w:szCs w:val="18"/>
              </w:rPr>
              <w:fldChar w:fldCharType="separate"/>
            </w:r>
            <w:r>
              <w:rPr>
                <w:rFonts w:ascii="Times New Roman" w:hAnsi="Times New Roman" w:cs="Times New Roman"/>
                <w:noProof/>
                <w:sz w:val="18"/>
                <w:szCs w:val="18"/>
              </w:rPr>
              <w:t>[75]</w:t>
            </w:r>
            <w:r>
              <w:rPr>
                <w:rFonts w:ascii="Times New Roman" w:hAnsi="Times New Roman" w:cs="Times New Roman"/>
                <w:sz w:val="18"/>
                <w:szCs w:val="18"/>
              </w:rPr>
              <w:fldChar w:fldCharType="end"/>
            </w:r>
          </w:p>
        </w:tc>
        <w:tc>
          <w:tcPr>
            <w:tcW w:w="1134" w:type="dxa"/>
            <w:noWrap/>
          </w:tcPr>
          <w:p w14:paraId="3CD9271B" w14:textId="784DDF40" w:rsidR="00845E72" w:rsidRPr="00135E13" w:rsidRDefault="00845E72" w:rsidP="00845E72">
            <w:pPr>
              <w:rPr>
                <w:rFonts w:ascii="Times New Roman" w:hAnsi="Times New Roman" w:cs="Times New Roman"/>
                <w:sz w:val="18"/>
                <w:szCs w:val="18"/>
              </w:rPr>
            </w:pPr>
            <w:r w:rsidRPr="003F4E93">
              <w:rPr>
                <w:rFonts w:ascii="Times New Roman" w:hAnsi="Times New Roman" w:cs="Times New Roman"/>
                <w:sz w:val="18"/>
                <w:szCs w:val="18"/>
              </w:rPr>
              <w:t xml:space="preserve">1-5 </w:t>
            </w:r>
            <w:r w:rsidRPr="003F4E93">
              <w:rPr>
                <w:rFonts w:ascii="Times New Roman" w:hAnsi="Times New Roman" w:cs="Times New Roman"/>
                <w:sz w:val="18"/>
                <w:szCs w:val="18"/>
              </w:rPr>
              <w:fldChar w:fldCharType="begin"/>
            </w:r>
            <w:r w:rsidR="00F4471E">
              <w:rPr>
                <w:rFonts w:ascii="Times New Roman" w:hAnsi="Times New Roman" w:cs="Times New Roman"/>
                <w:sz w:val="18"/>
                <w:szCs w:val="18"/>
              </w:rPr>
              <w:instrText xml:space="preserve"> ADDIN ZOTERO_ITEM CSL_CITATION {"citationID":"Q74p8c7A","properties":{"unsorted":false,"formattedCitation":"[76]","plainCitation":"[76]","noteIndex":0},"citationItems":[{"id":"RKg9lF5b/OiQU0Ifm","uris":["http://zotero.org/users/8889971/items/H6SLRW2V"],"itemData":{"id":4371,"type":"article-journal","abstract":"In a multiple change-over study the bioequivalence of 3 thiamine preparations, used therapeutically as neurotropic agents for the treatment of polyneuropathies, was tested in a collective of 7 volunteers. After ingestion of a single dose of either 100 mg benfotiamin CS-benzoylthiamine-o-monophosphate), fursultiamin (thiamintetrahydrofurfuryldisulfide) or thiaminedisulfide, thiamine blood levels were analyzed for a 10-hour period. Thiamine was measured by HPLC after precolumn derivatization to thiochrome. The maximal thiamine concentration Cmax and its time (tmax) in plasma and hemolysate, the area under concentration time curve (AUC), and thiamine excretion in 24-hour urine were assessed as criteria of bioavailability. Additionally the erythrocytic transketolase activity (ETK) and alphaETK were determined as indicators of the cellular thiamine availability. After benfotiamin ingestion a more rapid and earlier increase of thiamine in plasma and hemolysate was observed in contrast to fursultiamin and the disulfide. All biokinetic data demonstrated a significantly improved thiamine bioavailability from benfotiamin compared with the other preparations. The lowest bioavailability was detected with thiamindisulfide. From our results it can be concluded that oral administration of benfotiamin is best suitable for therapeutical purposes owing to its excellent absorption characteristics.","container-title":"International Journal of Clinical Pharmacology and Therapeutics","ISSN":"0946-1965","issue":"4","journalAbbreviation":"Int J Clin Pharmacol Ther","language":"eng","page":"216-221","PMID":"9587048","source":"PubMed","title":"Comparative bioavailability of various thiamine derivatives after oral administration","volume":"36","author":[{"family":"Greb","given":"A."},{"family":"Bitsch","given":"R."}],"issued":{"date-parts":[["1998",4]]}}}],"schema":"https://github.com/citation-style-language/schema/raw/master/csl-citation.json"} </w:instrText>
            </w:r>
            <w:r w:rsidRPr="003F4E93">
              <w:rPr>
                <w:rFonts w:ascii="Times New Roman" w:hAnsi="Times New Roman" w:cs="Times New Roman"/>
                <w:sz w:val="18"/>
                <w:szCs w:val="18"/>
              </w:rPr>
              <w:fldChar w:fldCharType="separate"/>
            </w:r>
            <w:r w:rsidR="00F4471E">
              <w:rPr>
                <w:rFonts w:ascii="Times New Roman" w:hAnsi="Times New Roman" w:cs="Times New Roman"/>
                <w:noProof/>
                <w:sz w:val="18"/>
                <w:szCs w:val="18"/>
              </w:rPr>
              <w:t>[76]</w:t>
            </w:r>
            <w:r w:rsidRPr="003F4E93">
              <w:rPr>
                <w:rFonts w:ascii="Times New Roman" w:hAnsi="Times New Roman" w:cs="Times New Roman"/>
                <w:sz w:val="18"/>
                <w:szCs w:val="18"/>
              </w:rPr>
              <w:fldChar w:fldCharType="end"/>
            </w:r>
          </w:p>
        </w:tc>
        <w:tc>
          <w:tcPr>
            <w:tcW w:w="2835" w:type="dxa"/>
            <w:noWrap/>
          </w:tcPr>
          <w:p w14:paraId="71BE1B5C" w14:textId="44AC4FD7" w:rsidR="00845E72" w:rsidRPr="00135E13" w:rsidRDefault="00A4710D" w:rsidP="00845E72">
            <w:pPr>
              <w:rPr>
                <w:rFonts w:ascii="Times New Roman" w:hAnsi="Times New Roman" w:cs="Times New Roman"/>
                <w:sz w:val="18"/>
                <w:szCs w:val="18"/>
              </w:rPr>
            </w:pPr>
            <w:r>
              <w:rPr>
                <w:rFonts w:ascii="Times New Roman" w:hAnsi="Times New Roman" w:cs="Times New Roman"/>
                <w:sz w:val="18"/>
                <w:szCs w:val="18"/>
              </w:rPr>
              <w:t>Comparable</w:t>
            </w:r>
          </w:p>
        </w:tc>
        <w:tc>
          <w:tcPr>
            <w:tcW w:w="3969" w:type="dxa"/>
          </w:tcPr>
          <w:p w14:paraId="252C8F7C" w14:textId="62DB6386" w:rsidR="00845E72" w:rsidRPr="00135E13" w:rsidRDefault="00197208" w:rsidP="00845E72">
            <w:pPr>
              <w:rPr>
                <w:rFonts w:ascii="Times New Roman" w:hAnsi="Times New Roman" w:cs="Times New Roman"/>
                <w:sz w:val="18"/>
                <w:szCs w:val="18"/>
              </w:rPr>
            </w:pPr>
            <w:r w:rsidRPr="00135E13">
              <w:rPr>
                <w:rFonts w:ascii="Times New Roman" w:hAnsi="Times New Roman" w:cs="Times New Roman"/>
                <w:sz w:val="18"/>
                <w:szCs w:val="18"/>
                <w:lang w:val="en-GB"/>
              </w:rPr>
              <w:t>Comparable efficacy profiles</w:t>
            </w:r>
            <w:r w:rsidR="00A4710D">
              <w:rPr>
                <w:rFonts w:ascii="Times New Roman" w:hAnsi="Times New Roman" w:cs="Times New Roman"/>
                <w:sz w:val="18"/>
                <w:szCs w:val="18"/>
              </w:rPr>
              <w:t xml:space="preserve"> </w:t>
            </w:r>
            <w:r w:rsidR="00A4710D">
              <w:rPr>
                <w:rFonts w:ascii="Times New Roman" w:hAnsi="Times New Roman" w:cs="Times New Roman"/>
                <w:sz w:val="18"/>
                <w:szCs w:val="18"/>
              </w:rPr>
              <w:fldChar w:fldCharType="begin"/>
            </w:r>
            <w:r w:rsidR="00AA306E">
              <w:rPr>
                <w:rFonts w:ascii="Times New Roman" w:hAnsi="Times New Roman" w:cs="Times New Roman"/>
                <w:sz w:val="18"/>
                <w:szCs w:val="18"/>
              </w:rPr>
              <w:instrText xml:space="preserve"> ADDIN ZOTERO_ITEM CSL_CITATION {"citationID":"ZewT1mh6","properties":{"unsorted":false,"formattedCitation":"[75]","plainCitation":"[75]","noteIndex":0},"citationItems":[{"id":2881,"uris":["http://zotero.org/users/1937657/items/EJVVWV95"],"itemData":{"id":2881,"type":"article-journal","abstract":"PURPOSE OF REVIEW: To summarize the properties of thiamine and evaluate current evidence on thiamine status and supplementation, for different populations of critically ill patients.\nRECENT FINDINGS: Thiamine, in the form of thiamine pyrophosphate, is a critical co-factor in the glyocolysis and oxidative decarboxylation of carbohydrates for energy production. Different studies have shown that critical illness in adults and children is characterized by absolute or relative thiamine depletion, which is associated with an almost 50% increase in mortality. Thiamine deficiency should be suspected in different clinical scenarios such as severe sepsis, burns, unexplained heart failure or lactic acidosis, neurological disorder in patients with previous history of alcoholism, starvation, chronic malnutrition, long-term parenteral feeding, hyperemesis gravidarum, or bariatric surgery. Nonetheless, thiamine supplements are not routinely given to critically ill patients. Clinicians should be able to suspect and recognize risk factors for the occurrence of severe neurological disorders secondary to thiamine deficiency, as early treatment can prevent the appearance of permanent neurological damage.\nSUMMARY: Symptoms and signs associated with thiamine deficiency lack sensitivity and specificity in critically ill patients. Consequently, depletion is frequently unrecognized and underdiagnosed by clinicians. Potentially deleterious consequences of thiamine depletion should be avoided by early and appropriate supplementation.","container-title":"Current Opinion in Clinical Nutrition and Metabolic Care","DOI":"10.1097/MCO.0b013e32834b8911","ISSN":"1473-6519","issue":"6","journalAbbreviation":"Curr Opin Clin Nutr Metab Care","language":"eng","page":"610-617","PMID":"21912244","source":"PubMed","title":"Thiamine supplementation in the critically ill","volume":"14","author":[{"family":"Manzanares","given":"William"},{"family":"Hardy","given":"Gil"}],"issued":{"date-parts":[["2011",11]]}}}],"schema":"https://github.com/citation-style-language/schema/raw/master/csl-citation.json"} </w:instrText>
            </w:r>
            <w:r w:rsidR="00A4710D">
              <w:rPr>
                <w:rFonts w:ascii="Times New Roman" w:hAnsi="Times New Roman" w:cs="Times New Roman"/>
                <w:sz w:val="18"/>
                <w:szCs w:val="18"/>
              </w:rPr>
              <w:fldChar w:fldCharType="separate"/>
            </w:r>
            <w:r w:rsidR="00A4710D">
              <w:rPr>
                <w:rFonts w:ascii="Times New Roman" w:hAnsi="Times New Roman" w:cs="Times New Roman"/>
                <w:noProof/>
                <w:sz w:val="18"/>
                <w:szCs w:val="18"/>
              </w:rPr>
              <w:t>[75]</w:t>
            </w:r>
            <w:r w:rsidR="00A4710D">
              <w:rPr>
                <w:rFonts w:ascii="Times New Roman" w:hAnsi="Times New Roman" w:cs="Times New Roman"/>
                <w:sz w:val="18"/>
                <w:szCs w:val="18"/>
              </w:rPr>
              <w:fldChar w:fldCharType="end"/>
            </w:r>
          </w:p>
        </w:tc>
        <w:tc>
          <w:tcPr>
            <w:tcW w:w="2800" w:type="dxa"/>
            <w:shd w:val="clear" w:color="auto" w:fill="A8D08D" w:themeFill="accent6" w:themeFillTint="99"/>
          </w:tcPr>
          <w:p w14:paraId="398953A6" w14:textId="77777777" w:rsidR="00845E72" w:rsidRPr="00135E13" w:rsidRDefault="00845E72" w:rsidP="00845E72">
            <w:pPr>
              <w:rPr>
                <w:rFonts w:ascii="Times New Roman" w:hAnsi="Times New Roman" w:cs="Times New Roman"/>
                <w:sz w:val="18"/>
                <w:szCs w:val="18"/>
              </w:rPr>
            </w:pPr>
          </w:p>
        </w:tc>
      </w:tr>
      <w:tr w:rsidR="00AA306E" w:rsidRPr="00AA306E" w14:paraId="362AE6C7" w14:textId="77777777" w:rsidTr="00406AA3">
        <w:trPr>
          <w:trHeight w:val="407"/>
        </w:trPr>
        <w:tc>
          <w:tcPr>
            <w:tcW w:w="1838" w:type="dxa"/>
            <w:noWrap/>
          </w:tcPr>
          <w:p w14:paraId="4799674C" w14:textId="475FCB04" w:rsidR="00AA306E" w:rsidRPr="00AA306E" w:rsidRDefault="00AA306E" w:rsidP="00845E72">
            <w:pPr>
              <w:rPr>
                <w:rFonts w:ascii="Times New Roman" w:hAnsi="Times New Roman" w:cs="Times New Roman"/>
                <w:sz w:val="18"/>
                <w:szCs w:val="18"/>
                <w:lang w:val="fr-FR"/>
              </w:rPr>
            </w:pPr>
            <w:r>
              <w:rPr>
                <w:rFonts w:ascii="Times New Roman" w:hAnsi="Times New Roman" w:cs="Times New Roman"/>
                <w:sz w:val="18"/>
                <w:szCs w:val="18"/>
                <w:lang w:val="fr-FR"/>
              </w:rPr>
              <w:t>Nicotinamide</w:t>
            </w:r>
            <w:r w:rsidRPr="008E6EFC">
              <w:rPr>
                <w:rFonts w:ascii="Times New Roman" w:hAnsi="Times New Roman" w:cs="Times New Roman"/>
                <w:sz w:val="18"/>
                <w:szCs w:val="18"/>
                <w:lang w:val="fr-FR"/>
              </w:rPr>
              <w:t xml:space="preserve"> (</w:t>
            </w:r>
            <w:proofErr w:type="spellStart"/>
            <w:r w:rsidRPr="008E6EFC">
              <w:rPr>
                <w:rFonts w:ascii="Times New Roman" w:hAnsi="Times New Roman" w:cs="Times New Roman"/>
                <w:sz w:val="18"/>
                <w:szCs w:val="18"/>
                <w:lang w:val="fr-FR"/>
              </w:rPr>
              <w:t>vitamin</w:t>
            </w:r>
            <w:proofErr w:type="spellEnd"/>
            <w:r w:rsidRPr="008E6EFC">
              <w:rPr>
                <w:rFonts w:ascii="Times New Roman" w:hAnsi="Times New Roman" w:cs="Times New Roman"/>
                <w:sz w:val="18"/>
                <w:szCs w:val="18"/>
                <w:lang w:val="fr-FR"/>
              </w:rPr>
              <w:t xml:space="preserve"> </w:t>
            </w:r>
            <w:r>
              <w:rPr>
                <w:rFonts w:ascii="Times New Roman" w:hAnsi="Times New Roman" w:cs="Times New Roman"/>
                <w:sz w:val="18"/>
                <w:szCs w:val="18"/>
                <w:lang w:val="fr-FR"/>
              </w:rPr>
              <w:t>B3/</w:t>
            </w:r>
            <w:r w:rsidRPr="008E6EFC">
              <w:rPr>
                <w:rFonts w:ascii="Times New Roman" w:hAnsi="Times New Roman" w:cs="Times New Roman"/>
                <w:sz w:val="18"/>
                <w:szCs w:val="18"/>
                <w:lang w:val="fr-FR"/>
              </w:rPr>
              <w:t>PP)</w:t>
            </w:r>
          </w:p>
        </w:tc>
        <w:tc>
          <w:tcPr>
            <w:tcW w:w="1418" w:type="dxa"/>
            <w:noWrap/>
          </w:tcPr>
          <w:p w14:paraId="631CAA65" w14:textId="11360239" w:rsidR="00AA306E" w:rsidRPr="00AA306E" w:rsidRDefault="00AA306E" w:rsidP="00845E72">
            <w:pPr>
              <w:rPr>
                <w:rFonts w:ascii="Times New Roman" w:hAnsi="Times New Roman" w:cs="Times New Roman"/>
                <w:sz w:val="18"/>
                <w:szCs w:val="18"/>
                <w:lang w:val="fr-FR"/>
              </w:rPr>
            </w:pPr>
            <w:r>
              <w:rPr>
                <w:rFonts w:ascii="Times New Roman" w:hAnsi="Times New Roman" w:cs="Times New Roman"/>
                <w:sz w:val="18"/>
                <w:szCs w:val="18"/>
                <w:lang w:val="fr-FR"/>
              </w:rPr>
              <w:t>&gt;90</w:t>
            </w:r>
            <w:r w:rsidR="00EF221F">
              <w:rPr>
                <w:rFonts w:ascii="Times New Roman" w:hAnsi="Times New Roman" w:cs="Times New Roman"/>
                <w:sz w:val="18"/>
                <w:szCs w:val="18"/>
                <w:lang w:val="fr-FR"/>
              </w:rPr>
              <w:t xml:space="preserve"> </w:t>
            </w:r>
            <w:r w:rsidR="00EF221F">
              <w:rPr>
                <w:rFonts w:ascii="Times New Roman" w:hAnsi="Times New Roman" w:cs="Times New Roman"/>
                <w:sz w:val="18"/>
                <w:szCs w:val="18"/>
                <w:lang w:val="fr-FR"/>
              </w:rPr>
              <w:fldChar w:fldCharType="begin"/>
            </w:r>
            <w:r w:rsidR="00EF221F">
              <w:rPr>
                <w:rFonts w:ascii="Times New Roman" w:hAnsi="Times New Roman" w:cs="Times New Roman"/>
                <w:sz w:val="18"/>
                <w:szCs w:val="18"/>
                <w:lang w:val="fr-FR"/>
              </w:rPr>
              <w:instrText xml:space="preserve"> ADDIN ZOTERO_ITEM CSL_CITATION {"citationID":"oysEeedH","properties":{"unsorted":false,"formattedCitation":"[78]","plainCitation":"[78]","noteIndex":0},"citationItems":[{"id":2883,"uris":["http://zotero.org/users/1937657/items/LL3I6APW"],"itemData":{"id":2883,"type":"article-journal","abstract":"Vitamins are crucial for sustaining life because they play an essential role in numerous physiological processes. Vitamin deficiencies can lead to a wide range of severe health issues. In this context, there is a need to administer vitamin supplements through appropriate routes, such as the oral route, to ensure effective treatment. Therefore, understanding the pharmacokinetics of vitamins provides critical insights into absorption, distribution, and metabolism, all of which are essential for achieving the desired pharmacological response. In this review paper, we present information on vitamin deficiencies and emphasize the significance of understanding vitamin pharmacokinetics for improved clinical research. The pharmacokinetics of several vitamins face various challenges, and thus, this work briefly outlines the current issues and their potential solutions. We also discuss the feasibility of enhanced nanocarrier‐based pharmaceutical formulations for delivering vitamins. Recent studies have shown a preference for nanoformulations, which can address major limitations such as stability, solubility, absorption, and toxicity. Ultimately, the pharmacokinetics of pharmaceutical dosage forms containing vitamins can impede the treatment of diseases and disorders related to vitamin deficiency., This review highlights the importance of the pharmacokinetics of vitamins in maintaining human health and offers reliable evidence for their efficacy in the human body. Effective delivery of vitamins is desired to avoid their deficiency, and therefore, alternate routes of administration could improve the pharmacokinetics of vitamins. Nanoformulation‐based delivery is a feasible strategy to improve vitamin delivery.","container-title":"Food Science &amp; Nutrition","DOI":"10.1002/fsn3.3787","ISSN":"2048-7177","issue":"1","journalAbbreviation":"Food Sci Nutr","page":"48-83","PMID":"38268871","PMCID":"PMC10804103","source":"PubMed Central","title":"Pharmacokinetics of vitamin dosage forms: A complete overview","title-short":"Pharmacokinetics of vitamin dosage forms","volume":"12","author":[{"family":"Sugandhi","given":"Vrashabh V."},{"family":"Pangeni","given":"Rudra"},{"family":"Vora","given":"Lalitkumar K."},{"family":"Poudel","given":"Sagun"},{"family":"Nangare","given":"Sopan"},{"family":"Jagwani","given":"Satveer"},{"family":"Gadhave","given":"Dnyandev"},{"family":"Qin","given":"Chaolong"},{"family":"Pandya","given":"Anjali"},{"family":"Shah","given":"Purav"},{"family":"Jadhav","given":"Kiran"},{"family":"Mahajan","given":"Hitendra S."},{"family":"Patravale","given":"Vandana"}],"issued":{"date-parts":[["2023",11,9]]}}}],"schema":"https://github.com/citation-style-language/schema/raw/master/csl-citation.json"} </w:instrText>
            </w:r>
            <w:r w:rsidR="00EF221F">
              <w:rPr>
                <w:rFonts w:ascii="Times New Roman" w:hAnsi="Times New Roman" w:cs="Times New Roman"/>
                <w:sz w:val="18"/>
                <w:szCs w:val="18"/>
                <w:lang w:val="fr-FR"/>
              </w:rPr>
              <w:fldChar w:fldCharType="separate"/>
            </w:r>
            <w:r w:rsidR="00EF221F">
              <w:rPr>
                <w:rFonts w:ascii="Times New Roman" w:hAnsi="Times New Roman" w:cs="Times New Roman"/>
                <w:noProof/>
                <w:sz w:val="18"/>
                <w:szCs w:val="18"/>
                <w:lang w:val="fr-FR"/>
              </w:rPr>
              <w:t>[78]</w:t>
            </w:r>
            <w:r w:rsidR="00EF221F">
              <w:rPr>
                <w:rFonts w:ascii="Times New Roman" w:hAnsi="Times New Roman" w:cs="Times New Roman"/>
                <w:sz w:val="18"/>
                <w:szCs w:val="18"/>
                <w:lang w:val="fr-FR"/>
              </w:rPr>
              <w:fldChar w:fldCharType="end"/>
            </w:r>
          </w:p>
        </w:tc>
        <w:tc>
          <w:tcPr>
            <w:tcW w:w="1134" w:type="dxa"/>
            <w:noWrap/>
          </w:tcPr>
          <w:p w14:paraId="5DC1D216" w14:textId="1E36F28F" w:rsidR="00AA306E" w:rsidRPr="00AA306E" w:rsidRDefault="00AA306E" w:rsidP="00845E72">
            <w:pPr>
              <w:rPr>
                <w:rFonts w:ascii="Times New Roman" w:hAnsi="Times New Roman" w:cs="Times New Roman"/>
                <w:sz w:val="18"/>
                <w:szCs w:val="18"/>
                <w:lang w:val="fr-FR"/>
              </w:rPr>
            </w:pPr>
            <w:r>
              <w:rPr>
                <w:rFonts w:ascii="Times New Roman" w:hAnsi="Times New Roman" w:cs="Times New Roman"/>
                <w:sz w:val="18"/>
                <w:szCs w:val="18"/>
                <w:lang w:val="fr-FR"/>
              </w:rPr>
              <w:t>1-2</w:t>
            </w:r>
            <w:r w:rsidR="00EF221F">
              <w:rPr>
                <w:rFonts w:ascii="Times New Roman" w:hAnsi="Times New Roman" w:cs="Times New Roman"/>
                <w:sz w:val="18"/>
                <w:szCs w:val="18"/>
                <w:lang w:val="fr-FR"/>
              </w:rPr>
              <w:t xml:space="preserve"> </w:t>
            </w:r>
            <w:r w:rsidR="00EF221F">
              <w:rPr>
                <w:rFonts w:ascii="Times New Roman" w:hAnsi="Times New Roman" w:cs="Times New Roman"/>
                <w:sz w:val="18"/>
                <w:szCs w:val="18"/>
                <w:lang w:val="fr-FR"/>
              </w:rPr>
              <w:fldChar w:fldCharType="begin"/>
            </w:r>
            <w:r w:rsidR="00EF221F">
              <w:rPr>
                <w:rFonts w:ascii="Times New Roman" w:hAnsi="Times New Roman" w:cs="Times New Roman"/>
                <w:sz w:val="18"/>
                <w:szCs w:val="18"/>
                <w:lang w:val="fr-FR"/>
              </w:rPr>
              <w:instrText xml:space="preserve"> ADDIN ZOTERO_ITEM CSL_CITATION {"citationID":"mG5OeYjI","properties":{"unsorted":false,"formattedCitation":"[78]","plainCitation":"[78]","noteIndex":0},"citationItems":[{"id":2883,"uris":["http://zotero.org/users/1937657/items/LL3I6APW"],"itemData":{"id":2883,"type":"article-journal","abstract":"Vitamins are crucial for sustaining life because they play an essential role in numerous physiological processes. Vitamin deficiencies can lead to a wide range of severe health issues. In this context, there is a need to administer vitamin supplements through appropriate routes, such as the oral route, to ensure effective treatment. Therefore, understanding the pharmacokinetics of vitamins provides critical insights into absorption, distribution, and metabolism, all of which are essential for achieving the desired pharmacological response. In this review paper, we present information on vitamin deficiencies and emphasize the significance of understanding vitamin pharmacokinetics for improved clinical research. The pharmacokinetics of several vitamins face various challenges, and thus, this work briefly outlines the current issues and their potential solutions. We also discuss the feasibility of enhanced nanocarrier‐based pharmaceutical formulations for delivering vitamins. Recent studies have shown a preference for nanoformulations, which can address major limitations such as stability, solubility, absorption, and toxicity. Ultimately, the pharmacokinetics of pharmaceutical dosage forms containing vitamins can impede the treatment of diseases and disorders related to vitamin deficiency., This review highlights the importance of the pharmacokinetics of vitamins in maintaining human health and offers reliable evidence for their efficacy in the human body. Effective delivery of vitamins is desired to avoid their deficiency, and therefore, alternate routes of administration could improve the pharmacokinetics of vitamins. Nanoformulation‐based delivery is a feasible strategy to improve vitamin delivery.","container-title":"Food Science &amp; Nutrition","DOI":"10.1002/fsn3.3787","ISSN":"2048-7177","issue":"1","journalAbbreviation":"Food Sci Nutr","page":"48-83","PMID":"38268871","PMCID":"PMC10804103","source":"PubMed Central","title":"Pharmacokinetics of vitamin dosage forms: A complete overview","title-short":"Pharmacokinetics of vitamin dosage forms","volume":"12","author":[{"family":"Sugandhi","given":"Vrashabh V."},{"family":"Pangeni","given":"Rudra"},{"family":"Vora","given":"Lalitkumar K."},{"family":"Poudel","given":"Sagun"},{"family":"Nangare","given":"Sopan"},{"family":"Jagwani","given":"Satveer"},{"family":"Gadhave","given":"Dnyandev"},{"family":"Qin","given":"Chaolong"},{"family":"Pandya","given":"Anjali"},{"family":"Shah","given":"Purav"},{"family":"Jadhav","given":"Kiran"},{"family":"Mahajan","given":"Hitendra S."},{"family":"Patravale","given":"Vandana"}],"issued":{"date-parts":[["2023",11,9]]}}}],"schema":"https://github.com/citation-style-language/schema/raw/master/csl-citation.json"} </w:instrText>
            </w:r>
            <w:r w:rsidR="00EF221F">
              <w:rPr>
                <w:rFonts w:ascii="Times New Roman" w:hAnsi="Times New Roman" w:cs="Times New Roman"/>
                <w:sz w:val="18"/>
                <w:szCs w:val="18"/>
                <w:lang w:val="fr-FR"/>
              </w:rPr>
              <w:fldChar w:fldCharType="separate"/>
            </w:r>
            <w:r w:rsidR="00EF221F">
              <w:rPr>
                <w:rFonts w:ascii="Times New Roman" w:hAnsi="Times New Roman" w:cs="Times New Roman"/>
                <w:noProof/>
                <w:sz w:val="18"/>
                <w:szCs w:val="18"/>
                <w:lang w:val="fr-FR"/>
              </w:rPr>
              <w:t>[78]</w:t>
            </w:r>
            <w:r w:rsidR="00EF221F">
              <w:rPr>
                <w:rFonts w:ascii="Times New Roman" w:hAnsi="Times New Roman" w:cs="Times New Roman"/>
                <w:sz w:val="18"/>
                <w:szCs w:val="18"/>
                <w:lang w:val="fr-FR"/>
              </w:rPr>
              <w:fldChar w:fldCharType="end"/>
            </w:r>
          </w:p>
        </w:tc>
        <w:tc>
          <w:tcPr>
            <w:tcW w:w="2835" w:type="dxa"/>
            <w:noWrap/>
          </w:tcPr>
          <w:p w14:paraId="6FA57752" w14:textId="5E088877" w:rsidR="00AA306E" w:rsidRPr="00AA306E" w:rsidRDefault="00AA306E" w:rsidP="00845E72">
            <w:pPr>
              <w:rPr>
                <w:rFonts w:ascii="Times New Roman" w:hAnsi="Times New Roman" w:cs="Times New Roman"/>
                <w:sz w:val="18"/>
                <w:szCs w:val="18"/>
                <w:lang w:val="fr-FR"/>
              </w:rPr>
            </w:pPr>
            <w:r>
              <w:rPr>
                <w:rFonts w:ascii="Times New Roman" w:hAnsi="Times New Roman" w:cs="Times New Roman"/>
                <w:sz w:val="18"/>
                <w:szCs w:val="18"/>
                <w:lang w:val="fr-FR"/>
              </w:rPr>
              <w:t>Comparable</w:t>
            </w:r>
            <w:r w:rsidR="00B73B39">
              <w:rPr>
                <w:rFonts w:ascii="Times New Roman" w:hAnsi="Times New Roman" w:cs="Times New Roman"/>
                <w:sz w:val="18"/>
                <w:szCs w:val="18"/>
                <w:lang w:val="fr-FR"/>
              </w:rPr>
              <w:t xml:space="preserve"> </w:t>
            </w:r>
            <w:r w:rsidR="00B73B39">
              <w:rPr>
                <w:rFonts w:ascii="Times New Roman" w:hAnsi="Times New Roman" w:cs="Times New Roman"/>
                <w:sz w:val="18"/>
                <w:szCs w:val="18"/>
                <w:lang w:val="fr-FR"/>
              </w:rPr>
              <w:fldChar w:fldCharType="begin"/>
            </w:r>
            <w:r w:rsidR="00B73B39">
              <w:rPr>
                <w:rFonts w:ascii="Times New Roman" w:hAnsi="Times New Roman" w:cs="Times New Roman"/>
                <w:sz w:val="18"/>
                <w:szCs w:val="18"/>
                <w:lang w:val="fr-FR"/>
              </w:rPr>
              <w:instrText xml:space="preserve"> ADDIN ZOTERO_ITEM CSL_CITATION {"citationID":"44fuEk8U","properties":{"unsorted":false,"formattedCitation":"[79]","plainCitation":"[79]","noteIndex":0},"citationItems":[{"id":2889,"uris":["http://zotero.org/users/1937657/items/5DTHH9A2"],"itemData":{"id":2889,"type":"article-journal","container-title":"Clinical Nutrition","DOI":"10.1016/j.clnu.2024.01.030","ISSN":"0261-5614, 1532-1983","issue":"3","journalAbbreviation":"Clinical Nutrition","language":"English","page":"825-857","PMID":"38350290","publisher":"Elsevier","source":"www.clinicalnutritionjournal.com","title":"ESPEN practical short micronutrient guideline","volume":"43","author":[{"family":"Berger","given":"Mette M."},{"family":"Shenkin","given":"Alan"},{"family":"Dizdar","given":"Oguzhan Sıtkı"},{"family":"Amrein","given":"Karin"},{"family":"Augsburger","given":"Marc"},{"family":"Biesalski","given":"Hans-Konrad"},{"family":"Bischoff","given":"Stephan C."},{"family":"Casaer","given":"Michael P."},{"family":"Gundogan","given":"Kursat"},{"family":"Lepp","given":"Hanna-Liis"},{"family":"Man","given":"Angélique M. E.","dropping-particle":"de"},{"family":"Muscogiuri","given":"Giovanna"},{"family":"Pietka","given":"Magdalena"},{"family":"Pironi","given":"Loris"},{"family":"Rezzi","given":"Serge"},{"family":"Schweinlin","given":"Anna"},{"family":"Cuerda","given":"Cristina"}],"issued":{"date-parts":[["2024",3,1]]}}}],"schema":"https://github.com/citation-style-language/schema/raw/master/csl-citation.json"} </w:instrText>
            </w:r>
            <w:r w:rsidR="00B73B39">
              <w:rPr>
                <w:rFonts w:ascii="Times New Roman" w:hAnsi="Times New Roman" w:cs="Times New Roman"/>
                <w:sz w:val="18"/>
                <w:szCs w:val="18"/>
                <w:lang w:val="fr-FR"/>
              </w:rPr>
              <w:fldChar w:fldCharType="separate"/>
            </w:r>
            <w:r w:rsidR="00B73B39">
              <w:rPr>
                <w:rFonts w:ascii="Times New Roman" w:hAnsi="Times New Roman" w:cs="Times New Roman"/>
                <w:noProof/>
                <w:sz w:val="18"/>
                <w:szCs w:val="18"/>
                <w:lang w:val="fr-FR"/>
              </w:rPr>
              <w:t>[79]</w:t>
            </w:r>
            <w:r w:rsidR="00B73B39">
              <w:rPr>
                <w:rFonts w:ascii="Times New Roman" w:hAnsi="Times New Roman" w:cs="Times New Roman"/>
                <w:sz w:val="18"/>
                <w:szCs w:val="18"/>
                <w:lang w:val="fr-FR"/>
              </w:rPr>
              <w:fldChar w:fldCharType="end"/>
            </w:r>
          </w:p>
        </w:tc>
        <w:tc>
          <w:tcPr>
            <w:tcW w:w="3969" w:type="dxa"/>
          </w:tcPr>
          <w:p w14:paraId="39DF831E" w14:textId="6F4C9D26" w:rsidR="00AA306E" w:rsidRPr="00AA306E" w:rsidRDefault="00197208" w:rsidP="00845E72">
            <w:pPr>
              <w:rPr>
                <w:rFonts w:ascii="Times New Roman" w:hAnsi="Times New Roman" w:cs="Times New Roman"/>
                <w:sz w:val="18"/>
                <w:szCs w:val="18"/>
                <w:lang w:val="fr-FR"/>
              </w:rPr>
            </w:pPr>
            <w:r w:rsidRPr="00135E13">
              <w:rPr>
                <w:rFonts w:ascii="Times New Roman" w:hAnsi="Times New Roman" w:cs="Times New Roman"/>
                <w:sz w:val="18"/>
                <w:szCs w:val="18"/>
                <w:lang w:val="en-GB"/>
              </w:rPr>
              <w:t>Comparable efficacy profiles</w:t>
            </w:r>
            <w:r w:rsidR="00EF221F">
              <w:rPr>
                <w:rFonts w:ascii="Times New Roman" w:hAnsi="Times New Roman" w:cs="Times New Roman"/>
                <w:sz w:val="18"/>
                <w:szCs w:val="18"/>
                <w:lang w:val="fr-FR"/>
              </w:rPr>
              <w:t xml:space="preserve"> </w:t>
            </w:r>
            <w:r w:rsidR="00EF221F">
              <w:rPr>
                <w:rFonts w:ascii="Times New Roman" w:hAnsi="Times New Roman" w:cs="Times New Roman"/>
                <w:sz w:val="18"/>
                <w:szCs w:val="18"/>
                <w:lang w:val="fr-FR"/>
              </w:rPr>
              <w:fldChar w:fldCharType="begin"/>
            </w:r>
            <w:r w:rsidR="00B73B39">
              <w:rPr>
                <w:rFonts w:ascii="Times New Roman" w:hAnsi="Times New Roman" w:cs="Times New Roman"/>
                <w:sz w:val="18"/>
                <w:szCs w:val="18"/>
                <w:lang w:val="fr-FR"/>
              </w:rPr>
              <w:instrText xml:space="preserve"> ADDIN ZOTERO_ITEM CSL_CITATION {"citationID":"TGRMZfDM","properties":{"unsorted":false,"formattedCitation":"[79]","plainCitation":"[79]","noteIndex":0},"citationItems":[{"id":2889,"uris":["http://zotero.org/users/1937657/items/5DTHH9A2"],"itemData":{"id":2889,"type":"article-journal","container-title":"Clinical Nutrition","DOI":"10.1016/j.clnu.2024.01.030","ISSN":"0261-5614, 1532-1983","issue":"3","journalAbbreviation":"Clinical Nutrition","language":"English","page":"825-857","PMID":"38350290","publisher":"Elsevier","source":"www.clinicalnutritionjournal.com","title":"ESPEN practical short micronutrient guideline","volume":"43","author":[{"family":"Berger","given":"Mette M."},{"family":"Shenkin","given":"Alan"},{"family":"Dizdar","given":"Oguzhan Sıtkı"},{"family":"Amrein","given":"Karin"},{"family":"Augsburger","given":"Marc"},{"family":"Biesalski","given":"Hans-Konrad"},{"family":"Bischoff","given":"Stephan C."},{"family":"Casaer","given":"Michael P."},{"family":"Gundogan","given":"Kursat"},{"family":"Lepp","given":"Hanna-Liis"},{"family":"Man","given":"Angélique M. E.","dropping-particle":"de"},{"family":"Muscogiuri","given":"Giovanna"},{"family":"Pietka","given":"Magdalena"},{"family":"Pironi","given":"Loris"},{"family":"Rezzi","given":"Serge"},{"family":"Schweinlin","given":"Anna"},{"family":"Cuerda","given":"Cristina"}],"issued":{"date-parts":[["2024",3,1]]}}}],"schema":"https://github.com/citation-style-language/schema/raw/master/csl-citation.json"} </w:instrText>
            </w:r>
            <w:r w:rsidR="00EF221F">
              <w:rPr>
                <w:rFonts w:ascii="Times New Roman" w:hAnsi="Times New Roman" w:cs="Times New Roman"/>
                <w:sz w:val="18"/>
                <w:szCs w:val="18"/>
                <w:lang w:val="fr-FR"/>
              </w:rPr>
              <w:fldChar w:fldCharType="separate"/>
            </w:r>
            <w:r w:rsidR="00EF221F">
              <w:rPr>
                <w:rFonts w:ascii="Times New Roman" w:hAnsi="Times New Roman" w:cs="Times New Roman"/>
                <w:noProof/>
                <w:sz w:val="18"/>
                <w:szCs w:val="18"/>
                <w:lang w:val="fr-FR"/>
              </w:rPr>
              <w:t>[79]</w:t>
            </w:r>
            <w:r w:rsidR="00EF221F">
              <w:rPr>
                <w:rFonts w:ascii="Times New Roman" w:hAnsi="Times New Roman" w:cs="Times New Roman"/>
                <w:sz w:val="18"/>
                <w:szCs w:val="18"/>
                <w:lang w:val="fr-FR"/>
              </w:rPr>
              <w:fldChar w:fldCharType="end"/>
            </w:r>
          </w:p>
        </w:tc>
        <w:tc>
          <w:tcPr>
            <w:tcW w:w="2800" w:type="dxa"/>
            <w:shd w:val="clear" w:color="auto" w:fill="A8D08D" w:themeFill="accent6" w:themeFillTint="99"/>
          </w:tcPr>
          <w:p w14:paraId="4EB5F954" w14:textId="77777777" w:rsidR="00AA306E" w:rsidRPr="00AA306E" w:rsidRDefault="00AA306E" w:rsidP="00845E72">
            <w:pPr>
              <w:rPr>
                <w:rFonts w:ascii="Times New Roman" w:hAnsi="Times New Roman" w:cs="Times New Roman"/>
                <w:sz w:val="18"/>
                <w:szCs w:val="18"/>
                <w:lang w:val="fr-FR"/>
              </w:rPr>
            </w:pPr>
          </w:p>
        </w:tc>
      </w:tr>
      <w:tr w:rsidR="00197208" w:rsidRPr="00135E13" w14:paraId="2F5EB43F" w14:textId="77777777" w:rsidTr="00406AA3">
        <w:trPr>
          <w:trHeight w:val="402"/>
        </w:trPr>
        <w:tc>
          <w:tcPr>
            <w:tcW w:w="1838" w:type="dxa"/>
            <w:noWrap/>
          </w:tcPr>
          <w:p w14:paraId="51E6989C" w14:textId="3440280B" w:rsidR="00197208" w:rsidRPr="00135E13" w:rsidRDefault="00197208" w:rsidP="00845E72">
            <w:pPr>
              <w:rPr>
                <w:rFonts w:ascii="Times New Roman" w:hAnsi="Times New Roman" w:cs="Times New Roman"/>
                <w:sz w:val="18"/>
                <w:szCs w:val="18"/>
              </w:rPr>
            </w:pPr>
            <w:r>
              <w:rPr>
                <w:rFonts w:ascii="Times New Roman" w:hAnsi="Times New Roman" w:cs="Times New Roman"/>
                <w:sz w:val="18"/>
                <w:szCs w:val="18"/>
              </w:rPr>
              <w:t>Potassium</w:t>
            </w:r>
          </w:p>
        </w:tc>
        <w:tc>
          <w:tcPr>
            <w:tcW w:w="1418" w:type="dxa"/>
            <w:noWrap/>
          </w:tcPr>
          <w:p w14:paraId="1679882B" w14:textId="53618E2F" w:rsidR="00197208" w:rsidRPr="00135E13" w:rsidRDefault="00197208" w:rsidP="00845E72">
            <w:pPr>
              <w:rPr>
                <w:rFonts w:ascii="Times New Roman" w:hAnsi="Times New Roman" w:cs="Times New Roman"/>
                <w:sz w:val="18"/>
                <w:szCs w:val="18"/>
              </w:rPr>
            </w:pPr>
            <w:r>
              <w:rPr>
                <w:rFonts w:ascii="Times New Roman" w:hAnsi="Times New Roman" w:cs="Times New Roman"/>
                <w:sz w:val="18"/>
                <w:szCs w:val="18"/>
              </w:rPr>
              <w:t xml:space="preserve">85-95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{"citationID":"gMbliwTf","properties":{"unsorted":false,"formattedCitation":"[80]","plainCitation":"[80]","noteIndex":0},"citationItems":[{"id":2891,"uris":["http://zotero.org/users/1937657/items/VN9XSHIN"],"itemData":{"id":2891,"type":"article-journal","abstract":"Potassium is the most abundant cation in the intracellular fluid, and maintaining the proper distribution of potassium across the cell membrane is critical for normal cell function. Long-term maintenance of potassium homeostasis is achieved by alterations in renal excretion of potassium in response to variations in intake. Understanding the mechanism and regulatory influences governing the internal distribution and renal clearance of potassium under normal circumstances can provide a framework for approaching disorders of potassium commonly encountered in clinical practice. This paper reviews key aspects of the normal regulation of potassium metabolism and is designed to serve as a readily accessible review for the well informed clinician as well as a resource for teaching trainees and medical students.","container-title":"Clinical journal of the American Society of Nephrology: CJASN","DOI":"10.2215/CJN.08580813","ISSN":"1555-905X","issue":"6","journalAbbreviation":"Clin J Am Soc Nephrol","language":"eng","page":"1050-1060","PMID":"24721891","PMCID":"PMC4455213","source":"PubMed","title":"Regulation of Potassium Homeostasis","volume":"10","author":[{"family":"Palmer","given":"Biff F."}],"issued":{"date-parts":[["2015",6,5]]}}}],"schema":"https://github.com/citation-style-language/schema/raw/master/csl-citation.json"} </w:instrText>
            </w:r>
            <w:r>
              <w:rPr>
                <w:rFonts w:ascii="Times New Roman" w:hAnsi="Times New Roman" w:cs="Times New Roman"/>
                <w:sz w:val="18"/>
                <w:szCs w:val="18"/>
              </w:rPr>
              <w:fldChar w:fldCharType="separate"/>
            </w:r>
            <w:r>
              <w:rPr>
                <w:rFonts w:ascii="Times New Roman" w:hAnsi="Times New Roman" w:cs="Times New Roman"/>
                <w:noProof/>
                <w:sz w:val="18"/>
                <w:szCs w:val="18"/>
              </w:rPr>
              <w:t>[80]</w:t>
            </w:r>
            <w:r>
              <w:rPr>
                <w:rFonts w:ascii="Times New Roman" w:hAnsi="Times New Roman" w:cs="Times New Roman"/>
                <w:sz w:val="18"/>
                <w:szCs w:val="18"/>
              </w:rPr>
              <w:fldChar w:fldCharType="end"/>
            </w:r>
          </w:p>
        </w:tc>
        <w:tc>
          <w:tcPr>
            <w:tcW w:w="1134" w:type="dxa"/>
            <w:noWrap/>
          </w:tcPr>
          <w:p w14:paraId="4F6997E3" w14:textId="3D1BA142" w:rsidR="00197208" w:rsidRPr="00135E13" w:rsidRDefault="00197208" w:rsidP="00845E72">
            <w:pPr>
              <w:rPr>
                <w:rFonts w:ascii="Times New Roman" w:hAnsi="Times New Roman" w:cs="Times New Roman"/>
                <w:sz w:val="18"/>
                <w:szCs w:val="18"/>
              </w:rPr>
            </w:pPr>
            <w:r>
              <w:rPr>
                <w:rFonts w:ascii="Times New Roman" w:hAnsi="Times New Roman" w:cs="Times New Roman"/>
                <w:sz w:val="18"/>
                <w:szCs w:val="18"/>
              </w:rPr>
              <w:t xml:space="preserve">1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{"citationID":"JSs9NpUC","properties":{"unsorted":false,"formattedCitation":"[81]","plainCitation":"[81]","noteIndex":0},"citationItems":[{"id":2895,"uris":["http://zotero.org/users/1937657/items/GHQKBK5B"],"itemData":{"id":2895,"type":"article-journal","abstract":"OBJECTIVE: To simulate plasma pharmacokinetics (PK) parameters of combining potassium citrate granules and potassium chloride extended-release tablets using real-world data, guiding optimal dosing and timing for cardiovascular emergency patients.\nMETHODS: A retrospective study analyzed PK characteristics in patients receiving both drugs at Fuwai Yunnan Hospital from January 1 to March 31, 2024, using non-compartmental analysis (NCA).\nRESULTS: Among 330 patients, the T max values for 1-dose, 2-dose, and 3-dose administrations were 4.65 h, 6.00 h, and 6.11 h. The half-life (t 1/2) was 1.33 h, 13.53 h, and 6.11 h, respectively. Each dose elevated plasma potassium by 0.31 ± 0.05 mmol/L. The limited areas under the plasma curve (AUClimit) were 30.37 mmol-h/L, 106.89 mmol-h/L, 141.74 mmol-h/L. Co-administered dose and AUClimit were linearly related (R2 = 0.9554).\nCONCLUSION: PK data fit a 1-compartment model, supporting safe, rational potassium supplementation in cardiovascular emergencies.","container-title":"Frontiers in Cardiovascular Medicine","DOI":"10.3389/fcvm.2025.1636090","ISSN":"2297-055X","journalAbbreviation":"Front Cardiovasc Med","language":"eng","page":"1636090","PMID":"41567386","PMCID":"PMC12816252","source":"PubMed","title":"Plasma pharmacokinetics of the combination of potassium chloride extended-release tablets and potassium citrate granules in patients with cardiovascular emergencies","volume":"12","author":[{"family":"Li","given":"Xinmei"},{"family":"Qu","given":"Minghong"},{"family":"Li","given":"Haizhi"},{"family":"Li","given":"Te"}],"issued":{"date-parts":[["2025"]]}}}],"schema":"https://github.com/citation-style-language/schema/raw/master/csl-citation.json"} </w:instrText>
            </w:r>
            <w:r>
              <w:rPr>
                <w:rFonts w:ascii="Times New Roman" w:hAnsi="Times New Roman" w:cs="Times New Roman"/>
                <w:sz w:val="18"/>
                <w:szCs w:val="18"/>
              </w:rPr>
              <w:fldChar w:fldCharType="separate"/>
            </w:r>
            <w:r>
              <w:rPr>
                <w:rFonts w:ascii="Times New Roman" w:hAnsi="Times New Roman" w:cs="Times New Roman"/>
                <w:noProof/>
                <w:sz w:val="18"/>
                <w:szCs w:val="18"/>
              </w:rPr>
              <w:t>[81]</w:t>
            </w:r>
            <w:r>
              <w:rPr>
                <w:rFonts w:ascii="Times New Roman" w:hAnsi="Times New Roman" w:cs="Times New Roman"/>
                <w:sz w:val="18"/>
                <w:szCs w:val="18"/>
              </w:rPr>
              <w:fldChar w:fldCharType="end"/>
            </w:r>
          </w:p>
        </w:tc>
        <w:tc>
          <w:tcPr>
            <w:tcW w:w="2835" w:type="dxa"/>
            <w:noWrap/>
          </w:tcPr>
          <w:p w14:paraId="20F4B722" w14:textId="21987DE5" w:rsidR="00197208" w:rsidRPr="00135E13" w:rsidRDefault="00197208" w:rsidP="00845E72">
            <w:pPr>
              <w:rPr>
                <w:rFonts w:ascii="Times New Roman" w:hAnsi="Times New Roman" w:cs="Times New Roman"/>
                <w:sz w:val="18"/>
                <w:szCs w:val="18"/>
              </w:rPr>
            </w:pPr>
            <w:r>
              <w:rPr>
                <w:rFonts w:ascii="Times New Roman" w:hAnsi="Times New Roman" w:cs="Times New Roman"/>
                <w:sz w:val="18"/>
                <w:szCs w:val="18"/>
              </w:rPr>
              <w:t xml:space="preserve">Comparable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{"citationID":"v2s9qZih","properties":{"unsorted":false,"formattedCitation":"[82]","plainCitation":"[82]","noteIndex":0},"citationItems":[{"id":2893,"uris":["http://zotero.org/users/1937657/items/QMECVMW5"],"itemData":{"id":2893,"type":"article-journal","abstract":"OBJECTIVE: To compare the change in potassium concentration (dose-response) using the intravenous versus enteral route for potassium replenishment.\nRESEARCH METHODOLOGY/DESIGN: Cross-sectional analysis of individual potassium chloride doses with resulting changes in plasma potassium concentrations in intensive care patients. Potassium chloride was administered according to potassium replenishment protocols. For inclusion, doses were required to have pre- and post-dose plasma potassium concentrations obtained within 8hours of administration.\nSETTING: Medical and surgical intensive care units of a United States Veterans Affairs Medical Center.\nMAIN OUTCOME MEASURES: The primary outcome was the dose-response slope for intravenous versus enteral potassium administration as estimated by linear regression analysis. Multivariable linear regression was employed to adjust for potential confounders.\nRESULTS: The sample had 278 potassium chloride doses administered to 142 patients. The potassium concentration change per 20mmol of potassium chloride was similar for intravenous and enteral routes, 0.25mmol/L (95% confidence interval 0.16-0.33) versus 0.27mmol/L (0.15-0.39) respectively (p=0.73). Multivariable linear regression did not alter results. The success of achieving a minimum potassium concentration defined by the specific protocol was similar for intravenous (61%) and enteral (59%) administration. Overall, 77% of potassium chloride doses were administered at a time when patients were eligible to receive an enteral dosage form.\nCONCLUSION: The enteral route was as effective as the intravenous route in increasing the plasma potassium concentration. The enteral route was widely available for potassium replenishment. Despite enteral route availability and the well-known reliability of potassium chloride absorption, the majority of doses were administered intravenously.","container-title":"Intensive &amp; Critical Care Nursing","DOI":"10.1016/j.iccn.2015.08.005","ISSN":"1532-4036","journalAbbreviation":"Intensive Crit Care Nurs","language":"eng","page":"17-23","PMID":"26869280","source":"PubMed","title":"Comparative dose response using the intravenous versus enteral route of administration for potassium replenishment","volume":"36","author":[{"family":"DeCarolis","given":"Douglas D."},{"family":"Kim","given":"Grace Miran"},{"family":"Rector","given":"Thomas S."},{"family":"Ishani","given":"Areef"}],"issued":{"date-parts":[["2016",10]]}}}],"schema":"https://github.com/citation-style-language/schema/raw/master/csl-citation.json"} </w:instrText>
            </w:r>
            <w:r>
              <w:rPr>
                <w:rFonts w:ascii="Times New Roman" w:hAnsi="Times New Roman" w:cs="Times New Roman"/>
                <w:sz w:val="18"/>
                <w:szCs w:val="18"/>
              </w:rPr>
              <w:fldChar w:fldCharType="separate"/>
            </w:r>
            <w:r>
              <w:rPr>
                <w:rFonts w:ascii="Times New Roman" w:hAnsi="Times New Roman" w:cs="Times New Roman"/>
                <w:noProof/>
                <w:sz w:val="18"/>
                <w:szCs w:val="18"/>
              </w:rPr>
              <w:t>[82]</w:t>
            </w:r>
            <w:r>
              <w:rPr>
                <w:rFonts w:ascii="Times New Roman" w:hAnsi="Times New Roman" w:cs="Times New Roman"/>
                <w:sz w:val="18"/>
                <w:szCs w:val="18"/>
              </w:rPr>
              <w:fldChar w:fldCharType="end"/>
            </w:r>
          </w:p>
        </w:tc>
        <w:tc>
          <w:tcPr>
            <w:tcW w:w="3969" w:type="dxa"/>
          </w:tcPr>
          <w:p w14:paraId="67225AC2" w14:textId="6935A0DB" w:rsidR="00197208" w:rsidRPr="00135E13" w:rsidRDefault="00197208" w:rsidP="00845E72">
            <w:pPr>
              <w:rPr>
                <w:rFonts w:ascii="Times New Roman" w:hAnsi="Times New Roman" w:cs="Times New Roman"/>
                <w:sz w:val="18"/>
                <w:szCs w:val="18"/>
              </w:rPr>
            </w:pPr>
            <w:r w:rsidRPr="00135E13">
              <w:rPr>
                <w:rFonts w:ascii="Times New Roman" w:hAnsi="Times New Roman" w:cs="Times New Roman"/>
                <w:sz w:val="18"/>
                <w:szCs w:val="18"/>
                <w:lang w:val="en-GB"/>
              </w:rPr>
              <w:t>Comparable efficacy profiles</w:t>
            </w:r>
            <w:r>
              <w:rPr>
                <w:rFonts w:ascii="Times New Roman" w:hAnsi="Times New Roman" w:cs="Times New Roman"/>
                <w:sz w:val="18"/>
                <w:szCs w:val="18"/>
              </w:rPr>
              <w:t xml:space="preserv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{"citationID":"ZKt0CKHJ","properties":{"unsorted":false,"formattedCitation":"[82]","plainCitation":"[82]","noteIndex":0},"citationItems":[{"id":2893,"uris":["http://zotero.org/users/1937657/items/QMECVMW5"],"itemData":{"id":2893,"type":"article-journal","abstract":"OBJECTIVE: To compare the change in potassium concentration (dose-response) using the intravenous versus enteral route for potassium replenishment.\nRESEARCH METHODOLOGY/DESIGN: Cross-sectional analysis of individual potassium chloride doses with resulting changes in plasma potassium concentrations in intensive care patients. Potassium chloride was administered according to potassium replenishment protocols. For inclusion, doses were required to have pre- and post-dose plasma potassium concentrations obtained within 8hours of administration.\nSETTING: Medical and surgical intensive care units of a United States Veterans Affairs Medical Center.\nMAIN OUTCOME MEASURES: The primary outcome was the dose-response slope for intravenous versus enteral potassium administration as estimated by linear regression analysis. Multivariable linear regression was employed to adjust for potential confounders.\nRESULTS: The sample had 278 potassium chloride doses administered to 142 patients. The potassium concentration change per 20mmol of potassium chloride was similar for intravenous and enteral routes, 0.25mmol/L (95% confidence interval 0.16-0.33) versus 0.27mmol/L (0.15-0.39) respectively (p=0.73). Multivariable linear regression did not alter results. The success of achieving a minimum potassium concentration defined by the specific protocol was similar for intravenous (61%) and enteral (59%) administration. Overall, 77% of potassium chloride doses were administered at a time when patients were eligible to receive an enteral dosage form.\nCONCLUSION: The enteral route was as effective as the intravenous route in increasing the plasma potassium concentration. The enteral route was widely available for potassium replenishment. Despite enteral route availability and the well-known reliability of potassium chloride absorption, the majority of doses were administered intravenously.","container-title":"Intensive &amp; Critical Care Nursing","DOI":"10.1016/j.iccn.2015.08.005","ISSN":"1532-4036","journalAbbreviation":"Intensive Crit Care Nurs","language":"eng","page":"17-23","PMID":"26869280","source":"PubMed","title":"Comparative dose response using the intravenous versus enteral route of administration for potassium replenishment","volume":"36","author":[{"family":"DeCarolis","given":"Douglas D."},{"family":"Kim","given":"Grace Miran"},{"family":"Rector","given":"Thomas S."},{"family":"Ishani","given":"Areef"}],"issued":{"date-parts":[["2016",10]]}}}],"schema":"https://github.com/citation-style-language/schema/raw/master/csl-citation.json"} </w:instrText>
            </w:r>
            <w:r>
              <w:rPr>
                <w:rFonts w:ascii="Times New Roman" w:hAnsi="Times New Roman" w:cs="Times New Roman"/>
                <w:sz w:val="18"/>
                <w:szCs w:val="18"/>
              </w:rPr>
              <w:fldChar w:fldCharType="separate"/>
            </w:r>
            <w:r>
              <w:rPr>
                <w:rFonts w:ascii="Times New Roman" w:hAnsi="Times New Roman" w:cs="Times New Roman"/>
                <w:noProof/>
                <w:sz w:val="18"/>
                <w:szCs w:val="18"/>
              </w:rPr>
              <w:t>[82]</w:t>
            </w:r>
            <w:r>
              <w:rPr>
                <w:rFonts w:ascii="Times New Roman" w:hAnsi="Times New Roman" w:cs="Times New Roman"/>
                <w:sz w:val="18"/>
                <w:szCs w:val="18"/>
              </w:rPr>
              <w:fldChar w:fldCharType="end"/>
            </w:r>
          </w:p>
        </w:tc>
        <w:tc>
          <w:tcPr>
            <w:tcW w:w="2800" w:type="dxa"/>
            <w:vMerge w:val="restart"/>
            <w:shd w:val="clear" w:color="auto" w:fill="A8D08D" w:themeFill="accent6" w:themeFillTint="99"/>
          </w:tcPr>
          <w:p w14:paraId="333A1678" w14:textId="77777777" w:rsidR="00197208" w:rsidRPr="00135E13" w:rsidRDefault="00197208" w:rsidP="00845E72">
            <w:pPr>
              <w:rPr>
                <w:rFonts w:ascii="Times New Roman" w:hAnsi="Times New Roman" w:cs="Times New Roman"/>
                <w:sz w:val="18"/>
                <w:szCs w:val="18"/>
              </w:rPr>
            </w:pPr>
            <w:r>
              <w:rPr>
                <w:rFonts w:ascii="Times New Roman" w:hAnsi="Times New Roman" w:cs="Times New Roman"/>
                <w:sz w:val="18"/>
                <w:szCs w:val="18"/>
              </w:rPr>
              <w:t>W</w:t>
            </w:r>
            <w:r w:rsidRPr="00267121">
              <w:rPr>
                <w:rFonts w:ascii="Times New Roman" w:hAnsi="Times New Roman" w:cs="Times New Roman"/>
                <w:sz w:val="18"/>
                <w:szCs w:val="18"/>
              </w:rPr>
              <w:t>ithout severe, symptomatic, or life-threatening deficiency requiring rapid correction</w:t>
            </w:r>
          </w:p>
          <w:p w14:paraId="567CBCE1" w14:textId="5E668BED" w:rsidR="00197208" w:rsidRPr="00135E13" w:rsidRDefault="00197208" w:rsidP="00845E72">
            <w:pPr>
              <w:rPr>
                <w:rFonts w:ascii="Times New Roman" w:hAnsi="Times New Roman" w:cs="Times New Roman"/>
                <w:sz w:val="18"/>
                <w:szCs w:val="18"/>
              </w:rPr>
            </w:pPr>
          </w:p>
          <w:p w14:paraId="2C00A24A" w14:textId="347E74A9" w:rsidR="00197208" w:rsidRPr="00135E13" w:rsidRDefault="00197208" w:rsidP="00B73B39">
            <w:pPr>
              <w:rPr>
                <w:rFonts w:ascii="Times New Roman" w:hAnsi="Times New Roman" w:cs="Times New Roman"/>
                <w:sz w:val="18"/>
                <w:szCs w:val="18"/>
              </w:rPr>
            </w:pPr>
          </w:p>
        </w:tc>
      </w:tr>
      <w:tr w:rsidR="00197208" w:rsidRPr="00135E13" w14:paraId="263AAC5A" w14:textId="77777777" w:rsidTr="00406AA3">
        <w:trPr>
          <w:trHeight w:val="398"/>
        </w:trPr>
        <w:tc>
          <w:tcPr>
            <w:tcW w:w="1838" w:type="dxa"/>
            <w:noWrap/>
          </w:tcPr>
          <w:p w14:paraId="2296B95B" w14:textId="714D81CA" w:rsidR="00197208" w:rsidRPr="00135E13" w:rsidRDefault="00406AA3" w:rsidP="00845E72">
            <w:pPr>
              <w:rPr>
                <w:rFonts w:ascii="Times New Roman" w:hAnsi="Times New Roman" w:cs="Times New Roman"/>
                <w:sz w:val="18"/>
                <w:szCs w:val="18"/>
              </w:rPr>
            </w:pPr>
            <w:r>
              <w:rPr>
                <w:rFonts w:ascii="Times New Roman" w:hAnsi="Times New Roman" w:cs="Times New Roman"/>
                <w:sz w:val="18"/>
                <w:szCs w:val="18"/>
              </w:rPr>
              <w:t>P</w:t>
            </w:r>
            <w:r w:rsidR="00197208">
              <w:rPr>
                <w:rFonts w:ascii="Times New Roman" w:hAnsi="Times New Roman" w:cs="Times New Roman"/>
                <w:sz w:val="18"/>
                <w:szCs w:val="18"/>
              </w:rPr>
              <w:t>hosphate</w:t>
            </w:r>
          </w:p>
        </w:tc>
        <w:tc>
          <w:tcPr>
            <w:tcW w:w="1418" w:type="dxa"/>
            <w:noWrap/>
          </w:tcPr>
          <w:p w14:paraId="0B51A8C3" w14:textId="0EADE232" w:rsidR="00197208" w:rsidRPr="00135E13" w:rsidRDefault="00197208" w:rsidP="00845E72">
            <w:pPr>
              <w:rPr>
                <w:rFonts w:ascii="Times New Roman" w:hAnsi="Times New Roman" w:cs="Times New Roman"/>
                <w:sz w:val="18"/>
                <w:szCs w:val="18"/>
              </w:rPr>
            </w:pPr>
            <w:r>
              <w:rPr>
                <w:rFonts w:ascii="Times New Roman" w:hAnsi="Times New Roman" w:cs="Times New Roman"/>
                <w:sz w:val="18"/>
                <w:szCs w:val="18"/>
              </w:rPr>
              <w:t xml:space="preserve">60-90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{"citationID":"B4iPUDB4","properties":{"unsorted":false,"formattedCitation":"[83]","plainCitation":"[83]","noteIndex":0},"citationItems":[{"id":2897,"uris":["http://zotero.org/users/1937657/items/MJ8NW7G8"],"itemData":{"id":2897,"type":"article-journal","abstract":"INTRODUCTION: Currently no evidence-based guideline exists for the approach to hypophosphatemia in critically ill patients.\nMETHODS: We performed a narrative review of the medical literature to identify the incidence, symptoms, and treatment of hypophosphatemia in critically ill patients. Specifically, we searched for answers to the questions whether correction of hypophosphatemia is associated with improved outcome, and whether a certain treatment strategy is superior.\nRESULTS: Incidence: hypophosphatemia is frequently encountered in the intensive care unit; and critically ill patients are at increased risk for developing hypophosphatemia due to the presence of multiple causal factors.\nSYMPTOMS: hypophosphatemia may lead to a multitude of symptoms, including cardiac and respiratory failure.\nTREATMENT: hypophosphatemia is generally corrected when it is symptomatic or severe. However, although multiple studies confirm the efficacy and safety of intravenous phosphate administration, it remains uncertain when and how to correct hypophosphatemia.\nOUTCOME: in some studies, hypophosphatemia was associated with higher mortality; a paucity of randomized controlled evidence exists for whether correction of hypophosphatemia improves the outcome in critically ill patients.\nCONCLUSIONS: Additional studies addressing the current approach to hypophosphatemia in critically ill patients are required. Studies should focus on the association between hypophosphatemia and morbidity and/or mortality, as well as the effect of correction of this electrolyte disorder.","container-title":"Critical Care","DOI":"10.1186/cc9215","ISSN":"1466-609X","issue":"4","journalAbbreviation":"Crit Care","language":"eng","page":"R147","PMID":"20682049","PMCID":"PMC2945130","publisher-place":"London, England","source":"PubMed","title":"Treatment of hypophosphatemia in the intensive care unit: a review","title-short":"Treatment of hypophosphatemia in the intensive care unit","volume":"14","author":[{"family":"Geerse","given":"Daniël A."},{"family":"Bindels","given":"Alexander J."},{"family":"Kuiper","given":"Michael A."},{"family":"Roos","given":"Arnout N."},{"family":"Spronk","given":"Peter E."},{"family":"Schultz","given":"Marcus J."}],"issued":{"date-parts":[["2010"]]}}}],"schema":"https://github.com/citation-style-language/schema/raw/master/csl-citation.json"} </w:instrText>
            </w:r>
            <w:r>
              <w:rPr>
                <w:rFonts w:ascii="Times New Roman" w:hAnsi="Times New Roman" w:cs="Times New Roman"/>
                <w:sz w:val="18"/>
                <w:szCs w:val="18"/>
              </w:rPr>
              <w:fldChar w:fldCharType="separate"/>
            </w:r>
            <w:r>
              <w:rPr>
                <w:rFonts w:ascii="Times New Roman" w:hAnsi="Times New Roman" w:cs="Times New Roman"/>
                <w:noProof/>
                <w:sz w:val="18"/>
                <w:szCs w:val="18"/>
              </w:rPr>
              <w:t>[83]</w:t>
            </w:r>
            <w:r>
              <w:rPr>
                <w:rFonts w:ascii="Times New Roman" w:hAnsi="Times New Roman" w:cs="Times New Roman"/>
                <w:sz w:val="18"/>
                <w:szCs w:val="18"/>
              </w:rPr>
              <w:fldChar w:fldCharType="end"/>
            </w:r>
          </w:p>
        </w:tc>
        <w:tc>
          <w:tcPr>
            <w:tcW w:w="1134" w:type="dxa"/>
            <w:noWrap/>
          </w:tcPr>
          <w:p w14:paraId="56C3E601" w14:textId="6B883E31" w:rsidR="00197208" w:rsidRPr="00135E13" w:rsidRDefault="00197208" w:rsidP="00845E72">
            <w:pPr>
              <w:rPr>
                <w:rFonts w:ascii="Times New Roman" w:hAnsi="Times New Roman" w:cs="Times New Roman"/>
                <w:sz w:val="18"/>
                <w:szCs w:val="18"/>
              </w:rPr>
            </w:pPr>
            <w:r>
              <w:rPr>
                <w:rFonts w:ascii="Times New Roman" w:hAnsi="Times New Roman" w:cs="Times New Roman"/>
                <w:sz w:val="18"/>
                <w:szCs w:val="18"/>
              </w:rPr>
              <w:t xml:space="preserve">1-3 </w:t>
            </w:r>
          </w:p>
        </w:tc>
        <w:tc>
          <w:tcPr>
            <w:tcW w:w="2835" w:type="dxa"/>
            <w:noWrap/>
          </w:tcPr>
          <w:p w14:paraId="345B91CD" w14:textId="46883EB5" w:rsidR="00197208" w:rsidRPr="00135E13" w:rsidRDefault="00197208" w:rsidP="00845E72">
            <w:pPr>
              <w:rPr>
                <w:rFonts w:ascii="Times New Roman" w:hAnsi="Times New Roman" w:cs="Times New Roman"/>
                <w:sz w:val="18"/>
                <w:szCs w:val="18"/>
              </w:rPr>
            </w:pPr>
            <w:r>
              <w:rPr>
                <w:rFonts w:ascii="Times New Roman" w:hAnsi="Times New Roman" w:cs="Times New Roman"/>
                <w:sz w:val="18"/>
                <w:szCs w:val="18"/>
              </w:rPr>
              <w:t xml:space="preserve">Comparable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TGP0vabA","properties":{"unsorted":false,"formattedCitation":"[83\\uc0\\u8211{}85]","plainCitation":"[83–85]","noteIndex":0},"citationItems":[{"id":2897,"uris":["http://zotero.org/users/1937657/items/MJ8NW7G8"],"itemData":{"id":2897,"type":"article-journal","abstract":"INTRODUCTION: Currently no evidence-based guideline exists for the approach to hypophosphatemia in critically ill patients.\nMETHODS: We performed a narrative review of the medical literature to identify the incidence, symptoms, and treatment of hypophosphatemia in critically ill patients. Specifically, we searched for answers to the questions whether correction of hypophosphatemia is associated with improved outcome, and whether a certain treatment strategy is superior.\nRESULTS: Incidence: hypophosphatemia is frequently encountered in the intensive care unit; and critically ill patients are at increased risk for developing hypophosphatemia due to the presence of multiple causal factors.\nSYMPTOMS: hypophosphatemia may lead to a multitude of symptoms, including cardiac and respiratory failure.\nTREATMENT: hypophosphatemia is generally corrected when it is symptomatic or severe. However, although multiple studies confirm the efficacy and safety of intravenous phosphate administration, it remains uncertain when and how to correct hypophosphatemia.\nOUTCOME: in some studies, hypophosphatemia was associated with higher mortality; a paucity of randomized controlled evidence exists for whether correction of hypophosphatemia improves the outcome in critically ill patients.\nCONCLUSIONS: Additional studies addressing the current approach to hypophosphatemia in critically ill patients are required. Studies should focus on the association between hypophosphatemia and morbidity and/or mortality, as well as the effect of correction of this electrolyte disorder.","container-title":"Critical Care","DOI":"10.1186/cc9215","ISSN":"1466-609X","issue":"4","journalAbbreviation":"Crit Care","language":"eng","page":"R147","PMID":"20682049","PMCID":"PMC2945130","publisher-place":"London, England","source":"PubMed","title":"Treatment of hypophosphatemia in the intensive care unit: a review","title-short":"Treatment of hypophosphatemia in the intensive care unit","volume":"14","author":[{"family":"Geerse","given":"Daniël A."},{"family":"Bindels","given":"Alexander J."},{"family":"Kuiper","given":"Michael A."},{"family":"Roos","given":"Arnout N."},{"family":"Spronk","given":"Peter E."},{"family":"Schultz","given":"Marcus J."}],"issued":{"date-parts":[["2010"]]}}},{"id":2899,"uris":["http://zotero.org/users/1937657/items/MUZNZV4S"],"itemData":{"id":2899,"type":"article-journal","abstract":"PURPOSE: The treatment of electrolyte disorders in adult patients in the intensive care unit (ICU), including guidelines for correcting specific electrolyte disorders, is reviewed.\nSUMMARY: Electrolytes are involved in many metabolic and homeostatic functions. Electrolyte disorders are common in adult patients in the ICU and have been associated with increased morbidity and mortality, as has the improper treatment of electrolyte disorders. A limited number of prospective, randomized, controlled studies have been conducted evaluating the optimal treatment of electrolyte disorders. Recommendations for treatment of electrolyte disorders in adult patients in the ICU are provided based on these studies, as well as case reports, expert opinion, and clinical experience. The etiologies of and treatments for hyponatremia hypotonic and hypernatremia (hypovolemic, isovolemic, and hypervolemic), hypokalemia and hyperkalemia, hypophosphatemia and hyperphosphatemia, hypocalcemia and hypercalcemia, and hypomagnesemia and hypermagnesemia are discussed, and equations for determining the proper dosages for adult patients in the ICU are provided. Treatment is often empirical, based on published literature, expert recommendations, and the patient's response to the initial treatment. Actual electrolyte correction requires individual adjustment based on the patient's clinical condition and response to therapy. Clinicians should be knowledgeable about electrolyte homeostasis and the underlying pathophysiology of electrolyte disorders in order to provide the optimal therapy to patients.\nCONCLUSION: Treatment of electrolyte disorders is often empirical, based on published literature, expert opinion and recommendations, and patient's response to the initial treatment. Clinicians should be knowledgeable about electrolyte homeostasis and the underlying pathophysiology of electrolyte disorders to provide optimal therapy for patients.","container-title":"American journal of health-system pharmacy: AJHP: official journal of the American Society of Health-System Pharmacists","DOI":"10.2146/ajhp040300","ISSN":"1079-2082","issue":"16","journalAbbreviation":"Am J Health Syst Pharm","language":"eng","page":"1663-1682","PMID":"16085929","source":"PubMed","title":"Treatment of electrolyte disorders in adult patients in the intensive care unit","volume":"62","author":[{"family":"Kraft","given":"Michael D."},{"family":"Btaiche","given":"Imad F."},{"family":"Sacks","given":"Gordon S."},{"family":"Kudsk","given":"Kenneth A."}],"issued":{"date-parts":[["2005",8,15]]}}},{"id":2901,"uris":["http://zotero.org/users/1937657/items/PWK54S6U"],"itemData":{"id":2901,"type":"article-journal","abstract":"OBJECTIVES: Hypophosphatemia occurs frequently. Enteral, rather than IV, phosphate replacement may reduce fluid replacement, cost, and waste.\nDESIGN: Prospective, randomized, parallel group, noninferiority clinical trial.\nSETTING: Single center, 42-bed state trauma, medical and surgical ICUs, from April 20, 2022, to July 1, 2022.\nPATIENTS: Patients with serum phosphate concentration between 0.3 and 0.75 mmol/L.\nINTERVENTIONS: We randomized patients to either enteral or IV phosphate replacement using electronic medical record-embedded program.\nMEASUREMENT AND MAIN RESULTS: Our primary outcome was serum phosphate at 24 hours with a noninferiority margin of 0.2 mmol/L. Secondary outcomes included cost savings and environmental waste reduction and additional IV fluid administered. The modified intention-to-treat cohort comprised 131 patients. Baseline phosphate concentrations were similar between the two groups. At 24 hours, mean ( sd ) serum phosphate concentration were enteral 0.89 mmol/L (0.24 mmol/L) and IV 0.82 mmol/L (0.28 mmol/L). This difference was noninferior at the margin of 0.2 mmol/L (difference, 0.07 mmol/L; 95% CI, -0.02 to 0.17 mmol/L). When assigned IV replacement, patients received 408 mL (372 mL) of solvent IV fluid. Compared with IV replacement, the mean cost per patient was ten-fold less with enteral replacement ($3.7 [$4.0] vs. IV: $37.7 [$31.4]; difference = $34.0 [95% CI, $26.3-$41.7]) and weight of waste was less (7.7 g [8.3 g] vs. 217 g [169 g]; difference = 209 g [95% CI, 168-250 g]). C O2 emissions were 60-fold less for comparable phosphate replacement (enteral: 2 g producing 14.2 g and 20 mmol of potassium dihydrogen phosphate producing 843 g of C O2 equivalents).\nCONCLUSIONS: Enteral phosphate replacement in ICU is noninferior to IV replacement at a margin of 0.2 mmol/L but leads to a substantial reduction in cost and waste.","container-title":"Critical Care Medicine","DOI":"10.1097/CCM.0000000000006255","ISSN":"1530-0293","issue":"7","journalAbbreviation":"Crit Care Med","language":"eng","page":"1054-1064","PMID":"38537225","source":"PubMed","title":"A Randomized Noninferiority Trial to Compare Enteral to Parenteral Phosphate Replacement on Biochemistry, Waste, and Environmental Impact and Healthcare Cost in Critically Ill Patients With Mild to Moderate Hypophosphatemia","volume":"52","author":[{"family":"Nguyen","given":"Chinh D."},{"family":"Panganiban","given":"Haustine P."},{"family":"Fazio","given":"Timothy"},{"family":"Karahalios","given":"Amalia"},{"family":"Ankravs","given":"Melissa J."},{"family":"MacIsaac","given":"Christopher M."},{"family":"Rechnitzer","given":"Thomas"},{"family":"Arno","given":"Lucy"},{"family":"Tran-Duy","given":"An"},{"family":"McAlister","given":"Scott"},{"family":"Ali Abdelhamid","given":"Yasmine"},{"family":"Deane","given":"Adam M."}],"issued":{"date-parts":[["2024",7,1]]}}}],"schema":"https://github.com/citation-style-language/schema/raw/master/csl-citation.json"} </w:instrText>
            </w:r>
            <w:r>
              <w:rPr>
                <w:rFonts w:ascii="Times New Roman" w:hAnsi="Times New Roman" w:cs="Times New Roman"/>
                <w:sz w:val="18"/>
                <w:szCs w:val="18"/>
              </w:rPr>
              <w:fldChar w:fldCharType="separate"/>
            </w:r>
            <w:r w:rsidRPr="00B73B39">
              <w:rPr>
                <w:rFonts w:ascii="Times New Roman" w:hAnsi="Times New Roman" w:cs="Times New Roman"/>
                <w:sz w:val="18"/>
                <w:szCs w:val="24"/>
              </w:rPr>
              <w:t>[83–85]</w:t>
            </w:r>
            <w:r>
              <w:rPr>
                <w:rFonts w:ascii="Times New Roman" w:hAnsi="Times New Roman" w:cs="Times New Roman"/>
                <w:sz w:val="18"/>
                <w:szCs w:val="18"/>
              </w:rPr>
              <w:fldChar w:fldCharType="end"/>
            </w:r>
          </w:p>
        </w:tc>
        <w:tc>
          <w:tcPr>
            <w:tcW w:w="3969" w:type="dxa"/>
          </w:tcPr>
          <w:p w14:paraId="37F52C5B" w14:textId="4968DAAF" w:rsidR="00197208" w:rsidRPr="00135E13" w:rsidRDefault="00197208" w:rsidP="00845E72">
            <w:pPr>
              <w:rPr>
                <w:rFonts w:ascii="Times New Roman" w:hAnsi="Times New Roman" w:cs="Times New Roman"/>
                <w:sz w:val="18"/>
                <w:szCs w:val="18"/>
              </w:rPr>
            </w:pPr>
            <w:r w:rsidRPr="00135E13">
              <w:rPr>
                <w:rFonts w:ascii="Times New Roman" w:hAnsi="Times New Roman" w:cs="Times New Roman"/>
                <w:sz w:val="18"/>
                <w:szCs w:val="18"/>
                <w:lang w:val="en-GB"/>
              </w:rPr>
              <w:t>Comparable efficacy profiles</w:t>
            </w:r>
            <w:r>
              <w:rPr>
                <w:rFonts w:ascii="Times New Roman" w:hAnsi="Times New Roman" w:cs="Times New Roman"/>
                <w:sz w:val="18"/>
                <w:szCs w:val="18"/>
              </w:rPr>
              <w:t xml:space="preserv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Afg0LzyY","properties":{"unsorted":false,"formattedCitation":"[83\\uc0\\u8211{}85]","plainCitation":"[83–85]","noteIndex":0},"citationItems":[{"id":2897,"uris":["http://zotero.org/users/1937657/items/MJ8NW7G8"],"itemData":{"id":2897,"type":"article-journal","abstract":"INTRODUCTION: Currently no evidence-based guideline exists for the approach to hypophosphatemia in critically ill patients.\nMETHODS: We performed a narrative review of the medical literature to identify the incidence, symptoms, and treatment of hypophosphatemia in critically ill patients. Specifically, we searched for answers to the questions whether correction of hypophosphatemia is associated with improved outcome, and whether a certain treatment strategy is superior.\nRESULTS: Incidence: hypophosphatemia is frequently encountered in the intensive care unit; and critically ill patients are at increased risk for developing hypophosphatemia due to the presence of multiple causal factors.\nSYMPTOMS: hypophosphatemia may lead to a multitude of symptoms, including cardiac and respiratory failure.\nTREATMENT: hypophosphatemia is generally corrected when it is symptomatic or severe. However, although multiple studies confirm the efficacy and safety of intravenous phosphate administration, it remains uncertain when and how to correct hypophosphatemia.\nOUTCOME: in some studies, hypophosphatemia was associated with higher mortality; a paucity of randomized controlled evidence exists for whether correction of hypophosphatemia improves the outcome in critically ill patients.\nCONCLUSIONS: Additional studies addressing the current approach to hypophosphatemia in critically ill patients are required. Studies should focus on the association between hypophosphatemia and morbidity and/or mortality, as well as the effect of correction of this electrolyte disorder.","container-title":"Critical Care","DOI":"10.1186/cc9215","ISSN":"1466-609X","issue":"4","journalAbbreviation":"Crit Care","language":"eng","page":"R147","PMID":"20682049","PMCID":"PMC2945130","publisher-place":"London, England","source":"PubMed","title":"Treatment of hypophosphatemia in the intensive care unit: a review","title-short":"Treatment of hypophosphatemia in the intensive care unit","volume":"14","author":[{"family":"Geerse","given":"Daniël A."},{"family":"Bindels","given":"Alexander J."},{"family":"Kuiper","given":"Michael A."},{"family":"Roos","given":"Arnout N."},{"family":"Spronk","given":"Peter E."},{"family":"Schultz","given":"Marcus J."}],"issued":{"date-parts":[["2010"]]}}},{"id":2899,"uris":["http://zotero.org/users/1937657/items/MUZNZV4S"],"itemData":{"id":2899,"type":"article-journal","abstract":"PURPOSE: The treatment of electrolyte disorders in adult patients in the intensive care unit (ICU), including guidelines for correcting specific electrolyte disorders, is reviewed.\nSUMMARY: Electrolytes are involved in many metabolic and homeostatic functions. Electrolyte disorders are common in adult patients in the ICU and have been associated with increased morbidity and mortality, as has the improper treatment of electrolyte disorders. A limited number of prospective, randomized, controlled studies have been conducted evaluating the optimal treatment of electrolyte disorders. Recommendations for treatment of electrolyte disorders in adult patients in the ICU are provided based on these studies, as well as case reports, expert opinion, and clinical experience. The etiologies of and treatments for hyponatremia hypotonic and hypernatremia (hypovolemic, isovolemic, and hypervolemic), hypokalemia and hyperkalemia, hypophosphatemia and hyperphosphatemia, hypocalcemia and hypercalcemia, and hypomagnesemia and hypermagnesemia are discussed, and equations for determining the proper dosages for adult patients in the ICU are provided. Treatment is often empirical, based on published literature, expert recommendations, and the patient's response to the initial treatment. Actual electrolyte correction requires individual adjustment based on the patient's clinical condition and response to therapy. Clinicians should be knowledgeable about electrolyte homeostasis and the underlying pathophysiology of electrolyte disorders in order to provide the optimal therapy to patients.\nCONCLUSION: Treatment of electrolyte disorders is often empirical, based on published literature, expert opinion and recommendations, and patient's response to the initial treatment. Clinicians should be knowledgeable about electrolyte homeostasis and the underlying pathophysiology of electrolyte disorders to provide optimal therapy for patients.","container-title":"American journal of health-system pharmacy: AJHP: official journal of the American Society of Health-System Pharmacists","DOI":"10.2146/ajhp040300","ISSN":"1079-2082","issue":"16","journalAbbreviation":"Am J Health Syst Pharm","language":"eng","page":"1663-1682","PMID":"16085929","source":"PubMed","title":"Treatment of electrolyte disorders in adult patients in the intensive care unit","volume":"62","author":[{"family":"Kraft","given":"Michael D."},{"family":"Btaiche","given":"Imad F."},{"family":"Sacks","given":"Gordon S."},{"family":"Kudsk","given":"Kenneth A."}],"issued":{"date-parts":[["2005",8,15]]}}},{"id":2901,"uris":["http://zotero.org/users/1937657/items/PWK54S6U"],"itemData":{"id":2901,"type":"article-journal","abstract":"OBJECTIVES: Hypophosphatemia occurs frequently. Enteral, rather than IV, phosphate replacement may reduce fluid replacement, cost, and waste.\nDESIGN: Prospective, randomized, parallel group, noninferiority clinical trial.\nSETTING: Single center, 42-bed state trauma, medical and surgical ICUs, from April 20, 2022, to July 1, 2022.\nPATIENTS: Patients with serum phosphate concentration between 0.3 and 0.75 mmol/L.\nINTERVENTIONS: We randomized patients to either enteral or IV phosphate replacement using electronic medical record-embedded program.\nMEASUREMENT AND MAIN RESULTS: Our primary outcome was serum phosphate at 24 hours with a noninferiority margin of 0.2 mmol/L. Secondary outcomes included cost savings and environmental waste reduction and additional IV fluid administered. The modified intention-to-treat cohort comprised 131 patients. Baseline phosphate concentrations were similar between the two groups. At 24 hours, mean ( sd ) serum phosphate concentration were enteral 0.89 mmol/L (0.24 mmol/L) and IV 0.82 mmol/L (0.28 mmol/L). This difference was noninferior at the margin of 0.2 mmol/L (difference, 0.07 mmol/L; 95% CI, -0.02 to 0.17 mmol/L). When assigned IV replacement, patients received 408 mL (372 mL) of solvent IV fluid. Compared with IV replacement, the mean cost per patient was ten-fold less with enteral replacement ($3.7 [$4.0] vs. IV: $37.7 [$31.4]; difference = $34.0 [95% CI, $26.3-$41.7]) and weight of waste was less (7.7 g [8.3 g] vs. 217 g [169 g]; difference = 209 g [95% CI, 168-250 g]). C O2 emissions were 60-fold less for comparable phosphate replacement (enteral: 2 g producing 14.2 g and 20 mmol of potassium dihydrogen phosphate producing 843 g of C O2 equivalents).\nCONCLUSIONS: Enteral phosphate replacement in ICU is noninferior to IV replacement at a margin of 0.2 mmol/L but leads to a substantial reduction in cost and waste.","container-title":"Critical Care Medicine","DOI":"10.1097/CCM.0000000000006255","ISSN":"1530-0293","issue":"7","journalAbbreviation":"Crit Care Med","language":"eng","page":"1054-1064","PMID":"38537225","source":"PubMed","title":"A Randomized Noninferiority Trial to Compare Enteral to Parenteral Phosphate Replacement on Biochemistry, Waste, and Environmental Impact and Healthcare Cost in Critically Ill Patients With Mild to Moderate Hypophosphatemia","volume":"52","author":[{"family":"Nguyen","given":"Chinh D."},{"family":"Panganiban","given":"Haustine P."},{"family":"Fazio","given":"Timothy"},{"family":"Karahalios","given":"Amalia"},{"family":"Ankravs","given":"Melissa J."},{"family":"MacIsaac","given":"Christopher M."},{"family":"Rechnitzer","given":"Thomas"},{"family":"Arno","given":"Lucy"},{"family":"Tran-Duy","given":"An"},{"family":"McAlister","given":"Scott"},{"family":"Ali Abdelhamid","given":"Yasmine"},{"family":"Deane","given":"Adam M."}],"issued":{"date-parts":[["2024",7,1]]}}}],"schema":"https://github.com/citation-style-language/schema/raw/master/csl-citation.json"} </w:instrText>
            </w:r>
            <w:r>
              <w:rPr>
                <w:rFonts w:ascii="Times New Roman" w:hAnsi="Times New Roman" w:cs="Times New Roman"/>
                <w:sz w:val="18"/>
                <w:szCs w:val="18"/>
              </w:rPr>
              <w:fldChar w:fldCharType="separate"/>
            </w:r>
            <w:r w:rsidRPr="00B73B39">
              <w:rPr>
                <w:rFonts w:ascii="Times New Roman" w:hAnsi="Times New Roman" w:cs="Times New Roman"/>
                <w:sz w:val="18"/>
                <w:szCs w:val="24"/>
              </w:rPr>
              <w:t>[83–85]</w:t>
            </w:r>
            <w:r>
              <w:rPr>
                <w:rFonts w:ascii="Times New Roman" w:hAnsi="Times New Roman" w:cs="Times New Roman"/>
                <w:sz w:val="18"/>
                <w:szCs w:val="18"/>
              </w:rPr>
              <w:fldChar w:fldCharType="end"/>
            </w:r>
          </w:p>
        </w:tc>
        <w:tc>
          <w:tcPr>
            <w:tcW w:w="2800" w:type="dxa"/>
            <w:vMerge/>
            <w:shd w:val="clear" w:color="auto" w:fill="A8D08D" w:themeFill="accent6" w:themeFillTint="99"/>
          </w:tcPr>
          <w:p w14:paraId="53B37274" w14:textId="4DAE4FD9" w:rsidR="00197208" w:rsidRPr="00135E13" w:rsidRDefault="00197208" w:rsidP="00B73B39">
            <w:pPr>
              <w:rPr>
                <w:rFonts w:ascii="Times New Roman" w:hAnsi="Times New Roman" w:cs="Times New Roman"/>
                <w:sz w:val="18"/>
                <w:szCs w:val="18"/>
              </w:rPr>
            </w:pPr>
          </w:p>
        </w:tc>
      </w:tr>
      <w:tr w:rsidR="00197208" w:rsidRPr="00135E13" w14:paraId="6D08EC67" w14:textId="77777777" w:rsidTr="00406AA3">
        <w:trPr>
          <w:trHeight w:val="408"/>
        </w:trPr>
        <w:tc>
          <w:tcPr>
            <w:tcW w:w="1838" w:type="dxa"/>
            <w:noWrap/>
          </w:tcPr>
          <w:p w14:paraId="582E66AD" w14:textId="0A21E39A" w:rsidR="00197208" w:rsidRPr="00135E13" w:rsidRDefault="00197208" w:rsidP="00B73B39">
            <w:pPr>
              <w:rPr>
                <w:rFonts w:ascii="Times New Roman" w:hAnsi="Times New Roman" w:cs="Times New Roman"/>
                <w:sz w:val="18"/>
                <w:szCs w:val="18"/>
              </w:rPr>
            </w:pPr>
            <w:r>
              <w:rPr>
                <w:rFonts w:ascii="Times New Roman" w:hAnsi="Times New Roman" w:cs="Times New Roman"/>
                <w:sz w:val="18"/>
                <w:szCs w:val="18"/>
              </w:rPr>
              <w:t xml:space="preserve">Magnesium </w:t>
            </w:r>
          </w:p>
        </w:tc>
        <w:tc>
          <w:tcPr>
            <w:tcW w:w="1418" w:type="dxa"/>
            <w:noWrap/>
          </w:tcPr>
          <w:p w14:paraId="0725ED0B" w14:textId="1316B725" w:rsidR="00197208" w:rsidRPr="00135E13" w:rsidRDefault="00197208" w:rsidP="00B73B39">
            <w:pPr>
              <w:rPr>
                <w:rFonts w:ascii="Times New Roman" w:hAnsi="Times New Roman" w:cs="Times New Roman"/>
                <w:sz w:val="18"/>
                <w:szCs w:val="18"/>
              </w:rPr>
            </w:pPr>
            <w:r>
              <w:rPr>
                <w:rFonts w:ascii="Times New Roman" w:hAnsi="Times New Roman" w:cs="Times New Roman"/>
                <w:sz w:val="18"/>
                <w:szCs w:val="18"/>
              </w:rPr>
              <w:t xml:space="preserve">24-76 </w:t>
            </w:r>
          </w:p>
        </w:tc>
        <w:tc>
          <w:tcPr>
            <w:tcW w:w="1134" w:type="dxa"/>
            <w:noWrap/>
          </w:tcPr>
          <w:p w14:paraId="55036B94" w14:textId="6E62E414" w:rsidR="00197208" w:rsidRPr="00135E13" w:rsidRDefault="00197208" w:rsidP="00B73B39">
            <w:pPr>
              <w:rPr>
                <w:rFonts w:ascii="Times New Roman" w:hAnsi="Times New Roman" w:cs="Times New Roman"/>
                <w:sz w:val="18"/>
                <w:szCs w:val="18"/>
              </w:rPr>
            </w:pPr>
            <w:r>
              <w:rPr>
                <w:rFonts w:ascii="Times New Roman" w:hAnsi="Times New Roman" w:cs="Times New Roman"/>
                <w:sz w:val="18"/>
                <w:szCs w:val="18"/>
              </w:rPr>
              <w:t>NR</w:t>
            </w:r>
          </w:p>
        </w:tc>
        <w:tc>
          <w:tcPr>
            <w:tcW w:w="2835" w:type="dxa"/>
            <w:noWrap/>
          </w:tcPr>
          <w:p w14:paraId="7F42E986" w14:textId="176216E2" w:rsidR="00197208" w:rsidRPr="00135E13" w:rsidRDefault="00197208" w:rsidP="00B73B39">
            <w:pPr>
              <w:rPr>
                <w:rFonts w:ascii="Times New Roman" w:hAnsi="Times New Roman" w:cs="Times New Roman"/>
                <w:sz w:val="18"/>
                <w:szCs w:val="18"/>
              </w:rPr>
            </w:pPr>
            <w:r>
              <w:rPr>
                <w:rFonts w:ascii="Times New Roman" w:hAnsi="Times New Roman" w:cs="Times New Roman"/>
                <w:sz w:val="18"/>
                <w:szCs w:val="18"/>
              </w:rPr>
              <w:t xml:space="preserve">Comparable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{"citationID":"7dTs0AjF","properties":{"unsorted":false,"formattedCitation":"[84]","plainCitation":"[84]","noteIndex":0},"citationItems":[{"id":2899,"uris":["http://zotero.org/users/1937657/items/MUZNZV4S"],"itemData":{"id":2899,"type":"article-journal","abstract":"PURPOSE: The treatment of electrolyte disorders in adult patients in the intensive care unit (ICU), including guidelines for correcting specific electrolyte disorders, is reviewed.\nSUMMARY: Electrolytes are involved in many metabolic and homeostatic functions. Electrolyte disorders are common in adult patients in the ICU and have been associated with increased morbidity and mortality, as has the improper treatment of electrolyte disorders. A limited number of prospective, randomized, controlled studies have been conducted evaluating the optimal treatment of electrolyte disorders. Recommendations for treatment of electrolyte disorders in adult patients in the ICU are provided based on these studies, as well as case reports, expert opinion, and clinical experience. The etiologies of and treatments for hyponatremia hypotonic and hypernatremia (hypovolemic, isovolemic, and hypervolemic), hypokalemia and hyperkalemia, hypophosphatemia and hyperphosphatemia, hypocalcemia and hypercalcemia, and hypomagnesemia and hypermagnesemia are discussed, and equations for determining the proper dosages for adult patients in the ICU are provided. Treatment is often empirical, based on published literature, expert recommendations, and the patient's response to the initial treatment. Actual electrolyte correction requires individual adjustment based on the patient's clinical condition and response to therapy. Clinicians should be knowledgeable about electrolyte homeostasis and the underlying pathophysiology of electrolyte disorders in order to provide the optimal therapy to patients.\nCONCLUSION: Treatment of electrolyte disorders is often empirical, based on published literature, expert opinion and recommendations, and patient's response to the initial treatment. Clinicians should be knowledgeable about electrolyte homeostasis and the underlying pathophysiology of electrolyte disorders to provide optimal therapy for patients.","container-title":"American journal of health-system pharmacy: AJHP: official journal of the American Society of Health-System Pharmacists","DOI":"10.2146/ajhp040300","ISSN":"1079-2082","issue":"16","journalAbbreviation":"Am J Health Syst Pharm","language":"eng","page":"1663-1682","PMID":"16085929","source":"PubMed","title":"Treatment of electrolyte disorders in adult patients in the intensive care unit","volume":"62","author":[{"family":"Kraft","given":"Michael D."},{"family":"Btaiche","given":"Imad F."},{"family":"Sacks","given":"Gordon S."},{"family":"Kudsk","given":"Kenneth A."}],"issued":{"date-parts":[["2005",8,15]]}}}],"schema":"https://github.com/citation-style-language/schema/raw/master/csl-citation.json"} </w:instrText>
            </w:r>
            <w:r>
              <w:rPr>
                <w:rFonts w:ascii="Times New Roman" w:hAnsi="Times New Roman" w:cs="Times New Roman"/>
                <w:sz w:val="18"/>
                <w:szCs w:val="18"/>
              </w:rPr>
              <w:fldChar w:fldCharType="separate"/>
            </w:r>
            <w:r>
              <w:rPr>
                <w:rFonts w:ascii="Times New Roman" w:hAnsi="Times New Roman" w:cs="Times New Roman"/>
                <w:noProof/>
                <w:sz w:val="18"/>
                <w:szCs w:val="18"/>
              </w:rPr>
              <w:t>[84]</w:t>
            </w:r>
            <w:r>
              <w:rPr>
                <w:rFonts w:ascii="Times New Roman" w:hAnsi="Times New Roman" w:cs="Times New Roman"/>
                <w:sz w:val="18"/>
                <w:szCs w:val="18"/>
              </w:rPr>
              <w:fldChar w:fldCharType="end"/>
            </w:r>
          </w:p>
        </w:tc>
        <w:tc>
          <w:tcPr>
            <w:tcW w:w="3969" w:type="dxa"/>
          </w:tcPr>
          <w:p w14:paraId="4505B4F0" w14:textId="569A3F58" w:rsidR="00197208" w:rsidRPr="00135E13" w:rsidRDefault="00197208" w:rsidP="00B73B39">
            <w:pPr>
              <w:rPr>
                <w:rFonts w:ascii="Times New Roman" w:hAnsi="Times New Roman" w:cs="Times New Roman"/>
                <w:sz w:val="18"/>
                <w:szCs w:val="18"/>
              </w:rPr>
            </w:pPr>
            <w:r w:rsidRPr="00135E13">
              <w:rPr>
                <w:rFonts w:ascii="Times New Roman" w:hAnsi="Times New Roman" w:cs="Times New Roman"/>
                <w:sz w:val="18"/>
                <w:szCs w:val="18"/>
                <w:lang w:val="en-GB"/>
              </w:rPr>
              <w:t>Comparable efficacy profiles</w:t>
            </w:r>
            <w:r>
              <w:rPr>
                <w:rFonts w:ascii="Times New Roman" w:hAnsi="Times New Roman" w:cs="Times New Roman"/>
                <w:sz w:val="18"/>
                <w:szCs w:val="18"/>
              </w:rPr>
              <w:t xml:space="preserv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{"citationID":"ccCdprC6","properties":{"unsorted":false,"formattedCitation":"[84]","plainCitation":"[84]","noteIndex":0},"citationItems":[{"id":2899,"uris":["http://zotero.org/users/1937657/items/MUZNZV4S"],"itemData":{"id":2899,"type":"article-journal","abstract":"PURPOSE: The treatment of electrolyte disorders in adult patients in the intensive care unit (ICU), including guidelines for correcting specific electrolyte disorders, is reviewed.\nSUMMARY: Electrolytes are involved in many metabolic and homeostatic functions. Electrolyte disorders are common in adult patients in the ICU and have been associated with increased morbidity and mortality, as has the improper treatment of electrolyte disorders. A limited number of prospective, randomized, controlled studies have been conducted evaluating the optimal treatment of electrolyte disorders. Recommendations for treatment of electrolyte disorders in adult patients in the ICU are provided based on these studies, as well as case reports, expert opinion, and clinical experience. The etiologies of and treatments for hyponatremia hypotonic and hypernatremia (hypovolemic, isovolemic, and hypervolemic), hypokalemia and hyperkalemia, hypophosphatemia and hyperphosphatemia, hypocalcemia and hypercalcemia, and hypomagnesemia and hypermagnesemia are discussed, and equations for determining the proper dosages for adult patients in the ICU are provided. Treatment is often empirical, based on published literature, expert recommendations, and the patient's response to the initial treatment. Actual electrolyte correction requires individual adjustment based on the patient's clinical condition and response to therapy. Clinicians should be knowledgeable about electrolyte homeostasis and the underlying pathophysiology of electrolyte disorders in order to provide the optimal therapy to patients.\nCONCLUSION: Treatment of electrolyte disorders is often empirical, based on published literature, expert opinion and recommendations, and patient's response to the initial treatment. Clinicians should be knowledgeable about electrolyte homeostasis and the underlying pathophysiology of electrolyte disorders to provide optimal therapy for patients.","container-title":"American journal of health-system pharmacy: AJHP: official journal of the American Society of Health-System Pharmacists","DOI":"10.2146/ajhp040300","ISSN":"1079-2082","issue":"16","journalAbbreviation":"Am J Health Syst Pharm","language":"eng","page":"1663-1682","PMID":"16085929","source":"PubMed","title":"Treatment of electrolyte disorders in adult patients in the intensive care unit","volume":"62","author":[{"family":"Kraft","given":"Michael D."},{"family":"Btaiche","given":"Imad F."},{"family":"Sacks","given":"Gordon S."},{"family":"Kudsk","given":"Kenneth A."}],"issued":{"date-parts":[["2005",8,15]]}}}],"schema":"https://github.com/citation-style-language/schema/raw/master/csl-citation.json"} </w:instrText>
            </w:r>
            <w:r>
              <w:rPr>
                <w:rFonts w:ascii="Times New Roman" w:hAnsi="Times New Roman" w:cs="Times New Roman"/>
                <w:sz w:val="18"/>
                <w:szCs w:val="18"/>
              </w:rPr>
              <w:fldChar w:fldCharType="separate"/>
            </w:r>
            <w:r>
              <w:rPr>
                <w:rFonts w:ascii="Times New Roman" w:hAnsi="Times New Roman" w:cs="Times New Roman"/>
                <w:noProof/>
                <w:sz w:val="18"/>
                <w:szCs w:val="18"/>
              </w:rPr>
              <w:t>[84]</w:t>
            </w:r>
            <w:r>
              <w:rPr>
                <w:rFonts w:ascii="Times New Roman" w:hAnsi="Times New Roman" w:cs="Times New Roman"/>
                <w:sz w:val="18"/>
                <w:szCs w:val="18"/>
              </w:rPr>
              <w:fldChar w:fldCharType="end"/>
            </w:r>
          </w:p>
        </w:tc>
        <w:tc>
          <w:tcPr>
            <w:tcW w:w="2800" w:type="dxa"/>
            <w:vMerge/>
            <w:shd w:val="clear" w:color="auto" w:fill="A8D08D" w:themeFill="accent6" w:themeFillTint="99"/>
          </w:tcPr>
          <w:p w14:paraId="06FB2D63" w14:textId="6039B3C7" w:rsidR="00197208" w:rsidRPr="00135E13" w:rsidRDefault="00197208" w:rsidP="00B73B39">
            <w:pPr>
              <w:rPr>
                <w:rFonts w:ascii="Times New Roman" w:hAnsi="Times New Roman" w:cs="Times New Roman"/>
                <w:sz w:val="18"/>
                <w:szCs w:val="18"/>
              </w:rPr>
            </w:pPr>
          </w:p>
        </w:tc>
      </w:tr>
      <w:tr w:rsidR="00197208" w:rsidRPr="00135E13" w14:paraId="70DEFDC4" w14:textId="77777777" w:rsidTr="00406AA3">
        <w:trPr>
          <w:trHeight w:val="404"/>
        </w:trPr>
        <w:tc>
          <w:tcPr>
            <w:tcW w:w="1838" w:type="dxa"/>
            <w:noWrap/>
          </w:tcPr>
          <w:p w14:paraId="54CE130B" w14:textId="711B4904" w:rsidR="00197208" w:rsidRDefault="00197208" w:rsidP="00B73B39">
            <w:pPr>
              <w:rPr>
                <w:rFonts w:ascii="Times New Roman" w:hAnsi="Times New Roman" w:cs="Times New Roman"/>
                <w:sz w:val="18"/>
                <w:szCs w:val="18"/>
              </w:rPr>
            </w:pPr>
            <w:r>
              <w:rPr>
                <w:rFonts w:ascii="Times New Roman" w:hAnsi="Times New Roman" w:cs="Times New Roman"/>
                <w:sz w:val="18"/>
                <w:szCs w:val="18"/>
              </w:rPr>
              <w:t>Calcium</w:t>
            </w:r>
          </w:p>
        </w:tc>
        <w:tc>
          <w:tcPr>
            <w:tcW w:w="1418" w:type="dxa"/>
            <w:noWrap/>
          </w:tcPr>
          <w:p w14:paraId="00BD7FDE" w14:textId="26B02006" w:rsidR="00197208" w:rsidRPr="00135E13" w:rsidRDefault="00197208" w:rsidP="00B73B39">
            <w:pPr>
              <w:rPr>
                <w:rFonts w:ascii="Times New Roman" w:hAnsi="Times New Roman" w:cs="Times New Roman"/>
                <w:sz w:val="18"/>
                <w:szCs w:val="18"/>
              </w:rPr>
            </w:pPr>
            <w:r>
              <w:rPr>
                <w:rFonts w:ascii="Times New Roman" w:hAnsi="Times New Roman" w:cs="Times New Roman"/>
                <w:sz w:val="18"/>
                <w:szCs w:val="18"/>
              </w:rPr>
              <w:t xml:space="preserve">20-40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{"citationID":"OQAmmQ3C","properties":{"unsorted":false,"formattedCitation":"[86]","plainCitation":"[86]","noteIndex":0},"citationItems":[{"id":2905,"uris":["http://zotero.org/users/1937657/items/S3BFVLMV"],"itemData":{"id":2905,"type":"article-journal","abstract":"Abnormalities in serum calcium concentration may have profound effects on neurological, gastrointestinal, and renal function. Maintenance of the normal serum calcium is a result of tightly regulated ion transport by the kidney, intestinal tract, and bone, mediated by calcaemic hormones especially parathyroid hormone and 1,25-dihydroxyvitamin D3. Abnormalities in calcium transport that result in uncompensated influx into, or efflux from, the extracellular fluid, will result in hypercalcaemia or hypocalcaemia, respectively. When possible the biologically important ionised calcium concentration should be measured. A variety of common disorders are responsible for abnormalities in the serum calcium. Treatment of both hypercalcaemia and hypocalcaemia is dependent on the underlying disorder, the magnitude of the deviation of the serum calcium, and the severity of symptoms. Fortunately, in the case of hypercalcaemia, there is a broad selection of effective medications, especially the bisphosphonates. Treatment of hypocalcaemia relies on the provision of calcium and often vitamin D. In this article we review the mechanisms responsible for abnormalities in calcium homoeostasis, the differential diagnosis of hypercalcaemia and hypocalcaemia, and appropriate therapy.","container-title":"Lancet","DOI":"10.1016/s0140-6736(97)12331-5","ISSN":"0140-6736","issue":"9124","journalAbbreviation":"Lancet","language":"eng","page":"306-311","PMID":"9690425","publisher-place":"London, England","source":"PubMed","title":"Electrolyte quintet: Calcium","title-short":"Electrolyte quintet","volume":"352","author":[{"family":"Bushinsky","given":"D. A."},{"family":"Monk","given":"R. D."}],"issued":{"date-parts":[["1998",7,25]]}}}],"schema":"https://github.com/citation-style-language/schema/raw/master/csl-citation.json"} </w:instrText>
            </w:r>
            <w:r>
              <w:rPr>
                <w:rFonts w:ascii="Times New Roman" w:hAnsi="Times New Roman" w:cs="Times New Roman"/>
                <w:sz w:val="18"/>
                <w:szCs w:val="18"/>
              </w:rPr>
              <w:fldChar w:fldCharType="separate"/>
            </w:r>
            <w:r>
              <w:rPr>
                <w:rFonts w:ascii="Times New Roman" w:hAnsi="Times New Roman" w:cs="Times New Roman"/>
                <w:noProof/>
                <w:sz w:val="18"/>
                <w:szCs w:val="18"/>
              </w:rPr>
              <w:t>[86]</w:t>
            </w:r>
            <w:r>
              <w:rPr>
                <w:rFonts w:ascii="Times New Roman" w:hAnsi="Times New Roman" w:cs="Times New Roman"/>
                <w:sz w:val="18"/>
                <w:szCs w:val="18"/>
              </w:rPr>
              <w:fldChar w:fldCharType="end"/>
            </w:r>
          </w:p>
        </w:tc>
        <w:tc>
          <w:tcPr>
            <w:tcW w:w="1134" w:type="dxa"/>
            <w:noWrap/>
          </w:tcPr>
          <w:p w14:paraId="00DF0639" w14:textId="479ADFA7" w:rsidR="00197208" w:rsidRPr="00135E13" w:rsidRDefault="00197208" w:rsidP="00B73B39">
            <w:pPr>
              <w:rPr>
                <w:rFonts w:ascii="Times New Roman" w:hAnsi="Times New Roman" w:cs="Times New Roman"/>
                <w:sz w:val="18"/>
                <w:szCs w:val="18"/>
              </w:rPr>
            </w:pPr>
            <w:r>
              <w:rPr>
                <w:rFonts w:ascii="Times New Roman" w:hAnsi="Times New Roman" w:cs="Times New Roman"/>
                <w:sz w:val="18"/>
                <w:szCs w:val="18"/>
              </w:rPr>
              <w:t xml:space="preserve">2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ADDIN ZOTERO_ITEM CSL_CITATION {"citationID":"0YmVqnKI","properties":{"unsorted":false,"formattedCitation":"[87]","plainCitation":"[87]","noteIndex":0},"citationItems":[{"id":2903,"uris":["http://zotero.org/users/1937657/items/5C2W55QL"],"itemData":{"id":2903,"type":"article-journal","abstract":"BACKGROUND: Calcium is an essential mineral often taken as a daily, long-term nutritional supplement. Data suggests that once-daily dosing is important with regard to long-term compliance of both drugs and nutritional supplements.\nOBJECTIVE: This study was undertaken to compare the bioavailability of a single serving of two calcium supplements in healthy, premenopausal women.\nDESIGN: A two-period, crossover bioavailability study of a single serving of calcium citrate tablets (two tablets=500 mg calcium) versus a single serving of calcium carbonate powder (one packet of powder=1,000 mg calcium) was performed in healthy women aged between 25 and 45. All subjects were on a calcium-restricted diet 7 days prior to testing and fasted for 12 h before being evaluated at 0, 1, 2, and 4 h after oral administration of the test agents. Blood measurements for total and ionized calcium and parathyroid hormone were performed and adverse events were monitored.\nRESULTS: Twenty-three women were evaluable with a mean age of 33.2±8.71. Results showed that administration of a single serving of a calcium carbonate powder resulted in greater absorption in total and ionized calcium versus a single serving of calcium citrate tablets at 4 h (4.25±0.21 vs. 4.16±0.16, p=0.001). There were minimal side effects and no reported serious adverse events.\nCONCLUSIONS: This study shows that a single serving of a calcium carbonate powder is more bioavailable than a single serving of calcium citrate tablets. This may be beneficial for long-term compliance.","container-title":"Food &amp; Nutrition Research","DOI":"10.3402/fnr.v58.23229","ISSN":"1654-661X","journalAbbreviation":"Food Nutr Res","language":"eng","PMID":"24772062","PMCID":"PMC3999951","source":"PubMed","title":"A comparative study of calcium absorption following a single serving administration of calcium carbonate powder versus calcium citrate tablets in healthy premenopausal women","volume":"58","author":[{"family":"Wang","given":"Haiyuan"},{"family":"Bua","given":"Peter"},{"family":"Capodice","given":"Jillian"}],"issued":{"date-parts":[["2014"]]}}}],"schema":"https://github.com/citation-style-language/schema/raw/master/csl-citation.json"} </w:instrText>
            </w:r>
            <w:r>
              <w:rPr>
                <w:rFonts w:ascii="Times New Roman" w:hAnsi="Times New Roman" w:cs="Times New Roman"/>
                <w:sz w:val="18"/>
                <w:szCs w:val="18"/>
              </w:rPr>
              <w:fldChar w:fldCharType="separate"/>
            </w:r>
            <w:r>
              <w:rPr>
                <w:rFonts w:ascii="Times New Roman" w:hAnsi="Times New Roman" w:cs="Times New Roman"/>
                <w:noProof/>
                <w:sz w:val="18"/>
                <w:szCs w:val="18"/>
              </w:rPr>
              <w:t>[87]</w:t>
            </w:r>
            <w:r>
              <w:rPr>
                <w:rFonts w:ascii="Times New Roman" w:hAnsi="Times New Roman" w:cs="Times New Roman"/>
                <w:sz w:val="18"/>
                <w:szCs w:val="18"/>
              </w:rPr>
              <w:fldChar w:fldCharType="end"/>
            </w:r>
          </w:p>
        </w:tc>
        <w:tc>
          <w:tcPr>
            <w:tcW w:w="2835" w:type="dxa"/>
            <w:noWrap/>
          </w:tcPr>
          <w:p w14:paraId="06FE7062" w14:textId="03F96EAF" w:rsidR="00197208" w:rsidRPr="00135E13" w:rsidRDefault="00197208" w:rsidP="00B73B39">
            <w:pPr>
              <w:rPr>
                <w:rFonts w:ascii="Times New Roman" w:hAnsi="Times New Roman" w:cs="Times New Roman"/>
                <w:sz w:val="18"/>
                <w:szCs w:val="18"/>
              </w:rPr>
            </w:pPr>
            <w:r>
              <w:rPr>
                <w:rFonts w:ascii="Times New Roman" w:hAnsi="Times New Roman" w:cs="Times New Roman"/>
                <w:sz w:val="18"/>
                <w:szCs w:val="18"/>
              </w:rPr>
              <w:t>Comparable</w:t>
            </w:r>
          </w:p>
        </w:tc>
        <w:tc>
          <w:tcPr>
            <w:tcW w:w="3969" w:type="dxa"/>
          </w:tcPr>
          <w:p w14:paraId="6A2A1D00" w14:textId="744B866D" w:rsidR="00197208" w:rsidRPr="00135E13" w:rsidRDefault="00197208" w:rsidP="00B73B39">
            <w:pPr>
              <w:rPr>
                <w:rFonts w:ascii="Times New Roman" w:hAnsi="Times New Roman" w:cs="Times New Roman"/>
                <w:sz w:val="18"/>
                <w:szCs w:val="18"/>
              </w:rPr>
            </w:pPr>
            <w:r w:rsidRPr="00135E13">
              <w:rPr>
                <w:rFonts w:ascii="Times New Roman" w:hAnsi="Times New Roman" w:cs="Times New Roman"/>
                <w:sz w:val="18"/>
                <w:szCs w:val="18"/>
              </w:rPr>
              <w:t>No evidence of IV superiority</w:t>
            </w:r>
          </w:p>
        </w:tc>
        <w:tc>
          <w:tcPr>
            <w:tcW w:w="2800" w:type="dxa"/>
            <w:vMerge/>
            <w:shd w:val="clear" w:color="auto" w:fill="A8D08D" w:themeFill="accent6" w:themeFillTint="99"/>
          </w:tcPr>
          <w:p w14:paraId="6CA77FCE" w14:textId="07B9ACBC" w:rsidR="00197208" w:rsidRPr="00135E13" w:rsidRDefault="00197208" w:rsidP="00B73B39">
            <w:pPr>
              <w:rPr>
                <w:rFonts w:ascii="Times New Roman" w:hAnsi="Times New Roman" w:cs="Times New Roman"/>
                <w:sz w:val="18"/>
                <w:szCs w:val="18"/>
              </w:rPr>
            </w:pPr>
          </w:p>
        </w:tc>
      </w:tr>
    </w:tbl>
    <w:p w14:paraId="17DDF162" w14:textId="77777777" w:rsidR="00CE3B37" w:rsidRDefault="00CE3B37">
      <w:pPr>
        <w:rPr>
          <w:rFonts w:ascii="Times New Roman" w:hAnsi="Times New Roman" w:cs="Times New Roman"/>
          <w:sz w:val="18"/>
          <w:szCs w:val="18"/>
        </w:rPr>
      </w:pPr>
    </w:p>
    <w:p w14:paraId="52138B6D" w14:textId="064BCD8D" w:rsidR="005D4F29" w:rsidRPr="00135E13" w:rsidRDefault="00D3410F" w:rsidP="00771618">
      <w:pPr>
        <w:spacing w:line="480" w:lineRule="auto"/>
        <w:rPr>
          <w:rFonts w:ascii="Times New Roman" w:hAnsi="Times New Roman" w:cs="Times New Roman"/>
          <w:sz w:val="18"/>
          <w:szCs w:val="18"/>
        </w:rPr>
      </w:pPr>
      <w:r>
        <w:rPr>
          <w:rFonts w:ascii="Times New Roman" w:hAnsi="Times New Roman" w:cs="Times New Roman"/>
          <w:b/>
          <w:bCs/>
          <w:sz w:val="20"/>
          <w:szCs w:val="20"/>
          <w:lang w:eastAsia="fr-FR"/>
        </w:rPr>
        <w:t xml:space="preserve">Table S2. </w:t>
      </w:r>
      <w:r>
        <w:rPr>
          <w:rFonts w:ascii="Times New Roman" w:hAnsi="Times New Roman" w:cs="Times New Roman"/>
          <w:b/>
          <w:bCs/>
          <w:sz w:val="20"/>
          <w:szCs w:val="20"/>
        </w:rPr>
        <w:t>Pharmacokinetic characteristics, comparative safety and efficacy, and recommendations for intravenous-to-enteral switching</w:t>
      </w:r>
      <w:r>
        <w:rPr>
          <w:rFonts w:ascii="Times New Roman" w:hAnsi="Times New Roman" w:cs="Times New Roman"/>
          <w:b/>
          <w:bCs/>
          <w:sz w:val="20"/>
          <w:szCs w:val="20"/>
          <w:lang w:eastAsia="fr-FR"/>
        </w:rPr>
        <w:t xml:space="preserve"> with </w:t>
      </w:r>
      <w:r>
        <w:rPr>
          <w:rFonts w:ascii="Times New Roman" w:hAnsi="Times New Roman" w:cs="Times New Roman"/>
          <w:b/>
          <w:bCs/>
          <w:sz w:val="20"/>
          <w:szCs w:val="20"/>
        </w:rPr>
        <w:t>bibliographic references</w:t>
      </w:r>
      <w:r>
        <w:rPr>
          <w:rFonts w:ascii="Times New Roman" w:hAnsi="Times New Roman" w:cs="Times New Roman"/>
          <w:sz w:val="20"/>
          <w:szCs w:val="20"/>
        </w:rPr>
        <w:t xml:space="preserve"> </w:t>
      </w:r>
    </w:p>
    <w:p w14:paraId="1753A4F7" w14:textId="1F6BF5EC" w:rsidR="00B23C01" w:rsidRPr="00135E13" w:rsidRDefault="00771618" w:rsidP="00B23C01">
      <w:pPr>
        <w:spacing w:after="0" w:line="240" w:lineRule="auto"/>
        <w:rPr>
          <w:rFonts w:ascii="Times New Roman" w:eastAsia="Times New Roman" w:hAnsi="Times New Roman" w:cs="Times New Roman"/>
          <w:sz w:val="18"/>
          <w:szCs w:val="18"/>
        </w:rPr>
      </w:pPr>
      <w:r w:rsidRPr="00771618">
        <w:rPr>
          <w:rFonts w:ascii="Times New Roman" w:hAnsi="Times New Roman" w:cs="Times New Roman"/>
          <w:i/>
          <w:iCs/>
          <w:sz w:val="18"/>
          <w:szCs w:val="18"/>
          <w:highlight w:val="yellow"/>
        </w:rPr>
        <w:t>Safety and efficacy comparing with IV form:</w:t>
      </w:r>
      <w:r>
        <w:rPr>
          <w:rFonts w:ascii="Times New Roman" w:hAnsi="Times New Roman" w:cs="Times New Roman"/>
          <w:sz w:val="18"/>
          <w:szCs w:val="18"/>
          <w:highlight w:val="yellow"/>
        </w:rPr>
        <w:t xml:space="preserve"> </w:t>
      </w:r>
      <w:r w:rsidRPr="00771618">
        <w:rPr>
          <w:rFonts w:ascii="Times New Roman" w:hAnsi="Times New Roman" w:cs="Times New Roman"/>
          <w:sz w:val="18"/>
          <w:szCs w:val="18"/>
          <w:highlight w:val="yellow"/>
        </w:rPr>
        <w:t xml:space="preserve">data </w:t>
      </w:r>
      <w:proofErr w:type="spellStart"/>
      <w:r w:rsidRPr="00771618">
        <w:rPr>
          <w:rFonts w:ascii="Times New Roman" w:hAnsi="Times New Roman" w:cs="Times New Roman"/>
          <w:sz w:val="18"/>
          <w:szCs w:val="18"/>
          <w:highlight w:val="yellow"/>
        </w:rPr>
        <w:t>summarised</w:t>
      </w:r>
      <w:proofErr w:type="spellEnd"/>
      <w:r w:rsidRPr="00771618">
        <w:rPr>
          <w:rFonts w:ascii="Times New Roman" w:hAnsi="Times New Roman" w:cs="Times New Roman"/>
          <w:sz w:val="18"/>
          <w:szCs w:val="18"/>
          <w:highlight w:val="yellow"/>
        </w:rPr>
        <w:t xml:space="preserve"> in this table are derived from published studies, a substantial proportion of which were not conducted in critically ill patients.</w:t>
      </w:r>
      <w:r w:rsidRPr="00771618">
        <w:rPr>
          <w:rFonts w:ascii="Times New Roman" w:hAnsi="Times New Roman" w:cs="Times New Roman"/>
          <w:sz w:val="18"/>
          <w:szCs w:val="18"/>
        </w:rPr>
        <w:t xml:space="preserve"> o</w:t>
      </w:r>
      <w:r w:rsidR="006C71E2" w:rsidRPr="00771618">
        <w:rPr>
          <w:rFonts w:ascii="Times New Roman" w:eastAsia="Times New Roman" w:hAnsi="Times New Roman" w:cs="Times New Roman"/>
          <w:sz w:val="18"/>
          <w:szCs w:val="18"/>
        </w:rPr>
        <w:t>nly data reporting differences in tolerability or safety between intravenous (IV) and enteral/oral formulations are presented.</w:t>
      </w:r>
      <w:r w:rsidRPr="00771618">
        <w:rPr>
          <w:rFonts w:ascii="Times New Roman" w:eastAsia="Times New Roman" w:hAnsi="Times New Roman" w:cs="Times New Roman"/>
          <w:sz w:val="18"/>
          <w:szCs w:val="18"/>
        </w:rPr>
        <w:t xml:space="preserve"> </w:t>
      </w:r>
      <w:r w:rsidRPr="00771618">
        <w:rPr>
          <w:rFonts w:ascii="Times New Roman" w:hAnsi="Times New Roman" w:cs="Times New Roman"/>
          <w:sz w:val="18"/>
          <w:szCs w:val="18"/>
          <w:highlight w:val="yellow"/>
        </w:rPr>
        <w:t>This table should therefore be read as a synthesis of the best available indirect evidence and not as evidence of safety in critical illness.</w:t>
      </w:r>
      <w:r>
        <w:rPr>
          <w:rFonts w:asciiTheme="majorHAnsi" w:hAnsiTheme="majorHAnsi" w:cstheme="majorHAnsi"/>
        </w:rPr>
        <w:t xml:space="preserve"> </w:t>
      </w:r>
      <w:r w:rsidR="006C71E2" w:rsidRPr="00135E13">
        <w:rPr>
          <w:rFonts w:ascii="Times New Roman" w:eastAsia="Times New Roman" w:hAnsi="Times New Roman" w:cs="Times New Roman"/>
          <w:sz w:val="18"/>
          <w:szCs w:val="18"/>
        </w:rPr>
        <w:t xml:space="preserve"> </w:t>
      </w:r>
      <w:r w:rsidR="006C71E2" w:rsidRPr="00135E13">
        <w:rPr>
          <w:rFonts w:ascii="Times New Roman" w:eastAsia="Times New Roman" w:hAnsi="Times New Roman" w:cs="Times New Roman"/>
          <w:i/>
          <w:iCs/>
          <w:sz w:val="18"/>
          <w:szCs w:val="18"/>
        </w:rPr>
        <w:t>Recommendations:</w:t>
      </w:r>
      <w:r w:rsidR="006C71E2" w:rsidRPr="00135E13">
        <w:rPr>
          <w:rFonts w:ascii="Times New Roman" w:eastAsia="Times New Roman" w:hAnsi="Times New Roman" w:cs="Times New Roman"/>
          <w:sz w:val="18"/>
          <w:szCs w:val="18"/>
        </w:rPr>
        <w:t xml:space="preserve"> Based on available pharmacokinetic, safety, efficacy, and guideline data, </w:t>
      </w:r>
      <w:r w:rsidR="006259E4" w:rsidRPr="006259E4">
        <w:rPr>
          <w:rFonts w:ascii="Times New Roman" w:eastAsia="Times New Roman" w:hAnsi="Times New Roman" w:cs="Times New Roman"/>
          <w:sz w:val="18"/>
          <w:szCs w:val="18"/>
        </w:rPr>
        <w:t xml:space="preserve">medications were classified into two categories: </w:t>
      </w:r>
      <w:r w:rsidR="006259E4">
        <w:rPr>
          <w:rFonts w:ascii="Times New Roman" w:eastAsia="Times New Roman" w:hAnsi="Times New Roman" w:cs="Times New Roman"/>
          <w:sz w:val="18"/>
          <w:szCs w:val="18"/>
        </w:rPr>
        <w:t>in green : r</w:t>
      </w:r>
      <w:r w:rsidR="006259E4" w:rsidRPr="006259E4">
        <w:rPr>
          <w:rFonts w:ascii="Times New Roman" w:eastAsia="Times New Roman" w:hAnsi="Times New Roman" w:cs="Times New Roman"/>
          <w:sz w:val="18"/>
          <w:szCs w:val="18"/>
        </w:rPr>
        <w:t>eady for IV-to-enteral substitution, indicating medications that can generally be switched in clinically stable patients with preserved gastrointestinal</w:t>
      </w:r>
      <w:r w:rsidR="006259E4">
        <w:rPr>
          <w:rFonts w:ascii="Times New Roman" w:eastAsia="Times New Roman" w:hAnsi="Times New Roman" w:cs="Times New Roman"/>
          <w:sz w:val="18"/>
          <w:szCs w:val="18"/>
        </w:rPr>
        <w:t>, in orange : r</w:t>
      </w:r>
      <w:r w:rsidR="006259E4" w:rsidRPr="006259E4">
        <w:rPr>
          <w:rFonts w:ascii="Times New Roman" w:eastAsia="Times New Roman" w:hAnsi="Times New Roman" w:cs="Times New Roman"/>
          <w:sz w:val="18"/>
          <w:szCs w:val="18"/>
        </w:rPr>
        <w:t>equires monitoring before substitution, indicating medications for which enteral administration is feasible but requires therapeutic drug monitoring and/or close clinical assessment because of variable pharmacokinetics (orange in the table)</w:t>
      </w:r>
      <w:r w:rsidR="006259E4">
        <w:rPr>
          <w:rFonts w:ascii="Times New Roman" w:eastAsia="Times New Roman" w:hAnsi="Times New Roman" w:cs="Times New Roman"/>
          <w:sz w:val="20"/>
          <w:szCs w:val="20"/>
        </w:rPr>
        <w:t xml:space="preserve"> </w:t>
      </w:r>
      <w:r w:rsidR="006C71E2" w:rsidRPr="00135E13">
        <w:rPr>
          <w:rFonts w:ascii="Times New Roman" w:eastAsia="Times New Roman" w:hAnsi="Times New Roman" w:cs="Times New Roman"/>
          <w:sz w:val="18"/>
          <w:szCs w:val="18"/>
        </w:rPr>
        <w:t>.</w:t>
      </w:r>
      <w:r w:rsidR="00422859" w:rsidRPr="00135E13">
        <w:rPr>
          <w:rFonts w:ascii="Times New Roman" w:eastAsia="Times New Roman" w:hAnsi="Times New Roman" w:cs="Times New Roman"/>
          <w:i/>
          <w:iCs/>
          <w:sz w:val="18"/>
          <w:szCs w:val="18"/>
        </w:rPr>
        <w:t xml:space="preserve">Abbreviations: </w:t>
      </w:r>
      <w:r w:rsidR="00422859" w:rsidRPr="00135E13">
        <w:rPr>
          <w:rFonts w:ascii="Times New Roman" w:eastAsia="Times New Roman" w:hAnsi="Times New Roman" w:cs="Times New Roman"/>
          <w:sz w:val="18"/>
          <w:szCs w:val="18"/>
        </w:rPr>
        <w:t>NA:</w:t>
      </w:r>
      <w:r w:rsidR="00422859" w:rsidRPr="00135E13">
        <w:rPr>
          <w:rFonts w:ascii="Times New Roman" w:eastAsia="Times New Roman" w:hAnsi="Times New Roman" w:cs="Times New Roman"/>
          <w:i/>
          <w:iCs/>
          <w:sz w:val="18"/>
          <w:szCs w:val="18"/>
        </w:rPr>
        <w:t xml:space="preserve"> </w:t>
      </w:r>
      <w:r w:rsidR="00422859" w:rsidRPr="00135E13">
        <w:rPr>
          <w:rFonts w:ascii="Times New Roman" w:eastAsia="Times New Roman" w:hAnsi="Times New Roman" w:cs="Times New Roman"/>
          <w:sz w:val="18"/>
          <w:szCs w:val="18"/>
        </w:rPr>
        <w:t>not available</w:t>
      </w:r>
      <w:r w:rsidR="00B722B1" w:rsidRPr="00135E13">
        <w:rPr>
          <w:rFonts w:ascii="Times New Roman" w:eastAsia="Times New Roman" w:hAnsi="Times New Roman" w:cs="Times New Roman"/>
          <w:sz w:val="18"/>
          <w:szCs w:val="18"/>
        </w:rPr>
        <w:t>,</w:t>
      </w:r>
      <w:r w:rsidR="00422859" w:rsidRPr="00135E13">
        <w:rPr>
          <w:rFonts w:ascii="Times New Roman" w:eastAsia="Times New Roman" w:hAnsi="Times New Roman" w:cs="Times New Roman"/>
          <w:i/>
          <w:iCs/>
          <w:sz w:val="18"/>
          <w:szCs w:val="18"/>
        </w:rPr>
        <w:t xml:space="preserve"> </w:t>
      </w:r>
      <w:r w:rsidR="00422859" w:rsidRPr="00135E13">
        <w:rPr>
          <w:rFonts w:ascii="Times New Roman" w:eastAsia="Times New Roman" w:hAnsi="Times New Roman" w:cs="Times New Roman"/>
          <w:sz w:val="18"/>
          <w:szCs w:val="18"/>
        </w:rPr>
        <w:t>IV: intravenous</w:t>
      </w:r>
      <w:r w:rsidR="00422859" w:rsidRPr="00135E13">
        <w:rPr>
          <w:rFonts w:ascii="Times New Roman" w:eastAsia="Times New Roman" w:hAnsi="Times New Roman" w:cs="Times New Roman"/>
          <w:i/>
          <w:iCs/>
          <w:sz w:val="18"/>
          <w:szCs w:val="18"/>
        </w:rPr>
        <w:t xml:space="preserve">; </w:t>
      </w:r>
      <w:proofErr w:type="spellStart"/>
      <w:r w:rsidR="00422859" w:rsidRPr="00135E13">
        <w:rPr>
          <w:rFonts w:ascii="Times New Roman" w:eastAsia="Times New Roman" w:hAnsi="Times New Roman" w:cs="Times New Roman"/>
          <w:i/>
          <w:iCs/>
          <w:sz w:val="18"/>
          <w:szCs w:val="18"/>
        </w:rPr>
        <w:t>Tmax</w:t>
      </w:r>
      <w:proofErr w:type="spellEnd"/>
      <w:r w:rsidR="00422859" w:rsidRPr="00135E13">
        <w:rPr>
          <w:rFonts w:ascii="Times New Roman" w:eastAsia="Times New Roman" w:hAnsi="Times New Roman" w:cs="Times New Roman"/>
          <w:sz w:val="18"/>
          <w:szCs w:val="18"/>
        </w:rPr>
        <w:t xml:space="preserve">: time to peak concentration. </w:t>
      </w:r>
    </w:p>
    <w:p w14:paraId="495EA9D0" w14:textId="77777777" w:rsidR="00B23C01" w:rsidRPr="00135E13" w:rsidRDefault="00B23C01" w:rsidP="00B23C01">
      <w:pPr>
        <w:spacing w:after="0" w:line="240" w:lineRule="auto"/>
        <w:rPr>
          <w:rFonts w:ascii="Times New Roman" w:eastAsia="Times New Roman" w:hAnsi="Times New Roman" w:cs="Times New Roman"/>
          <w:sz w:val="18"/>
          <w:szCs w:val="18"/>
        </w:rPr>
      </w:pPr>
    </w:p>
    <w:p w14:paraId="67A0447A" w14:textId="674A00D6" w:rsidR="00422859" w:rsidRPr="00135E13" w:rsidRDefault="00B23C01" w:rsidP="00B23C01">
      <w:pPr>
        <w:spacing w:after="0" w:line="240" w:lineRule="auto"/>
        <w:rPr>
          <w:rFonts w:ascii="Times New Roman" w:eastAsia="Times New Roman" w:hAnsi="Times New Roman" w:cs="Times New Roman"/>
          <w:b/>
          <w:bCs/>
          <w:sz w:val="18"/>
          <w:szCs w:val="18"/>
        </w:rPr>
      </w:pPr>
      <w:r w:rsidRPr="00135E13">
        <w:rPr>
          <w:sz w:val="21"/>
          <w:szCs w:val="21"/>
          <w:vertAlign w:val="superscript"/>
        </w:rPr>
        <w:t xml:space="preserve"># </w:t>
      </w:r>
      <w:r w:rsidRPr="00135E13">
        <w:rPr>
          <w:rFonts w:ascii="Times New Roman" w:hAnsi="Times New Roman" w:cs="Times New Roman"/>
          <w:sz w:val="18"/>
          <w:szCs w:val="18"/>
          <w:lang w:val="en-GB"/>
        </w:rPr>
        <w:t>The French Infectious Disease Society, in collaboration with the French Clinical Pharmacy Society and the Infection Prevention and Antibiotic Resistance Network, has recently proposed a structured algorithm to guide the switch to oral antibiotic therapy</w:t>
      </w:r>
      <w:r w:rsidR="00A32895" w:rsidRPr="00135E13">
        <w:rPr>
          <w:rFonts w:ascii="Times New Roman" w:hAnsi="Times New Roman" w:cs="Times New Roman"/>
          <w:sz w:val="18"/>
          <w:szCs w:val="18"/>
          <w:lang w:val="en-GB"/>
        </w:rPr>
        <w:t xml:space="preserve">: </w:t>
      </w:r>
      <w:r w:rsidRPr="00135E13">
        <w:rPr>
          <w:rFonts w:ascii="Times New Roman" w:hAnsi="Times New Roman" w:cs="Times New Roman"/>
          <w:b/>
          <w:bCs/>
          <w:sz w:val="18"/>
          <w:szCs w:val="18"/>
          <w:lang w:val="en-GB"/>
        </w:rPr>
        <w:t>https://documentation-forum.preventioninfection.fr/Record.htm?Record=19135054124919532369&amp;confirm=on</w:t>
      </w:r>
    </w:p>
    <w:p w14:paraId="1A29D17D" w14:textId="77777777" w:rsidR="00B90957" w:rsidRPr="00135E13" w:rsidRDefault="00B90957" w:rsidP="009045DF">
      <w:pPr>
        <w:rPr>
          <w:rFonts w:ascii="Times New Roman" w:hAnsi="Times New Roman" w:cs="Times New Roman"/>
          <w:b/>
          <w:bCs/>
          <w:sz w:val="18"/>
          <w:szCs w:val="18"/>
        </w:rPr>
      </w:pPr>
    </w:p>
    <w:p w14:paraId="79941F2F" w14:textId="2DDD9E70" w:rsidR="00B90957" w:rsidRPr="00135E13" w:rsidRDefault="000D4354" w:rsidP="009045DF">
      <w:pPr>
        <w:rPr>
          <w:rFonts w:ascii="Times New Roman" w:hAnsi="Times New Roman" w:cs="Times New Roman"/>
          <w:b/>
          <w:bCs/>
          <w:sz w:val="18"/>
          <w:szCs w:val="18"/>
        </w:rPr>
      </w:pPr>
      <w:r>
        <w:rPr>
          <w:rFonts w:ascii="Times New Roman" w:hAnsi="Times New Roman" w:cs="Times New Roman"/>
          <w:b/>
          <w:bCs/>
          <w:sz w:val="18"/>
          <w:szCs w:val="18"/>
        </w:rPr>
        <w:t>References</w:t>
      </w:r>
    </w:p>
    <w:p w14:paraId="403B635F"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b/>
          <w:bCs/>
          <w:sz w:val="20"/>
          <w:szCs w:val="20"/>
        </w:rPr>
        <w:fldChar w:fldCharType="begin"/>
      </w:r>
      <w:r w:rsidRPr="000D391B">
        <w:rPr>
          <w:rFonts w:ascii="Times New Roman" w:hAnsi="Times New Roman" w:cs="Times New Roman"/>
          <w:b/>
          <w:bCs/>
          <w:sz w:val="20"/>
          <w:szCs w:val="20"/>
        </w:rPr>
        <w:instrText xml:space="preserve"> ADDIN ZOTERO_BIBL {"uncited":[],"omitted":[],"custom":[]} CSL_BIBLIOGRAPHY </w:instrText>
      </w:r>
      <w:r w:rsidRPr="000D391B">
        <w:rPr>
          <w:rFonts w:ascii="Times New Roman" w:hAnsi="Times New Roman" w:cs="Times New Roman"/>
          <w:b/>
          <w:bCs/>
          <w:sz w:val="20"/>
          <w:szCs w:val="20"/>
        </w:rPr>
        <w:fldChar w:fldCharType="separate"/>
      </w:r>
      <w:r w:rsidRPr="000D391B">
        <w:rPr>
          <w:rFonts w:ascii="Times New Roman" w:hAnsi="Times New Roman" w:cs="Times New Roman"/>
          <w:sz w:val="20"/>
          <w:szCs w:val="20"/>
        </w:rPr>
        <w:t xml:space="preserve">1. </w:t>
      </w:r>
      <w:r w:rsidRPr="000D391B">
        <w:rPr>
          <w:rFonts w:ascii="Times New Roman" w:hAnsi="Times New Roman" w:cs="Times New Roman"/>
          <w:sz w:val="20"/>
          <w:szCs w:val="20"/>
        </w:rPr>
        <w:tab/>
        <w:t>Cantais A, Schnell D, Vincent F, et al (2016) Acetaminophen-Induced Changes in Systemic Blood Pressure in Critically Ill Patients: Results of a Multicenter Cohort Study. Crit Care Med 44:2192–2198. https://doi.org/10.1097/CCM.0000000000001954</w:t>
      </w:r>
    </w:p>
    <w:p w14:paraId="416004E2"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2. </w:t>
      </w:r>
      <w:r w:rsidRPr="000D391B">
        <w:rPr>
          <w:rFonts w:ascii="Times New Roman" w:hAnsi="Times New Roman" w:cs="Times New Roman"/>
          <w:sz w:val="20"/>
          <w:szCs w:val="20"/>
        </w:rPr>
        <w:tab/>
        <w:t>Ibrahim T, Gebril A, Nasr MK, et al (2023) Unlocking the Optimal Analgesic Potential: A Systematic Review and Meta-Analysis Comparing Intravenous, Oral, and Rectal Paracetamol in Equivalent Doses. Cureus 15:e41876. https://doi.org/10.7759/cureus.41876</w:t>
      </w:r>
    </w:p>
    <w:p w14:paraId="1BA835FC"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3. </w:t>
      </w:r>
      <w:r w:rsidRPr="000D391B">
        <w:rPr>
          <w:rFonts w:ascii="Times New Roman" w:hAnsi="Times New Roman" w:cs="Times New Roman"/>
          <w:sz w:val="20"/>
          <w:szCs w:val="20"/>
        </w:rPr>
        <w:tab/>
        <w:t>Bramlage P, Goldis A (2008) Bioequivalence study of three ibuprofen formulations after single dose administration in healthy volunteers. BMC Pharmacol 8:18. https://doi.org/10.1186/1471-2210-8-18</w:t>
      </w:r>
    </w:p>
    <w:p w14:paraId="1F2BBCE5"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lastRenderedPageBreak/>
        <w:t xml:space="preserve">4. </w:t>
      </w:r>
      <w:r w:rsidRPr="000D391B">
        <w:rPr>
          <w:rFonts w:ascii="Times New Roman" w:hAnsi="Times New Roman" w:cs="Times New Roman"/>
          <w:sz w:val="20"/>
          <w:szCs w:val="20"/>
        </w:rPr>
        <w:tab/>
        <w:t>Beverly A, Kaye AD, Ljungqvist O, Urman RD (2017) Essential Elements of Multimodal Analgesia in Enhanced Recovery After Surgery (ERAS) Guidelines. Anesthesiol Clin 35:e115–e143. https://doi.org/10.1016/j.anclin.2017.01.018</w:t>
      </w:r>
    </w:p>
    <w:p w14:paraId="6BFA6771"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5. </w:t>
      </w:r>
      <w:r w:rsidRPr="000D391B">
        <w:rPr>
          <w:rFonts w:ascii="Times New Roman" w:hAnsi="Times New Roman" w:cs="Times New Roman"/>
          <w:sz w:val="20"/>
          <w:szCs w:val="20"/>
        </w:rPr>
        <w:tab/>
        <w:t>Aymard G, Warot D, Démolis P, et al (2003) Comparative pharmacokinetics and pharmacodynamics of intravenous and oral nefopam in healthy volunteers. Pharmacol Toxicol 92:279–286. https://doi.org/10.1034/j.1600-0773.2003.920605.x</w:t>
      </w:r>
    </w:p>
    <w:p w14:paraId="005F5A7B"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6. </w:t>
      </w:r>
      <w:r w:rsidRPr="000D391B">
        <w:rPr>
          <w:rFonts w:ascii="Times New Roman" w:hAnsi="Times New Roman" w:cs="Times New Roman"/>
          <w:sz w:val="20"/>
          <w:szCs w:val="20"/>
        </w:rPr>
        <w:tab/>
        <w:t>Grond S, Sablotzki A (2004) Clinical pharmacology of tramadol. Clin Pharmacokinet 43:879–923. https://doi.org/10.2165/00003088-200443130-00004</w:t>
      </w:r>
    </w:p>
    <w:p w14:paraId="651EE10C"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7. </w:t>
      </w:r>
      <w:r w:rsidRPr="000D391B">
        <w:rPr>
          <w:rFonts w:ascii="Times New Roman" w:hAnsi="Times New Roman" w:cs="Times New Roman"/>
          <w:sz w:val="20"/>
          <w:szCs w:val="20"/>
        </w:rPr>
        <w:tab/>
        <w:t>Devlin JW, Skrobik Y, Gélinas C, et al (2018) Clinical Practice Guidelines for the Prevention and Management of Pain, Agitation/Sedation, Delirium, Immobility, and Sleep Disruption in Adult Patients in the ICU. Critical Care Medicine 46:e825. https://doi.org/10.1097/CCM.0000000000003299</w:t>
      </w:r>
    </w:p>
    <w:p w14:paraId="6CAC6452"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8. </w:t>
      </w:r>
      <w:r w:rsidRPr="000D391B">
        <w:rPr>
          <w:rFonts w:ascii="Times New Roman" w:hAnsi="Times New Roman" w:cs="Times New Roman"/>
          <w:sz w:val="20"/>
          <w:szCs w:val="20"/>
        </w:rPr>
        <w:tab/>
        <w:t>Lee P, Fike D, Yang H, et al (2021) Do the types and routes of proton pump inhibitor treatments affect clostridium difficile in ICU patients? A retrospective cohort study. Expert Rev Clin Pharmacol 14:399–404. https://doi.org/10.1080/17512433.2021.1890582</w:t>
      </w:r>
    </w:p>
    <w:p w14:paraId="2C9199A6"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9. </w:t>
      </w:r>
      <w:r w:rsidRPr="000D391B">
        <w:rPr>
          <w:rFonts w:ascii="Times New Roman" w:hAnsi="Times New Roman" w:cs="Times New Roman"/>
          <w:sz w:val="20"/>
          <w:szCs w:val="20"/>
        </w:rPr>
        <w:tab/>
        <w:t>Gralnek IM, Stanley AJ, Morris AJ, et al (2021) Endoscopic diagnosis and management of nonvariceal upper gastrointestinal hemorrhage (NVUGIH): European Society of Gastrointestinal Endoscopy (ESGE) Guideline - Update 2021. Endoscopy 53:300–332. https://doi.org/10.1055/a-1369-5274</w:t>
      </w:r>
    </w:p>
    <w:p w14:paraId="68C03285"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10. </w:t>
      </w:r>
      <w:r w:rsidRPr="000D391B">
        <w:rPr>
          <w:rFonts w:ascii="Times New Roman" w:hAnsi="Times New Roman" w:cs="Times New Roman"/>
          <w:sz w:val="20"/>
          <w:szCs w:val="20"/>
        </w:rPr>
        <w:tab/>
        <w:t>Tsai J-J, Hsu Y-C, Perng C-L, Lin H-J (2009) Oral or intravenous proton pump inhibitor in patients with peptic ulcer bleeding after successful endoscopic epinephrine injection. Br J Clin Pharmacol 67:326–332. https://doi.org/10.1111/j.1365-2125.2008.03359.x</w:t>
      </w:r>
    </w:p>
    <w:p w14:paraId="305F0184"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11. </w:t>
      </w:r>
      <w:r w:rsidRPr="000D391B">
        <w:rPr>
          <w:rFonts w:ascii="Times New Roman" w:hAnsi="Times New Roman" w:cs="Times New Roman"/>
          <w:sz w:val="20"/>
          <w:szCs w:val="20"/>
        </w:rPr>
        <w:tab/>
        <w:t>Grover VK, Mathew PJ, Hegde H (2009) Efficacy of orally disintegrating ondansetron in preventing postoperative nausea and vomiting after laparoscopic cholecystectomy: a randomised, double-blind placebo controlled study. Anaesthesia 64:595–600. https://doi.org/10.1111/j.1365-2044.2008.05860.x</w:t>
      </w:r>
    </w:p>
    <w:p w14:paraId="47C9FFB1" w14:textId="77777777" w:rsidR="000D4354" w:rsidRPr="000D391B" w:rsidRDefault="000D4354" w:rsidP="000D4354">
      <w:pPr>
        <w:pStyle w:val="Bibliographie"/>
        <w:rPr>
          <w:rFonts w:ascii="Times New Roman" w:hAnsi="Times New Roman" w:cs="Times New Roman"/>
          <w:sz w:val="20"/>
          <w:szCs w:val="20"/>
          <w:lang w:val="fr-FR"/>
        </w:rPr>
      </w:pPr>
      <w:r w:rsidRPr="000D391B">
        <w:rPr>
          <w:rFonts w:ascii="Times New Roman" w:hAnsi="Times New Roman" w:cs="Times New Roman"/>
          <w:sz w:val="20"/>
          <w:szCs w:val="20"/>
        </w:rPr>
        <w:t xml:space="preserve">12. </w:t>
      </w:r>
      <w:r w:rsidRPr="000D391B">
        <w:rPr>
          <w:rFonts w:ascii="Times New Roman" w:hAnsi="Times New Roman" w:cs="Times New Roman"/>
          <w:sz w:val="20"/>
          <w:szCs w:val="20"/>
        </w:rPr>
        <w:tab/>
        <w:t xml:space="preserve">Graffner C, Lagerström PO, Lundborg P, Rönn O (1979) Pharmacokinetics of metoclopramide intravenously and orally determined by liquid chromatography. </w:t>
      </w:r>
      <w:r w:rsidRPr="000D391B">
        <w:rPr>
          <w:rFonts w:ascii="Times New Roman" w:hAnsi="Times New Roman" w:cs="Times New Roman"/>
          <w:sz w:val="20"/>
          <w:szCs w:val="20"/>
          <w:lang w:val="fr-FR"/>
        </w:rPr>
        <w:t>Br J Clin Pharmacol 8:469–474. https://doi.org/10.1111/j.1365-2125.1979.tb01028.x</w:t>
      </w:r>
    </w:p>
    <w:p w14:paraId="2B6301DE"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lang w:val="fr-FR"/>
        </w:rPr>
        <w:t xml:space="preserve">13. </w:t>
      </w:r>
      <w:r w:rsidRPr="000D391B">
        <w:rPr>
          <w:rFonts w:ascii="Times New Roman" w:hAnsi="Times New Roman" w:cs="Times New Roman"/>
          <w:sz w:val="20"/>
          <w:szCs w:val="20"/>
          <w:lang w:val="fr-FR"/>
        </w:rPr>
        <w:tab/>
      </w:r>
      <w:r w:rsidRPr="000D391B">
        <w:rPr>
          <w:rFonts w:ascii="Times New Roman" w:hAnsi="Times New Roman" w:cs="Times New Roman"/>
          <w:sz w:val="20"/>
          <w:szCs w:val="20"/>
        </w:rPr>
        <w:t>Anthony LB, Krozely MG, Woodward NJ, et al (1986) Antiemetic effect of oral versus intravenous metoclopramide in patients receiving cisplatin: a randomized, double-blind trial. J Clin Oncol 4:98–103. https://doi.org/10.1200/JCO.1986.4.1.98</w:t>
      </w:r>
    </w:p>
    <w:p w14:paraId="104B6FF4"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14. </w:t>
      </w:r>
      <w:r w:rsidRPr="000D391B">
        <w:rPr>
          <w:rFonts w:ascii="Times New Roman" w:hAnsi="Times New Roman" w:cs="Times New Roman"/>
          <w:sz w:val="20"/>
          <w:szCs w:val="20"/>
        </w:rPr>
        <w:tab/>
        <w:t>Corvino A, Magli E, Minale M, et al (2023) Phloroglucinol-Derived Medications are Effective in Reducing Pain and Spasms of Urinary and Biliary Tracts: Results of Phase 3 Multicentre, Open-Label, Randomized, Comparative Studies of Clinical Effectiveness and Safety. Adv Ther 40:619–640. https://doi.org/10.1007/s12325-022-02347-3</w:t>
      </w:r>
    </w:p>
    <w:p w14:paraId="39129000"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15. </w:t>
      </w:r>
      <w:r w:rsidRPr="000D391B">
        <w:rPr>
          <w:rFonts w:ascii="Times New Roman" w:hAnsi="Times New Roman" w:cs="Times New Roman"/>
          <w:sz w:val="20"/>
          <w:szCs w:val="20"/>
        </w:rPr>
        <w:tab/>
        <w:t>Rey E, Tréluyer JM, Pons G (1999) Pharmacokinetic optimization of benzodiazepine therapy for acute seizures. Focus on delivery routes. Clin Pharmacokinet 36:409–424. https://doi.org/10.2165/00003088-199936060-00003</w:t>
      </w:r>
    </w:p>
    <w:p w14:paraId="182B17DC" w14:textId="77777777" w:rsidR="000D4354" w:rsidRPr="000D391B" w:rsidRDefault="000D4354" w:rsidP="000D4354">
      <w:pPr>
        <w:pStyle w:val="Bibliographie"/>
        <w:rPr>
          <w:rFonts w:ascii="Times New Roman" w:hAnsi="Times New Roman" w:cs="Times New Roman"/>
          <w:sz w:val="20"/>
          <w:szCs w:val="20"/>
          <w:lang w:val="fr-FR"/>
        </w:rPr>
      </w:pPr>
      <w:r w:rsidRPr="000D391B">
        <w:rPr>
          <w:rFonts w:ascii="Times New Roman" w:hAnsi="Times New Roman" w:cs="Times New Roman"/>
          <w:sz w:val="20"/>
          <w:szCs w:val="20"/>
        </w:rPr>
        <w:t xml:space="preserve">16. </w:t>
      </w:r>
      <w:r w:rsidRPr="000D391B">
        <w:rPr>
          <w:rFonts w:ascii="Times New Roman" w:hAnsi="Times New Roman" w:cs="Times New Roman"/>
          <w:sz w:val="20"/>
          <w:szCs w:val="20"/>
        </w:rPr>
        <w:tab/>
        <w:t xml:space="preserve">Dhillon S, Oxley J, Richens A (1982) Bioavailability of diazepam after intravenous, oral and rectal administration in adult epileptic patients. </w:t>
      </w:r>
      <w:r w:rsidRPr="000D391B">
        <w:rPr>
          <w:rFonts w:ascii="Times New Roman" w:hAnsi="Times New Roman" w:cs="Times New Roman"/>
          <w:sz w:val="20"/>
          <w:szCs w:val="20"/>
          <w:lang w:val="fr-FR"/>
        </w:rPr>
        <w:t>Br J Clin Pharmacol 13:427–432. https://doi.org/10.1111/j.1365-2125.1982.tb01397.x</w:t>
      </w:r>
    </w:p>
    <w:p w14:paraId="483F0DD1"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lang w:val="fr-FR"/>
        </w:rPr>
        <w:lastRenderedPageBreak/>
        <w:t xml:space="preserve">17. </w:t>
      </w:r>
      <w:r w:rsidRPr="000D391B">
        <w:rPr>
          <w:rFonts w:ascii="Times New Roman" w:hAnsi="Times New Roman" w:cs="Times New Roman"/>
          <w:sz w:val="20"/>
          <w:szCs w:val="20"/>
          <w:lang w:val="fr-FR"/>
        </w:rPr>
        <w:tab/>
      </w:r>
      <w:r w:rsidRPr="000D391B">
        <w:rPr>
          <w:rFonts w:ascii="Times New Roman" w:hAnsi="Times New Roman" w:cs="Times New Roman"/>
          <w:sz w:val="20"/>
          <w:szCs w:val="20"/>
        </w:rPr>
        <w:t>Mistraletti G, Umbrello M, Salini S, et al (2019) Enteral versus intravenous approach for the sedation of critically ill patients: a randomized and controlled trial. Crit Care 23:3. https://doi.org/10.1186/s13054-018-2280-x</w:t>
      </w:r>
    </w:p>
    <w:p w14:paraId="3601DBED"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18. </w:t>
      </w:r>
      <w:r w:rsidRPr="000D391B">
        <w:rPr>
          <w:rFonts w:ascii="Times New Roman" w:hAnsi="Times New Roman" w:cs="Times New Roman"/>
          <w:sz w:val="20"/>
          <w:szCs w:val="20"/>
        </w:rPr>
        <w:tab/>
        <w:t>Garriga M, Pacchiarotti I, Kasper S, et al (2016) Assessment and management of agitation in psychiatry: Expert consensus. The World Journal of Biological Psychiatry 17:86–128. https://doi.org/10.3109/15622975.2015.1132007</w:t>
      </w:r>
    </w:p>
    <w:p w14:paraId="005ED424"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19. </w:t>
      </w:r>
      <w:r w:rsidRPr="000D391B">
        <w:rPr>
          <w:rFonts w:ascii="Times New Roman" w:hAnsi="Times New Roman" w:cs="Times New Roman"/>
          <w:sz w:val="20"/>
          <w:szCs w:val="20"/>
        </w:rPr>
        <w:tab/>
        <w:t>Dahl SG, Strandjord RE (1977) Pharmacokinetics of chlorpromazine after single and chronic dosage. Clin Pharmacol Ther 21:437–448. https://doi.org/10.1002/cpt1977214437</w:t>
      </w:r>
    </w:p>
    <w:p w14:paraId="50FD0FAA"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20. </w:t>
      </w:r>
      <w:r w:rsidRPr="000D391B">
        <w:rPr>
          <w:rFonts w:ascii="Times New Roman" w:hAnsi="Times New Roman" w:cs="Times New Roman"/>
          <w:sz w:val="20"/>
          <w:szCs w:val="20"/>
        </w:rPr>
        <w:tab/>
        <w:t>Deisenhammer EA, Whitworth AB, Geretsegger C, et al (2000) Intravenous versus oral administration of amitriptyline in patients with major depression. J Clin Psychopharmacol 20:417–422. https://doi.org/10.1097/00004714-200008000-00005</w:t>
      </w:r>
    </w:p>
    <w:p w14:paraId="174EDB82"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21. </w:t>
      </w:r>
      <w:r w:rsidRPr="000D391B">
        <w:rPr>
          <w:rFonts w:ascii="Times New Roman" w:hAnsi="Times New Roman" w:cs="Times New Roman"/>
          <w:sz w:val="20"/>
          <w:szCs w:val="20"/>
        </w:rPr>
        <w:tab/>
        <w:t>Faravelli C, Broadhurst AD, Ambonetti A, et al (1983) Double-blind trial with oral versus intravenous clomipramine in primary depression. Biol Psychiatry 18:695–706</w:t>
      </w:r>
    </w:p>
    <w:p w14:paraId="4747B78F"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22. </w:t>
      </w:r>
      <w:r w:rsidRPr="000D391B">
        <w:rPr>
          <w:rFonts w:ascii="Times New Roman" w:hAnsi="Times New Roman" w:cs="Times New Roman"/>
          <w:sz w:val="20"/>
          <w:szCs w:val="20"/>
        </w:rPr>
        <w:tab/>
        <w:t>Müller FO, Schall R, Mogilnicka EM, et al (1996) Relative bioavailability of four clomipramine hydrochloride tablet products. Biopharm Drug Dispos 17:81–90. https://doi.org/10.1002/(SICI)1099-081X(199601)17:1%3C81::AID-BDD939%3E3.0.CO;2-5</w:t>
      </w:r>
    </w:p>
    <w:p w14:paraId="2559BEAB"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23. </w:t>
      </w:r>
      <w:r w:rsidRPr="000D391B">
        <w:rPr>
          <w:rFonts w:ascii="Times New Roman" w:hAnsi="Times New Roman" w:cs="Times New Roman"/>
          <w:sz w:val="20"/>
          <w:szCs w:val="20"/>
        </w:rPr>
        <w:tab/>
        <w:t>Toublanc N, Du X, Liu Y, et al (2015) Pharmacokinetics, Safety and Bioequivalence of Levetiracetam Intravenous Infusion and Oral Tablets in Healthy Chinese Subjects. Clin Drug Investig 35:495–503. https://doi.org/10.1007/s40261-015-0303-9</w:t>
      </w:r>
    </w:p>
    <w:p w14:paraId="7EF4782A"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24. </w:t>
      </w:r>
      <w:r w:rsidRPr="000D391B">
        <w:rPr>
          <w:rFonts w:ascii="Times New Roman" w:hAnsi="Times New Roman" w:cs="Times New Roman"/>
          <w:sz w:val="20"/>
          <w:szCs w:val="20"/>
        </w:rPr>
        <w:tab/>
        <w:t>Biton V, Rosenfeld WE, Whitesides J, et al (2008) Intravenous lacosamide as replacement for oral lacosamide in patients with partial-onset seizures. Epilepsia 49:418–424. https://doi.org/10.1111/j.1528-1167.2007.01317.x</w:t>
      </w:r>
    </w:p>
    <w:p w14:paraId="03B2DF7E"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25. </w:t>
      </w:r>
      <w:r w:rsidRPr="000D391B">
        <w:rPr>
          <w:rFonts w:ascii="Times New Roman" w:hAnsi="Times New Roman" w:cs="Times New Roman"/>
          <w:sz w:val="20"/>
          <w:szCs w:val="20"/>
        </w:rPr>
        <w:tab/>
        <w:t>Limdi NA, Knowlton RK, Cofield SS, et al (2007) Safety of rapid intravenous loading of valproate. Epilepsia 48:478–483. https://doi.org/10.1111/j.1528-1167.2007.00989.x</w:t>
      </w:r>
    </w:p>
    <w:p w14:paraId="00349E8C"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26. </w:t>
      </w:r>
      <w:r w:rsidRPr="000D391B">
        <w:rPr>
          <w:rFonts w:ascii="Times New Roman" w:hAnsi="Times New Roman" w:cs="Times New Roman"/>
          <w:sz w:val="20"/>
          <w:szCs w:val="20"/>
        </w:rPr>
        <w:tab/>
        <w:t>Kikuchi K, Hamano S-I, Oritsu T, et al (2011) Effectiveness and safety of non-intravenous high-dose phenobarbital therapy for intractable epilepsy during childhood. Brain Dev 33:379–383. https://doi.org/10.1016/j.braindev.2010.07.009</w:t>
      </w:r>
    </w:p>
    <w:p w14:paraId="7DB3160E"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27. </w:t>
      </w:r>
      <w:r w:rsidRPr="000D391B">
        <w:rPr>
          <w:rFonts w:ascii="Times New Roman" w:hAnsi="Times New Roman" w:cs="Times New Roman"/>
          <w:sz w:val="20"/>
          <w:szCs w:val="20"/>
        </w:rPr>
        <w:tab/>
        <w:t>Martellino C, Salafica G, Tripepi G, et al (2025) The efficacy of switching intravenous to oral brivaracetam following status epilepticus: A real-world, multicenter Sicilian study. Epilepsy Behav 172:110744. https://doi.org/10.1016/j.yebeh.2025.110744</w:t>
      </w:r>
    </w:p>
    <w:p w14:paraId="5A6215F1"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28. </w:t>
      </w:r>
      <w:r w:rsidRPr="000D391B">
        <w:rPr>
          <w:rFonts w:ascii="Times New Roman" w:hAnsi="Times New Roman" w:cs="Times New Roman"/>
          <w:sz w:val="20"/>
          <w:szCs w:val="20"/>
        </w:rPr>
        <w:tab/>
        <w:t>Mancia G, Fagard R, Narkiewicz K, et al (2013) 2013 ESH/ESC guidelines for the management of arterial hypertension: the Task Force for the Management of Arterial Hypertension of the European Society of Hypertension (ESH) and of the European Society of Cardiology (ESC). Eur Heart J 34:2159–2219. https://doi.org/10.1093/eurheartj/eht151</w:t>
      </w:r>
    </w:p>
    <w:p w14:paraId="7FF09457"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lastRenderedPageBreak/>
        <w:t xml:space="preserve">29. </w:t>
      </w:r>
      <w:r w:rsidRPr="000D391B">
        <w:rPr>
          <w:rFonts w:ascii="Times New Roman" w:hAnsi="Times New Roman" w:cs="Times New Roman"/>
          <w:sz w:val="20"/>
          <w:szCs w:val="20"/>
        </w:rPr>
        <w:tab/>
        <w:t>Whelton PK, Carey RM, Aronow WS, et al (2018) 2017 ACC/AHA/AAPA/ABC/ACPM/AGS/APhA/ASH/ASPC/NMA/PCNA Guideline for the Prevention, Detection, Evaluation, and Management of High Blood Pressure in Adults: Executive Summary: A Report of the American College of Cardiology/American Heart Association Task Force on Clinical Practice Guidelines. Hypertension 71:1269–1324. https://doi.org/10.1161/HYP.0000000000000066</w:t>
      </w:r>
    </w:p>
    <w:p w14:paraId="4B77CCFC"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30. </w:t>
      </w:r>
      <w:r w:rsidRPr="000D391B">
        <w:rPr>
          <w:rFonts w:ascii="Times New Roman" w:hAnsi="Times New Roman" w:cs="Times New Roman"/>
          <w:sz w:val="20"/>
          <w:szCs w:val="20"/>
        </w:rPr>
        <w:tab/>
        <w:t>Reddy P, Yeh Y-C (2009) Use of injectable nicardipine for neurovascular indications. Pharmacotherapy 29:398–409. https://doi.org/10.1592/phco.29.4.398</w:t>
      </w:r>
    </w:p>
    <w:p w14:paraId="4DFFB14B"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31. </w:t>
      </w:r>
      <w:r w:rsidRPr="000D391B">
        <w:rPr>
          <w:rFonts w:ascii="Times New Roman" w:hAnsi="Times New Roman" w:cs="Times New Roman"/>
          <w:sz w:val="20"/>
          <w:szCs w:val="20"/>
        </w:rPr>
        <w:tab/>
        <w:t>McDonagh TA, Metra M, Adamo M, et al (2021) 2021 ESC Guidelines for the diagnosis and treatment of acute and chronic heart failure. Eur Heart J 42:3599–3726. https://doi.org/10.1093/eurheartj/ehab368</w:t>
      </w:r>
    </w:p>
    <w:p w14:paraId="65416A9A"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32. </w:t>
      </w:r>
      <w:r w:rsidRPr="000D391B">
        <w:rPr>
          <w:rFonts w:ascii="Times New Roman" w:hAnsi="Times New Roman" w:cs="Times New Roman"/>
          <w:sz w:val="20"/>
          <w:szCs w:val="20"/>
        </w:rPr>
        <w:tab/>
        <w:t>McDonagh TA, Metra M, Adamo M, et al (2021) 2021 ESC Guidelines for the diagnosis and treatment of acute and chronic heart failure. Eur Heart J 42:3599–3726. https://doi.org/10.1093/eurheartj/ehab368</w:t>
      </w:r>
    </w:p>
    <w:p w14:paraId="19A3866A"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33. </w:t>
      </w:r>
      <w:r w:rsidRPr="000D391B">
        <w:rPr>
          <w:rFonts w:ascii="Times New Roman" w:hAnsi="Times New Roman" w:cs="Times New Roman"/>
          <w:sz w:val="20"/>
          <w:szCs w:val="20"/>
        </w:rPr>
        <w:tab/>
        <w:t>Yakatan GJ, Frome EL, Leonard RG, et al (1978) Bioavailability of acetazolamide tablets. J Pharm Sci 67:252–256. https://doi.org/10.1002/jps.2600670233</w:t>
      </w:r>
    </w:p>
    <w:p w14:paraId="31685CA3"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34. </w:t>
      </w:r>
      <w:r w:rsidRPr="000D391B">
        <w:rPr>
          <w:rFonts w:ascii="Times New Roman" w:hAnsi="Times New Roman" w:cs="Times New Roman"/>
          <w:sz w:val="20"/>
          <w:szCs w:val="20"/>
        </w:rPr>
        <w:tab/>
        <w:t>Addison JD, Peterson EJ, Meyenburg L (2023) Intravenous or Oral Acetazolamide for Treatment of Diuretic-Induced Alkalosis in Patients With Heart Failure. Ann Pharmacother 57:1241–1247. https://doi.org/10.1177/10600280231154603</w:t>
      </w:r>
    </w:p>
    <w:p w14:paraId="0BB6A1AD"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35. </w:t>
      </w:r>
      <w:r w:rsidRPr="000D391B">
        <w:rPr>
          <w:rFonts w:ascii="Times New Roman" w:hAnsi="Times New Roman" w:cs="Times New Roman"/>
          <w:sz w:val="20"/>
          <w:szCs w:val="20"/>
        </w:rPr>
        <w:tab/>
        <w:t>Van Gelder IC, Rienstra M, Bunting KV, et al (2024) 2024 ESC Guidelines for the management of atrial fibrillation developed in collaboration with the European Association for Cardio-Thoracic Surgery (EACTS). Eur Heart J 45:3314–3414. https://doi.org/10.1093/eurheartj/ehae176</w:t>
      </w:r>
    </w:p>
    <w:p w14:paraId="78650FC2"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36. </w:t>
      </w:r>
      <w:r w:rsidRPr="000D391B">
        <w:rPr>
          <w:rFonts w:ascii="Times New Roman" w:hAnsi="Times New Roman" w:cs="Times New Roman"/>
          <w:sz w:val="20"/>
          <w:szCs w:val="20"/>
        </w:rPr>
        <w:tab/>
        <w:t>Kaur H, Sarma P, Bhattacharyya A, et al (2023) Role of intravenous aspirin versus oral aspirin in the treatment of acute coronary syndrome: Answering a clinical query by systematic review and meta-analysis of randomized controlled trials. Indian J Pharmacol 55:133–137. https://doi.org/10.4103/ijp.ijp_1147_20</w:t>
      </w:r>
    </w:p>
    <w:p w14:paraId="581A823B"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37. </w:t>
      </w:r>
      <w:r w:rsidRPr="000D391B">
        <w:rPr>
          <w:rFonts w:ascii="Times New Roman" w:hAnsi="Times New Roman" w:cs="Times New Roman"/>
          <w:sz w:val="20"/>
          <w:szCs w:val="20"/>
        </w:rPr>
        <w:tab/>
        <w:t>Byrne RA, Rossello X, Coughlan JJ, et al (2023) 2023 ESC Guidelines for the management of acute coronary syndromes. Eur Heart J 44:3720–3826. https://doi.org/10.1093/eurheartj/ehad191</w:t>
      </w:r>
    </w:p>
    <w:p w14:paraId="0C02FBE9"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38. </w:t>
      </w:r>
      <w:r w:rsidRPr="000D391B">
        <w:rPr>
          <w:rFonts w:ascii="Times New Roman" w:hAnsi="Times New Roman" w:cs="Times New Roman"/>
          <w:sz w:val="20"/>
          <w:szCs w:val="20"/>
        </w:rPr>
        <w:tab/>
        <w:t>Rao SV, O’Donoghue ML, Ruel M, et al (2025) 2025 ACC/AHA/ACEP/NAEMSP/SCAI Guideline for the Management of Patients With Acute Coronary Syndromes: A Report of the American College of Cardiology/American Heart Association Joint Committee on Clinical Practice Guidelines. Circulation 151:e771–e862. https://doi.org/10.1161/CIR.0000000000001309</w:t>
      </w:r>
    </w:p>
    <w:p w14:paraId="6986D164"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39. </w:t>
      </w:r>
      <w:r w:rsidRPr="000D391B">
        <w:rPr>
          <w:rFonts w:ascii="Times New Roman" w:hAnsi="Times New Roman" w:cs="Times New Roman"/>
          <w:sz w:val="20"/>
          <w:szCs w:val="20"/>
        </w:rPr>
        <w:tab/>
        <w:t>Duchateau GS, Zuidema J, Merkus FW (1986) Bioavailability of propranolol after oral, sublingual, and intranasal administration. Pharm Res 3:108–111. https://doi.org/10.1023/A:1016345504153</w:t>
      </w:r>
    </w:p>
    <w:p w14:paraId="741BC88F"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40. </w:t>
      </w:r>
      <w:r w:rsidRPr="000D391B">
        <w:rPr>
          <w:rFonts w:ascii="Times New Roman" w:hAnsi="Times New Roman" w:cs="Times New Roman"/>
          <w:sz w:val="20"/>
          <w:szCs w:val="20"/>
        </w:rPr>
        <w:tab/>
        <w:t>Mcainsh J, Simpson WT, Holmes BF, et al (1980) Bioavailability of atenolol formulations. Biopharm Drug Dispos 1:323–332. https://doi.org/10.1002/bdd.2510010604</w:t>
      </w:r>
    </w:p>
    <w:p w14:paraId="68EA10FB"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41. </w:t>
      </w:r>
      <w:r w:rsidRPr="000D391B">
        <w:rPr>
          <w:rFonts w:ascii="Times New Roman" w:hAnsi="Times New Roman" w:cs="Times New Roman"/>
          <w:sz w:val="20"/>
          <w:szCs w:val="20"/>
        </w:rPr>
        <w:tab/>
        <w:t>de Jong YP, Uil SM, Grotjohan HP, et al (2007) Oral or IV Prednisolone in the Treatment of COPD Exacerbations. Chest 132:1741–1747. https://doi.org/10.1378/chest.07-0208</w:t>
      </w:r>
    </w:p>
    <w:p w14:paraId="769A50E9"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lastRenderedPageBreak/>
        <w:t xml:space="preserve">42. </w:t>
      </w:r>
      <w:r w:rsidRPr="000D391B">
        <w:rPr>
          <w:rFonts w:ascii="Times New Roman" w:hAnsi="Times New Roman" w:cs="Times New Roman"/>
          <w:sz w:val="20"/>
          <w:szCs w:val="20"/>
        </w:rPr>
        <w:tab/>
        <w:t>Jónsson S, Kjartansson G, Gíslason D, Helgason H (1988) Comparison of the oral and intravenous routes for treating asthma with methylprednisolone and theophylline. Chest 94:723–726. https://doi.org/10.1378/chest.94.4.723</w:t>
      </w:r>
    </w:p>
    <w:p w14:paraId="191EF1C9"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43. </w:t>
      </w:r>
      <w:r w:rsidRPr="000D391B">
        <w:rPr>
          <w:rFonts w:ascii="Times New Roman" w:hAnsi="Times New Roman" w:cs="Times New Roman"/>
          <w:sz w:val="20"/>
          <w:szCs w:val="20"/>
        </w:rPr>
        <w:tab/>
        <w:t>Le Page E, Veillard D, Laplaud DA, et al (2015) Oral versus intravenous high-dose methylprednisolone for treatment of relapses in patients with multiple sclerosis (COPOUSEP): a randomised, controlled, double-blind, non-inferiority trial. Lancet 386:974–981. https://doi.org/10.1016/S0140-6736(15)61137-0</w:t>
      </w:r>
    </w:p>
    <w:p w14:paraId="532E584D"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44. </w:t>
      </w:r>
      <w:r w:rsidRPr="000D391B">
        <w:rPr>
          <w:rFonts w:ascii="Times New Roman" w:hAnsi="Times New Roman" w:cs="Times New Roman"/>
          <w:sz w:val="20"/>
          <w:szCs w:val="20"/>
        </w:rPr>
        <w:tab/>
        <w:t>Bashir Q, Acosta M (2020) Comparative Safety, Bioavailability, and Pharmacokinetics of Oral Dexamethasone, 4-mg and 20-mg Tablets, in Healthy Volunteers Under Fasting and Fed Conditions: A Randomized Open-label, 3-way Crossover Study. Clin Lymphoma Myeloma Leuk 20:768–773. https://doi.org/10.1016/j.clml.2020.06.022</w:t>
      </w:r>
    </w:p>
    <w:p w14:paraId="33FE693A"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45. </w:t>
      </w:r>
      <w:r w:rsidRPr="000D391B">
        <w:rPr>
          <w:rFonts w:ascii="Times New Roman" w:hAnsi="Times New Roman" w:cs="Times New Roman"/>
          <w:sz w:val="20"/>
          <w:szCs w:val="20"/>
        </w:rPr>
        <w:tab/>
        <w:t>Johnson TN, Whitaker MJ, Keevil B, Ross RJ (2018) Bioavailability of Oral Hydrocortisone Corrected for Binding Proteins and Measured by LC-MS/MS Using Serum Cortisol and Salivary Cortisone. J Bioequivalence Bioavailab 10:001–003. https://doi.org/10.4172/jbb.1000365</w:t>
      </w:r>
    </w:p>
    <w:p w14:paraId="42179516"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46. </w:t>
      </w:r>
      <w:r w:rsidRPr="000D391B">
        <w:rPr>
          <w:rFonts w:ascii="Times New Roman" w:hAnsi="Times New Roman" w:cs="Times New Roman"/>
          <w:sz w:val="20"/>
          <w:szCs w:val="20"/>
        </w:rPr>
        <w:tab/>
        <w:t>Bullingham R, Monroe S, Nicholls A, Hale M (1996) Pharmacokinetics and bioavailability of mycophenolate mofetil in healthy subjects after single-dose oral and intravenous administration. J Clin Pharmacol 36:315–324. https://doi.org/10.1002/j.1552-4604.1996.tb04207.x</w:t>
      </w:r>
    </w:p>
    <w:p w14:paraId="1DBF3D9E"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47. </w:t>
      </w:r>
      <w:r w:rsidRPr="000D391B">
        <w:rPr>
          <w:rFonts w:ascii="Times New Roman" w:hAnsi="Times New Roman" w:cs="Times New Roman"/>
          <w:sz w:val="20"/>
          <w:szCs w:val="20"/>
        </w:rPr>
        <w:tab/>
        <w:t>Pescovitz MD, Conti D, Dunn J, et al (2000) Intravenous mycophenolate mofetil: safety, tolerability, and pharmacokinetics. Clin Transplant 14:179–188. https://doi.org/10.1034/j.1399-0012.2000.140301.x</w:t>
      </w:r>
    </w:p>
    <w:p w14:paraId="4CAB9AF5"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48. </w:t>
      </w:r>
      <w:r w:rsidRPr="000D391B">
        <w:rPr>
          <w:rFonts w:ascii="Times New Roman" w:hAnsi="Times New Roman" w:cs="Times New Roman"/>
          <w:sz w:val="20"/>
          <w:szCs w:val="20"/>
        </w:rPr>
        <w:tab/>
        <w:t>van Dommelen JEM, Grootjans H, Uijtendaal EV, et al (2024) Tacrolimus Variability and Clinical Outcomes in the Early Post-lung Transplantation Period: Oral Versus Continuous Intravenous Administration. Clin Pharmacokinet 63:683–693. https://doi.org/10.1007/s40262-024-01368-1</w:t>
      </w:r>
    </w:p>
    <w:p w14:paraId="6E648A8F"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49. </w:t>
      </w:r>
      <w:r w:rsidRPr="000D391B">
        <w:rPr>
          <w:rFonts w:ascii="Times New Roman" w:hAnsi="Times New Roman" w:cs="Times New Roman"/>
          <w:sz w:val="20"/>
          <w:szCs w:val="20"/>
        </w:rPr>
        <w:tab/>
        <w:t>Dinh A, Duran C, Ropers J, et al (2024) Exclusive oral antibiotic treatment for hospitalized community-acquired pneumonia: a post-hoc analysis of a randomized clinical trial. Clin Microbiol Infect 30:1020–1028. https://doi.org/10.1016/j.cmi.2024.05.003</w:t>
      </w:r>
    </w:p>
    <w:p w14:paraId="22247CD2"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50. </w:t>
      </w:r>
      <w:r w:rsidRPr="000D391B">
        <w:rPr>
          <w:rFonts w:ascii="Times New Roman" w:hAnsi="Times New Roman" w:cs="Times New Roman"/>
          <w:sz w:val="20"/>
          <w:szCs w:val="20"/>
        </w:rPr>
        <w:tab/>
        <w:t>Oliveira D dos S, da Rocha JV, Gasparetto J, et al (2025) Enteral versus intravenous antibiotics for critically ill patients: A pilot study. The Brazilian Journal of Infectious Diseases 29:104538. https://doi.org/10.1016/j.bjid.2025.104538</w:t>
      </w:r>
    </w:p>
    <w:p w14:paraId="6CD55B47"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51. </w:t>
      </w:r>
      <w:r w:rsidRPr="000D391B">
        <w:rPr>
          <w:rFonts w:ascii="Times New Roman" w:hAnsi="Times New Roman" w:cs="Times New Roman"/>
          <w:sz w:val="20"/>
          <w:szCs w:val="20"/>
        </w:rPr>
        <w:tab/>
        <w:t>Veeraraghavan B, Bakthavatchalam YD, Sahni RD (2021) Orally Administered Amoxicillin/Clavulanate: Current Role in Outpatient Therapy. Infect Dis Ther 10:15–25. https://doi.org/10.1007/s40121-020-00374-7</w:t>
      </w:r>
    </w:p>
    <w:p w14:paraId="501BAE93"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52. </w:t>
      </w:r>
      <w:r w:rsidRPr="000D391B">
        <w:rPr>
          <w:rFonts w:ascii="Times New Roman" w:hAnsi="Times New Roman" w:cs="Times New Roman"/>
          <w:sz w:val="20"/>
          <w:szCs w:val="20"/>
        </w:rPr>
        <w:tab/>
        <w:t>Chin TW, Vandenbroucke A, Fong IW (1995) Pharmacokinetics of trimethoprim-sulfamethoxazole in critically ill and non-critically ill AIDS patients. Antimicrob Agents Chemother 39:28–33. https://doi.org/10.1128/AAC.39.1.28</w:t>
      </w:r>
    </w:p>
    <w:p w14:paraId="510519F0"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53. </w:t>
      </w:r>
      <w:r w:rsidRPr="000D391B">
        <w:rPr>
          <w:rFonts w:ascii="Times New Roman" w:hAnsi="Times New Roman" w:cs="Times New Roman"/>
          <w:sz w:val="20"/>
          <w:szCs w:val="20"/>
        </w:rPr>
        <w:tab/>
        <w:t>Brown GR (2014) Cotrimoxazole - optimal dosing in the critically ill. Ann Intensive Care 4:13. https://doi.org/10.1186/2110-5820-4-13</w:t>
      </w:r>
    </w:p>
    <w:p w14:paraId="4BC0F28A"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54. </w:t>
      </w:r>
      <w:r w:rsidRPr="000D391B">
        <w:rPr>
          <w:rFonts w:ascii="Times New Roman" w:hAnsi="Times New Roman" w:cs="Times New Roman"/>
          <w:sz w:val="20"/>
          <w:szCs w:val="20"/>
        </w:rPr>
        <w:tab/>
        <w:t>Debon R, Breilh D, Boselli E, et al (2002) Pharmacokinetic parameters of ciprofloxacin (500 mg/5 mL) oral suspension in critically ill patients with severe bacterial pneumonia: a comparison of two dosages. J Chemother 14:175–180. https://doi.org/10.1179/joc.2002.14.2.175</w:t>
      </w:r>
    </w:p>
    <w:p w14:paraId="4425769E"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lastRenderedPageBreak/>
        <w:t xml:space="preserve">55. </w:t>
      </w:r>
      <w:r w:rsidRPr="000D391B">
        <w:rPr>
          <w:rFonts w:ascii="Times New Roman" w:hAnsi="Times New Roman" w:cs="Times New Roman"/>
          <w:sz w:val="20"/>
          <w:szCs w:val="20"/>
        </w:rPr>
        <w:tab/>
        <w:t>Liu Y, Liu T, Xiao K, et al (2024) Effects of Oral Versus Intravenous Linezolid Administration on Treatment Effect and Incidence of Thrombocytopenia in Patients with Severe Infection. Intensive Care Res 4:171–179. https://doi.org/10.1007/s44231-024-00071-w</w:t>
      </w:r>
    </w:p>
    <w:p w14:paraId="6C44671C"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56. </w:t>
      </w:r>
      <w:r w:rsidRPr="000D391B">
        <w:rPr>
          <w:rFonts w:ascii="Times New Roman" w:hAnsi="Times New Roman" w:cs="Times New Roman"/>
          <w:sz w:val="20"/>
          <w:szCs w:val="20"/>
        </w:rPr>
        <w:tab/>
        <w:t>Hopkins AM, Wojciechowski J, Abuhelwa AY, et al (2017) Population Pharmacokinetic Model of Doxycycline Plasma Concentrations Using Pooled Study Data. Antimicrob Agents Chemother 61:e02401-16. https://doi.org/10.1128/AAC.02401-16</w:t>
      </w:r>
    </w:p>
    <w:p w14:paraId="1734839A"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57. </w:t>
      </w:r>
      <w:r w:rsidRPr="000D391B">
        <w:rPr>
          <w:rFonts w:ascii="Times New Roman" w:hAnsi="Times New Roman" w:cs="Times New Roman"/>
          <w:sz w:val="20"/>
          <w:szCs w:val="20"/>
        </w:rPr>
        <w:tab/>
        <w:t>Kortela E, Kanerva MJ, Puustinen J, et al (2021) Oral Doxycycline Compared to Intravenous Ceftriaxone in the Treatment of Lyme Neuroborreliosis: A Multicenter, Equivalence, Randomized, Open-label Trial. Clin Infect Dis 72:1323–1331. https://doi.org/10.1093/cid/ciaa217</w:t>
      </w:r>
    </w:p>
    <w:p w14:paraId="54A96A1C"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58. </w:t>
      </w:r>
      <w:r w:rsidRPr="000D391B">
        <w:rPr>
          <w:rFonts w:ascii="Times New Roman" w:hAnsi="Times New Roman" w:cs="Times New Roman"/>
          <w:sz w:val="20"/>
          <w:szCs w:val="20"/>
        </w:rPr>
        <w:tab/>
        <w:t>Koegelenberg CFN, Nortje A, Lalla U, et al (2013) The pharmacokinetics of enteral antituberculosis drugs in patients requiring intensive care. S Afr Med J 103:394–398. https://doi.org/10.7196/samj.6344</w:t>
      </w:r>
    </w:p>
    <w:p w14:paraId="025892BC"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59. </w:t>
      </w:r>
      <w:r w:rsidRPr="000D391B">
        <w:rPr>
          <w:rFonts w:ascii="Times New Roman" w:hAnsi="Times New Roman" w:cs="Times New Roman"/>
          <w:sz w:val="20"/>
          <w:szCs w:val="20"/>
        </w:rPr>
        <w:tab/>
        <w:t>Beraldi-Magalhaes F, Parker SL, Sanches C, et al (2023) Is the Pharmacokinetics of First-Line Anti-TB Drugs a Cause of High Mortality Rates in TB Patients Admitted to the ICU? A Non-Compartmental Pharmacokinetic Analysis. Trop Med Infect Dis 8:312. https://doi.org/10.3390/tropicalmed8060312</w:t>
      </w:r>
    </w:p>
    <w:p w14:paraId="1B01F29E"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60. </w:t>
      </w:r>
      <w:r w:rsidRPr="000D391B">
        <w:rPr>
          <w:rFonts w:ascii="Times New Roman" w:hAnsi="Times New Roman" w:cs="Times New Roman"/>
          <w:sz w:val="20"/>
          <w:szCs w:val="20"/>
        </w:rPr>
        <w:tab/>
        <w:t>Zwolska Z, Augustynowicz-Kopeć E, Niemirowska-Mikulska H (2002) The pharmacokinetic factors and bioavailability of rifampicin, isoniazid and pyrazinamid fixed in one dose capsule. Acta Pol Pharm 59:448–452</w:t>
      </w:r>
    </w:p>
    <w:p w14:paraId="34C55358"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61. </w:t>
      </w:r>
      <w:r w:rsidRPr="000D391B">
        <w:rPr>
          <w:rFonts w:ascii="Times New Roman" w:hAnsi="Times New Roman" w:cs="Times New Roman"/>
          <w:sz w:val="20"/>
          <w:szCs w:val="20"/>
        </w:rPr>
        <w:tab/>
        <w:t>Cornely OA, Sprute R, Bassetti M, et al (2025) Global guideline for the diagnosis and management of candidiasis: an initiative of the ECMM in cooperation with ISHAM and ASM. Lancet Infect Dis 25:e280–e293. https://doi.org/10.1016/S1473-3099(24)00749-7</w:t>
      </w:r>
    </w:p>
    <w:p w14:paraId="111B2D70"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62. </w:t>
      </w:r>
      <w:r w:rsidRPr="000D391B">
        <w:rPr>
          <w:rFonts w:ascii="Times New Roman" w:hAnsi="Times New Roman" w:cs="Times New Roman"/>
          <w:sz w:val="20"/>
          <w:szCs w:val="20"/>
        </w:rPr>
        <w:tab/>
        <w:t>Chen L, Krekels EHJ, Heijnen AR, et al (2023) An Integrated Population Pharmacokinetic Analysis for Posaconazole Oral Suspension, Delayed-Release Tablet, and Intravenous Infusion in Healthy Volunteers. Drugs 83:75–86. https://doi.org/10.1007/s40265-022-01819-8</w:t>
      </w:r>
    </w:p>
    <w:p w14:paraId="5AAAECB0"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63. </w:t>
      </w:r>
      <w:r w:rsidRPr="000D391B">
        <w:rPr>
          <w:rFonts w:ascii="Times New Roman" w:hAnsi="Times New Roman" w:cs="Times New Roman"/>
          <w:sz w:val="20"/>
          <w:szCs w:val="20"/>
        </w:rPr>
        <w:tab/>
        <w:t>Ray J, Campbell L, Rudham S, et al (2011) Posaconazole plasma concentrations in critically ill patients. Ther Drug Monit 33:387–392. https://doi.org/10.1097/FTD.0b013e31821fb197</w:t>
      </w:r>
    </w:p>
    <w:p w14:paraId="6A471552"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64. </w:t>
      </w:r>
      <w:r w:rsidRPr="000D391B">
        <w:rPr>
          <w:rFonts w:ascii="Times New Roman" w:hAnsi="Times New Roman" w:cs="Times New Roman"/>
          <w:sz w:val="20"/>
          <w:szCs w:val="20"/>
        </w:rPr>
        <w:tab/>
        <w:t>König C, Göpfert M, Kluge S, Wichmann D (2023) Posaconazole exposure in critically ill ICU patients: a need for action. Infection 51:1767–1772. https://doi.org/10.1007/s15010-023-02078-9</w:t>
      </w:r>
    </w:p>
    <w:p w14:paraId="4409CE85"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65. </w:t>
      </w:r>
      <w:r w:rsidRPr="000D391B">
        <w:rPr>
          <w:rFonts w:ascii="Times New Roman" w:hAnsi="Times New Roman" w:cs="Times New Roman"/>
          <w:sz w:val="20"/>
          <w:szCs w:val="20"/>
        </w:rPr>
        <w:tab/>
        <w:t>Roberts JA, Sime FB, Lipman J, et al (2025) Are contemporary antifungal doses sufficient for critically ill patients? Outcomes from an international, multicenter pharmacokinetics study for Screening Antifungal Exposure in Intensive Care Units-the SAFE-ICU study. Intensive Care Med 51:302–317. https://doi.org/10.1007/s00134-025-07793-5</w:t>
      </w:r>
    </w:p>
    <w:p w14:paraId="47449517"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66. </w:t>
      </w:r>
      <w:r w:rsidRPr="000D391B">
        <w:rPr>
          <w:rFonts w:ascii="Times New Roman" w:hAnsi="Times New Roman" w:cs="Times New Roman"/>
          <w:sz w:val="20"/>
          <w:szCs w:val="20"/>
        </w:rPr>
        <w:tab/>
        <w:t>Coste A, Aubron C, Ansart S, et al (2025) Factors affecting voriconazole pharmacokinetic variability in critically ill patients: a systematic review. Crit Care 29:536. https://doi.org/10.1186/s13054-025-05697-w</w:t>
      </w:r>
    </w:p>
    <w:p w14:paraId="2D1865DA"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lastRenderedPageBreak/>
        <w:t xml:space="preserve">67. </w:t>
      </w:r>
      <w:r w:rsidRPr="000D391B">
        <w:rPr>
          <w:rFonts w:ascii="Times New Roman" w:hAnsi="Times New Roman" w:cs="Times New Roman"/>
          <w:sz w:val="20"/>
          <w:szCs w:val="20"/>
        </w:rPr>
        <w:tab/>
        <w:t>Jansen AME, Mertens B, Spriet I, et al (2023) Population Pharmacokinetics of Total and Unbound Isavuconazole in Critically Ill Patients: Implications for Adaptive Dosing Strategies. Clin Pharmacokinet 62:1701–1711. https://doi.org/10.1007/s40262-023-01305-8</w:t>
      </w:r>
    </w:p>
    <w:p w14:paraId="1C083583"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68. </w:t>
      </w:r>
      <w:r w:rsidRPr="000D391B">
        <w:rPr>
          <w:rFonts w:ascii="Times New Roman" w:hAnsi="Times New Roman" w:cs="Times New Roman"/>
          <w:sz w:val="20"/>
          <w:szCs w:val="20"/>
        </w:rPr>
        <w:tab/>
        <w:t>Rabault C, Bailly S, Thy M, et al (2025) Suboptimal concentrations of isavuconazole in critically ill patients treated for mold infections: a population pharmacokinetic analysis. Expert Opin Drug Metab Toxicol 21:1125–1130. https://doi.org/10.1080/17425255.2025.2545920</w:t>
      </w:r>
    </w:p>
    <w:p w14:paraId="01F9A9DA"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69. </w:t>
      </w:r>
      <w:r w:rsidRPr="000D391B">
        <w:rPr>
          <w:rFonts w:ascii="Times New Roman" w:hAnsi="Times New Roman" w:cs="Times New Roman"/>
          <w:sz w:val="20"/>
          <w:szCs w:val="20"/>
        </w:rPr>
        <w:tab/>
        <w:t>Coimbra J, Puntes M, Molina P, et al (2024) Comparative inhibition by oral bilastine, parenteral dexchlorpheniramine, and a new bilastine parenteral (i.v. and i.m.) formulation of histamine-induced wheal and flare response: A randomised phase I trial. Eur J Pharm Sci 203:106900. https://doi.org/10.1016/j.ejps.2024.106900</w:t>
      </w:r>
    </w:p>
    <w:p w14:paraId="61F5B9B4"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70. </w:t>
      </w:r>
      <w:r w:rsidRPr="000D391B">
        <w:rPr>
          <w:rFonts w:ascii="Times New Roman" w:hAnsi="Times New Roman" w:cs="Times New Roman"/>
          <w:sz w:val="20"/>
          <w:szCs w:val="20"/>
        </w:rPr>
        <w:tab/>
        <w:t>Pechadre JC, Beudin P, Eschalier A, et al (1991) A comparison of central and peripheral effects of cetirizine and loratadine. J Int Med Res 19:289–295. https://doi.org/10.1177/030006059101900401</w:t>
      </w:r>
    </w:p>
    <w:p w14:paraId="2AE2205C"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71. </w:t>
      </w:r>
      <w:r w:rsidRPr="000D391B">
        <w:rPr>
          <w:rFonts w:ascii="Times New Roman" w:hAnsi="Times New Roman" w:cs="Times New Roman"/>
          <w:sz w:val="20"/>
          <w:szCs w:val="20"/>
        </w:rPr>
        <w:tab/>
        <w:t>LAM KSL, WAT MS, CHOI KL, et al (1996) Pharmacokinetics, pharmacodynamics, long-term efficacy and safety of oral 1-deamino-8-d-arginine vasopressin in adult patients with central diabetes insipidus. Br J Clin Pharmacol 42:379–385. https://doi.org/10.1046/j.1365-2125.1996.39914.x</w:t>
      </w:r>
    </w:p>
    <w:p w14:paraId="40003E77"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72. </w:t>
      </w:r>
      <w:r w:rsidRPr="000D391B">
        <w:rPr>
          <w:rFonts w:ascii="Times New Roman" w:hAnsi="Times New Roman" w:cs="Times New Roman"/>
          <w:sz w:val="20"/>
          <w:szCs w:val="20"/>
        </w:rPr>
        <w:tab/>
        <w:t>Zheng L, Cai Z, Shao L, et al (2025) Route-specific effects of desmopressin on bleeding and hyponatremia after kidney biopsy: meta-analysis of intranasal vs. intravenous administration. Front Nephrol 5:1645418. https://doi.org/10.3389/fneph.2025.1645418</w:t>
      </w:r>
    </w:p>
    <w:p w14:paraId="64693B49"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73. </w:t>
      </w:r>
      <w:r w:rsidRPr="000D391B">
        <w:rPr>
          <w:rFonts w:ascii="Times New Roman" w:hAnsi="Times New Roman" w:cs="Times New Roman"/>
          <w:sz w:val="20"/>
          <w:szCs w:val="20"/>
        </w:rPr>
        <w:tab/>
        <w:t>McCormick MC, Siripong N, Cooper JD (2018) Desmopressin stimulation testing: Response to intravenous and intranasal forms. Haemophilia 24:e194–e198. https://doi.org/10.1111/hae.13452</w:t>
      </w:r>
    </w:p>
    <w:p w14:paraId="34145A7A"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74. </w:t>
      </w:r>
      <w:r w:rsidRPr="000D391B">
        <w:rPr>
          <w:rFonts w:ascii="Times New Roman" w:hAnsi="Times New Roman" w:cs="Times New Roman"/>
          <w:sz w:val="20"/>
          <w:szCs w:val="20"/>
        </w:rPr>
        <w:tab/>
        <w:t>Maggiore U, Picetti E, Antonucci E, et al (2009) The relation between the incidence of hypernatremia and mortality in patients with severe traumatic brain injury. Crit Care 13:R110. https://doi.org/10.1186/cc7953</w:t>
      </w:r>
    </w:p>
    <w:p w14:paraId="0BDFD6EF"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75. </w:t>
      </w:r>
      <w:r w:rsidRPr="000D391B">
        <w:rPr>
          <w:rFonts w:ascii="Times New Roman" w:hAnsi="Times New Roman" w:cs="Times New Roman"/>
          <w:sz w:val="20"/>
          <w:szCs w:val="20"/>
        </w:rPr>
        <w:tab/>
        <w:t>Manzanares W, Hardy G (2011) Thiamine supplementation in the critically ill. Curr Opin Clin Nutr Metab Care 14:610–617. https://doi.org/10.1097/MCO.0b013e32834b8911</w:t>
      </w:r>
    </w:p>
    <w:p w14:paraId="254555C9"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76. </w:t>
      </w:r>
      <w:r w:rsidRPr="000D391B">
        <w:rPr>
          <w:rFonts w:ascii="Times New Roman" w:hAnsi="Times New Roman" w:cs="Times New Roman"/>
          <w:sz w:val="20"/>
          <w:szCs w:val="20"/>
        </w:rPr>
        <w:tab/>
        <w:t>Greb A, Bitsch R (1998) Comparative bioavailability of various thiamine derivatives after oral administration. Int J Clin Pharmacol Ther 36:216–221</w:t>
      </w:r>
    </w:p>
    <w:p w14:paraId="6FF8B404"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77. </w:t>
      </w:r>
      <w:r w:rsidRPr="000D391B">
        <w:rPr>
          <w:rFonts w:ascii="Times New Roman" w:hAnsi="Times New Roman" w:cs="Times New Roman"/>
          <w:sz w:val="20"/>
          <w:szCs w:val="20"/>
        </w:rPr>
        <w:tab/>
        <w:t>Stach K, Stach W, Augoff K (2021) Vitamin B6 in Health and Disease. Nutrients 13:3229. https://doi.org/10.3390/nu13093229</w:t>
      </w:r>
    </w:p>
    <w:p w14:paraId="331EFFE8"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78. </w:t>
      </w:r>
      <w:r w:rsidRPr="000D391B">
        <w:rPr>
          <w:rFonts w:ascii="Times New Roman" w:hAnsi="Times New Roman" w:cs="Times New Roman"/>
          <w:sz w:val="20"/>
          <w:szCs w:val="20"/>
        </w:rPr>
        <w:tab/>
        <w:t>Sugandhi VV, Pangeni R, Vora LK, et al (2023) Pharmacokinetics of vitamin dosage forms: A complete overview. Food Sci Nutr 12:48–83. https://doi.org/10.1002/fsn3.3787</w:t>
      </w:r>
    </w:p>
    <w:p w14:paraId="474C23E6"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79. </w:t>
      </w:r>
      <w:r w:rsidRPr="000D391B">
        <w:rPr>
          <w:rFonts w:ascii="Times New Roman" w:hAnsi="Times New Roman" w:cs="Times New Roman"/>
          <w:sz w:val="20"/>
          <w:szCs w:val="20"/>
        </w:rPr>
        <w:tab/>
        <w:t>Berger MM, Shenkin A, Dizdar OS, et al (2024) ESPEN practical short micronutrient guideline. Clinical Nutrition 43:825–857. https://doi.org/10.1016/j.clnu.2024.01.030</w:t>
      </w:r>
    </w:p>
    <w:p w14:paraId="4F0A065F"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80. </w:t>
      </w:r>
      <w:r w:rsidRPr="000D391B">
        <w:rPr>
          <w:rFonts w:ascii="Times New Roman" w:hAnsi="Times New Roman" w:cs="Times New Roman"/>
          <w:sz w:val="20"/>
          <w:szCs w:val="20"/>
        </w:rPr>
        <w:tab/>
        <w:t>Palmer BF (2015) Regulation of Potassium Homeostasis. Clin J Am Soc Nephrol 10:1050–1060. https://doi.org/10.2215/CJN.08580813</w:t>
      </w:r>
    </w:p>
    <w:p w14:paraId="4EA33FDB"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lastRenderedPageBreak/>
        <w:t xml:space="preserve">81. </w:t>
      </w:r>
      <w:r w:rsidRPr="000D391B">
        <w:rPr>
          <w:rFonts w:ascii="Times New Roman" w:hAnsi="Times New Roman" w:cs="Times New Roman"/>
          <w:sz w:val="20"/>
          <w:szCs w:val="20"/>
        </w:rPr>
        <w:tab/>
        <w:t>Li X, Qu M, Li H, Li T (2025) Plasma pharmacokinetics of the combination of potassium chloride extended-release tablets and potassium citrate granules in patients with cardiovascular emergencies. Front Cardiovasc Med 12:1636090. https://doi.org/10.3389/fcvm.2025.1636090</w:t>
      </w:r>
    </w:p>
    <w:p w14:paraId="67D58A20"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82. </w:t>
      </w:r>
      <w:r w:rsidRPr="000D391B">
        <w:rPr>
          <w:rFonts w:ascii="Times New Roman" w:hAnsi="Times New Roman" w:cs="Times New Roman"/>
          <w:sz w:val="20"/>
          <w:szCs w:val="20"/>
        </w:rPr>
        <w:tab/>
        <w:t>DeCarolis DD, Kim GM, Rector TS, Ishani A (2016) Comparative dose response using the intravenous versus enteral route of administration for potassium replenishment. Intensive Crit Care Nurs 36:17–23. https://doi.org/10.1016/j.iccn.2015.08.005</w:t>
      </w:r>
    </w:p>
    <w:p w14:paraId="0620D81A"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83. </w:t>
      </w:r>
      <w:r w:rsidRPr="000D391B">
        <w:rPr>
          <w:rFonts w:ascii="Times New Roman" w:hAnsi="Times New Roman" w:cs="Times New Roman"/>
          <w:sz w:val="20"/>
          <w:szCs w:val="20"/>
        </w:rPr>
        <w:tab/>
        <w:t>Geerse DA, Bindels AJ, Kuiper MA, et al (2010) Treatment of hypophosphatemia in the intensive care unit: a review. Crit Care 14:R147. https://doi.org/10.1186/cc9215</w:t>
      </w:r>
    </w:p>
    <w:p w14:paraId="350F1531"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84. </w:t>
      </w:r>
      <w:r w:rsidRPr="000D391B">
        <w:rPr>
          <w:rFonts w:ascii="Times New Roman" w:hAnsi="Times New Roman" w:cs="Times New Roman"/>
          <w:sz w:val="20"/>
          <w:szCs w:val="20"/>
        </w:rPr>
        <w:tab/>
        <w:t>Kraft MD, Btaiche IF, Sacks GS, Kudsk KA (2005) Treatment of electrolyte disorders in adult patients in the intensive care unit. Am J Health Syst Pharm 62:1663–1682. https://doi.org/10.2146/ajhp040300</w:t>
      </w:r>
    </w:p>
    <w:p w14:paraId="1EACD809" w14:textId="77777777" w:rsidR="000D4354" w:rsidRPr="000D391B" w:rsidRDefault="000D4354" w:rsidP="000D4354">
      <w:pPr>
        <w:pStyle w:val="Bibliographie"/>
        <w:rPr>
          <w:rFonts w:ascii="Times New Roman" w:hAnsi="Times New Roman" w:cs="Times New Roman"/>
          <w:sz w:val="20"/>
          <w:szCs w:val="20"/>
        </w:rPr>
      </w:pPr>
      <w:r w:rsidRPr="000D391B">
        <w:rPr>
          <w:rFonts w:ascii="Times New Roman" w:hAnsi="Times New Roman" w:cs="Times New Roman"/>
          <w:sz w:val="20"/>
          <w:szCs w:val="20"/>
        </w:rPr>
        <w:t xml:space="preserve">85. </w:t>
      </w:r>
      <w:r w:rsidRPr="000D391B">
        <w:rPr>
          <w:rFonts w:ascii="Times New Roman" w:hAnsi="Times New Roman" w:cs="Times New Roman"/>
          <w:sz w:val="20"/>
          <w:szCs w:val="20"/>
        </w:rPr>
        <w:tab/>
        <w:t>Nguyen CD, Panganiban HP, Fazio T, et al (2024) A Randomized Noninferiority Trial to Compare Enteral to Parenteral Phosphate Replacement on Biochemistry, Waste, and Environmental Impact and Healthcare Cost in Critically Ill Patients With Mild to Moderate Hypophosphatemia. Crit Care Med 52:1054–1064. https://doi.org/10.1097/CCM.0000000000006255</w:t>
      </w:r>
    </w:p>
    <w:p w14:paraId="67E8A5F0" w14:textId="77777777" w:rsidR="000D4354" w:rsidRPr="000D391B" w:rsidRDefault="000D4354" w:rsidP="000D4354">
      <w:pPr>
        <w:pStyle w:val="Bibliographie"/>
        <w:rPr>
          <w:rFonts w:ascii="Times New Roman" w:hAnsi="Times New Roman" w:cs="Times New Roman"/>
          <w:sz w:val="20"/>
          <w:szCs w:val="20"/>
          <w:lang w:val="fr-FR"/>
        </w:rPr>
      </w:pPr>
      <w:r w:rsidRPr="000D391B">
        <w:rPr>
          <w:rFonts w:ascii="Times New Roman" w:hAnsi="Times New Roman" w:cs="Times New Roman"/>
          <w:sz w:val="20"/>
          <w:szCs w:val="20"/>
        </w:rPr>
        <w:t xml:space="preserve">86. </w:t>
      </w:r>
      <w:r w:rsidRPr="000D391B">
        <w:rPr>
          <w:rFonts w:ascii="Times New Roman" w:hAnsi="Times New Roman" w:cs="Times New Roman"/>
          <w:sz w:val="20"/>
          <w:szCs w:val="20"/>
        </w:rPr>
        <w:tab/>
        <w:t xml:space="preserve">Bushinsky DA, Monk RD (1998) Electrolyte quintet: Calcium. </w:t>
      </w:r>
      <w:r w:rsidRPr="000D391B">
        <w:rPr>
          <w:rFonts w:ascii="Times New Roman" w:hAnsi="Times New Roman" w:cs="Times New Roman"/>
          <w:sz w:val="20"/>
          <w:szCs w:val="20"/>
          <w:lang w:val="fr-FR"/>
        </w:rPr>
        <w:t>Lancet 352:306–311. https://doi.org/10.1016/s0140-6736(97)12331-5</w:t>
      </w:r>
    </w:p>
    <w:p w14:paraId="6332CBC4" w14:textId="77777777" w:rsidR="000D4354" w:rsidRPr="000D391B" w:rsidRDefault="000D4354" w:rsidP="000D4354">
      <w:pPr>
        <w:pStyle w:val="Bibliographie"/>
        <w:rPr>
          <w:rFonts w:ascii="Times New Roman" w:hAnsi="Times New Roman" w:cs="Times New Roman"/>
          <w:sz w:val="20"/>
          <w:szCs w:val="20"/>
          <w:lang w:val="fr-FR"/>
        </w:rPr>
      </w:pPr>
      <w:r w:rsidRPr="000D391B">
        <w:rPr>
          <w:rFonts w:ascii="Times New Roman" w:hAnsi="Times New Roman" w:cs="Times New Roman"/>
          <w:sz w:val="20"/>
          <w:szCs w:val="20"/>
        </w:rPr>
        <w:t xml:space="preserve">87. </w:t>
      </w:r>
      <w:r w:rsidRPr="000D391B">
        <w:rPr>
          <w:rFonts w:ascii="Times New Roman" w:hAnsi="Times New Roman" w:cs="Times New Roman"/>
          <w:sz w:val="20"/>
          <w:szCs w:val="20"/>
        </w:rPr>
        <w:tab/>
        <w:t xml:space="preserve">Wang H, Bua P, Capodice J (2014) A comparative study of calcium absorption following a single serving administration of calcium carbonate powder versus calcium citrate tablets in healthy premenopausal women. </w:t>
      </w:r>
      <w:r w:rsidRPr="000D391B">
        <w:rPr>
          <w:rFonts w:ascii="Times New Roman" w:hAnsi="Times New Roman" w:cs="Times New Roman"/>
          <w:sz w:val="20"/>
          <w:szCs w:val="20"/>
          <w:lang w:val="fr-FR"/>
        </w:rPr>
        <w:t>Food Nutr Res 58:. https://doi.org/10.3402/fnr.v58.23229</w:t>
      </w:r>
    </w:p>
    <w:p w14:paraId="597DCEDF" w14:textId="2EC00767" w:rsidR="008265CD" w:rsidRDefault="000D4354" w:rsidP="000D4354">
      <w:pPr>
        <w:rPr>
          <w:rFonts w:ascii="Times New Roman" w:hAnsi="Times New Roman" w:cs="Times New Roman"/>
          <w:b/>
          <w:bCs/>
          <w:sz w:val="18"/>
          <w:szCs w:val="18"/>
        </w:rPr>
      </w:pPr>
      <w:r w:rsidRPr="000D391B">
        <w:rPr>
          <w:rFonts w:ascii="Times New Roman" w:hAnsi="Times New Roman" w:cs="Times New Roman"/>
          <w:b/>
          <w:bCs/>
          <w:sz w:val="20"/>
          <w:szCs w:val="20"/>
        </w:rPr>
        <w:fldChar w:fldCharType="end"/>
      </w:r>
    </w:p>
    <w:p w14:paraId="33916519" w14:textId="77777777" w:rsidR="008265CD" w:rsidRDefault="008265CD" w:rsidP="009045DF">
      <w:pPr>
        <w:rPr>
          <w:rFonts w:ascii="Times New Roman" w:hAnsi="Times New Roman" w:cs="Times New Roman"/>
          <w:b/>
          <w:bCs/>
          <w:sz w:val="18"/>
          <w:szCs w:val="18"/>
        </w:rPr>
      </w:pPr>
    </w:p>
    <w:p w14:paraId="126D435B" w14:textId="77777777" w:rsidR="008265CD" w:rsidRDefault="008265CD" w:rsidP="009045DF">
      <w:pPr>
        <w:rPr>
          <w:rFonts w:ascii="Times New Roman" w:hAnsi="Times New Roman" w:cs="Times New Roman"/>
          <w:b/>
          <w:bCs/>
          <w:sz w:val="18"/>
          <w:szCs w:val="18"/>
        </w:rPr>
      </w:pPr>
    </w:p>
    <w:p w14:paraId="7BA03379" w14:textId="77777777" w:rsidR="008265CD" w:rsidRDefault="008265CD" w:rsidP="009045DF">
      <w:pPr>
        <w:rPr>
          <w:rFonts w:ascii="Times New Roman" w:hAnsi="Times New Roman" w:cs="Times New Roman"/>
          <w:b/>
          <w:bCs/>
          <w:sz w:val="18"/>
          <w:szCs w:val="18"/>
        </w:rPr>
      </w:pPr>
    </w:p>
    <w:p w14:paraId="76FD25BA" w14:textId="77777777" w:rsidR="008265CD" w:rsidRDefault="008265CD" w:rsidP="009045DF">
      <w:pPr>
        <w:rPr>
          <w:rFonts w:ascii="Times New Roman" w:hAnsi="Times New Roman" w:cs="Times New Roman"/>
          <w:b/>
          <w:bCs/>
          <w:sz w:val="18"/>
          <w:szCs w:val="18"/>
        </w:rPr>
      </w:pPr>
    </w:p>
    <w:p w14:paraId="771A84F6" w14:textId="778B1FC4" w:rsidR="002B094F" w:rsidRPr="00135E13" w:rsidRDefault="002B094F" w:rsidP="008265CD">
      <w:pPr>
        <w:pStyle w:val="Bibliographie"/>
      </w:pPr>
    </w:p>
    <w:sectPr w:rsidR="002B094F" w:rsidRPr="00135E13" w:rsidSect="00712F1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B50D9" w14:textId="77777777" w:rsidR="007D7861" w:rsidRDefault="007D7861" w:rsidP="000132D9">
      <w:pPr>
        <w:spacing w:after="0" w:line="240" w:lineRule="auto"/>
      </w:pPr>
      <w:r>
        <w:separator/>
      </w:r>
    </w:p>
  </w:endnote>
  <w:endnote w:type="continuationSeparator" w:id="0">
    <w:p w14:paraId="751EAC54" w14:textId="77777777" w:rsidR="007D7861" w:rsidRDefault="007D7861" w:rsidP="00013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CFD63" w14:textId="77777777" w:rsidR="007D7861" w:rsidRDefault="007D7861" w:rsidP="000132D9">
      <w:pPr>
        <w:spacing w:after="0" w:line="240" w:lineRule="auto"/>
      </w:pPr>
      <w:r>
        <w:separator/>
      </w:r>
    </w:p>
  </w:footnote>
  <w:footnote w:type="continuationSeparator" w:id="0">
    <w:p w14:paraId="48ED175E" w14:textId="77777777" w:rsidR="007D7861" w:rsidRDefault="007D7861" w:rsidP="000132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C37B20"/>
    <w:multiLevelType w:val="multilevel"/>
    <w:tmpl w:val="B10CB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8833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F12"/>
    <w:rsid w:val="000132D9"/>
    <w:rsid w:val="0001508D"/>
    <w:rsid w:val="000823DD"/>
    <w:rsid w:val="000936D4"/>
    <w:rsid w:val="00096037"/>
    <w:rsid w:val="000B426F"/>
    <w:rsid w:val="000D1312"/>
    <w:rsid w:val="000D4354"/>
    <w:rsid w:val="000D4630"/>
    <w:rsid w:val="000D69D1"/>
    <w:rsid w:val="000E5967"/>
    <w:rsid w:val="00120339"/>
    <w:rsid w:val="00135E13"/>
    <w:rsid w:val="00163BFD"/>
    <w:rsid w:val="00174DED"/>
    <w:rsid w:val="0018389E"/>
    <w:rsid w:val="00197208"/>
    <w:rsid w:val="001D5E82"/>
    <w:rsid w:val="00216017"/>
    <w:rsid w:val="00233F05"/>
    <w:rsid w:val="0023732A"/>
    <w:rsid w:val="00251B1D"/>
    <w:rsid w:val="00267121"/>
    <w:rsid w:val="002722E6"/>
    <w:rsid w:val="00292ECB"/>
    <w:rsid w:val="0029325F"/>
    <w:rsid w:val="00297A17"/>
    <w:rsid w:val="002B094F"/>
    <w:rsid w:val="002B4EEB"/>
    <w:rsid w:val="002C0A18"/>
    <w:rsid w:val="002D3706"/>
    <w:rsid w:val="002F77D7"/>
    <w:rsid w:val="0030122A"/>
    <w:rsid w:val="003644FC"/>
    <w:rsid w:val="003668AB"/>
    <w:rsid w:val="00377F1B"/>
    <w:rsid w:val="00385B3E"/>
    <w:rsid w:val="003A30F2"/>
    <w:rsid w:val="003F4E93"/>
    <w:rsid w:val="00400DC1"/>
    <w:rsid w:val="00406AA3"/>
    <w:rsid w:val="00422859"/>
    <w:rsid w:val="00432C9F"/>
    <w:rsid w:val="0044659F"/>
    <w:rsid w:val="00461324"/>
    <w:rsid w:val="00462691"/>
    <w:rsid w:val="00474A34"/>
    <w:rsid w:val="004B2694"/>
    <w:rsid w:val="004F669B"/>
    <w:rsid w:val="0050641F"/>
    <w:rsid w:val="0053208A"/>
    <w:rsid w:val="00570044"/>
    <w:rsid w:val="0057574B"/>
    <w:rsid w:val="005857C9"/>
    <w:rsid w:val="005C58C5"/>
    <w:rsid w:val="005C7D6F"/>
    <w:rsid w:val="005D4F29"/>
    <w:rsid w:val="005D7DE1"/>
    <w:rsid w:val="005F0018"/>
    <w:rsid w:val="006074DF"/>
    <w:rsid w:val="006259E4"/>
    <w:rsid w:val="00626F1D"/>
    <w:rsid w:val="00635881"/>
    <w:rsid w:val="0067446E"/>
    <w:rsid w:val="00677485"/>
    <w:rsid w:val="00685E0E"/>
    <w:rsid w:val="006954E4"/>
    <w:rsid w:val="006B6A5F"/>
    <w:rsid w:val="006C71E2"/>
    <w:rsid w:val="006E2261"/>
    <w:rsid w:val="006F625C"/>
    <w:rsid w:val="00712F12"/>
    <w:rsid w:val="00722A9A"/>
    <w:rsid w:val="007536C4"/>
    <w:rsid w:val="00771618"/>
    <w:rsid w:val="00780B62"/>
    <w:rsid w:val="007D7861"/>
    <w:rsid w:val="007F4A42"/>
    <w:rsid w:val="00800357"/>
    <w:rsid w:val="008044E6"/>
    <w:rsid w:val="008265CD"/>
    <w:rsid w:val="00845E72"/>
    <w:rsid w:val="008527B6"/>
    <w:rsid w:val="00861E51"/>
    <w:rsid w:val="00867FC2"/>
    <w:rsid w:val="008756F1"/>
    <w:rsid w:val="00877BD0"/>
    <w:rsid w:val="008B2448"/>
    <w:rsid w:val="008C55D4"/>
    <w:rsid w:val="008E4746"/>
    <w:rsid w:val="008F26CC"/>
    <w:rsid w:val="008F47DB"/>
    <w:rsid w:val="008F7D34"/>
    <w:rsid w:val="009045DF"/>
    <w:rsid w:val="00936640"/>
    <w:rsid w:val="00964E73"/>
    <w:rsid w:val="009709C6"/>
    <w:rsid w:val="0097397F"/>
    <w:rsid w:val="009E611B"/>
    <w:rsid w:val="009F7186"/>
    <w:rsid w:val="009F7F9E"/>
    <w:rsid w:val="00A138F3"/>
    <w:rsid w:val="00A22E8D"/>
    <w:rsid w:val="00A31FC3"/>
    <w:rsid w:val="00A32895"/>
    <w:rsid w:val="00A4078A"/>
    <w:rsid w:val="00A4710D"/>
    <w:rsid w:val="00A51BB9"/>
    <w:rsid w:val="00A9047C"/>
    <w:rsid w:val="00AA306E"/>
    <w:rsid w:val="00AC0C3B"/>
    <w:rsid w:val="00AD6FA0"/>
    <w:rsid w:val="00AE0208"/>
    <w:rsid w:val="00AE28EE"/>
    <w:rsid w:val="00AE6862"/>
    <w:rsid w:val="00B23C01"/>
    <w:rsid w:val="00B30EB4"/>
    <w:rsid w:val="00B71E93"/>
    <w:rsid w:val="00B722B1"/>
    <w:rsid w:val="00B73B39"/>
    <w:rsid w:val="00B73F83"/>
    <w:rsid w:val="00B742DA"/>
    <w:rsid w:val="00B90957"/>
    <w:rsid w:val="00B949CD"/>
    <w:rsid w:val="00BB6C4F"/>
    <w:rsid w:val="00BE7F85"/>
    <w:rsid w:val="00C04110"/>
    <w:rsid w:val="00C105BF"/>
    <w:rsid w:val="00C23337"/>
    <w:rsid w:val="00C6783D"/>
    <w:rsid w:val="00C715DD"/>
    <w:rsid w:val="00C82F98"/>
    <w:rsid w:val="00C85D6E"/>
    <w:rsid w:val="00CC2E01"/>
    <w:rsid w:val="00CC6204"/>
    <w:rsid w:val="00CC68F5"/>
    <w:rsid w:val="00CE3B37"/>
    <w:rsid w:val="00CF728C"/>
    <w:rsid w:val="00D20CD0"/>
    <w:rsid w:val="00D3410F"/>
    <w:rsid w:val="00D51CD7"/>
    <w:rsid w:val="00D70474"/>
    <w:rsid w:val="00D7178E"/>
    <w:rsid w:val="00D72157"/>
    <w:rsid w:val="00D728DF"/>
    <w:rsid w:val="00D73D7A"/>
    <w:rsid w:val="00DB4B0F"/>
    <w:rsid w:val="00DB7F87"/>
    <w:rsid w:val="00DC40EF"/>
    <w:rsid w:val="00DD435C"/>
    <w:rsid w:val="00DD53A7"/>
    <w:rsid w:val="00DE2336"/>
    <w:rsid w:val="00DF06AD"/>
    <w:rsid w:val="00DF292F"/>
    <w:rsid w:val="00DF3574"/>
    <w:rsid w:val="00E07C51"/>
    <w:rsid w:val="00E10051"/>
    <w:rsid w:val="00E23C04"/>
    <w:rsid w:val="00E277F9"/>
    <w:rsid w:val="00E46576"/>
    <w:rsid w:val="00E542D8"/>
    <w:rsid w:val="00E667BF"/>
    <w:rsid w:val="00E905ED"/>
    <w:rsid w:val="00EC724C"/>
    <w:rsid w:val="00EF221F"/>
    <w:rsid w:val="00EF420C"/>
    <w:rsid w:val="00EF4585"/>
    <w:rsid w:val="00F006A4"/>
    <w:rsid w:val="00F4471E"/>
    <w:rsid w:val="00F56F25"/>
    <w:rsid w:val="00F67543"/>
    <w:rsid w:val="00F92D3E"/>
    <w:rsid w:val="00FD3A2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C2EB2"/>
  <w15:chartTrackingRefBased/>
  <w15:docId w15:val="{4D03D3AD-CB53-4ED4-8121-856C69E7B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6A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712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0132D9"/>
    <w:pPr>
      <w:tabs>
        <w:tab w:val="center" w:pos="4703"/>
        <w:tab w:val="right" w:pos="9406"/>
      </w:tabs>
      <w:spacing w:after="0" w:line="240" w:lineRule="auto"/>
    </w:pPr>
  </w:style>
  <w:style w:type="character" w:customStyle="1" w:styleId="En-tteCar">
    <w:name w:val="En-tête Car"/>
    <w:basedOn w:val="Policepardfaut"/>
    <w:link w:val="En-tte"/>
    <w:uiPriority w:val="99"/>
    <w:rsid w:val="000132D9"/>
  </w:style>
  <w:style w:type="paragraph" w:styleId="Pieddepage">
    <w:name w:val="footer"/>
    <w:basedOn w:val="Normal"/>
    <w:link w:val="PieddepageCar"/>
    <w:uiPriority w:val="99"/>
    <w:unhideWhenUsed/>
    <w:rsid w:val="000132D9"/>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0132D9"/>
  </w:style>
  <w:style w:type="paragraph" w:styleId="NormalWeb">
    <w:name w:val="Normal (Web)"/>
    <w:basedOn w:val="Normal"/>
    <w:uiPriority w:val="99"/>
    <w:unhideWhenUsed/>
    <w:rsid w:val="009F7F9E"/>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9F7F9E"/>
    <w:rPr>
      <w:b/>
      <w:bCs/>
    </w:rPr>
  </w:style>
  <w:style w:type="paragraph" w:styleId="Bibliographie">
    <w:name w:val="Bibliography"/>
    <w:basedOn w:val="Normal"/>
    <w:next w:val="Normal"/>
    <w:uiPriority w:val="37"/>
    <w:unhideWhenUsed/>
    <w:rsid w:val="0029325F"/>
    <w:pPr>
      <w:tabs>
        <w:tab w:val="left" w:pos="384"/>
      </w:tabs>
      <w:spacing w:after="240" w:line="240" w:lineRule="auto"/>
      <w:ind w:left="384" w:hanging="384"/>
    </w:pPr>
  </w:style>
  <w:style w:type="character" w:styleId="Accentuation">
    <w:name w:val="Emphasis"/>
    <w:basedOn w:val="Policepardfaut"/>
    <w:uiPriority w:val="20"/>
    <w:qFormat/>
    <w:rsid w:val="006C71E2"/>
    <w:rPr>
      <w:i/>
      <w:iCs/>
    </w:rPr>
  </w:style>
  <w:style w:type="character" w:styleId="Marquedecommentaire">
    <w:name w:val="annotation reference"/>
    <w:basedOn w:val="Policepardfaut"/>
    <w:uiPriority w:val="99"/>
    <w:semiHidden/>
    <w:unhideWhenUsed/>
    <w:rsid w:val="0044659F"/>
    <w:rPr>
      <w:sz w:val="16"/>
      <w:szCs w:val="16"/>
    </w:rPr>
  </w:style>
  <w:style w:type="paragraph" w:styleId="Commentaire">
    <w:name w:val="annotation text"/>
    <w:basedOn w:val="Normal"/>
    <w:link w:val="CommentaireCar"/>
    <w:uiPriority w:val="99"/>
    <w:unhideWhenUsed/>
    <w:rsid w:val="0044659F"/>
    <w:pPr>
      <w:spacing w:line="240" w:lineRule="auto"/>
    </w:pPr>
    <w:rPr>
      <w:sz w:val="20"/>
      <w:szCs w:val="20"/>
    </w:rPr>
  </w:style>
  <w:style w:type="character" w:customStyle="1" w:styleId="CommentaireCar">
    <w:name w:val="Commentaire Car"/>
    <w:basedOn w:val="Policepardfaut"/>
    <w:link w:val="Commentaire"/>
    <w:uiPriority w:val="99"/>
    <w:rsid w:val="0044659F"/>
    <w:rPr>
      <w:sz w:val="20"/>
      <w:szCs w:val="20"/>
    </w:rPr>
  </w:style>
  <w:style w:type="paragraph" w:styleId="Objetducommentaire">
    <w:name w:val="annotation subject"/>
    <w:basedOn w:val="Commentaire"/>
    <w:next w:val="Commentaire"/>
    <w:link w:val="ObjetducommentaireCar"/>
    <w:uiPriority w:val="99"/>
    <w:semiHidden/>
    <w:unhideWhenUsed/>
    <w:rsid w:val="0044659F"/>
    <w:rPr>
      <w:b/>
      <w:bCs/>
    </w:rPr>
  </w:style>
  <w:style w:type="character" w:customStyle="1" w:styleId="ObjetducommentaireCar">
    <w:name w:val="Objet du commentaire Car"/>
    <w:basedOn w:val="CommentaireCar"/>
    <w:link w:val="Objetducommentaire"/>
    <w:uiPriority w:val="99"/>
    <w:semiHidden/>
    <w:rsid w:val="0044659F"/>
    <w:rPr>
      <w:b/>
      <w:bCs/>
      <w:sz w:val="20"/>
      <w:szCs w:val="20"/>
    </w:rPr>
  </w:style>
  <w:style w:type="character" w:styleId="Lienhypertexte">
    <w:name w:val="Hyperlink"/>
    <w:basedOn w:val="Policepardfaut"/>
    <w:uiPriority w:val="99"/>
    <w:unhideWhenUsed/>
    <w:rsid w:val="00A4078A"/>
    <w:rPr>
      <w:color w:val="0563C1" w:themeColor="hyperlink"/>
      <w:u w:val="single"/>
    </w:rPr>
  </w:style>
  <w:style w:type="character" w:styleId="Mentionnonrsolue">
    <w:name w:val="Unresolved Mention"/>
    <w:basedOn w:val="Policepardfaut"/>
    <w:uiPriority w:val="99"/>
    <w:semiHidden/>
    <w:unhideWhenUsed/>
    <w:rsid w:val="00A4078A"/>
    <w:rPr>
      <w:color w:val="605E5C"/>
      <w:shd w:val="clear" w:color="auto" w:fill="E1DFDD"/>
    </w:rPr>
  </w:style>
  <w:style w:type="paragraph" w:styleId="Rvision">
    <w:name w:val="Revision"/>
    <w:hidden/>
    <w:uiPriority w:val="99"/>
    <w:semiHidden/>
    <w:rsid w:val="00F447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976227">
      <w:bodyDiv w:val="1"/>
      <w:marLeft w:val="0"/>
      <w:marRight w:val="0"/>
      <w:marTop w:val="0"/>
      <w:marBottom w:val="0"/>
      <w:divBdr>
        <w:top w:val="none" w:sz="0" w:space="0" w:color="auto"/>
        <w:left w:val="none" w:sz="0" w:space="0" w:color="auto"/>
        <w:bottom w:val="none" w:sz="0" w:space="0" w:color="auto"/>
        <w:right w:val="none" w:sz="0" w:space="0" w:color="auto"/>
      </w:divBdr>
    </w:div>
    <w:div w:id="453671430">
      <w:bodyDiv w:val="1"/>
      <w:marLeft w:val="0"/>
      <w:marRight w:val="0"/>
      <w:marTop w:val="0"/>
      <w:marBottom w:val="0"/>
      <w:divBdr>
        <w:top w:val="none" w:sz="0" w:space="0" w:color="auto"/>
        <w:left w:val="none" w:sz="0" w:space="0" w:color="auto"/>
        <w:bottom w:val="none" w:sz="0" w:space="0" w:color="auto"/>
        <w:right w:val="none" w:sz="0" w:space="0" w:color="auto"/>
      </w:divBdr>
    </w:div>
    <w:div w:id="746539850">
      <w:bodyDiv w:val="1"/>
      <w:marLeft w:val="0"/>
      <w:marRight w:val="0"/>
      <w:marTop w:val="0"/>
      <w:marBottom w:val="0"/>
      <w:divBdr>
        <w:top w:val="none" w:sz="0" w:space="0" w:color="auto"/>
        <w:left w:val="none" w:sz="0" w:space="0" w:color="auto"/>
        <w:bottom w:val="none" w:sz="0" w:space="0" w:color="auto"/>
        <w:right w:val="none" w:sz="0" w:space="0" w:color="auto"/>
      </w:divBdr>
    </w:div>
    <w:div w:id="816915220">
      <w:bodyDiv w:val="1"/>
      <w:marLeft w:val="0"/>
      <w:marRight w:val="0"/>
      <w:marTop w:val="0"/>
      <w:marBottom w:val="0"/>
      <w:divBdr>
        <w:top w:val="none" w:sz="0" w:space="0" w:color="auto"/>
        <w:left w:val="none" w:sz="0" w:space="0" w:color="auto"/>
        <w:bottom w:val="none" w:sz="0" w:space="0" w:color="auto"/>
        <w:right w:val="none" w:sz="0" w:space="0" w:color="auto"/>
      </w:divBdr>
    </w:div>
    <w:div w:id="1256400611">
      <w:bodyDiv w:val="1"/>
      <w:marLeft w:val="0"/>
      <w:marRight w:val="0"/>
      <w:marTop w:val="0"/>
      <w:marBottom w:val="0"/>
      <w:divBdr>
        <w:top w:val="none" w:sz="0" w:space="0" w:color="auto"/>
        <w:left w:val="none" w:sz="0" w:space="0" w:color="auto"/>
        <w:bottom w:val="none" w:sz="0" w:space="0" w:color="auto"/>
        <w:right w:val="none" w:sz="0" w:space="0" w:color="auto"/>
      </w:divBdr>
    </w:div>
    <w:div w:id="1956475718">
      <w:bodyDiv w:val="1"/>
      <w:marLeft w:val="0"/>
      <w:marRight w:val="0"/>
      <w:marTop w:val="0"/>
      <w:marBottom w:val="0"/>
      <w:divBdr>
        <w:top w:val="none" w:sz="0" w:space="0" w:color="auto"/>
        <w:left w:val="none" w:sz="0" w:space="0" w:color="auto"/>
        <w:bottom w:val="none" w:sz="0" w:space="0" w:color="auto"/>
        <w:right w:val="none" w:sz="0" w:space="0" w:color="auto"/>
      </w:divBdr>
    </w:div>
    <w:div w:id="208752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12</Pages>
  <Words>52043</Words>
  <Characters>286241</Characters>
  <Application>Microsoft Office Word</Application>
  <DocSecurity>0</DocSecurity>
  <Lines>2385</Lines>
  <Paragraphs>675</Paragraphs>
  <ScaleCrop>false</ScaleCrop>
  <HeadingPairs>
    <vt:vector size="2" baseType="variant">
      <vt:variant>
        <vt:lpstr>Titre</vt:lpstr>
      </vt:variant>
      <vt:variant>
        <vt:i4>1</vt:i4>
      </vt:variant>
    </vt:vector>
  </HeadingPairs>
  <TitlesOfParts>
    <vt:vector size="1" baseType="lpstr">
      <vt:lpstr/>
    </vt:vector>
  </TitlesOfParts>
  <Company>APHP</Company>
  <LinksUpToDate>false</LinksUpToDate>
  <CharactersWithSpaces>337609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MAROIS Clemence</dc:creator>
  <cp:keywords/>
  <dc:description/>
  <cp:lastModifiedBy>Clémence Marois</cp:lastModifiedBy>
  <cp:revision>5</cp:revision>
  <dcterms:created xsi:type="dcterms:W3CDTF">2026-07-17T08:11:00Z</dcterms:created>
  <dcterms:modified xsi:type="dcterms:W3CDTF">2026-09-02T07:53:00Z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zotero-version="5.0.95.1"&gt;&lt;session id="F86sRr81"/&gt;&lt;style id="http://www.zotero.org/styles/intensive-care-medicine" hasBibliography="1" bibliographyStyleHasBeenSet="1"/&gt;&lt;prefs&gt;&lt;pref name="fieldType" value="Field"/&gt;&lt;/prefs&gt;&lt;/data&gt;</vt:lpwstr>
  </property>
</Properties>
</file>