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AEB3" w14:textId="58A14BF4" w:rsidR="00076B44" w:rsidRPr="0069319F" w:rsidRDefault="00946DDA" w:rsidP="00946DDA">
      <w:pPr>
        <w:jc w:val="center"/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t>Supplementary figures and tables</w:t>
      </w:r>
    </w:p>
    <w:p w14:paraId="70B23249" w14:textId="77777777" w:rsidR="00946DDA" w:rsidRPr="0069319F" w:rsidRDefault="00946DDA" w:rsidP="00946DDA">
      <w:pPr>
        <w:jc w:val="center"/>
        <w:rPr>
          <w:rFonts w:ascii="Times New Roman" w:hAnsi="Times New Roman" w:cs="Times New Roman"/>
          <w:lang w:val="en-CA"/>
        </w:rPr>
      </w:pPr>
    </w:p>
    <w:p w14:paraId="4073849D" w14:textId="0DEAF380" w:rsidR="0092248C" w:rsidRPr="0069319F" w:rsidRDefault="00946DDA" w:rsidP="00946DDA">
      <w:pPr>
        <w:rPr>
          <w:rFonts w:ascii="Times New Roman" w:hAnsi="Times New Roman" w:cs="Times New Roman"/>
          <w:b/>
          <w:bCs/>
          <w:noProof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t xml:space="preserve">Supplementary </w:t>
      </w:r>
      <w:r w:rsidR="00ED7575" w:rsidRPr="0069319F">
        <w:rPr>
          <w:rFonts w:ascii="Times New Roman" w:hAnsi="Times New Roman" w:cs="Times New Roman"/>
          <w:b/>
          <w:bCs/>
          <w:lang w:val="en-CA"/>
        </w:rPr>
        <w:t>F</w:t>
      </w:r>
      <w:r w:rsidRPr="0069319F">
        <w:rPr>
          <w:rFonts w:ascii="Times New Roman" w:hAnsi="Times New Roman" w:cs="Times New Roman"/>
          <w:b/>
          <w:bCs/>
          <w:lang w:val="en-CA"/>
        </w:rPr>
        <w:t>igure 1.</w:t>
      </w:r>
      <w:r w:rsidRPr="0069319F">
        <w:rPr>
          <w:rFonts w:ascii="Times New Roman" w:hAnsi="Times New Roman" w:cs="Times New Roman"/>
          <w:b/>
          <w:bCs/>
          <w:noProof/>
          <w:lang w:val="en-CA"/>
        </w:rPr>
        <w:t xml:space="preserve"> </w:t>
      </w:r>
      <w:r w:rsidR="008A023B" w:rsidRPr="0069319F">
        <w:rPr>
          <w:rFonts w:ascii="Times New Roman" w:hAnsi="Times New Roman" w:cs="Times New Roman"/>
          <w:b/>
          <w:bCs/>
          <w:noProof/>
          <w:lang w:val="en-CA"/>
        </w:rPr>
        <w:t>directed acyclic graph (DAG)</w:t>
      </w:r>
      <w:r w:rsidR="00B314F6" w:rsidRPr="0069319F">
        <w:rPr>
          <w:rFonts w:ascii="Times New Roman" w:hAnsi="Times New Roman" w:cs="Times New Roman"/>
          <w:noProof/>
          <w:lang w:val="en-CA"/>
        </w:rPr>
        <w:t xml:space="preserve"> </w:t>
      </w:r>
    </w:p>
    <w:p w14:paraId="61F94E49" w14:textId="0BED9C26" w:rsidR="00946DDA" w:rsidRPr="0069319F" w:rsidRDefault="0027438D" w:rsidP="00946DDA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noProof/>
          <w:lang w:val="en-CA"/>
        </w:rPr>
        <w:drawing>
          <wp:inline distT="0" distB="0" distL="0" distR="0" wp14:anchorId="354FAF5B" wp14:editId="58F27276">
            <wp:extent cx="5014907" cy="3084394"/>
            <wp:effectExtent l="0" t="0" r="1905" b="1905"/>
            <wp:docPr id="162840492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404926" name="Image 16284049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875" cy="313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6A515" w14:textId="2A7D2CD6" w:rsidR="00946DDA" w:rsidRPr="0069319F" w:rsidRDefault="0027438D" w:rsidP="00946DDA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b/>
          <w:bCs/>
          <w:noProof/>
          <w:lang w:val="en-CA"/>
        </w:rPr>
        <w:drawing>
          <wp:inline distT="0" distB="0" distL="0" distR="0" wp14:anchorId="1F2DD800" wp14:editId="3CC42BB3">
            <wp:extent cx="1338943" cy="924226"/>
            <wp:effectExtent l="0" t="0" r="0" b="3175"/>
            <wp:docPr id="71425005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250053" name="Image 7142500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5998" cy="94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0615D" w14:textId="1CB3A4E4" w:rsidR="005E54BE" w:rsidRPr="0069319F" w:rsidRDefault="005E54BE" w:rsidP="00946DDA">
      <w:pPr>
        <w:rPr>
          <w:rFonts w:ascii="Times New Roman" w:hAnsi="Times New Roman" w:cs="Times New Roman"/>
          <w:sz w:val="18"/>
          <w:szCs w:val="18"/>
          <w:lang w:val="en-CA"/>
        </w:rPr>
      </w:pPr>
      <w:r w:rsidRPr="0069319F">
        <w:rPr>
          <w:rFonts w:ascii="Times New Roman" w:hAnsi="Times New Roman" w:cs="Times New Roman"/>
          <w:sz w:val="18"/>
          <w:szCs w:val="18"/>
          <w:lang w:val="en-CA"/>
        </w:rPr>
        <w:t>Legend: Directed acyclic graph illustrating the assumed relationships between early adequate antifungal therapy, 28-day mortality, and relevant clinical covariates.</w:t>
      </w:r>
    </w:p>
    <w:p w14:paraId="4AA3297C" w14:textId="77777777" w:rsidR="008D225A" w:rsidRPr="0069319F" w:rsidRDefault="008D225A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A5DE748" w14:textId="21658366" w:rsidR="008D225A" w:rsidRPr="0069319F" w:rsidRDefault="008D225A" w:rsidP="008D225A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lastRenderedPageBreak/>
        <w:t xml:space="preserve">Supplementary Table 1. </w:t>
      </w:r>
      <w:r w:rsidR="00FC63A7" w:rsidRPr="0069319F">
        <w:rPr>
          <w:rFonts w:ascii="Times New Roman" w:hAnsi="Times New Roman" w:cs="Times New Roman"/>
          <w:b/>
          <w:bCs/>
          <w:lang w:val="en-CA"/>
        </w:rPr>
        <w:t>Description</w:t>
      </w:r>
      <w:r w:rsidRPr="0069319F">
        <w:rPr>
          <w:rFonts w:ascii="Times New Roman" w:hAnsi="Times New Roman" w:cs="Times New Roman"/>
          <w:b/>
          <w:bCs/>
          <w:lang w:val="en-CA"/>
        </w:rPr>
        <w:t xml:space="preserve"> of the 18 patients excluded because of death within the first </w:t>
      </w:r>
      <w:r w:rsidR="00E35D95" w:rsidRPr="0069319F">
        <w:rPr>
          <w:rFonts w:ascii="Times New Roman" w:hAnsi="Times New Roman" w:cs="Times New Roman"/>
          <w:b/>
          <w:bCs/>
          <w:lang w:val="en-CA"/>
        </w:rPr>
        <w:t>2 days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72"/>
        <w:gridCol w:w="1350"/>
        <w:gridCol w:w="804"/>
        <w:gridCol w:w="3161"/>
        <w:gridCol w:w="1090"/>
        <w:gridCol w:w="1879"/>
      </w:tblGrid>
      <w:tr w:rsidR="008D225A" w:rsidRPr="0069319F" w14:paraId="5DE5B8F4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E787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Patient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F653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Age (years)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B950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Sex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FF18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CA"/>
              </w:rPr>
              <w:t xml:space="preserve">Candida </w:t>
            </w: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species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26BD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Treated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F073E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If treated</w:t>
            </w:r>
          </w:p>
        </w:tc>
      </w:tr>
      <w:tr w:rsidR="008D225A" w:rsidRPr="0069319F" w14:paraId="0A3BB945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543E7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AD7E5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86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96A5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293DB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F0E20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DCC19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61380661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F4BE8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FD3D5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56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E4FF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EC2C6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auris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2EC0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6FC41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30B9CBC2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99CFE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88960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54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AFE3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6813C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sp.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8FB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D82A6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fluconazole</w:t>
            </w:r>
          </w:p>
        </w:tc>
      </w:tr>
      <w:tr w:rsidR="008D225A" w:rsidRPr="0069319F" w14:paraId="310789E4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AA6D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E9BD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78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E0B0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A1004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parapsilosis complex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548A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25C9C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770F3A86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1B2A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FFE7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79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326B4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095B1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B7A06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50009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286B3080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51E0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E4D1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60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0FF18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6FFFC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parapsilosis complex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705D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ECA5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anidulafungin</w:t>
            </w:r>
          </w:p>
        </w:tc>
      </w:tr>
      <w:tr w:rsidR="008D225A" w:rsidRPr="0069319F" w14:paraId="4BF21584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6353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F278D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57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D3DD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AAC77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parapsilosis complex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703A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4273D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01D2342A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0584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8324D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82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E93E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C0BC2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BF667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8C109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micafungin</w:t>
            </w:r>
          </w:p>
        </w:tc>
      </w:tr>
      <w:tr w:rsidR="008D225A" w:rsidRPr="0069319F" w14:paraId="7F53DE4B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7E414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5D5A5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31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1E77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8C559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krusei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7C55E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B7F6A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6EA8EBAC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3ECD0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10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0D44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69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BD7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EAE31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parapsilosis complex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D6DC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985A4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micafungin</w:t>
            </w:r>
          </w:p>
        </w:tc>
      </w:tr>
      <w:tr w:rsidR="008D225A" w:rsidRPr="0069319F" w14:paraId="373C7DE2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6128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0C3C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60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40FED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3AE04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tropicalis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7D52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813CC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6614E539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61BD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12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71805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60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13688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5DA84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CF55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DAA8E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60CDAE80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A9B2A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F83D6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57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15999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7068A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Other Candida species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2D2A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8D199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caspofungin</w:t>
            </w:r>
          </w:p>
        </w:tc>
      </w:tr>
      <w:tr w:rsidR="008D225A" w:rsidRPr="0069319F" w14:paraId="1DA6F158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C4F1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14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4444E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44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D61B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98B8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parapsilosis complex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4A761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61A98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5478673E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5725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15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F73DB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32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C57A7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B52E6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801FF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14F34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fluconazole</w:t>
            </w:r>
          </w:p>
        </w:tc>
      </w:tr>
      <w:tr w:rsidR="008D225A" w:rsidRPr="0069319F" w14:paraId="7537C122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D8ED7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16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D955D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26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7E0A8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27F00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EE11E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F05A1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amphotericin B</w:t>
            </w:r>
          </w:p>
        </w:tc>
      </w:tr>
      <w:tr w:rsidR="008D225A" w:rsidRPr="0069319F" w14:paraId="738FC11F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938C6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17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3F4B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82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F38BC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08FF7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FC062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45EA6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225A" w:rsidRPr="0069319F" w14:paraId="5DB02CA5" w14:textId="77777777" w:rsidTr="008D225A">
        <w:trPr>
          <w:jc w:val="center"/>
        </w:trPr>
        <w:tc>
          <w:tcPr>
            <w:tcW w:w="7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0B2A7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18</w:t>
            </w:r>
          </w:p>
        </w:tc>
        <w:tc>
          <w:tcPr>
            <w:tcW w:w="13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29C30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81</w:t>
            </w:r>
          </w:p>
        </w:tc>
        <w:tc>
          <w:tcPr>
            <w:tcW w:w="80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ED074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1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FC503" w14:textId="77777777" w:rsidR="008D225A" w:rsidRPr="0069319F" w:rsidRDefault="008D225A" w:rsidP="007659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Candida albicans</w:t>
            </w:r>
          </w:p>
        </w:tc>
        <w:tc>
          <w:tcPr>
            <w:tcW w:w="109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5D9E3" w14:textId="77777777" w:rsidR="008D225A" w:rsidRPr="0069319F" w:rsidRDefault="008D225A" w:rsidP="007659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Yes</w:t>
            </w:r>
          </w:p>
        </w:tc>
        <w:tc>
          <w:tcPr>
            <w:tcW w:w="187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48C1E" w14:textId="77777777" w:rsidR="008D225A" w:rsidRPr="0069319F" w:rsidRDefault="008D225A" w:rsidP="0076592E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fluconazole</w:t>
            </w:r>
          </w:p>
        </w:tc>
      </w:tr>
    </w:tbl>
    <w:p w14:paraId="4AAD964D" w14:textId="77777777" w:rsidR="008D225A" w:rsidRPr="0069319F" w:rsidRDefault="008D225A" w:rsidP="008D225A">
      <w:pPr>
        <w:rPr>
          <w:rFonts w:ascii="Times New Roman" w:hAnsi="Times New Roman" w:cs="Times New Roman"/>
          <w:b/>
          <w:bCs/>
          <w:lang w:val="en-CA"/>
        </w:rPr>
      </w:pPr>
    </w:p>
    <w:p w14:paraId="6508B6E9" w14:textId="3BF635E6" w:rsidR="008D225A" w:rsidRPr="0069319F" w:rsidRDefault="00946DDA" w:rsidP="00435AEA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lang w:val="en-CA"/>
        </w:rPr>
        <w:br w:type="page"/>
      </w:r>
    </w:p>
    <w:p w14:paraId="7A497C7B" w14:textId="2C3B9968" w:rsidR="00435AEA" w:rsidRPr="0069319F" w:rsidRDefault="00435AEA" w:rsidP="00435AEA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lastRenderedPageBreak/>
        <w:t xml:space="preserve">Supplementary </w:t>
      </w:r>
      <w:r w:rsidR="00837F59" w:rsidRPr="0069319F">
        <w:rPr>
          <w:rFonts w:ascii="Times New Roman" w:hAnsi="Times New Roman" w:cs="Times New Roman"/>
          <w:b/>
          <w:bCs/>
          <w:lang w:val="en-CA"/>
        </w:rPr>
        <w:t>T</w:t>
      </w:r>
      <w:r w:rsidRPr="0069319F">
        <w:rPr>
          <w:rFonts w:ascii="Times New Roman" w:hAnsi="Times New Roman" w:cs="Times New Roman"/>
          <w:b/>
          <w:bCs/>
          <w:lang w:val="en-CA"/>
        </w:rPr>
        <w:t xml:space="preserve">able </w:t>
      </w:r>
      <w:r w:rsidR="00E053EC" w:rsidRPr="0069319F">
        <w:rPr>
          <w:rFonts w:ascii="Times New Roman" w:hAnsi="Times New Roman" w:cs="Times New Roman"/>
          <w:b/>
          <w:bCs/>
          <w:lang w:val="en-CA"/>
        </w:rPr>
        <w:t>2</w:t>
      </w:r>
      <w:r w:rsidRPr="0069319F">
        <w:rPr>
          <w:rFonts w:ascii="Times New Roman" w:hAnsi="Times New Roman" w:cs="Times New Roman"/>
          <w:b/>
          <w:bCs/>
          <w:lang w:val="en-CA"/>
        </w:rPr>
        <w:t xml:space="preserve">: </w:t>
      </w:r>
      <w:r w:rsidR="002942AE" w:rsidRPr="0069319F">
        <w:rPr>
          <w:rFonts w:ascii="Times New Roman" w:hAnsi="Times New Roman" w:cs="Times New Roman"/>
          <w:b/>
          <w:bCs/>
        </w:rPr>
        <w:t>Center-level ICU characteristics and organization</w:t>
      </w:r>
    </w:p>
    <w:tbl>
      <w:tblPr>
        <w:tblpPr w:leftFromText="141" w:rightFromText="141" w:vertAnchor="text" w:horzAnchor="margin" w:tblpY="1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9"/>
        <w:gridCol w:w="4182"/>
      </w:tblGrid>
      <w:tr w:rsidR="009270CD" w:rsidRPr="0069319F" w14:paraId="3E73A077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679446F9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158 centers</w:t>
            </w:r>
          </w:p>
        </w:tc>
      </w:tr>
      <w:tr w:rsidR="003D13DC" w:rsidRPr="0069319F" w14:paraId="562B9599" w14:textId="77777777" w:rsidTr="003D13DC">
        <w:trPr>
          <w:trHeight w:val="160"/>
        </w:trPr>
        <w:tc>
          <w:tcPr>
            <w:tcW w:w="2759" w:type="dxa"/>
            <w:shd w:val="clear" w:color="auto" w:fill="F2F2F2" w:themeFill="background1" w:themeFillShade="F2"/>
            <w:vAlign w:val="center"/>
          </w:tcPr>
          <w:p w14:paraId="6FE958E7" w14:textId="476977AB" w:rsidR="003D13DC" w:rsidRPr="0069319F" w:rsidRDefault="003D13DC" w:rsidP="009270CD">
            <w:pPr>
              <w:spacing w:line="216" w:lineRule="auto"/>
              <w:rPr>
                <w:rFonts w:ascii="Times New Roman" w:eastAsia="Times New Roman" w:hAnsi="Times New Roman"/>
                <w:sz w:val="17"/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Country</w:t>
            </w:r>
          </w:p>
        </w:tc>
        <w:tc>
          <w:tcPr>
            <w:tcW w:w="4182" w:type="dxa"/>
            <w:shd w:val="clear" w:color="auto" w:fill="F2F2F2" w:themeFill="background1" w:themeFillShade="F2"/>
            <w:vAlign w:val="center"/>
          </w:tcPr>
          <w:p w14:paraId="6604833D" w14:textId="6FDB2D74" w:rsidR="003D13DC" w:rsidRPr="0069319F" w:rsidRDefault="003D13DC" w:rsidP="009270CD">
            <w:pPr>
              <w:spacing w:line="216" w:lineRule="auto"/>
              <w:jc w:val="center"/>
              <w:rPr>
                <w:rFonts w:ascii="Times New Roman" w:eastAsia="Times New Roman" w:hAnsi="Times New Roman"/>
                <w:b/>
                <w:bCs/>
                <w:sz w:val="17"/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bCs/>
                <w:sz w:val="17"/>
                <w:lang w:val="en-CA"/>
              </w:rPr>
              <w:t>N (%)</w:t>
            </w:r>
          </w:p>
        </w:tc>
      </w:tr>
      <w:tr w:rsidR="009270CD" w:rsidRPr="0069319F" w14:paraId="356A402B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B8CBB2F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Australia</w:t>
            </w:r>
          </w:p>
        </w:tc>
        <w:tc>
          <w:tcPr>
            <w:tcW w:w="4182" w:type="dxa"/>
            <w:vAlign w:val="center"/>
          </w:tcPr>
          <w:p w14:paraId="40F5EBF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6 (3.80%)</w:t>
            </w:r>
          </w:p>
        </w:tc>
      </w:tr>
      <w:tr w:rsidR="009270CD" w:rsidRPr="0069319F" w14:paraId="4337842F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82C7881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Bangladesh</w:t>
            </w:r>
          </w:p>
        </w:tc>
        <w:tc>
          <w:tcPr>
            <w:tcW w:w="4182" w:type="dxa"/>
            <w:vAlign w:val="center"/>
          </w:tcPr>
          <w:p w14:paraId="6D17C042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182799EC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3D6E19B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Belgium</w:t>
            </w:r>
          </w:p>
        </w:tc>
        <w:tc>
          <w:tcPr>
            <w:tcW w:w="4182" w:type="dxa"/>
            <w:vAlign w:val="center"/>
          </w:tcPr>
          <w:p w14:paraId="2599CBA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19F0EECA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2489FB1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Brazil</w:t>
            </w:r>
          </w:p>
        </w:tc>
        <w:tc>
          <w:tcPr>
            <w:tcW w:w="4182" w:type="dxa"/>
            <w:vAlign w:val="center"/>
          </w:tcPr>
          <w:p w14:paraId="7723228A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28A0C023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B056904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Brunei</w:t>
            </w:r>
          </w:p>
        </w:tc>
        <w:tc>
          <w:tcPr>
            <w:tcW w:w="4182" w:type="dxa"/>
            <w:vAlign w:val="center"/>
          </w:tcPr>
          <w:p w14:paraId="299A89AF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752CC3F9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9F7D615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Canada</w:t>
            </w:r>
          </w:p>
        </w:tc>
        <w:tc>
          <w:tcPr>
            <w:tcW w:w="4182" w:type="dxa"/>
            <w:vAlign w:val="center"/>
          </w:tcPr>
          <w:p w14:paraId="73DCB586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742FF86C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1670FAE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China</w:t>
            </w:r>
          </w:p>
        </w:tc>
        <w:tc>
          <w:tcPr>
            <w:tcW w:w="4182" w:type="dxa"/>
            <w:vAlign w:val="center"/>
          </w:tcPr>
          <w:p w14:paraId="79D17986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5 (3.16%)</w:t>
            </w:r>
          </w:p>
        </w:tc>
      </w:tr>
      <w:tr w:rsidR="009270CD" w:rsidRPr="0069319F" w14:paraId="5FA9DDB7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6F5A32E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Colombia</w:t>
            </w:r>
          </w:p>
        </w:tc>
        <w:tc>
          <w:tcPr>
            <w:tcW w:w="4182" w:type="dxa"/>
            <w:vAlign w:val="center"/>
          </w:tcPr>
          <w:p w14:paraId="725FC8D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39464CCA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2AB9312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Dubai</w:t>
            </w:r>
          </w:p>
        </w:tc>
        <w:tc>
          <w:tcPr>
            <w:tcW w:w="4182" w:type="dxa"/>
            <w:vAlign w:val="center"/>
          </w:tcPr>
          <w:p w14:paraId="5B35C7F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0324ED3F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8FCC25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Egypt</w:t>
            </w:r>
          </w:p>
        </w:tc>
        <w:tc>
          <w:tcPr>
            <w:tcW w:w="4182" w:type="dxa"/>
            <w:vAlign w:val="center"/>
          </w:tcPr>
          <w:p w14:paraId="73B85F1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70840FE3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AAE2EFA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France</w:t>
            </w:r>
          </w:p>
        </w:tc>
        <w:tc>
          <w:tcPr>
            <w:tcW w:w="4182" w:type="dxa"/>
            <w:vAlign w:val="center"/>
          </w:tcPr>
          <w:p w14:paraId="474D034A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18 (11.39%)</w:t>
            </w:r>
          </w:p>
        </w:tc>
      </w:tr>
      <w:tr w:rsidR="009270CD" w:rsidRPr="0069319F" w14:paraId="1FC5F030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56267C9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Germany</w:t>
            </w:r>
          </w:p>
        </w:tc>
        <w:tc>
          <w:tcPr>
            <w:tcW w:w="4182" w:type="dxa"/>
            <w:vAlign w:val="center"/>
          </w:tcPr>
          <w:p w14:paraId="7B344848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5 (3.16%)</w:t>
            </w:r>
          </w:p>
        </w:tc>
      </w:tr>
      <w:tr w:rsidR="009270CD" w:rsidRPr="0069319F" w14:paraId="4C91C184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079C28D9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Greece</w:t>
            </w:r>
          </w:p>
        </w:tc>
        <w:tc>
          <w:tcPr>
            <w:tcW w:w="4182" w:type="dxa"/>
            <w:vAlign w:val="center"/>
          </w:tcPr>
          <w:p w14:paraId="0CD7C448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19 (12.03%)</w:t>
            </w:r>
          </w:p>
        </w:tc>
      </w:tr>
      <w:tr w:rsidR="009270CD" w:rsidRPr="0069319F" w14:paraId="6384AEC0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0EB9CA1C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Hong Kong</w:t>
            </w:r>
          </w:p>
        </w:tc>
        <w:tc>
          <w:tcPr>
            <w:tcW w:w="4182" w:type="dxa"/>
            <w:vAlign w:val="center"/>
          </w:tcPr>
          <w:p w14:paraId="088B4FE5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54BA21CF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7430DC2E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India</w:t>
            </w:r>
          </w:p>
        </w:tc>
        <w:tc>
          <w:tcPr>
            <w:tcW w:w="4182" w:type="dxa"/>
            <w:vAlign w:val="center"/>
          </w:tcPr>
          <w:p w14:paraId="117BC826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32359591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03AFF166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Iran</w:t>
            </w:r>
          </w:p>
        </w:tc>
        <w:tc>
          <w:tcPr>
            <w:tcW w:w="4182" w:type="dxa"/>
            <w:vAlign w:val="center"/>
          </w:tcPr>
          <w:p w14:paraId="0FCC7873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1F667E9A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CB7A195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Israel</w:t>
            </w:r>
          </w:p>
        </w:tc>
        <w:tc>
          <w:tcPr>
            <w:tcW w:w="4182" w:type="dxa"/>
            <w:vAlign w:val="center"/>
          </w:tcPr>
          <w:p w14:paraId="3BBEBD0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76326B17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A13913E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Italy</w:t>
            </w:r>
          </w:p>
        </w:tc>
        <w:tc>
          <w:tcPr>
            <w:tcW w:w="4182" w:type="dxa"/>
            <w:vAlign w:val="center"/>
          </w:tcPr>
          <w:p w14:paraId="1BB7D350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6 (3.80%)</w:t>
            </w:r>
          </w:p>
        </w:tc>
      </w:tr>
      <w:tr w:rsidR="009270CD" w:rsidRPr="0069319F" w14:paraId="751B6616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0743590E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Japan</w:t>
            </w:r>
          </w:p>
        </w:tc>
        <w:tc>
          <w:tcPr>
            <w:tcW w:w="4182" w:type="dxa"/>
            <w:vAlign w:val="center"/>
          </w:tcPr>
          <w:p w14:paraId="3DBC1FC4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135B5447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7284990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Kazakhstan</w:t>
            </w:r>
          </w:p>
        </w:tc>
        <w:tc>
          <w:tcPr>
            <w:tcW w:w="4182" w:type="dxa"/>
            <w:vAlign w:val="center"/>
          </w:tcPr>
          <w:p w14:paraId="1F9ADEA0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4DE2FF6F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1BCEB74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Lebanon</w:t>
            </w:r>
          </w:p>
        </w:tc>
        <w:tc>
          <w:tcPr>
            <w:tcW w:w="4182" w:type="dxa"/>
            <w:vAlign w:val="center"/>
          </w:tcPr>
          <w:p w14:paraId="37A19BC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3E6813AD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86E17C0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Libya</w:t>
            </w:r>
          </w:p>
        </w:tc>
        <w:tc>
          <w:tcPr>
            <w:tcW w:w="4182" w:type="dxa"/>
            <w:vAlign w:val="center"/>
          </w:tcPr>
          <w:p w14:paraId="5291CCBB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3331C727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9C7A359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Malaysia</w:t>
            </w:r>
          </w:p>
        </w:tc>
        <w:tc>
          <w:tcPr>
            <w:tcW w:w="4182" w:type="dxa"/>
            <w:vAlign w:val="center"/>
          </w:tcPr>
          <w:p w14:paraId="3AD25C75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3544EFDB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7B1E40F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Netherlands</w:t>
            </w:r>
          </w:p>
        </w:tc>
        <w:tc>
          <w:tcPr>
            <w:tcW w:w="4182" w:type="dxa"/>
            <w:vAlign w:val="center"/>
          </w:tcPr>
          <w:p w14:paraId="1E86D27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4F47A003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0B2691F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Nigeria</w:t>
            </w:r>
          </w:p>
        </w:tc>
        <w:tc>
          <w:tcPr>
            <w:tcW w:w="4182" w:type="dxa"/>
            <w:vAlign w:val="center"/>
          </w:tcPr>
          <w:p w14:paraId="47778574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054FA802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09D26A03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Poland</w:t>
            </w:r>
          </w:p>
        </w:tc>
        <w:tc>
          <w:tcPr>
            <w:tcW w:w="4182" w:type="dxa"/>
            <w:vAlign w:val="center"/>
          </w:tcPr>
          <w:p w14:paraId="68399D2D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6D5963FD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BED145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Portugal</w:t>
            </w:r>
          </w:p>
        </w:tc>
        <w:tc>
          <w:tcPr>
            <w:tcW w:w="4182" w:type="dxa"/>
            <w:vAlign w:val="center"/>
          </w:tcPr>
          <w:p w14:paraId="31322F9D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7 (4.43%)</w:t>
            </w:r>
          </w:p>
        </w:tc>
      </w:tr>
      <w:tr w:rsidR="009270CD" w:rsidRPr="0069319F" w14:paraId="21E113FE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95DC57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Republic of Ireland</w:t>
            </w:r>
          </w:p>
        </w:tc>
        <w:tc>
          <w:tcPr>
            <w:tcW w:w="4182" w:type="dxa"/>
            <w:vAlign w:val="center"/>
          </w:tcPr>
          <w:p w14:paraId="3D6D36E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4DE63860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2C8AE58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Republic of Korea</w:t>
            </w:r>
          </w:p>
        </w:tc>
        <w:tc>
          <w:tcPr>
            <w:tcW w:w="4182" w:type="dxa"/>
            <w:vAlign w:val="center"/>
          </w:tcPr>
          <w:p w14:paraId="77D55336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4 (2.53%)</w:t>
            </w:r>
          </w:p>
        </w:tc>
      </w:tr>
      <w:tr w:rsidR="009270CD" w:rsidRPr="0069319F" w14:paraId="2E79FE28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40D9B29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Romania</w:t>
            </w:r>
          </w:p>
        </w:tc>
        <w:tc>
          <w:tcPr>
            <w:tcW w:w="4182" w:type="dxa"/>
            <w:vAlign w:val="center"/>
          </w:tcPr>
          <w:p w14:paraId="6906370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44E18060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9180C9D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Russian Federation</w:t>
            </w:r>
          </w:p>
        </w:tc>
        <w:tc>
          <w:tcPr>
            <w:tcW w:w="4182" w:type="dxa"/>
            <w:vAlign w:val="center"/>
          </w:tcPr>
          <w:p w14:paraId="4AA8B2D5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0BE3E622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A06CB6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Saudi Arabia</w:t>
            </w:r>
          </w:p>
        </w:tc>
        <w:tc>
          <w:tcPr>
            <w:tcW w:w="4182" w:type="dxa"/>
            <w:vAlign w:val="center"/>
          </w:tcPr>
          <w:p w14:paraId="11B5F0CF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11DC4817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1004AEB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Singapore</w:t>
            </w:r>
          </w:p>
        </w:tc>
        <w:tc>
          <w:tcPr>
            <w:tcW w:w="4182" w:type="dxa"/>
            <w:vAlign w:val="center"/>
          </w:tcPr>
          <w:p w14:paraId="4346E56C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 (0.63%)</w:t>
            </w:r>
          </w:p>
        </w:tc>
      </w:tr>
      <w:tr w:rsidR="009270CD" w:rsidRPr="0069319F" w14:paraId="6740CBE3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AC64464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Spain</w:t>
            </w:r>
          </w:p>
        </w:tc>
        <w:tc>
          <w:tcPr>
            <w:tcW w:w="4182" w:type="dxa"/>
            <w:vAlign w:val="center"/>
          </w:tcPr>
          <w:p w14:paraId="333A8659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13 (8.23%)</w:t>
            </w:r>
          </w:p>
        </w:tc>
      </w:tr>
      <w:tr w:rsidR="009270CD" w:rsidRPr="0069319F" w14:paraId="118B80FD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3BDAAF36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Switzerland</w:t>
            </w:r>
          </w:p>
        </w:tc>
        <w:tc>
          <w:tcPr>
            <w:tcW w:w="4182" w:type="dxa"/>
            <w:vAlign w:val="center"/>
          </w:tcPr>
          <w:p w14:paraId="4F808C19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22C154DB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2FE01E96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Taiwan</w:t>
            </w:r>
          </w:p>
        </w:tc>
        <w:tc>
          <w:tcPr>
            <w:tcW w:w="4182" w:type="dxa"/>
            <w:vAlign w:val="center"/>
          </w:tcPr>
          <w:p w14:paraId="44022E91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 (1.90%)</w:t>
            </w:r>
          </w:p>
        </w:tc>
      </w:tr>
      <w:tr w:rsidR="009270CD" w:rsidRPr="0069319F" w14:paraId="681A0C3C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6DE129C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Thailand</w:t>
            </w:r>
          </w:p>
        </w:tc>
        <w:tc>
          <w:tcPr>
            <w:tcW w:w="4182" w:type="dxa"/>
            <w:vAlign w:val="center"/>
          </w:tcPr>
          <w:p w14:paraId="720C976C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 (1.27%)</w:t>
            </w:r>
          </w:p>
        </w:tc>
      </w:tr>
      <w:tr w:rsidR="009270CD" w:rsidRPr="0069319F" w14:paraId="4E94DE8B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A543955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Turkey</w:t>
            </w:r>
          </w:p>
        </w:tc>
        <w:tc>
          <w:tcPr>
            <w:tcW w:w="4182" w:type="dxa"/>
            <w:vAlign w:val="center"/>
          </w:tcPr>
          <w:p w14:paraId="1C283C0F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21 (13.29%)</w:t>
            </w:r>
          </w:p>
        </w:tc>
      </w:tr>
      <w:tr w:rsidR="009270CD" w:rsidRPr="0069319F" w14:paraId="7D6153CB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02A6532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UK</w:t>
            </w:r>
          </w:p>
        </w:tc>
        <w:tc>
          <w:tcPr>
            <w:tcW w:w="4182" w:type="dxa"/>
            <w:vAlign w:val="center"/>
          </w:tcPr>
          <w:p w14:paraId="3578FBD1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8 (5.06%)</w:t>
            </w:r>
          </w:p>
        </w:tc>
      </w:tr>
      <w:tr w:rsidR="009270CD" w:rsidRPr="0069319F" w14:paraId="23EF0D02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19D88EE8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Hospital funding</w:t>
            </w:r>
          </w:p>
        </w:tc>
      </w:tr>
      <w:tr w:rsidR="009270CD" w:rsidRPr="0069319F" w14:paraId="1A82EE5D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24D2DE72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Public</w:t>
            </w:r>
          </w:p>
        </w:tc>
        <w:tc>
          <w:tcPr>
            <w:tcW w:w="4182" w:type="dxa"/>
            <w:vAlign w:val="center"/>
          </w:tcPr>
          <w:p w14:paraId="48AC714A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135 (85.44%)</w:t>
            </w:r>
          </w:p>
        </w:tc>
      </w:tr>
      <w:tr w:rsidR="009270CD" w:rsidRPr="0069319F" w14:paraId="58537EA5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2BFF2E64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Private</w:t>
            </w:r>
          </w:p>
        </w:tc>
        <w:tc>
          <w:tcPr>
            <w:tcW w:w="4182" w:type="dxa"/>
            <w:vAlign w:val="center"/>
          </w:tcPr>
          <w:p w14:paraId="77A38C8A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23 (14.56%)</w:t>
            </w:r>
          </w:p>
        </w:tc>
      </w:tr>
      <w:tr w:rsidR="009270CD" w:rsidRPr="0069319F" w14:paraId="0DD20154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162E6B2B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ICU Type</w:t>
            </w:r>
          </w:p>
        </w:tc>
      </w:tr>
      <w:tr w:rsidR="009270CD" w:rsidRPr="0069319F" w14:paraId="410E4096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C89A98A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Medical</w:t>
            </w:r>
          </w:p>
        </w:tc>
        <w:tc>
          <w:tcPr>
            <w:tcW w:w="4182" w:type="dxa"/>
            <w:vAlign w:val="center"/>
          </w:tcPr>
          <w:p w14:paraId="5839EB8C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26 (16.46%)</w:t>
            </w:r>
          </w:p>
        </w:tc>
      </w:tr>
      <w:tr w:rsidR="009270CD" w:rsidRPr="0069319F" w14:paraId="6BA6F8F8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AD09574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Surgical</w:t>
            </w:r>
          </w:p>
        </w:tc>
        <w:tc>
          <w:tcPr>
            <w:tcW w:w="4182" w:type="dxa"/>
            <w:vAlign w:val="center"/>
          </w:tcPr>
          <w:p w14:paraId="0F02709D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12 (7.59%)</w:t>
            </w:r>
          </w:p>
        </w:tc>
      </w:tr>
      <w:tr w:rsidR="009270CD" w:rsidRPr="0069319F" w14:paraId="422A7F3D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7FAA3C4C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Mixed</w:t>
            </w:r>
          </w:p>
        </w:tc>
        <w:tc>
          <w:tcPr>
            <w:tcW w:w="4182" w:type="dxa"/>
            <w:vAlign w:val="center"/>
          </w:tcPr>
          <w:p w14:paraId="40D839B4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120 (75.95%)</w:t>
            </w:r>
          </w:p>
        </w:tc>
      </w:tr>
      <w:tr w:rsidR="009270CD" w:rsidRPr="0069319F" w14:paraId="49D06F51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7360209F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ICU Structure</w:t>
            </w:r>
          </w:p>
        </w:tc>
      </w:tr>
      <w:tr w:rsidR="009270CD" w:rsidRPr="0069319F" w14:paraId="6C3874BE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C4B647E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Open</w:t>
            </w:r>
          </w:p>
        </w:tc>
        <w:tc>
          <w:tcPr>
            <w:tcW w:w="4182" w:type="dxa"/>
            <w:vAlign w:val="center"/>
          </w:tcPr>
          <w:p w14:paraId="535B2F75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34 (21.52%)</w:t>
            </w:r>
          </w:p>
        </w:tc>
      </w:tr>
      <w:tr w:rsidR="009270CD" w:rsidRPr="0069319F" w14:paraId="4C19C4B2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CE383AD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Closed</w:t>
            </w:r>
          </w:p>
        </w:tc>
        <w:tc>
          <w:tcPr>
            <w:tcW w:w="4182" w:type="dxa"/>
            <w:vAlign w:val="center"/>
          </w:tcPr>
          <w:p w14:paraId="4F3F57D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124 (78.48%)</w:t>
            </w:r>
          </w:p>
        </w:tc>
      </w:tr>
      <w:tr w:rsidR="009270CD" w:rsidRPr="0069319F" w14:paraId="5A6B2038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139BC898" w14:textId="09454084" w:rsidR="009270CD" w:rsidRPr="0069319F" w:rsidRDefault="009270CD" w:rsidP="009270CD">
            <w:pPr>
              <w:spacing w:line="216" w:lineRule="auto"/>
              <w:rPr>
                <w:b/>
                <w:bCs/>
                <w:sz w:val="18"/>
                <w:szCs w:val="18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CA"/>
              </w:rPr>
              <w:t>Antibiotic stewardship and pharmacological support available</w:t>
            </w:r>
          </w:p>
        </w:tc>
      </w:tr>
      <w:tr w:rsidR="009270CD" w:rsidRPr="0069319F" w14:paraId="513FA262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5ABFFC9A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No</w:t>
            </w:r>
          </w:p>
        </w:tc>
        <w:tc>
          <w:tcPr>
            <w:tcW w:w="4182" w:type="dxa"/>
            <w:vAlign w:val="center"/>
          </w:tcPr>
          <w:p w14:paraId="124A8E3E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43 (27.22%)</w:t>
            </w:r>
          </w:p>
        </w:tc>
      </w:tr>
      <w:tr w:rsidR="009270CD" w:rsidRPr="0069319F" w14:paraId="0D474689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1457CD8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Yes</w:t>
            </w:r>
          </w:p>
        </w:tc>
        <w:tc>
          <w:tcPr>
            <w:tcW w:w="4182" w:type="dxa"/>
            <w:vAlign w:val="center"/>
          </w:tcPr>
          <w:p w14:paraId="31D32BE2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115 (72.78%)</w:t>
            </w:r>
          </w:p>
        </w:tc>
      </w:tr>
      <w:tr w:rsidR="009270CD" w:rsidRPr="0069319F" w14:paraId="2A9A270B" w14:textId="77777777" w:rsidTr="00241746">
        <w:trPr>
          <w:trHeight w:val="160"/>
        </w:trPr>
        <w:tc>
          <w:tcPr>
            <w:tcW w:w="6941" w:type="dxa"/>
            <w:gridSpan w:val="2"/>
            <w:shd w:val="clear" w:color="auto" w:fill="F2F2F2"/>
            <w:vAlign w:val="center"/>
          </w:tcPr>
          <w:p w14:paraId="0269A98D" w14:textId="7840080E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I</w:t>
            </w:r>
            <w:r w:rsidR="00E86383"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>nfectious disease</w:t>
            </w:r>
            <w:r w:rsidRPr="0069319F">
              <w:rPr>
                <w:rFonts w:ascii="Times New Roman" w:eastAsia="Times New Roman" w:hAnsi="Times New Roman"/>
                <w:b/>
                <w:sz w:val="18"/>
                <w:lang w:val="en-CA"/>
              </w:rPr>
              <w:t xml:space="preserve"> specialist availability</w:t>
            </w:r>
          </w:p>
        </w:tc>
      </w:tr>
      <w:tr w:rsidR="009270CD" w:rsidRPr="0069319F" w14:paraId="6905A9FA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76D899E7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No</w:t>
            </w:r>
          </w:p>
        </w:tc>
        <w:tc>
          <w:tcPr>
            <w:tcW w:w="4182" w:type="dxa"/>
            <w:vAlign w:val="center"/>
          </w:tcPr>
          <w:p w14:paraId="6E9519A4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12 (7.59%)</w:t>
            </w:r>
          </w:p>
        </w:tc>
      </w:tr>
      <w:tr w:rsidR="009270CD" w:rsidRPr="0069319F" w14:paraId="6F0934A4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1956D056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Yes</w:t>
            </w:r>
          </w:p>
        </w:tc>
        <w:tc>
          <w:tcPr>
            <w:tcW w:w="4182" w:type="dxa"/>
            <w:vAlign w:val="center"/>
          </w:tcPr>
          <w:p w14:paraId="32833807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139 (87.97%)</w:t>
            </w:r>
          </w:p>
        </w:tc>
      </w:tr>
      <w:tr w:rsidR="009270CD" w:rsidRPr="0069319F" w14:paraId="101D4928" w14:textId="77777777" w:rsidTr="00241746">
        <w:trPr>
          <w:trHeight w:val="160"/>
        </w:trPr>
        <w:tc>
          <w:tcPr>
            <w:tcW w:w="2759" w:type="dxa"/>
            <w:vAlign w:val="center"/>
          </w:tcPr>
          <w:p w14:paraId="4F355816" w14:textId="77777777" w:rsidR="009270CD" w:rsidRPr="0069319F" w:rsidRDefault="009270CD" w:rsidP="009270CD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Missing</w:t>
            </w:r>
          </w:p>
        </w:tc>
        <w:tc>
          <w:tcPr>
            <w:tcW w:w="4182" w:type="dxa"/>
            <w:vAlign w:val="center"/>
          </w:tcPr>
          <w:p w14:paraId="4C811C08" w14:textId="77777777" w:rsidR="009270CD" w:rsidRPr="0069319F" w:rsidRDefault="009270CD" w:rsidP="009270CD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17"/>
                <w:lang w:val="en-CA"/>
              </w:rPr>
              <w:t>7 (4.43%)</w:t>
            </w:r>
          </w:p>
        </w:tc>
      </w:tr>
    </w:tbl>
    <w:p w14:paraId="17BD3DFC" w14:textId="77777777" w:rsidR="009270CD" w:rsidRPr="0069319F" w:rsidRDefault="009270CD" w:rsidP="00435AEA">
      <w:pPr>
        <w:rPr>
          <w:rFonts w:ascii="Times New Roman" w:hAnsi="Times New Roman" w:cs="Times New Roman"/>
          <w:b/>
          <w:bCs/>
          <w:lang w:val="en-CA"/>
        </w:rPr>
      </w:pPr>
    </w:p>
    <w:p w14:paraId="281A7ABF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2B6EF5FE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7C4F1D0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25881B80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C99DA3B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A224FEF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A738C8E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1FEE7EB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1B7715FF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314129BA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F735A5B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2339FF3B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F39D617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0525EF1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C93FCB5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E5D18A2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8A8FCA1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9551F8E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15384EBA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EADBD65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DD653D7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702E92E3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6AF9003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7BCADE2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77BD569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3A2DF338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068EE87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3367AC4E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F521B3F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D2AB4A7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2BBA7D0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693E97A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0B0225A3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E27D333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2C2CE5C1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A601228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12677263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6C91B3CE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674841B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591BFA19" w14:textId="77777777" w:rsidR="009270CD" w:rsidRPr="0069319F" w:rsidRDefault="009270CD" w:rsidP="00946DDA">
      <w:pPr>
        <w:rPr>
          <w:rFonts w:ascii="Times New Roman" w:hAnsi="Times New Roman" w:cs="Times New Roman"/>
          <w:vertAlign w:val="superscript"/>
          <w:lang w:val="en-CA"/>
        </w:rPr>
      </w:pPr>
    </w:p>
    <w:p w14:paraId="487DF7C9" w14:textId="4EFCF3A6" w:rsidR="00924C4E" w:rsidRPr="0069319F" w:rsidRDefault="00F93B31" w:rsidP="00946DDA">
      <w:pPr>
        <w:rPr>
          <w:rFonts w:ascii="Times New Roman" w:hAnsi="Times New Roman" w:cs="Times New Roman"/>
          <w:i/>
          <w:iCs/>
          <w:sz w:val="18"/>
          <w:szCs w:val="18"/>
          <w:lang w:val="en-CA"/>
        </w:rPr>
      </w:pPr>
      <w:r w:rsidRPr="0069319F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CA"/>
        </w:rPr>
        <w:t>1</w:t>
      </w:r>
      <w:r w:rsidRPr="0069319F">
        <w:rPr>
          <w:rFonts w:ascii="Times New Roman" w:hAnsi="Times New Roman" w:cs="Times New Roman"/>
          <w:i/>
          <w:iCs/>
          <w:sz w:val="18"/>
          <w:szCs w:val="18"/>
          <w:lang w:val="en-CA"/>
        </w:rPr>
        <w:t xml:space="preserve">Defined </w:t>
      </w:r>
      <w:r w:rsidR="00DD2EB9" w:rsidRPr="0069319F">
        <w:rPr>
          <w:rFonts w:ascii="Times New Roman" w:hAnsi="Times New Roman" w:cs="Times New Roman"/>
          <w:i/>
          <w:iCs/>
          <w:sz w:val="18"/>
          <w:szCs w:val="18"/>
          <w:lang w:val="en-CA"/>
        </w:rPr>
        <w:t>based on</w:t>
      </w:r>
      <w:r w:rsidRPr="0069319F">
        <w:rPr>
          <w:rFonts w:ascii="Times New Roman" w:hAnsi="Times New Roman" w:cs="Times New Roman"/>
          <w:i/>
          <w:iCs/>
          <w:sz w:val="18"/>
          <w:szCs w:val="18"/>
          <w:lang w:val="en-CA"/>
        </w:rPr>
        <w:t xml:space="preserve"> the availability of aminoglycoside therapeutic drug monitoring (TDM)</w:t>
      </w:r>
    </w:p>
    <w:p w14:paraId="6EBE207B" w14:textId="77777777" w:rsidR="00D20586" w:rsidRPr="0069319F" w:rsidRDefault="00D20586" w:rsidP="00946DDA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506FDDB9" w14:textId="77777777" w:rsidR="00D20586" w:rsidRPr="0069319F" w:rsidRDefault="00D20586" w:rsidP="00946DDA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0F69E235" w14:textId="77777777" w:rsidR="009270CD" w:rsidRPr="0069319F" w:rsidRDefault="009270CD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br w:type="page"/>
      </w:r>
    </w:p>
    <w:p w14:paraId="6B1714C6" w14:textId="21568646" w:rsidR="004A40FE" w:rsidRPr="0069319F" w:rsidRDefault="004A40FE" w:rsidP="00D20586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lastRenderedPageBreak/>
        <w:t xml:space="preserve">Supplementary Figure </w:t>
      </w:r>
      <w:r w:rsidR="004E1827" w:rsidRPr="0069319F">
        <w:rPr>
          <w:rFonts w:ascii="Times New Roman" w:hAnsi="Times New Roman" w:cs="Times New Roman"/>
          <w:b/>
          <w:bCs/>
          <w:lang w:val="en-CA"/>
        </w:rPr>
        <w:t>2</w:t>
      </w:r>
      <w:r w:rsidRPr="0069319F">
        <w:rPr>
          <w:rFonts w:ascii="Times New Roman" w:hAnsi="Times New Roman" w:cs="Times New Roman"/>
          <w:b/>
          <w:bCs/>
          <w:lang w:val="en-CA"/>
        </w:rPr>
        <w:t>. Details on the time to adequate treatment</w:t>
      </w:r>
    </w:p>
    <w:p w14:paraId="4CFE82B7" w14:textId="360C11EE" w:rsidR="004A40FE" w:rsidRPr="0069319F" w:rsidRDefault="004A40FE" w:rsidP="00D20586">
      <w:pPr>
        <w:rPr>
          <w:rFonts w:ascii="Times New Roman" w:hAnsi="Times New Roman" w:cs="Times New Roman"/>
          <w:b/>
          <w:bCs/>
          <w:lang w:val="en-CA"/>
        </w:rPr>
      </w:pPr>
    </w:p>
    <w:p w14:paraId="5617A6E6" w14:textId="4766D3C0" w:rsidR="004A40FE" w:rsidRPr="0069319F" w:rsidRDefault="004A40FE" w:rsidP="00D20586">
      <w:pPr>
        <w:rPr>
          <w:rFonts w:ascii="Times New Roman" w:hAnsi="Times New Roman" w:cs="Times New Roman"/>
          <w:b/>
          <w:bCs/>
          <w:lang w:val="en-CA"/>
        </w:rPr>
      </w:pPr>
    </w:p>
    <w:p w14:paraId="5640EB76" w14:textId="6857E37E" w:rsidR="00EF784F" w:rsidRPr="0069319F" w:rsidRDefault="00EF784F" w:rsidP="00D20586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noProof/>
          <w:lang w:val="en-CA"/>
        </w:rPr>
        <w:drawing>
          <wp:inline distT="0" distB="0" distL="0" distR="0" wp14:anchorId="0EBF4247" wp14:editId="1F2FA3DD">
            <wp:extent cx="3876431" cy="2326030"/>
            <wp:effectExtent l="0" t="0" r="0" b="0"/>
            <wp:docPr id="4981317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317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7720" cy="233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C9EF5" w14:textId="7243FB34" w:rsidR="00351A7E" w:rsidRPr="0069319F" w:rsidRDefault="00AE2A16">
      <w:pPr>
        <w:rPr>
          <w:rFonts w:ascii="Times New Roman" w:hAnsi="Times New Roman" w:cs="Times New Roman"/>
          <w:sz w:val="18"/>
          <w:szCs w:val="18"/>
          <w:lang w:val="en-CA"/>
        </w:rPr>
      </w:pPr>
      <w:r w:rsidRPr="0069319F">
        <w:rPr>
          <w:rFonts w:ascii="Times New Roman" w:hAnsi="Times New Roman" w:cs="Times New Roman"/>
          <w:sz w:val="18"/>
          <w:szCs w:val="18"/>
          <w:lang w:val="en-CA"/>
        </w:rPr>
        <w:t>Legend: Distribution of patients according to time from bloodstream infection (BSI) onset to initiation of adequate antifungal therapy. Patients were categorized as receiving adequate therapy within ≤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1d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>, &gt;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1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 to ≤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2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 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d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>, &gt;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2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 to ≤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5d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>, or &gt;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5d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>/never.</w:t>
      </w:r>
      <w:r w:rsidR="00351A7E" w:rsidRPr="0069319F">
        <w:rPr>
          <w:rFonts w:ascii="Times New Roman" w:hAnsi="Times New Roman" w:cs="Times New Roman"/>
          <w:sz w:val="18"/>
          <w:szCs w:val="18"/>
          <w:lang w:val="en-CA"/>
        </w:rPr>
        <w:br w:type="page"/>
      </w:r>
    </w:p>
    <w:p w14:paraId="7DEE5700" w14:textId="4C794894" w:rsidR="007D734F" w:rsidRPr="0069319F" w:rsidRDefault="007D734F" w:rsidP="007D734F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lastRenderedPageBreak/>
        <w:t>Supplementary Figure 3. Love plot showing covariate balance before and after inverse probability of treatment weighting (IPTW)</w:t>
      </w:r>
    </w:p>
    <w:p w14:paraId="3B8C9BF4" w14:textId="77777777" w:rsidR="007D734F" w:rsidRPr="0069319F" w:rsidRDefault="007D734F" w:rsidP="007D734F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noProof/>
          <w:lang w:val="en-CA"/>
        </w:rPr>
        <w:drawing>
          <wp:inline distT="0" distB="0" distL="0" distR="0" wp14:anchorId="045ECF7C" wp14:editId="444A6F89">
            <wp:extent cx="5756910" cy="4088765"/>
            <wp:effectExtent l="0" t="0" r="0" b="635"/>
            <wp:docPr id="18020325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032573" name="Image 180203257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7AA59" w14:textId="6E137567" w:rsidR="007D734F" w:rsidRPr="0069319F" w:rsidRDefault="007D734F" w:rsidP="007D734F">
      <w:pPr>
        <w:rPr>
          <w:rFonts w:ascii="Times New Roman" w:hAnsi="Times New Roman" w:cs="Times New Roman"/>
          <w:sz w:val="18"/>
          <w:szCs w:val="18"/>
          <w:lang w:val="en-CA"/>
        </w:rPr>
      </w:pP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Legend: Standardized mean (SMD) differences are presented for each baseline covariate included in the propensity score model, comparing patients who received early adequate antifungal therapy within </w:t>
      </w:r>
      <w:r w:rsidR="00E35D95" w:rsidRPr="0069319F">
        <w:rPr>
          <w:rFonts w:ascii="Times New Roman" w:hAnsi="Times New Roman" w:cs="Times New Roman"/>
          <w:sz w:val="18"/>
          <w:szCs w:val="18"/>
          <w:lang w:val="en-CA"/>
        </w:rPr>
        <w:t>2 days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 with those who did not. Balance was assessed before and after weighting, with smaller absolute standardized mean differences indicating better covariate balance.</w:t>
      </w:r>
    </w:p>
    <w:p w14:paraId="0DF23C97" w14:textId="77777777" w:rsidR="007D734F" w:rsidRPr="0069319F" w:rsidRDefault="007D734F" w:rsidP="00351A7E">
      <w:pPr>
        <w:rPr>
          <w:rFonts w:ascii="Times New Roman" w:hAnsi="Times New Roman" w:cs="Times New Roman"/>
          <w:b/>
          <w:bCs/>
          <w:lang w:val="en-CA"/>
        </w:rPr>
      </w:pPr>
    </w:p>
    <w:p w14:paraId="43430A48" w14:textId="77777777" w:rsidR="007D734F" w:rsidRPr="0069319F" w:rsidRDefault="007D734F" w:rsidP="00351A7E">
      <w:pPr>
        <w:rPr>
          <w:rFonts w:ascii="Times New Roman" w:hAnsi="Times New Roman" w:cs="Times New Roman"/>
          <w:b/>
          <w:bCs/>
          <w:lang w:val="en-CA"/>
        </w:rPr>
      </w:pPr>
    </w:p>
    <w:p w14:paraId="033169F7" w14:textId="77777777" w:rsidR="00252E1A" w:rsidRPr="0069319F" w:rsidRDefault="00252E1A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br w:type="page"/>
      </w:r>
    </w:p>
    <w:p w14:paraId="561F9C61" w14:textId="0C685181" w:rsidR="00351A7E" w:rsidRPr="0069319F" w:rsidRDefault="00351A7E" w:rsidP="00351A7E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lastRenderedPageBreak/>
        <w:t xml:space="preserve">Supplementary Figure </w:t>
      </w:r>
      <w:r w:rsidR="006754E5" w:rsidRPr="0069319F">
        <w:rPr>
          <w:rFonts w:ascii="Times New Roman" w:hAnsi="Times New Roman" w:cs="Times New Roman"/>
          <w:b/>
          <w:bCs/>
          <w:lang w:val="en-CA"/>
        </w:rPr>
        <w:t>4</w:t>
      </w:r>
      <w:r w:rsidRPr="0069319F">
        <w:rPr>
          <w:rFonts w:ascii="Times New Roman" w:hAnsi="Times New Roman" w:cs="Times New Roman"/>
          <w:b/>
          <w:bCs/>
          <w:lang w:val="en-CA"/>
        </w:rPr>
        <w:t>. Kaplan-Meier survival estimates</w:t>
      </w:r>
    </w:p>
    <w:p w14:paraId="2878B14D" w14:textId="17C49279" w:rsidR="00F30649" w:rsidRPr="0069319F" w:rsidRDefault="00F30649" w:rsidP="00351A7E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noProof/>
          <w:lang w:val="en-CA"/>
        </w:rPr>
        <w:drawing>
          <wp:inline distT="0" distB="0" distL="0" distR="0" wp14:anchorId="6B33FCA7" wp14:editId="0DB5A42F">
            <wp:extent cx="6167336" cy="3854415"/>
            <wp:effectExtent l="0" t="0" r="5080" b="0"/>
            <wp:docPr id="17782261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261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476" cy="386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A398" w14:textId="3B66F275" w:rsidR="00F30649" w:rsidRPr="0069319F" w:rsidRDefault="00F30649" w:rsidP="00351A7E">
      <w:pPr>
        <w:rPr>
          <w:rFonts w:ascii="Times New Roman" w:hAnsi="Times New Roman" w:cs="Times New Roman"/>
          <w:lang w:val="en-CA"/>
        </w:rPr>
      </w:pPr>
    </w:p>
    <w:p w14:paraId="5A6B446D" w14:textId="0F1E8862" w:rsidR="00F30649" w:rsidRPr="0069319F" w:rsidRDefault="00F30649" w:rsidP="00351A7E">
      <w:pPr>
        <w:rPr>
          <w:rFonts w:ascii="Times New Roman" w:hAnsi="Times New Roman" w:cs="Times New Roman"/>
          <w:lang w:val="en-CA"/>
        </w:rPr>
      </w:pPr>
    </w:p>
    <w:p w14:paraId="15BF2628" w14:textId="0DB0E643" w:rsidR="00351A7E" w:rsidRPr="0069319F" w:rsidRDefault="008D7C0B" w:rsidP="00351A7E">
      <w:pPr>
        <w:rPr>
          <w:rFonts w:ascii="Times New Roman" w:hAnsi="Times New Roman" w:cs="Times New Roman"/>
          <w:sz w:val="18"/>
          <w:szCs w:val="18"/>
          <w:lang w:val="en-CA"/>
        </w:rPr>
      </w:pP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Legend: Kaplan–Meier curves showing 28-day survival in patients who received early adequate empirical antifungal therapy within </w:t>
      </w:r>
      <w:r w:rsidR="00082D77" w:rsidRPr="0069319F">
        <w:rPr>
          <w:rFonts w:ascii="Times New Roman" w:hAnsi="Times New Roman" w:cs="Times New Roman"/>
          <w:sz w:val="18"/>
          <w:szCs w:val="18"/>
          <w:lang w:val="en-CA"/>
        </w:rPr>
        <w:t>2 days</w:t>
      </w:r>
      <w:r w:rsidRPr="0069319F">
        <w:rPr>
          <w:rFonts w:ascii="Times New Roman" w:hAnsi="Times New Roman" w:cs="Times New Roman"/>
          <w:sz w:val="18"/>
          <w:szCs w:val="18"/>
          <w:lang w:val="en-CA"/>
        </w:rPr>
        <w:t xml:space="preserve"> after blood culture draw compared with those who did not. </w:t>
      </w:r>
    </w:p>
    <w:p w14:paraId="2C2956CC" w14:textId="77777777" w:rsidR="00732517" w:rsidRPr="0069319F" w:rsidRDefault="00732517">
      <w:pPr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69319F">
        <w:rPr>
          <w:rFonts w:ascii="Times New Roman" w:hAnsi="Times New Roman" w:cs="Times New Roman"/>
          <w:b/>
          <w:sz w:val="22"/>
          <w:szCs w:val="22"/>
          <w:lang w:val="en-CA"/>
        </w:rPr>
        <w:br w:type="page"/>
      </w:r>
    </w:p>
    <w:p w14:paraId="04A2F412" w14:textId="18EA3372" w:rsidR="00732517" w:rsidRPr="0069319F" w:rsidRDefault="00732517" w:rsidP="00732517">
      <w:pPr>
        <w:rPr>
          <w:rFonts w:ascii="Times New Roman" w:hAnsi="Times New Roman" w:cs="Times New Roman"/>
          <w:b/>
          <w:lang w:val="en-AU"/>
        </w:rPr>
      </w:pPr>
      <w:r w:rsidRPr="0069319F">
        <w:rPr>
          <w:rFonts w:ascii="Times New Roman" w:hAnsi="Times New Roman" w:cs="Times New Roman"/>
          <w:b/>
          <w:lang w:val="en-AU"/>
        </w:rPr>
        <w:lastRenderedPageBreak/>
        <w:t xml:space="preserve">Supplementary Table </w:t>
      </w:r>
      <w:r w:rsidR="00FC6DC3" w:rsidRPr="0069319F">
        <w:rPr>
          <w:rFonts w:ascii="Times New Roman" w:hAnsi="Times New Roman" w:cs="Times New Roman"/>
          <w:b/>
          <w:lang w:val="en-AU"/>
        </w:rPr>
        <w:t>3</w:t>
      </w:r>
      <w:r w:rsidRPr="0069319F">
        <w:rPr>
          <w:rFonts w:ascii="Times New Roman" w:hAnsi="Times New Roman" w:cs="Times New Roman"/>
          <w:b/>
          <w:lang w:val="en-AU"/>
        </w:rPr>
        <w:t xml:space="preserve">. </w:t>
      </w:r>
      <w:r w:rsidR="00474DF2" w:rsidRPr="0069319F">
        <w:rPr>
          <w:rFonts w:ascii="Times New Roman" w:hAnsi="Times New Roman" w:cs="Times New Roman"/>
          <w:b/>
          <w:lang w:val="en-AU"/>
        </w:rPr>
        <w:t>Univariable and multivariable frailty Cox models assessing the association between early adequate antifungal therapy and 28-day mortality</w:t>
      </w:r>
    </w:p>
    <w:p w14:paraId="7A7A1181" w14:textId="77777777" w:rsidR="00732517" w:rsidRPr="0069319F" w:rsidRDefault="00732517" w:rsidP="00732517">
      <w:pPr>
        <w:rPr>
          <w:rFonts w:ascii="Times New Roman" w:hAnsi="Times New Roman" w:cs="Times New Roman"/>
          <w:b/>
          <w:bCs/>
          <w:sz w:val="19"/>
          <w:szCs w:val="19"/>
          <w:lang w:val="en-CA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2143"/>
        <w:gridCol w:w="964"/>
      </w:tblGrid>
      <w:tr w:rsidR="00732517" w:rsidRPr="0069319F" w14:paraId="715238DC" w14:textId="77777777" w:rsidTr="00145523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37FE8031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Variable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3988BB15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HR (95% CI)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4D7DE1F4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p-value</w:t>
            </w:r>
          </w:p>
        </w:tc>
      </w:tr>
      <w:tr w:rsidR="00732517" w:rsidRPr="0069319F" w14:paraId="68EF1497" w14:textId="77777777" w:rsidTr="00145523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7A5C4D59" w14:textId="17BD3F00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 xml:space="preserve">Univariable </w:t>
            </w:r>
            <w:r w:rsidR="003D1F61"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 xml:space="preserve">frailty </w:t>
            </w: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Cox model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42105215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0729C81F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732517" w:rsidRPr="0069319F" w14:paraId="7F5EE4C7" w14:textId="77777777" w:rsidTr="00145523">
        <w:trPr>
          <w:trHeight w:val="458"/>
          <w:jc w:val="center"/>
        </w:trPr>
        <w:tc>
          <w:tcPr>
            <w:tcW w:w="5949" w:type="dxa"/>
            <w:vAlign w:val="center"/>
          </w:tcPr>
          <w:p w14:paraId="36F5E210" w14:textId="5ED7DDD3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Empiric adequate antifungal &lt;=</w:t>
            </w:r>
            <w:r w:rsidR="0061561C"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2d</w:t>
            </w: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(yes vs no)</w:t>
            </w:r>
          </w:p>
        </w:tc>
        <w:tc>
          <w:tcPr>
            <w:tcW w:w="2143" w:type="dxa"/>
            <w:vAlign w:val="center"/>
          </w:tcPr>
          <w:p w14:paraId="11EE474C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1.27 (0.87–1.88)</w:t>
            </w:r>
          </w:p>
        </w:tc>
        <w:tc>
          <w:tcPr>
            <w:tcW w:w="964" w:type="dxa"/>
            <w:vAlign w:val="center"/>
          </w:tcPr>
          <w:p w14:paraId="7D31ED05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0.219</w:t>
            </w:r>
          </w:p>
        </w:tc>
      </w:tr>
      <w:tr w:rsidR="00732517" w:rsidRPr="0069319F" w14:paraId="6021DD79" w14:textId="77777777" w:rsidTr="00145523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767BB22E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Multivariable frailty Cox model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026F93B6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0D82707B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732517" w:rsidRPr="0069319F" w14:paraId="46829823" w14:textId="77777777" w:rsidTr="00145523">
        <w:trPr>
          <w:trHeight w:val="398"/>
          <w:jc w:val="center"/>
        </w:trPr>
        <w:tc>
          <w:tcPr>
            <w:tcW w:w="5949" w:type="dxa"/>
            <w:vAlign w:val="center"/>
          </w:tcPr>
          <w:p w14:paraId="0E3A640B" w14:textId="082B0DE4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Empiric adequate antifungal &lt;=</w:t>
            </w:r>
            <w:r w:rsidR="0061561C"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2d</w:t>
            </w: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(yes vs no)</w:t>
            </w:r>
          </w:p>
        </w:tc>
        <w:tc>
          <w:tcPr>
            <w:tcW w:w="2143" w:type="dxa"/>
            <w:vAlign w:val="center"/>
          </w:tcPr>
          <w:p w14:paraId="711CC1DA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1.29 (0.86–1.93)</w:t>
            </w:r>
          </w:p>
        </w:tc>
        <w:tc>
          <w:tcPr>
            <w:tcW w:w="964" w:type="dxa"/>
            <w:vAlign w:val="center"/>
          </w:tcPr>
          <w:p w14:paraId="7745A973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0.227</w:t>
            </w:r>
          </w:p>
        </w:tc>
      </w:tr>
      <w:tr w:rsidR="00732517" w:rsidRPr="0069319F" w14:paraId="5B3E5889" w14:textId="77777777" w:rsidTr="00145523">
        <w:trPr>
          <w:trHeight w:val="595"/>
          <w:jc w:val="center"/>
        </w:trPr>
        <w:tc>
          <w:tcPr>
            <w:tcW w:w="5949" w:type="dxa"/>
            <w:vAlign w:val="center"/>
          </w:tcPr>
          <w:p w14:paraId="1B135E32" w14:textId="77777777" w:rsidR="00732517" w:rsidRPr="0069319F" w:rsidRDefault="00732517" w:rsidP="00145523">
            <w:pPr>
              <w:rPr>
                <w:rFonts w:ascii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Source control adequacy</w:t>
            </w:r>
          </w:p>
          <w:p w14:paraId="511151B8" w14:textId="77777777" w:rsidR="00732517" w:rsidRPr="0069319F" w:rsidRDefault="00732517" w:rsidP="00145523">
            <w:pPr>
              <w:ind w:left="259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-not needed</w:t>
            </w: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br/>
              <w:t>-required and complete</w:t>
            </w: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br/>
            </w: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-required but not achieved</w:t>
            </w:r>
          </w:p>
        </w:tc>
        <w:tc>
          <w:tcPr>
            <w:tcW w:w="2143" w:type="dxa"/>
            <w:vAlign w:val="center"/>
          </w:tcPr>
          <w:p w14:paraId="2078EA78" w14:textId="77777777" w:rsidR="00732517" w:rsidRPr="0069319F" w:rsidRDefault="00732517" w:rsidP="001455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</w:p>
          <w:p w14:paraId="59C7C347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Reference</w:t>
            </w:r>
          </w:p>
          <w:p w14:paraId="5F9B51C8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1.03 (0.58–1.83)</w:t>
            </w:r>
          </w:p>
          <w:p w14:paraId="649D6170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2.11 (1.09–4.09)</w:t>
            </w:r>
          </w:p>
        </w:tc>
        <w:tc>
          <w:tcPr>
            <w:tcW w:w="964" w:type="dxa"/>
            <w:vAlign w:val="center"/>
          </w:tcPr>
          <w:p w14:paraId="04AFE23A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A868B0F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</w:t>
            </w: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913</w:t>
            </w:r>
          </w:p>
          <w:p w14:paraId="46919CEF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0.026</w:t>
            </w:r>
          </w:p>
        </w:tc>
      </w:tr>
      <w:tr w:rsidR="00732517" w:rsidRPr="0069319F" w14:paraId="2C6FEE45" w14:textId="77777777" w:rsidTr="00145523">
        <w:trPr>
          <w:jc w:val="center"/>
        </w:trPr>
        <w:tc>
          <w:tcPr>
            <w:tcW w:w="5949" w:type="dxa"/>
            <w:vAlign w:val="center"/>
          </w:tcPr>
          <w:p w14:paraId="01D76633" w14:textId="77777777" w:rsidR="00732517" w:rsidRPr="0069319F" w:rsidRDefault="00732517" w:rsidP="00145523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Source of infection</w:t>
            </w:r>
          </w:p>
          <w:p w14:paraId="3F78719E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Other</w:t>
            </w:r>
          </w:p>
          <w:p w14:paraId="0AAB91FF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Catheter</w:t>
            </w:r>
          </w:p>
          <w:p w14:paraId="730C94B6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Abdominal</w:t>
            </w:r>
          </w:p>
        </w:tc>
        <w:tc>
          <w:tcPr>
            <w:tcW w:w="2143" w:type="dxa"/>
            <w:vAlign w:val="center"/>
          </w:tcPr>
          <w:p w14:paraId="44B20958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D1D5F24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Reference</w:t>
            </w:r>
          </w:p>
          <w:p w14:paraId="6AD7D0AD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1.01 (0.57–1.79)</w:t>
            </w:r>
          </w:p>
          <w:p w14:paraId="746D6C90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0.82 (0.43–1.56)</w:t>
            </w:r>
          </w:p>
        </w:tc>
        <w:tc>
          <w:tcPr>
            <w:tcW w:w="964" w:type="dxa"/>
            <w:vAlign w:val="center"/>
          </w:tcPr>
          <w:p w14:paraId="24EAC9EC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E513514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C6E3201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0.966</w:t>
            </w:r>
          </w:p>
          <w:p w14:paraId="5A814639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0.540</w:t>
            </w:r>
          </w:p>
        </w:tc>
      </w:tr>
      <w:tr w:rsidR="00732517" w:rsidRPr="0069319F" w14:paraId="314CCD86" w14:textId="77777777" w:rsidTr="00145523">
        <w:trPr>
          <w:jc w:val="center"/>
        </w:trPr>
        <w:tc>
          <w:tcPr>
            <w:tcW w:w="5949" w:type="dxa"/>
            <w:vAlign w:val="center"/>
          </w:tcPr>
          <w:p w14:paraId="5D14A6AE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Antibiotic stewardship and pharmacological support available</w:t>
            </w:r>
          </w:p>
        </w:tc>
        <w:tc>
          <w:tcPr>
            <w:tcW w:w="2143" w:type="dxa"/>
            <w:vAlign w:val="center"/>
          </w:tcPr>
          <w:p w14:paraId="7C4B4456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0.97 (0.64–1.48)</w:t>
            </w:r>
          </w:p>
        </w:tc>
        <w:tc>
          <w:tcPr>
            <w:tcW w:w="964" w:type="dxa"/>
            <w:vAlign w:val="center"/>
          </w:tcPr>
          <w:p w14:paraId="6E89A35B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0.895</w:t>
            </w:r>
          </w:p>
        </w:tc>
      </w:tr>
      <w:tr w:rsidR="00732517" w:rsidRPr="0069319F" w14:paraId="1A40BFE0" w14:textId="77777777" w:rsidTr="00145523">
        <w:trPr>
          <w:jc w:val="center"/>
        </w:trPr>
        <w:tc>
          <w:tcPr>
            <w:tcW w:w="5949" w:type="dxa"/>
            <w:vAlign w:val="center"/>
          </w:tcPr>
          <w:p w14:paraId="6A756412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SOFA score</w:t>
            </w:r>
          </w:p>
        </w:tc>
        <w:tc>
          <w:tcPr>
            <w:tcW w:w="2143" w:type="dxa"/>
            <w:vAlign w:val="center"/>
          </w:tcPr>
          <w:p w14:paraId="348CF0F0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1.13 (1.07–1.18)</w:t>
            </w:r>
          </w:p>
        </w:tc>
        <w:tc>
          <w:tcPr>
            <w:tcW w:w="964" w:type="dxa"/>
            <w:vAlign w:val="center"/>
          </w:tcPr>
          <w:p w14:paraId="1E03FE55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&lt;0.001</w:t>
            </w:r>
          </w:p>
        </w:tc>
      </w:tr>
      <w:tr w:rsidR="00732517" w:rsidRPr="0069319F" w14:paraId="6332A3DA" w14:textId="77777777" w:rsidTr="00145523">
        <w:trPr>
          <w:jc w:val="center"/>
        </w:trPr>
        <w:tc>
          <w:tcPr>
            <w:tcW w:w="5949" w:type="dxa"/>
            <w:vAlign w:val="center"/>
          </w:tcPr>
          <w:p w14:paraId="410DA24E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Charlson comorbidity index</w:t>
            </w:r>
          </w:p>
        </w:tc>
        <w:tc>
          <w:tcPr>
            <w:tcW w:w="2143" w:type="dxa"/>
            <w:vAlign w:val="center"/>
          </w:tcPr>
          <w:p w14:paraId="43187170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1.05 (0.97–1.14)</w:t>
            </w:r>
          </w:p>
        </w:tc>
        <w:tc>
          <w:tcPr>
            <w:tcW w:w="964" w:type="dxa"/>
            <w:vAlign w:val="center"/>
          </w:tcPr>
          <w:p w14:paraId="1BC4AD22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0.222</w:t>
            </w:r>
          </w:p>
        </w:tc>
      </w:tr>
      <w:tr w:rsidR="00732517" w:rsidRPr="0069319F" w14:paraId="0B533BFC" w14:textId="77777777" w:rsidTr="00145523">
        <w:trPr>
          <w:jc w:val="center"/>
        </w:trPr>
        <w:tc>
          <w:tcPr>
            <w:tcW w:w="5949" w:type="dxa"/>
            <w:vAlign w:val="center"/>
          </w:tcPr>
          <w:p w14:paraId="28C4CC5F" w14:textId="77777777" w:rsidR="00732517" w:rsidRPr="0069319F" w:rsidRDefault="00732517" w:rsidP="00145523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Admission type: Surgical (reference: medical)</w:t>
            </w:r>
          </w:p>
        </w:tc>
        <w:tc>
          <w:tcPr>
            <w:tcW w:w="2143" w:type="dxa"/>
            <w:vAlign w:val="center"/>
          </w:tcPr>
          <w:p w14:paraId="20E11AC0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0.70 (0.44–1.12)</w:t>
            </w:r>
          </w:p>
        </w:tc>
        <w:tc>
          <w:tcPr>
            <w:tcW w:w="964" w:type="dxa"/>
            <w:vAlign w:val="center"/>
          </w:tcPr>
          <w:p w14:paraId="76CC011A" w14:textId="77777777" w:rsidR="00732517" w:rsidRPr="0069319F" w:rsidRDefault="00732517" w:rsidP="001455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9319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0.139</w:t>
            </w:r>
          </w:p>
        </w:tc>
      </w:tr>
    </w:tbl>
    <w:p w14:paraId="1330D77D" w14:textId="4EA9F77A" w:rsidR="00732517" w:rsidRPr="0069319F" w:rsidRDefault="00732517" w:rsidP="00732517">
      <w:pPr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sz w:val="16"/>
          <w:lang w:val="en-CA"/>
        </w:rPr>
        <w:t>Multivariable model adjusted for source of infection, therapeutic drug monitoring of aminoglycosides, SOFA score, Charlson comorbidity index</w:t>
      </w:r>
      <w:r w:rsidR="000B2949" w:rsidRPr="0069319F">
        <w:rPr>
          <w:rFonts w:ascii="Times New Roman" w:hAnsi="Times New Roman" w:cs="Times New Roman"/>
          <w:sz w:val="16"/>
          <w:lang w:val="en-CA"/>
        </w:rPr>
        <w:t xml:space="preserve"> and</w:t>
      </w:r>
      <w:r w:rsidRPr="0069319F">
        <w:rPr>
          <w:rFonts w:ascii="Times New Roman" w:hAnsi="Times New Roman" w:cs="Times New Roman"/>
          <w:sz w:val="16"/>
          <w:lang w:val="en-CA"/>
        </w:rPr>
        <w:t xml:space="preserve"> admission type. HR: hazard ratio; CI: confidence interval; SOFA: Sequential Organ Failure Assessment.</w:t>
      </w:r>
    </w:p>
    <w:p w14:paraId="61279C1A" w14:textId="77777777" w:rsidR="00351A7E" w:rsidRPr="0069319F" w:rsidRDefault="00351A7E" w:rsidP="00351A7E">
      <w:pPr>
        <w:rPr>
          <w:rFonts w:ascii="Times New Roman" w:hAnsi="Times New Roman" w:cs="Times New Roman"/>
          <w:b/>
          <w:lang w:val="en-CA"/>
        </w:rPr>
      </w:pPr>
      <w:r w:rsidRPr="0069319F">
        <w:rPr>
          <w:rFonts w:ascii="Times New Roman" w:hAnsi="Times New Roman" w:cs="Times New Roman"/>
          <w:b/>
          <w:lang w:val="en-CA"/>
        </w:rPr>
        <w:br w:type="page"/>
      </w:r>
    </w:p>
    <w:p w14:paraId="046296C0" w14:textId="5BA0F62B" w:rsidR="004B349A" w:rsidRPr="0069319F" w:rsidRDefault="004B349A">
      <w:pPr>
        <w:rPr>
          <w:rFonts w:ascii="Times New Roman" w:hAnsi="Times New Roman" w:cs="Times New Roman"/>
          <w:lang w:val="en-CA"/>
        </w:rPr>
      </w:pPr>
    </w:p>
    <w:p w14:paraId="368BC1F6" w14:textId="53C2D4F2" w:rsidR="00732517" w:rsidRPr="0069319F" w:rsidRDefault="00732517" w:rsidP="00732517">
      <w:pPr>
        <w:rPr>
          <w:rFonts w:ascii="Times New Roman" w:hAnsi="Times New Roman" w:cs="Times New Roman"/>
          <w:b/>
          <w:bCs/>
          <w:lang w:val="en-CA"/>
        </w:rPr>
      </w:pPr>
      <w:r w:rsidRPr="0069319F">
        <w:rPr>
          <w:rFonts w:ascii="Times New Roman" w:hAnsi="Times New Roman" w:cs="Times New Roman"/>
          <w:b/>
          <w:bCs/>
          <w:lang w:val="en-CA"/>
        </w:rPr>
        <w:t xml:space="preserve">Supplementary Table </w:t>
      </w:r>
      <w:r w:rsidR="006A0382" w:rsidRPr="0069319F">
        <w:rPr>
          <w:rFonts w:ascii="Times New Roman" w:hAnsi="Times New Roman" w:cs="Times New Roman"/>
          <w:b/>
          <w:bCs/>
          <w:lang w:val="en-CA"/>
        </w:rPr>
        <w:t>4</w:t>
      </w:r>
      <w:r w:rsidRPr="0069319F">
        <w:rPr>
          <w:rFonts w:ascii="Times New Roman" w:hAnsi="Times New Roman" w:cs="Times New Roman"/>
          <w:b/>
          <w:bCs/>
          <w:lang w:val="en-CA"/>
        </w:rPr>
        <w:t>. S</w:t>
      </w:r>
      <w:r w:rsidR="006B3781" w:rsidRPr="0069319F">
        <w:rPr>
          <w:rFonts w:ascii="Times New Roman" w:eastAsia="Times New Roman" w:hAnsi="Times New Roman"/>
          <w:b/>
          <w:lang w:val="en-CA"/>
        </w:rPr>
        <w:t xml:space="preserve">ubgroup </w:t>
      </w:r>
      <w:r w:rsidRPr="0069319F">
        <w:rPr>
          <w:rFonts w:ascii="Times New Roman" w:eastAsia="Times New Roman" w:hAnsi="Times New Roman"/>
          <w:b/>
          <w:lang w:val="en-CA"/>
        </w:rPr>
        <w:t xml:space="preserve">analyses using weighted Cox regression for 28-day mortality, stratified by study cohort, </w:t>
      </w:r>
      <w:r w:rsidR="0036519B" w:rsidRPr="0069319F">
        <w:rPr>
          <w:rFonts w:ascii="Times New Roman" w:eastAsia="Times New Roman" w:hAnsi="Times New Roman"/>
          <w:b/>
          <w:lang w:val="en-CA"/>
        </w:rPr>
        <w:t xml:space="preserve">hypotension </w:t>
      </w:r>
      <w:r w:rsidRPr="0069319F">
        <w:rPr>
          <w:rFonts w:ascii="Times New Roman" w:eastAsia="Times New Roman" w:hAnsi="Times New Roman"/>
          <w:b/>
          <w:lang w:val="en-CA"/>
        </w:rPr>
        <w:t>status, Candida species and time to positivity</w:t>
      </w:r>
    </w:p>
    <w:p w14:paraId="2A9CBC9B" w14:textId="77777777" w:rsidR="00732517" w:rsidRPr="0069319F" w:rsidRDefault="00732517" w:rsidP="00732517">
      <w:pPr>
        <w:rPr>
          <w:rFonts w:ascii="Times New Roman" w:hAnsi="Times New Roman" w:cs="Times New Roman"/>
          <w:sz w:val="22"/>
          <w:szCs w:val="22"/>
          <w:lang w:val="en-C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9"/>
        <w:gridCol w:w="2583"/>
        <w:gridCol w:w="865"/>
      </w:tblGrid>
      <w:tr w:rsidR="00732517" w:rsidRPr="0069319F" w14:paraId="74F5DFBB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FC4FAA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Eurobact-1, N=81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88FFEE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CF18C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331D9955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95028C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8F60D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8309D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24795967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902115" w14:textId="5A1213A0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51D5E1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1.26 (0.57-2.79)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86FBDF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0.564</w:t>
            </w:r>
          </w:p>
        </w:tc>
      </w:tr>
      <w:tr w:rsidR="00732517" w:rsidRPr="0069319F" w14:paraId="798FA06A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679185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Eurobact-2, N=191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4671A2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823749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5B241BC8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0A0BDB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758217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C624E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0125B91D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4AB282" w14:textId="361CE2DE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AED974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1.25 (0.78-1.99)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D901C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0.347</w:t>
            </w:r>
          </w:p>
        </w:tc>
      </w:tr>
      <w:tr w:rsidR="00732517" w:rsidRPr="0069319F" w14:paraId="1E052F8E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B3925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Candida albicans only, N=128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0C0F5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B56C3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55DC5CD3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FE2FA1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76138B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D8B674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222DD0A5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E1FEF2" w14:textId="708A616F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FE39CB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1.42 (0.79-2.54)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FBFD37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0.243</w:t>
            </w:r>
          </w:p>
        </w:tc>
      </w:tr>
      <w:tr w:rsidR="00732517" w:rsidRPr="0069319F" w14:paraId="177A85E2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A9FD1E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Other Candida species, N=144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60440F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1FDD53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4357487E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6EE294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F71971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7B713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47789DCC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84EC88" w14:textId="3F1A5C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72E051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1.07 (0.62-1.87)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146522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0.799</w:t>
            </w:r>
          </w:p>
        </w:tc>
      </w:tr>
      <w:tr w:rsidR="00732517" w:rsidRPr="0069319F" w14:paraId="3CE08E01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4A69C8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Candida glabrata only, N=47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C9133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F3250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43E95FB4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B49E00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1E0D1C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E9E45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2078CBAD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095986" w14:textId="270FC742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BC616A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0.44 (0.15-1.29)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F20363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0.137</w:t>
            </w:r>
          </w:p>
        </w:tc>
      </w:tr>
      <w:tr w:rsidR="00732517" w:rsidRPr="0069319F" w14:paraId="7A822DDC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2A761A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Other Candida species, N=225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019D82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046ACE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6F3B3E99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2646A2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709C7B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2FD641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204C90C0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DD5C42" w14:textId="1ABA2365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292061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1.44 (0.93-2.22)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CBD8E4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0.103</w:t>
            </w:r>
          </w:p>
        </w:tc>
      </w:tr>
      <w:tr w:rsidR="00732517" w:rsidRPr="0069319F" w14:paraId="28305A32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59DB22" w14:textId="2C01A754" w:rsidR="00732517" w:rsidRPr="0069319F" w:rsidRDefault="005234F5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Hypotension</w:t>
            </w:r>
            <w:r w:rsidR="00732517"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* at BSI, N=108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3888D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E63947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585555FD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00FE50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292E35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DE9DB7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220EEE7C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D0A2F3" w14:textId="1F460A60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082E86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1.58 (0.89-2.81)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EDBA40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0.116</w:t>
            </w:r>
          </w:p>
        </w:tc>
      </w:tr>
      <w:tr w:rsidR="00732517" w:rsidRPr="0069319F" w14:paraId="706CBB13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DFDE98" w14:textId="0B95140A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 xml:space="preserve">Absence of </w:t>
            </w:r>
            <w:r w:rsidR="005234F5"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hypotension</w:t>
            </w: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* at BSI, N=146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6B34FF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DD1B4A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3AEC1ADB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51B5E6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BC04E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1515A4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0C04C84F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CF1B14" w14:textId="359783B5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4E87BC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1.03 (0.57-1.85)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BA1D59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0.923</w:t>
            </w:r>
          </w:p>
        </w:tc>
      </w:tr>
      <w:tr w:rsidR="00732517" w:rsidRPr="0069319F" w14:paraId="7066705B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85449C" w14:textId="77777777" w:rsidR="00732517" w:rsidRPr="0069319F" w:rsidRDefault="00732517" w:rsidP="00145523">
            <w:pPr>
              <w:spacing w:line="216" w:lineRule="auto"/>
              <w:rPr>
                <w:vertAlign w:val="superscript"/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Time to positivity &gt;=2 days</w:t>
            </w:r>
            <w:r w:rsidRPr="0069319F">
              <w:rPr>
                <w:rFonts w:ascii="Times New Roman" w:eastAsia="Times New Roman" w:hAnsi="Times New Roman"/>
                <w:b/>
                <w:sz w:val="20"/>
                <w:vertAlign w:val="superscript"/>
                <w:lang w:val="en-CA"/>
              </w:rPr>
              <w:t>**</w:t>
            </w:r>
          </w:p>
        </w:tc>
        <w:tc>
          <w:tcPr>
            <w:tcW w:w="258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A5DA34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HR (95% CI)</w:t>
            </w:r>
          </w:p>
        </w:tc>
        <w:tc>
          <w:tcPr>
            <w:tcW w:w="86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B0EC4E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b/>
                <w:sz w:val="20"/>
                <w:lang w:val="en-CA"/>
              </w:rPr>
              <w:t>p</w:t>
            </w:r>
          </w:p>
        </w:tc>
      </w:tr>
      <w:tr w:rsidR="00732517" w:rsidRPr="0069319F" w14:paraId="202FC313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F15536" w14:textId="77777777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Weighted Cox model (IPTW)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5EBFB9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EE0482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</w:p>
        </w:tc>
      </w:tr>
      <w:tr w:rsidR="00732517" w:rsidRPr="0069319F" w14:paraId="5199FF0E" w14:textId="77777777" w:rsidTr="00145523">
        <w:trPr>
          <w:trHeight w:hRule="exact" w:val="273"/>
          <w:jc w:val="center"/>
        </w:trPr>
        <w:tc>
          <w:tcPr>
            <w:tcW w:w="421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5B6D31" w14:textId="15711BB4" w:rsidR="00732517" w:rsidRPr="0069319F" w:rsidRDefault="00732517" w:rsidP="00145523">
            <w:pPr>
              <w:spacing w:line="216" w:lineRule="auto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Empiric adequate antifungal &lt;=</w:t>
            </w:r>
            <w:r w:rsidR="00E35D95" w:rsidRPr="0069319F">
              <w:rPr>
                <w:rFonts w:ascii="Times New Roman" w:eastAsia="Times New Roman" w:hAnsi="Times New Roman"/>
                <w:sz w:val="20"/>
                <w:lang w:val="en-CA"/>
              </w:rPr>
              <w:t>2d</w:t>
            </w: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 xml:space="preserve"> (yes vs no)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78E0F8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1.09 (0.62-1.90)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5B60B6" w14:textId="77777777" w:rsidR="00732517" w:rsidRPr="0069319F" w:rsidRDefault="00732517" w:rsidP="00145523">
            <w:pPr>
              <w:spacing w:line="216" w:lineRule="auto"/>
              <w:jc w:val="center"/>
              <w:rPr>
                <w:lang w:val="en-CA"/>
              </w:rPr>
            </w:pPr>
            <w:r w:rsidRPr="0069319F">
              <w:rPr>
                <w:rFonts w:ascii="Times New Roman" w:eastAsia="Times New Roman" w:hAnsi="Times New Roman"/>
                <w:sz w:val="20"/>
                <w:lang w:val="en-CA"/>
              </w:rPr>
              <w:t>0.771</w:t>
            </w:r>
          </w:p>
        </w:tc>
      </w:tr>
    </w:tbl>
    <w:p w14:paraId="1BDAAD3B" w14:textId="77777777" w:rsidR="00732517" w:rsidRPr="0069319F" w:rsidRDefault="00732517" w:rsidP="00732517">
      <w:pPr>
        <w:rPr>
          <w:rFonts w:ascii="Times New Roman" w:hAnsi="Times New Roman" w:cs="Times New Roman"/>
          <w:sz w:val="20"/>
          <w:szCs w:val="20"/>
          <w:lang w:val="en-CA"/>
        </w:rPr>
      </w:pPr>
      <w:r w:rsidRPr="0069319F">
        <w:rPr>
          <w:rFonts w:ascii="Times New Roman" w:hAnsi="Times New Roman" w:cs="Times New Roman"/>
          <w:sz w:val="20"/>
          <w:szCs w:val="20"/>
          <w:lang w:val="en-CA"/>
        </w:rPr>
        <w:t>*18 missing</w:t>
      </w:r>
    </w:p>
    <w:p w14:paraId="7F64BED6" w14:textId="156F5161" w:rsidR="000921D4" w:rsidRDefault="00732517" w:rsidP="00946DDA">
      <w:pPr>
        <w:rPr>
          <w:rFonts w:ascii="Times New Roman" w:hAnsi="Times New Roman" w:cs="Times New Roman"/>
          <w:sz w:val="20"/>
          <w:szCs w:val="20"/>
          <w:lang w:val="en-CA"/>
        </w:rPr>
      </w:pPr>
      <w:r w:rsidRPr="0069319F">
        <w:rPr>
          <w:rFonts w:ascii="Times New Roman" w:hAnsi="Times New Roman" w:cs="Times New Roman"/>
          <w:sz w:val="20"/>
          <w:szCs w:val="20"/>
          <w:lang w:val="en-CA"/>
        </w:rPr>
        <w:t>** Patients with a missing</w:t>
      </w:r>
      <w:r w:rsidR="00840426" w:rsidRPr="0069319F">
        <w:rPr>
          <w:rFonts w:ascii="Times New Roman" w:hAnsi="Times New Roman" w:cs="Times New Roman"/>
          <w:lang w:val="en-CA"/>
        </w:rPr>
        <w:t xml:space="preserve"> </w:t>
      </w:r>
      <w:r w:rsidR="002F38EC" w:rsidRPr="0069319F">
        <w:rPr>
          <w:rFonts w:ascii="Times New Roman" w:hAnsi="Times New Roman" w:cs="Times New Roman"/>
          <w:sz w:val="20"/>
          <w:szCs w:val="20"/>
          <w:lang w:val="en-CA"/>
        </w:rPr>
        <w:t>date of BSI positivity (n=52) or time to positivity &lt;2 days (n=71) were excluded.</w:t>
      </w:r>
    </w:p>
    <w:p w14:paraId="3DFF6A2F" w14:textId="77777777" w:rsidR="00F83801" w:rsidRDefault="00F83801" w:rsidP="00946DDA">
      <w:pPr>
        <w:rPr>
          <w:rFonts w:ascii="Times New Roman" w:hAnsi="Times New Roman" w:cs="Times New Roman"/>
          <w:sz w:val="20"/>
          <w:szCs w:val="20"/>
          <w:lang w:val="en-CA"/>
        </w:rPr>
      </w:pPr>
    </w:p>
    <w:p w14:paraId="27B1AE4A" w14:textId="77777777" w:rsidR="00F83801" w:rsidRDefault="00F83801">
      <w:pPr>
        <w:rPr>
          <w:rFonts w:ascii="Times New Roman" w:hAnsi="Times New Roman" w:cs="Times New Roman"/>
          <w:sz w:val="20"/>
          <w:szCs w:val="20"/>
          <w:lang w:val="en-CA"/>
        </w:rPr>
      </w:pPr>
      <w:r>
        <w:rPr>
          <w:rFonts w:ascii="Times New Roman" w:hAnsi="Times New Roman" w:cs="Times New Roman"/>
          <w:sz w:val="20"/>
          <w:szCs w:val="20"/>
          <w:lang w:val="en-CA"/>
        </w:rPr>
        <w:br w:type="page"/>
      </w:r>
    </w:p>
    <w:p w14:paraId="7DC6584B" w14:textId="77777777" w:rsidR="00437FE7" w:rsidRPr="00437FE7" w:rsidRDefault="00437FE7" w:rsidP="00437FE7">
      <w:pPr>
        <w:rPr>
          <w:rFonts w:ascii="Times New Roman" w:hAnsi="Times New Roman" w:cs="Times New Roman"/>
          <w:b/>
          <w:bCs/>
          <w:lang w:val="en-CA"/>
        </w:rPr>
      </w:pPr>
      <w:r w:rsidRPr="00437FE7">
        <w:rPr>
          <w:rFonts w:ascii="Times New Roman" w:hAnsi="Times New Roman" w:cs="Times New Roman"/>
          <w:b/>
          <w:bCs/>
          <w:lang w:val="en-CA"/>
        </w:rPr>
        <w:lastRenderedPageBreak/>
        <w:t>Supplementary Table 5. Sensitivity analysis using a 1-day definition of early adequate antifungal therapy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2143"/>
        <w:gridCol w:w="964"/>
      </w:tblGrid>
      <w:tr w:rsidR="00437FE7" w:rsidRPr="00437FE7" w14:paraId="44B53650" w14:textId="77777777" w:rsidTr="00BA5AF4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3D362C62" w14:textId="51CFD9E0" w:rsidR="00437FE7" w:rsidRPr="00437FE7" w:rsidRDefault="00437FE7" w:rsidP="00BA5A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62517E19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HR (95% CI)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6B5F5E65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p-value</w:t>
            </w:r>
          </w:p>
        </w:tc>
      </w:tr>
      <w:tr w:rsidR="00437FE7" w:rsidRPr="00437FE7" w14:paraId="4744A159" w14:textId="77777777" w:rsidTr="00BA5AF4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76F16B02" w14:textId="77777777" w:rsidR="00437FE7" w:rsidRPr="00437FE7" w:rsidRDefault="00437FE7" w:rsidP="00BA5A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Univariable Cox model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26A324AA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5BC247AD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437FE7" w:rsidRPr="00437FE7" w14:paraId="5D3CE381" w14:textId="77777777" w:rsidTr="00BA5AF4">
        <w:trPr>
          <w:trHeight w:val="458"/>
          <w:jc w:val="center"/>
        </w:trPr>
        <w:tc>
          <w:tcPr>
            <w:tcW w:w="5949" w:type="dxa"/>
            <w:vAlign w:val="center"/>
          </w:tcPr>
          <w:p w14:paraId="2EEEA395" w14:textId="77777777" w:rsidR="00437FE7" w:rsidRPr="00437FE7" w:rsidRDefault="00437FE7" w:rsidP="00BA5A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Empiric adequate antifungal &lt;=1d (yes vs no)</w:t>
            </w:r>
          </w:p>
        </w:tc>
        <w:tc>
          <w:tcPr>
            <w:tcW w:w="2143" w:type="dxa"/>
            <w:vAlign w:val="center"/>
          </w:tcPr>
          <w:p w14:paraId="14065337" w14:textId="004AAD51" w:rsidR="00437FE7" w:rsidRPr="00437FE7" w:rsidRDefault="00BB78E5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B78E5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1.27 (0.81-2.00)</w:t>
            </w:r>
          </w:p>
        </w:tc>
        <w:tc>
          <w:tcPr>
            <w:tcW w:w="964" w:type="dxa"/>
            <w:vAlign w:val="center"/>
          </w:tcPr>
          <w:p w14:paraId="51B30E6A" w14:textId="03C6337A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0.</w:t>
            </w:r>
            <w:r w:rsidR="00BB78E5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306</w:t>
            </w:r>
          </w:p>
        </w:tc>
      </w:tr>
      <w:tr w:rsidR="00437FE7" w:rsidRPr="00437FE7" w14:paraId="751E7FDB" w14:textId="77777777" w:rsidTr="00BA5AF4">
        <w:trPr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03F0B464" w14:textId="77777777" w:rsidR="00437FE7" w:rsidRPr="00437FE7" w:rsidRDefault="00437FE7" w:rsidP="00BA5AF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CA"/>
              </w:rPr>
              <w:t>Multivariable Cox model</w:t>
            </w:r>
            <w:r w:rsidRPr="00437FE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CA"/>
              </w:rPr>
              <w:t>1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</w:tcPr>
          <w:p w14:paraId="444522B7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2B519DC6" w14:textId="77777777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437FE7" w:rsidRPr="00437FE7" w14:paraId="04171FFF" w14:textId="77777777" w:rsidTr="00BA5AF4">
        <w:trPr>
          <w:trHeight w:val="398"/>
          <w:jc w:val="center"/>
        </w:trPr>
        <w:tc>
          <w:tcPr>
            <w:tcW w:w="5949" w:type="dxa"/>
            <w:vAlign w:val="center"/>
          </w:tcPr>
          <w:p w14:paraId="2E1BE6FA" w14:textId="77777777" w:rsidR="00437FE7" w:rsidRPr="00437FE7" w:rsidRDefault="00437FE7" w:rsidP="00BA5A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Empiric adequate antifungal &lt;=1d (yes vs no)</w:t>
            </w:r>
          </w:p>
        </w:tc>
        <w:tc>
          <w:tcPr>
            <w:tcW w:w="2143" w:type="dxa"/>
            <w:vAlign w:val="center"/>
          </w:tcPr>
          <w:p w14:paraId="7F78C661" w14:textId="18987040" w:rsidR="00437FE7" w:rsidRPr="00437FE7" w:rsidRDefault="00BB78E5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B78E5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1.32 (0.85-2.04)</w:t>
            </w:r>
          </w:p>
        </w:tc>
        <w:tc>
          <w:tcPr>
            <w:tcW w:w="964" w:type="dxa"/>
            <w:vAlign w:val="center"/>
          </w:tcPr>
          <w:p w14:paraId="575F74F8" w14:textId="5CEA070D" w:rsidR="00437FE7" w:rsidRPr="00437FE7" w:rsidRDefault="00437FE7" w:rsidP="00BA5A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37FE7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0.</w:t>
            </w:r>
            <w:r w:rsidR="00BB78E5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216</w:t>
            </w:r>
          </w:p>
        </w:tc>
      </w:tr>
    </w:tbl>
    <w:p w14:paraId="06331B35" w14:textId="77777777" w:rsidR="00437FE7" w:rsidRPr="00437FE7" w:rsidRDefault="00437FE7" w:rsidP="00437FE7">
      <w:pPr>
        <w:rPr>
          <w:rFonts w:ascii="Times New Roman" w:hAnsi="Times New Roman" w:cs="Times New Roman"/>
          <w:sz w:val="18"/>
          <w:szCs w:val="18"/>
          <w:lang w:val="en-CA"/>
        </w:rPr>
      </w:pPr>
      <w:r w:rsidRPr="00437FE7">
        <w:rPr>
          <w:rFonts w:ascii="Times New Roman" w:hAnsi="Times New Roman" w:cs="Times New Roman"/>
          <w:vertAlign w:val="superscript"/>
          <w:lang w:val="en-CA"/>
        </w:rPr>
        <w:t>1</w:t>
      </w:r>
      <w:r w:rsidRPr="00437FE7">
        <w:rPr>
          <w:rFonts w:ascii="Times New Roman" w:hAnsi="Times New Roman" w:cs="Times New Roman"/>
          <w:sz w:val="18"/>
          <w:szCs w:val="18"/>
        </w:rPr>
        <w:t>Adjusted for source of infection, source control management, availability of antimicrobial stewardship/pharmacological support, SOFA score at BSI, Charlson Comorbidity Index, admission type, and mechanical ventilation at the time of BSI.</w:t>
      </w:r>
    </w:p>
    <w:p w14:paraId="71A7821D" w14:textId="77777777" w:rsidR="00437FE7" w:rsidRPr="00781384" w:rsidRDefault="00437FE7" w:rsidP="00437FE7">
      <w:pPr>
        <w:rPr>
          <w:rFonts w:ascii="Times New Roman" w:hAnsi="Times New Roman" w:cs="Times New Roman"/>
          <w:lang w:val="en-CA"/>
        </w:rPr>
      </w:pPr>
    </w:p>
    <w:p w14:paraId="37FA5D6A" w14:textId="77777777" w:rsidR="00E02C05" w:rsidRPr="00095BD4" w:rsidRDefault="00E02C05" w:rsidP="00E02C05">
      <w:pPr>
        <w:rPr>
          <w:rFonts w:ascii="Times New Roman" w:hAnsi="Times New Roman" w:cs="Times New Roman"/>
          <w:color w:val="4472C4" w:themeColor="accent1"/>
          <w:lang w:val="en-CA"/>
        </w:rPr>
      </w:pPr>
    </w:p>
    <w:p w14:paraId="61D7653B" w14:textId="77777777" w:rsidR="00E02C05" w:rsidRPr="0069319F" w:rsidRDefault="00E02C05" w:rsidP="00E02C05">
      <w:pPr>
        <w:rPr>
          <w:rFonts w:ascii="Times New Roman" w:hAnsi="Times New Roman" w:cs="Times New Roman"/>
          <w:lang w:val="en-CA"/>
        </w:rPr>
      </w:pPr>
    </w:p>
    <w:p w14:paraId="611B38FE" w14:textId="77777777" w:rsidR="00E02C05" w:rsidRPr="0069319F" w:rsidRDefault="00E02C05" w:rsidP="00E02C05">
      <w:pPr>
        <w:rPr>
          <w:rFonts w:ascii="Times New Roman" w:hAnsi="Times New Roman" w:cs="Times New Roman"/>
          <w:lang w:val="en-CA"/>
        </w:rPr>
      </w:pPr>
    </w:p>
    <w:p w14:paraId="2A2B6266" w14:textId="77777777" w:rsidR="00E02C05" w:rsidRPr="0069319F" w:rsidRDefault="00E02C05" w:rsidP="00E02C05">
      <w:pPr>
        <w:rPr>
          <w:rFonts w:ascii="Times New Roman" w:hAnsi="Times New Roman" w:cs="Times New Roman"/>
          <w:sz w:val="20"/>
          <w:szCs w:val="20"/>
          <w:lang w:val="en-CA"/>
        </w:rPr>
      </w:pPr>
    </w:p>
    <w:p w14:paraId="5FE69101" w14:textId="77777777" w:rsidR="00E02C05" w:rsidRPr="0069319F" w:rsidRDefault="00E02C05" w:rsidP="00E02C05">
      <w:pPr>
        <w:rPr>
          <w:rFonts w:ascii="Times New Roman" w:hAnsi="Times New Roman" w:cs="Times New Roman"/>
          <w:sz w:val="20"/>
          <w:szCs w:val="20"/>
          <w:lang w:val="en-CA"/>
        </w:rPr>
      </w:pPr>
    </w:p>
    <w:p w14:paraId="12E21E8C" w14:textId="07BA8F3E" w:rsidR="00E02C05" w:rsidRPr="0069319F" w:rsidRDefault="00E02C05" w:rsidP="00E02C05">
      <w:pPr>
        <w:tabs>
          <w:tab w:val="left" w:pos="7740"/>
        </w:tabs>
        <w:rPr>
          <w:rFonts w:ascii="Times New Roman" w:hAnsi="Times New Roman" w:cs="Times New Roman"/>
          <w:lang w:val="en-CA"/>
        </w:rPr>
      </w:pPr>
      <w:r w:rsidRPr="0069319F">
        <w:rPr>
          <w:rFonts w:ascii="Times New Roman" w:hAnsi="Times New Roman" w:cs="Times New Roman"/>
          <w:lang w:val="en-CA"/>
        </w:rPr>
        <w:tab/>
      </w:r>
    </w:p>
    <w:sectPr w:rsidR="00E02C05" w:rsidRPr="0069319F" w:rsidSect="00513070"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AD90" w14:textId="77777777" w:rsidR="00EB5BF8" w:rsidRDefault="00EB5BF8" w:rsidP="0097266B">
      <w:r>
        <w:separator/>
      </w:r>
    </w:p>
  </w:endnote>
  <w:endnote w:type="continuationSeparator" w:id="0">
    <w:p w14:paraId="4283EE0F" w14:textId="77777777" w:rsidR="00EB5BF8" w:rsidRDefault="00EB5BF8" w:rsidP="0097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D6F8" w14:textId="6277365C" w:rsidR="0097266B" w:rsidRDefault="0097266B" w:rsidP="009D34E3">
    <w:pPr>
      <w:pStyle w:val="Pieddepage"/>
    </w:pPr>
    <w:r>
      <w:rPr>
        <w:rFonts w:ascii="Times New Roman" w:hAnsi="Times New Roman" w:cs="Times New Roman"/>
      </w:rPr>
      <w:tab/>
      <w:t xml:space="preserve">-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04B6" w14:textId="77777777" w:rsidR="00EB5BF8" w:rsidRDefault="00EB5BF8" w:rsidP="0097266B">
      <w:r>
        <w:separator/>
      </w:r>
    </w:p>
  </w:footnote>
  <w:footnote w:type="continuationSeparator" w:id="0">
    <w:p w14:paraId="42EA98B6" w14:textId="77777777" w:rsidR="00EB5BF8" w:rsidRDefault="00EB5BF8" w:rsidP="00972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762A"/>
    <w:multiLevelType w:val="hybridMultilevel"/>
    <w:tmpl w:val="B7C4769E"/>
    <w:lvl w:ilvl="0" w:tplc="F58A6E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8183D"/>
    <w:multiLevelType w:val="hybridMultilevel"/>
    <w:tmpl w:val="EDE2A2FE"/>
    <w:lvl w:ilvl="0" w:tplc="F398B1A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878422">
    <w:abstractNumId w:val="1"/>
  </w:num>
  <w:num w:numId="2" w16cid:durableId="12670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DA"/>
    <w:rsid w:val="0000123B"/>
    <w:rsid w:val="00001C53"/>
    <w:rsid w:val="000106F4"/>
    <w:rsid w:val="00016DA0"/>
    <w:rsid w:val="00032D30"/>
    <w:rsid w:val="00036925"/>
    <w:rsid w:val="000402E0"/>
    <w:rsid w:val="00042C83"/>
    <w:rsid w:val="00045B9F"/>
    <w:rsid w:val="00047182"/>
    <w:rsid w:val="00050558"/>
    <w:rsid w:val="00054D88"/>
    <w:rsid w:val="00060319"/>
    <w:rsid w:val="000614FB"/>
    <w:rsid w:val="00061900"/>
    <w:rsid w:val="00061D1F"/>
    <w:rsid w:val="000635A1"/>
    <w:rsid w:val="000643CD"/>
    <w:rsid w:val="0007016C"/>
    <w:rsid w:val="00076B44"/>
    <w:rsid w:val="00082704"/>
    <w:rsid w:val="00082D77"/>
    <w:rsid w:val="00083990"/>
    <w:rsid w:val="000846D4"/>
    <w:rsid w:val="000921D4"/>
    <w:rsid w:val="00095BD4"/>
    <w:rsid w:val="000A0581"/>
    <w:rsid w:val="000A2AB5"/>
    <w:rsid w:val="000A2B6F"/>
    <w:rsid w:val="000A479D"/>
    <w:rsid w:val="000A4B58"/>
    <w:rsid w:val="000A73F3"/>
    <w:rsid w:val="000B2949"/>
    <w:rsid w:val="000B2C6A"/>
    <w:rsid w:val="000B62B4"/>
    <w:rsid w:val="000C01EF"/>
    <w:rsid w:val="000C4C64"/>
    <w:rsid w:val="000C6A55"/>
    <w:rsid w:val="000F090C"/>
    <w:rsid w:val="000F0E81"/>
    <w:rsid w:val="000F7EA1"/>
    <w:rsid w:val="00101639"/>
    <w:rsid w:val="001028C0"/>
    <w:rsid w:val="001163ED"/>
    <w:rsid w:val="00117CB8"/>
    <w:rsid w:val="001203B0"/>
    <w:rsid w:val="00124DDB"/>
    <w:rsid w:val="00126AA4"/>
    <w:rsid w:val="0013414B"/>
    <w:rsid w:val="0013688D"/>
    <w:rsid w:val="001416CB"/>
    <w:rsid w:val="00170296"/>
    <w:rsid w:val="00171359"/>
    <w:rsid w:val="00172175"/>
    <w:rsid w:val="00177542"/>
    <w:rsid w:val="00180401"/>
    <w:rsid w:val="00184E89"/>
    <w:rsid w:val="0018707B"/>
    <w:rsid w:val="00193614"/>
    <w:rsid w:val="001A5B44"/>
    <w:rsid w:val="001B2550"/>
    <w:rsid w:val="001D0D71"/>
    <w:rsid w:val="001D1960"/>
    <w:rsid w:val="001D30D2"/>
    <w:rsid w:val="001D521D"/>
    <w:rsid w:val="001E7CA5"/>
    <w:rsid w:val="001F5356"/>
    <w:rsid w:val="001F60C2"/>
    <w:rsid w:val="002035D2"/>
    <w:rsid w:val="00205EA7"/>
    <w:rsid w:val="00212C54"/>
    <w:rsid w:val="002153F0"/>
    <w:rsid w:val="00220E4B"/>
    <w:rsid w:val="00225D0C"/>
    <w:rsid w:val="00237C49"/>
    <w:rsid w:val="00241746"/>
    <w:rsid w:val="0025236A"/>
    <w:rsid w:val="00252E1A"/>
    <w:rsid w:val="00253334"/>
    <w:rsid w:val="00253B40"/>
    <w:rsid w:val="00257EEB"/>
    <w:rsid w:val="00261A20"/>
    <w:rsid w:val="00261A3A"/>
    <w:rsid w:val="00262A11"/>
    <w:rsid w:val="002701B5"/>
    <w:rsid w:val="002723F8"/>
    <w:rsid w:val="0027438D"/>
    <w:rsid w:val="002771F0"/>
    <w:rsid w:val="00286145"/>
    <w:rsid w:val="00286155"/>
    <w:rsid w:val="00292D60"/>
    <w:rsid w:val="00294174"/>
    <w:rsid w:val="002942AE"/>
    <w:rsid w:val="00295417"/>
    <w:rsid w:val="00296E3C"/>
    <w:rsid w:val="002A1369"/>
    <w:rsid w:val="002A2B12"/>
    <w:rsid w:val="002A48F8"/>
    <w:rsid w:val="002C17CE"/>
    <w:rsid w:val="002D134E"/>
    <w:rsid w:val="002D1543"/>
    <w:rsid w:val="002D2E21"/>
    <w:rsid w:val="002D3F6F"/>
    <w:rsid w:val="002D6E4C"/>
    <w:rsid w:val="002E272E"/>
    <w:rsid w:val="002E2C8D"/>
    <w:rsid w:val="002E2EA5"/>
    <w:rsid w:val="002E3EB6"/>
    <w:rsid w:val="002E3F18"/>
    <w:rsid w:val="002F38EC"/>
    <w:rsid w:val="002F58C4"/>
    <w:rsid w:val="002F6FFE"/>
    <w:rsid w:val="00300601"/>
    <w:rsid w:val="00304163"/>
    <w:rsid w:val="0031578E"/>
    <w:rsid w:val="00332875"/>
    <w:rsid w:val="00341056"/>
    <w:rsid w:val="003438E0"/>
    <w:rsid w:val="00343D3A"/>
    <w:rsid w:val="0034400E"/>
    <w:rsid w:val="003449BA"/>
    <w:rsid w:val="0034722C"/>
    <w:rsid w:val="00351A7E"/>
    <w:rsid w:val="00353F14"/>
    <w:rsid w:val="003544F6"/>
    <w:rsid w:val="00355706"/>
    <w:rsid w:val="0035760C"/>
    <w:rsid w:val="00360046"/>
    <w:rsid w:val="003602CF"/>
    <w:rsid w:val="00362B60"/>
    <w:rsid w:val="0036519B"/>
    <w:rsid w:val="003668D9"/>
    <w:rsid w:val="00367E83"/>
    <w:rsid w:val="00371960"/>
    <w:rsid w:val="00372ADF"/>
    <w:rsid w:val="00377882"/>
    <w:rsid w:val="0037788A"/>
    <w:rsid w:val="003801D4"/>
    <w:rsid w:val="0038122E"/>
    <w:rsid w:val="0038257C"/>
    <w:rsid w:val="00387BE1"/>
    <w:rsid w:val="003A1655"/>
    <w:rsid w:val="003A34E4"/>
    <w:rsid w:val="003A3F91"/>
    <w:rsid w:val="003A61BB"/>
    <w:rsid w:val="003A6599"/>
    <w:rsid w:val="003B60C0"/>
    <w:rsid w:val="003C0F73"/>
    <w:rsid w:val="003C264E"/>
    <w:rsid w:val="003D0E56"/>
    <w:rsid w:val="003D13DC"/>
    <w:rsid w:val="003D13F3"/>
    <w:rsid w:val="003D1F61"/>
    <w:rsid w:val="003D2433"/>
    <w:rsid w:val="003D36FA"/>
    <w:rsid w:val="003D7A58"/>
    <w:rsid w:val="003E104F"/>
    <w:rsid w:val="003E617C"/>
    <w:rsid w:val="003F05A2"/>
    <w:rsid w:val="0040076F"/>
    <w:rsid w:val="00407DFB"/>
    <w:rsid w:val="00411FE9"/>
    <w:rsid w:val="004154BC"/>
    <w:rsid w:val="00426B5D"/>
    <w:rsid w:val="00427BE5"/>
    <w:rsid w:val="00435AEA"/>
    <w:rsid w:val="00435EE7"/>
    <w:rsid w:val="00437FE7"/>
    <w:rsid w:val="004407FF"/>
    <w:rsid w:val="004648D3"/>
    <w:rsid w:val="00465F3F"/>
    <w:rsid w:val="00467FBD"/>
    <w:rsid w:val="00474DF2"/>
    <w:rsid w:val="00480E98"/>
    <w:rsid w:val="00481703"/>
    <w:rsid w:val="00482C4E"/>
    <w:rsid w:val="00485015"/>
    <w:rsid w:val="00487928"/>
    <w:rsid w:val="00491575"/>
    <w:rsid w:val="00493D28"/>
    <w:rsid w:val="00494AA6"/>
    <w:rsid w:val="004A2365"/>
    <w:rsid w:val="004A40FE"/>
    <w:rsid w:val="004B12FF"/>
    <w:rsid w:val="004B1AFA"/>
    <w:rsid w:val="004B2FFA"/>
    <w:rsid w:val="004B349A"/>
    <w:rsid w:val="004C7625"/>
    <w:rsid w:val="004D03F9"/>
    <w:rsid w:val="004D10E4"/>
    <w:rsid w:val="004D3F5A"/>
    <w:rsid w:val="004E1827"/>
    <w:rsid w:val="004E5772"/>
    <w:rsid w:val="004E763A"/>
    <w:rsid w:val="004F3C31"/>
    <w:rsid w:val="005008FD"/>
    <w:rsid w:val="00501FB8"/>
    <w:rsid w:val="00502E26"/>
    <w:rsid w:val="00503288"/>
    <w:rsid w:val="00503BA6"/>
    <w:rsid w:val="0050437E"/>
    <w:rsid w:val="00513070"/>
    <w:rsid w:val="005170B5"/>
    <w:rsid w:val="00517B64"/>
    <w:rsid w:val="005234F5"/>
    <w:rsid w:val="00540527"/>
    <w:rsid w:val="0054081D"/>
    <w:rsid w:val="005408C7"/>
    <w:rsid w:val="00544378"/>
    <w:rsid w:val="00550704"/>
    <w:rsid w:val="00551243"/>
    <w:rsid w:val="00556691"/>
    <w:rsid w:val="0056106B"/>
    <w:rsid w:val="00563182"/>
    <w:rsid w:val="005724E8"/>
    <w:rsid w:val="00573D3C"/>
    <w:rsid w:val="0057528A"/>
    <w:rsid w:val="005822AB"/>
    <w:rsid w:val="005929C4"/>
    <w:rsid w:val="00593670"/>
    <w:rsid w:val="005A3C96"/>
    <w:rsid w:val="005B1DF6"/>
    <w:rsid w:val="005B1EB7"/>
    <w:rsid w:val="005B2998"/>
    <w:rsid w:val="005B557B"/>
    <w:rsid w:val="005C2BB7"/>
    <w:rsid w:val="005D6E78"/>
    <w:rsid w:val="005D731F"/>
    <w:rsid w:val="005E54BE"/>
    <w:rsid w:val="005E7DBB"/>
    <w:rsid w:val="005F0852"/>
    <w:rsid w:val="005F0BD8"/>
    <w:rsid w:val="005F1A1D"/>
    <w:rsid w:val="005F2117"/>
    <w:rsid w:val="005F3305"/>
    <w:rsid w:val="005F3804"/>
    <w:rsid w:val="005F4301"/>
    <w:rsid w:val="005F4EA8"/>
    <w:rsid w:val="00600949"/>
    <w:rsid w:val="0060172C"/>
    <w:rsid w:val="00610747"/>
    <w:rsid w:val="0061561C"/>
    <w:rsid w:val="00615EA4"/>
    <w:rsid w:val="00617D88"/>
    <w:rsid w:val="00617E6E"/>
    <w:rsid w:val="006220DE"/>
    <w:rsid w:val="00626DCB"/>
    <w:rsid w:val="00627D28"/>
    <w:rsid w:val="00632DAF"/>
    <w:rsid w:val="006335EC"/>
    <w:rsid w:val="00634E07"/>
    <w:rsid w:val="00635713"/>
    <w:rsid w:val="00636836"/>
    <w:rsid w:val="006401E1"/>
    <w:rsid w:val="00643A27"/>
    <w:rsid w:val="006453DE"/>
    <w:rsid w:val="00653990"/>
    <w:rsid w:val="00655A01"/>
    <w:rsid w:val="006629AC"/>
    <w:rsid w:val="00666AD6"/>
    <w:rsid w:val="0067269A"/>
    <w:rsid w:val="006752D6"/>
    <w:rsid w:val="006754E5"/>
    <w:rsid w:val="00676B38"/>
    <w:rsid w:val="00690ECF"/>
    <w:rsid w:val="0069257B"/>
    <w:rsid w:val="0069319F"/>
    <w:rsid w:val="00693212"/>
    <w:rsid w:val="006934C3"/>
    <w:rsid w:val="00693AEF"/>
    <w:rsid w:val="006A0382"/>
    <w:rsid w:val="006A4DAB"/>
    <w:rsid w:val="006A59BB"/>
    <w:rsid w:val="006B0332"/>
    <w:rsid w:val="006B3781"/>
    <w:rsid w:val="006B4995"/>
    <w:rsid w:val="006B5003"/>
    <w:rsid w:val="006C40FD"/>
    <w:rsid w:val="006C4714"/>
    <w:rsid w:val="006C56FF"/>
    <w:rsid w:val="006D34B1"/>
    <w:rsid w:val="006D4437"/>
    <w:rsid w:val="006E16A4"/>
    <w:rsid w:val="006F5C91"/>
    <w:rsid w:val="00702CB4"/>
    <w:rsid w:val="00703E67"/>
    <w:rsid w:val="00704BB9"/>
    <w:rsid w:val="0070569F"/>
    <w:rsid w:val="007056C2"/>
    <w:rsid w:val="007123DC"/>
    <w:rsid w:val="00712498"/>
    <w:rsid w:val="00717648"/>
    <w:rsid w:val="00717CD0"/>
    <w:rsid w:val="007241D4"/>
    <w:rsid w:val="00732517"/>
    <w:rsid w:val="00732799"/>
    <w:rsid w:val="007627E3"/>
    <w:rsid w:val="00764327"/>
    <w:rsid w:val="00771D95"/>
    <w:rsid w:val="00771FEB"/>
    <w:rsid w:val="007801BA"/>
    <w:rsid w:val="00782825"/>
    <w:rsid w:val="00785DF8"/>
    <w:rsid w:val="00791A26"/>
    <w:rsid w:val="00791F79"/>
    <w:rsid w:val="007928A5"/>
    <w:rsid w:val="007978D0"/>
    <w:rsid w:val="007A567A"/>
    <w:rsid w:val="007C2445"/>
    <w:rsid w:val="007C68B5"/>
    <w:rsid w:val="007D56F5"/>
    <w:rsid w:val="007D6520"/>
    <w:rsid w:val="007D734F"/>
    <w:rsid w:val="007E4AC3"/>
    <w:rsid w:val="007E5FD7"/>
    <w:rsid w:val="007F2187"/>
    <w:rsid w:val="007F4A0E"/>
    <w:rsid w:val="008005E4"/>
    <w:rsid w:val="00813DC0"/>
    <w:rsid w:val="00815720"/>
    <w:rsid w:val="00816102"/>
    <w:rsid w:val="008173D1"/>
    <w:rsid w:val="0082093B"/>
    <w:rsid w:val="00834911"/>
    <w:rsid w:val="00837F59"/>
    <w:rsid w:val="00840426"/>
    <w:rsid w:val="00847AE7"/>
    <w:rsid w:val="008569DC"/>
    <w:rsid w:val="00875278"/>
    <w:rsid w:val="0087617E"/>
    <w:rsid w:val="00881302"/>
    <w:rsid w:val="00886ACD"/>
    <w:rsid w:val="008963C8"/>
    <w:rsid w:val="008A023B"/>
    <w:rsid w:val="008A1178"/>
    <w:rsid w:val="008A2E18"/>
    <w:rsid w:val="008A6492"/>
    <w:rsid w:val="008B68A4"/>
    <w:rsid w:val="008D225A"/>
    <w:rsid w:val="008D37CD"/>
    <w:rsid w:val="008D7C0B"/>
    <w:rsid w:val="008E0F63"/>
    <w:rsid w:val="008E2DA3"/>
    <w:rsid w:val="008F545E"/>
    <w:rsid w:val="00914130"/>
    <w:rsid w:val="00914BAB"/>
    <w:rsid w:val="009169FD"/>
    <w:rsid w:val="00917D52"/>
    <w:rsid w:val="0092248C"/>
    <w:rsid w:val="00924C4E"/>
    <w:rsid w:val="009257EC"/>
    <w:rsid w:val="009259E8"/>
    <w:rsid w:val="009265A5"/>
    <w:rsid w:val="009270CD"/>
    <w:rsid w:val="00931201"/>
    <w:rsid w:val="00934300"/>
    <w:rsid w:val="00946DDA"/>
    <w:rsid w:val="00947498"/>
    <w:rsid w:val="00951A3B"/>
    <w:rsid w:val="009546BB"/>
    <w:rsid w:val="009670C7"/>
    <w:rsid w:val="0097266B"/>
    <w:rsid w:val="0097428F"/>
    <w:rsid w:val="009748E9"/>
    <w:rsid w:val="00976039"/>
    <w:rsid w:val="0098485A"/>
    <w:rsid w:val="009867C5"/>
    <w:rsid w:val="0099121C"/>
    <w:rsid w:val="009A164E"/>
    <w:rsid w:val="009B169E"/>
    <w:rsid w:val="009B7111"/>
    <w:rsid w:val="009D34E3"/>
    <w:rsid w:val="009D4B74"/>
    <w:rsid w:val="009E0017"/>
    <w:rsid w:val="009E3BD0"/>
    <w:rsid w:val="009E7404"/>
    <w:rsid w:val="009E79D8"/>
    <w:rsid w:val="009F16BD"/>
    <w:rsid w:val="009F1F01"/>
    <w:rsid w:val="00A0227A"/>
    <w:rsid w:val="00A031FC"/>
    <w:rsid w:val="00A03B4F"/>
    <w:rsid w:val="00A07878"/>
    <w:rsid w:val="00A1334D"/>
    <w:rsid w:val="00A20105"/>
    <w:rsid w:val="00A22C69"/>
    <w:rsid w:val="00A24AE3"/>
    <w:rsid w:val="00A32DAD"/>
    <w:rsid w:val="00A4426A"/>
    <w:rsid w:val="00A44DB1"/>
    <w:rsid w:val="00A610FE"/>
    <w:rsid w:val="00A64FC9"/>
    <w:rsid w:val="00A66305"/>
    <w:rsid w:val="00A73B45"/>
    <w:rsid w:val="00A75A70"/>
    <w:rsid w:val="00A80246"/>
    <w:rsid w:val="00A83FBB"/>
    <w:rsid w:val="00A85E75"/>
    <w:rsid w:val="00A90527"/>
    <w:rsid w:val="00AA15EA"/>
    <w:rsid w:val="00AA3990"/>
    <w:rsid w:val="00AB42EF"/>
    <w:rsid w:val="00AC1C23"/>
    <w:rsid w:val="00AC493E"/>
    <w:rsid w:val="00AC4976"/>
    <w:rsid w:val="00AC7A4D"/>
    <w:rsid w:val="00AD19A0"/>
    <w:rsid w:val="00AD471D"/>
    <w:rsid w:val="00AE2A16"/>
    <w:rsid w:val="00AE5FE7"/>
    <w:rsid w:val="00AF71CD"/>
    <w:rsid w:val="00B01FAC"/>
    <w:rsid w:val="00B11F75"/>
    <w:rsid w:val="00B128AF"/>
    <w:rsid w:val="00B13F8F"/>
    <w:rsid w:val="00B16737"/>
    <w:rsid w:val="00B21BE6"/>
    <w:rsid w:val="00B220FD"/>
    <w:rsid w:val="00B26DDE"/>
    <w:rsid w:val="00B3101A"/>
    <w:rsid w:val="00B314F6"/>
    <w:rsid w:val="00B31A7A"/>
    <w:rsid w:val="00B36C53"/>
    <w:rsid w:val="00B40CD4"/>
    <w:rsid w:val="00B417DE"/>
    <w:rsid w:val="00B44F10"/>
    <w:rsid w:val="00B455EC"/>
    <w:rsid w:val="00B470AB"/>
    <w:rsid w:val="00B55AF9"/>
    <w:rsid w:val="00B5617A"/>
    <w:rsid w:val="00B6069F"/>
    <w:rsid w:val="00B62542"/>
    <w:rsid w:val="00B62E75"/>
    <w:rsid w:val="00B637CA"/>
    <w:rsid w:val="00B70643"/>
    <w:rsid w:val="00B715DF"/>
    <w:rsid w:val="00B72557"/>
    <w:rsid w:val="00B77CD4"/>
    <w:rsid w:val="00B77F6A"/>
    <w:rsid w:val="00B800D8"/>
    <w:rsid w:val="00B82FB4"/>
    <w:rsid w:val="00BA0E85"/>
    <w:rsid w:val="00BB599D"/>
    <w:rsid w:val="00BB78E5"/>
    <w:rsid w:val="00BC0D80"/>
    <w:rsid w:val="00BC2293"/>
    <w:rsid w:val="00BC33E4"/>
    <w:rsid w:val="00BD3BD0"/>
    <w:rsid w:val="00BD6D6D"/>
    <w:rsid w:val="00BE2ACB"/>
    <w:rsid w:val="00BF0FA3"/>
    <w:rsid w:val="00BF3835"/>
    <w:rsid w:val="00BF4E23"/>
    <w:rsid w:val="00C00D44"/>
    <w:rsid w:val="00C05233"/>
    <w:rsid w:val="00C052CB"/>
    <w:rsid w:val="00C06656"/>
    <w:rsid w:val="00C126C3"/>
    <w:rsid w:val="00C2010E"/>
    <w:rsid w:val="00C321F9"/>
    <w:rsid w:val="00C35545"/>
    <w:rsid w:val="00C40E73"/>
    <w:rsid w:val="00C42484"/>
    <w:rsid w:val="00C43D3D"/>
    <w:rsid w:val="00C4419B"/>
    <w:rsid w:val="00C503DD"/>
    <w:rsid w:val="00C51151"/>
    <w:rsid w:val="00C53B5C"/>
    <w:rsid w:val="00C62889"/>
    <w:rsid w:val="00C64AAA"/>
    <w:rsid w:val="00C66D87"/>
    <w:rsid w:val="00C7001D"/>
    <w:rsid w:val="00C73BE5"/>
    <w:rsid w:val="00C73D5A"/>
    <w:rsid w:val="00C8156E"/>
    <w:rsid w:val="00C83A49"/>
    <w:rsid w:val="00C85181"/>
    <w:rsid w:val="00C87194"/>
    <w:rsid w:val="00C9161C"/>
    <w:rsid w:val="00C95A24"/>
    <w:rsid w:val="00C96CEF"/>
    <w:rsid w:val="00CA2DF2"/>
    <w:rsid w:val="00CA2F98"/>
    <w:rsid w:val="00CA7B27"/>
    <w:rsid w:val="00CB162D"/>
    <w:rsid w:val="00CB206D"/>
    <w:rsid w:val="00CB4C8F"/>
    <w:rsid w:val="00CC1083"/>
    <w:rsid w:val="00CD0D51"/>
    <w:rsid w:val="00CD1AA9"/>
    <w:rsid w:val="00CD6259"/>
    <w:rsid w:val="00CE1BC1"/>
    <w:rsid w:val="00CE5116"/>
    <w:rsid w:val="00CE53CD"/>
    <w:rsid w:val="00CF79D1"/>
    <w:rsid w:val="00D129BB"/>
    <w:rsid w:val="00D141E4"/>
    <w:rsid w:val="00D14CF5"/>
    <w:rsid w:val="00D20586"/>
    <w:rsid w:val="00D20DD2"/>
    <w:rsid w:val="00D23430"/>
    <w:rsid w:val="00D24596"/>
    <w:rsid w:val="00D26EBA"/>
    <w:rsid w:val="00D30775"/>
    <w:rsid w:val="00D47988"/>
    <w:rsid w:val="00D51882"/>
    <w:rsid w:val="00D640AB"/>
    <w:rsid w:val="00D70CA3"/>
    <w:rsid w:val="00D76793"/>
    <w:rsid w:val="00D81832"/>
    <w:rsid w:val="00D849B7"/>
    <w:rsid w:val="00D90C19"/>
    <w:rsid w:val="00DB03DC"/>
    <w:rsid w:val="00DC7AE4"/>
    <w:rsid w:val="00DD2EB9"/>
    <w:rsid w:val="00DD2F7B"/>
    <w:rsid w:val="00DD3B28"/>
    <w:rsid w:val="00DE0A91"/>
    <w:rsid w:val="00DE6EB8"/>
    <w:rsid w:val="00DF3CCC"/>
    <w:rsid w:val="00E02C05"/>
    <w:rsid w:val="00E053EC"/>
    <w:rsid w:val="00E06280"/>
    <w:rsid w:val="00E1148D"/>
    <w:rsid w:val="00E13383"/>
    <w:rsid w:val="00E14AD4"/>
    <w:rsid w:val="00E17D5B"/>
    <w:rsid w:val="00E224A0"/>
    <w:rsid w:val="00E26CA1"/>
    <w:rsid w:val="00E31747"/>
    <w:rsid w:val="00E35D95"/>
    <w:rsid w:val="00E40F7D"/>
    <w:rsid w:val="00E449F6"/>
    <w:rsid w:val="00E46D52"/>
    <w:rsid w:val="00E507F9"/>
    <w:rsid w:val="00E633E2"/>
    <w:rsid w:val="00E671A9"/>
    <w:rsid w:val="00E7064D"/>
    <w:rsid w:val="00E74CC9"/>
    <w:rsid w:val="00E76CDB"/>
    <w:rsid w:val="00E831D8"/>
    <w:rsid w:val="00E86383"/>
    <w:rsid w:val="00E86A48"/>
    <w:rsid w:val="00E96E0A"/>
    <w:rsid w:val="00EA53D0"/>
    <w:rsid w:val="00EA63C7"/>
    <w:rsid w:val="00EB5BF8"/>
    <w:rsid w:val="00EC1366"/>
    <w:rsid w:val="00EC16B9"/>
    <w:rsid w:val="00EC6978"/>
    <w:rsid w:val="00EC6F90"/>
    <w:rsid w:val="00ED44A7"/>
    <w:rsid w:val="00ED7575"/>
    <w:rsid w:val="00EE4360"/>
    <w:rsid w:val="00EE75B3"/>
    <w:rsid w:val="00EF498B"/>
    <w:rsid w:val="00EF784F"/>
    <w:rsid w:val="00F01C8F"/>
    <w:rsid w:val="00F05FA3"/>
    <w:rsid w:val="00F1368A"/>
    <w:rsid w:val="00F22445"/>
    <w:rsid w:val="00F30649"/>
    <w:rsid w:val="00F32046"/>
    <w:rsid w:val="00F34F21"/>
    <w:rsid w:val="00F4019A"/>
    <w:rsid w:val="00F52CE4"/>
    <w:rsid w:val="00F53967"/>
    <w:rsid w:val="00F5544F"/>
    <w:rsid w:val="00F56D32"/>
    <w:rsid w:val="00F60E9A"/>
    <w:rsid w:val="00F63037"/>
    <w:rsid w:val="00F64103"/>
    <w:rsid w:val="00F74D44"/>
    <w:rsid w:val="00F77A2B"/>
    <w:rsid w:val="00F80E95"/>
    <w:rsid w:val="00F83163"/>
    <w:rsid w:val="00F83801"/>
    <w:rsid w:val="00F870F5"/>
    <w:rsid w:val="00F914EC"/>
    <w:rsid w:val="00F92632"/>
    <w:rsid w:val="00F92FA1"/>
    <w:rsid w:val="00F93B31"/>
    <w:rsid w:val="00F95C95"/>
    <w:rsid w:val="00F95D1C"/>
    <w:rsid w:val="00F95EB8"/>
    <w:rsid w:val="00F96396"/>
    <w:rsid w:val="00FA21B9"/>
    <w:rsid w:val="00FA4CA0"/>
    <w:rsid w:val="00FB01A0"/>
    <w:rsid w:val="00FB14E9"/>
    <w:rsid w:val="00FB24A5"/>
    <w:rsid w:val="00FB291B"/>
    <w:rsid w:val="00FB6B24"/>
    <w:rsid w:val="00FB7414"/>
    <w:rsid w:val="00FC539C"/>
    <w:rsid w:val="00FC63A7"/>
    <w:rsid w:val="00FC6DC3"/>
    <w:rsid w:val="00FD029A"/>
    <w:rsid w:val="00FD6238"/>
    <w:rsid w:val="00FE401A"/>
    <w:rsid w:val="00FE4CB2"/>
    <w:rsid w:val="00FF130E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F8BD"/>
  <w14:defaultImageDpi w14:val="32767"/>
  <w15:chartTrackingRefBased/>
  <w15:docId w15:val="{759A61C1-2093-0841-B0B9-531D0B41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6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6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6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6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6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6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6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6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6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6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6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6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6DD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6DD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6D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6D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6D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6D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6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6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6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6D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6D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6DD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6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6DD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6DD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35AEA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86A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86AC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86AC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6A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6AC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837F59"/>
  </w:style>
  <w:style w:type="table" w:styleId="Tableausimple2">
    <w:name w:val="Plain Table 2"/>
    <w:basedOn w:val="TableauNormal"/>
    <w:uiPriority w:val="99"/>
    <w:rsid w:val="000921D4"/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21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CH" w:eastAsia="fr-FR"/>
      <w14:ligatures w14:val="none"/>
    </w:rPr>
  </w:style>
  <w:style w:type="character" w:styleId="lev">
    <w:name w:val="Strong"/>
    <w:basedOn w:val="Policepardfaut"/>
    <w:uiPriority w:val="22"/>
    <w:qFormat/>
    <w:rsid w:val="000921D4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9726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266B"/>
  </w:style>
  <w:style w:type="paragraph" w:styleId="Pieddepage">
    <w:name w:val="footer"/>
    <w:basedOn w:val="Normal"/>
    <w:link w:val="PieddepageCar"/>
    <w:uiPriority w:val="99"/>
    <w:unhideWhenUsed/>
    <w:rsid w:val="009726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2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1063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Wozniak</dc:creator>
  <cp:keywords/>
  <dc:description/>
  <cp:lastModifiedBy>Hannah Wozniak</cp:lastModifiedBy>
  <cp:revision>50</cp:revision>
  <dcterms:created xsi:type="dcterms:W3CDTF">2026-06-09T08:07:00Z</dcterms:created>
  <dcterms:modified xsi:type="dcterms:W3CDTF">2026-09-29T09:41:00Z</dcterms:modified>
</cp:coreProperties>
</file>