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BA49B">
      <w:pPr>
        <w:spacing w:line="360" w:lineRule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Supplemental Table 1. Comparison of comprehensive cardiopulmonary, oxygenation, and complexity parameters across baseline, speaking valve training, and 30-minute recovery phases using continuous wearable monitoring.</w:t>
      </w:r>
    </w:p>
    <w:tbl>
      <w:tblPr>
        <w:tblStyle w:val="3"/>
        <w:tblW w:w="8937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6"/>
        <w:gridCol w:w="1603"/>
        <w:gridCol w:w="1691"/>
        <w:gridCol w:w="1709"/>
        <w:gridCol w:w="916"/>
        <w:gridCol w:w="1000"/>
        <w:gridCol w:w="892"/>
      </w:tblGrid>
      <w:tr w14:paraId="573951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26" w:type="dxa"/>
            <w:vMerge w:val="restart"/>
            <w:noWrap/>
            <w:vAlign w:val="center"/>
          </w:tcPr>
          <w:p w14:paraId="5C1B1BB3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bidi="ar"/>
              </w:rPr>
              <w:t>Parameters</w:t>
            </w:r>
          </w:p>
        </w:tc>
        <w:tc>
          <w:tcPr>
            <w:tcW w:w="1603" w:type="dxa"/>
            <w:vMerge w:val="restart"/>
            <w:noWrap/>
            <w:vAlign w:val="center"/>
          </w:tcPr>
          <w:p w14:paraId="5BAE074A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bidi="ar"/>
              </w:rPr>
              <w:t>Baseline(T0)</w:t>
            </w:r>
          </w:p>
        </w:tc>
        <w:tc>
          <w:tcPr>
            <w:tcW w:w="1691" w:type="dxa"/>
            <w:vMerge w:val="restart"/>
            <w:noWrap/>
            <w:vAlign w:val="center"/>
          </w:tcPr>
          <w:p w14:paraId="576D9346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bidi="ar"/>
              </w:rPr>
              <w:t>train(T1)</w:t>
            </w:r>
          </w:p>
        </w:tc>
        <w:tc>
          <w:tcPr>
            <w:tcW w:w="1709" w:type="dxa"/>
            <w:vMerge w:val="restart"/>
            <w:noWrap/>
            <w:vAlign w:val="center"/>
          </w:tcPr>
          <w:p w14:paraId="3CDE9650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bidi="ar"/>
              </w:rPr>
              <w:t>recovery(T2)</w:t>
            </w:r>
          </w:p>
        </w:tc>
        <w:tc>
          <w:tcPr>
            <w:tcW w:w="2808" w:type="dxa"/>
            <w:gridSpan w:val="3"/>
            <w:tcBorders>
              <w:bottom w:val="single" w:color="auto" w:sz="8" w:space="0"/>
            </w:tcBorders>
            <w:noWrap/>
            <w:vAlign w:val="center"/>
          </w:tcPr>
          <w:p w14:paraId="4FD741EB">
            <w:pPr>
              <w:widowControl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bidi="ar"/>
              </w:rPr>
              <w:t>P value</w:t>
            </w:r>
          </w:p>
        </w:tc>
      </w:tr>
      <w:tr w14:paraId="3ABAD5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26" w:type="dxa"/>
            <w:vMerge w:val="continue"/>
            <w:noWrap/>
            <w:vAlign w:val="center"/>
          </w:tcPr>
          <w:p w14:paraId="1101BEA9">
            <w:pPr>
              <w:widowControl/>
              <w:jc w:val="center"/>
              <w:textAlignment w:val="top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03" w:type="dxa"/>
            <w:vMerge w:val="continue"/>
            <w:noWrap/>
            <w:vAlign w:val="center"/>
          </w:tcPr>
          <w:p w14:paraId="03FB7083">
            <w:pPr>
              <w:widowControl/>
              <w:jc w:val="center"/>
              <w:textAlignment w:val="top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91" w:type="dxa"/>
            <w:vMerge w:val="continue"/>
            <w:noWrap/>
            <w:vAlign w:val="center"/>
          </w:tcPr>
          <w:p w14:paraId="3D1E9BC7">
            <w:pPr>
              <w:widowControl/>
              <w:jc w:val="center"/>
              <w:textAlignment w:val="top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09" w:type="dxa"/>
            <w:vMerge w:val="continue"/>
            <w:noWrap/>
            <w:vAlign w:val="center"/>
          </w:tcPr>
          <w:p w14:paraId="4A8EF8CC">
            <w:pPr>
              <w:widowControl/>
              <w:jc w:val="center"/>
              <w:textAlignment w:val="top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16" w:type="dxa"/>
            <w:tcBorders>
              <w:top w:val="single" w:color="auto" w:sz="8" w:space="0"/>
              <w:bottom w:val="single" w:color="auto" w:sz="8" w:space="0"/>
            </w:tcBorders>
            <w:noWrap/>
          </w:tcPr>
          <w:p w14:paraId="60E09744">
            <w:pPr>
              <w:widowControl/>
              <w:jc w:val="center"/>
              <w:textAlignment w:val="top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bidi="ar"/>
              </w:rPr>
              <w:t>T0 VS. T1</w:t>
            </w:r>
          </w:p>
        </w:tc>
        <w:tc>
          <w:tcPr>
            <w:tcW w:w="1000" w:type="dxa"/>
            <w:tcBorders>
              <w:top w:val="single" w:color="auto" w:sz="8" w:space="0"/>
              <w:bottom w:val="single" w:color="auto" w:sz="8" w:space="0"/>
            </w:tcBorders>
            <w:noWrap/>
          </w:tcPr>
          <w:p w14:paraId="2AD77CD9">
            <w:pPr>
              <w:widowControl/>
              <w:jc w:val="center"/>
              <w:textAlignment w:val="top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bidi="ar"/>
              </w:rPr>
              <w:t>T0 VS. T2</w:t>
            </w:r>
          </w:p>
        </w:tc>
        <w:tc>
          <w:tcPr>
            <w:tcW w:w="892" w:type="dxa"/>
            <w:tcBorders>
              <w:top w:val="single" w:color="auto" w:sz="8" w:space="0"/>
              <w:bottom w:val="single" w:color="auto" w:sz="8" w:space="0"/>
            </w:tcBorders>
            <w:noWrap/>
          </w:tcPr>
          <w:p w14:paraId="747DD227">
            <w:pPr>
              <w:widowControl/>
              <w:jc w:val="center"/>
              <w:textAlignment w:val="top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lang w:bidi="ar"/>
              </w:rPr>
              <w:t>T1 VS. T2</w:t>
            </w:r>
          </w:p>
        </w:tc>
      </w:tr>
      <w:tr w14:paraId="32A1B1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937" w:type="dxa"/>
            <w:gridSpan w:val="7"/>
            <w:tcBorders>
              <w:top w:val="single" w:color="auto" w:sz="8" w:space="0"/>
              <w:tl2br w:val="nil"/>
              <w:tr2bl w:val="nil"/>
            </w:tcBorders>
            <w:noWrap/>
            <w:vAlign w:val="bottom"/>
          </w:tcPr>
          <w:p w14:paraId="311C5FC1">
            <w:pPr>
              <w:widowControl/>
              <w:numPr>
                <w:ilvl w:val="0"/>
                <w:numId w:val="1"/>
              </w:numPr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acro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V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ital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igns 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arameters</w:t>
            </w:r>
          </w:p>
        </w:tc>
      </w:tr>
      <w:tr w14:paraId="738AF53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69FE967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BR_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mean</w:t>
            </w:r>
          </w:p>
        </w:tc>
        <w:tc>
          <w:tcPr>
            <w:tcW w:w="1603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A19EB2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24.08±4.69</w:t>
            </w:r>
          </w:p>
        </w:tc>
        <w:tc>
          <w:tcPr>
            <w:tcW w:w="1691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307F41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24.20±4.65</w:t>
            </w:r>
          </w:p>
        </w:tc>
        <w:tc>
          <w:tcPr>
            <w:tcW w:w="1709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CC3502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24.55±4.46</w:t>
            </w:r>
          </w:p>
        </w:tc>
        <w:tc>
          <w:tcPr>
            <w:tcW w:w="916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7C21FE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0.83</w:t>
            </w:r>
          </w:p>
        </w:tc>
        <w:tc>
          <w:tcPr>
            <w:tcW w:w="1000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B5A0EED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0.26</w:t>
            </w:r>
          </w:p>
        </w:tc>
        <w:tc>
          <w:tcPr>
            <w:tcW w:w="892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4CBD91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</w:t>
            </w:r>
          </w:p>
        </w:tc>
      </w:tr>
      <w:tr w14:paraId="5B451F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2693AB3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BR_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median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26F6344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23.55±4.83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2A57802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23.60±4.80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1D156BA7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23.94±4.68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50B4E6A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0.94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45447539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0.37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5843088F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0.38</w:t>
            </w:r>
          </w:p>
        </w:tc>
      </w:tr>
      <w:tr w14:paraId="1B8EE3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3343F725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BR_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std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15B7DBC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4.48±2.07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7937284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4.87±1.95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68E1E7F5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4.76±1.95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721C3E37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5E14F2ED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4967CC9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0.74</w:t>
            </w:r>
          </w:p>
        </w:tc>
      </w:tr>
      <w:tr w14:paraId="63DC94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6AF93B9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BR_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cv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1ECF4D2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18.40±7.60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28B4F6C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20.26±7.59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3E947FB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19.51±7.64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217D903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0.15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5C0F020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0.34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1B00D59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0.37</w:t>
            </w:r>
          </w:p>
        </w:tc>
      </w:tr>
      <w:tr w14:paraId="581390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DE081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  <w:t>HR_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mean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880D8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81.32±12.37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1632E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82.47±12.03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BAC38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83.33±12.35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F226CC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3EE829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0.03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98BCD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0.73</w:t>
            </w:r>
          </w:p>
        </w:tc>
      </w:tr>
      <w:tr w14:paraId="09AE6F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691DC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  <w:t>HR_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min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8ACBB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69.19±11.95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07555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70.78±11.82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8C584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70.62±10.54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D7E78DE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0.07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81CE0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0.22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2653B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0.52</w:t>
            </w:r>
          </w:p>
        </w:tc>
      </w:tr>
      <w:tr w14:paraId="7A5E95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5C73E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  <w:t>HR_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max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30DCE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100.17±16.12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8E462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100.55±16.69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08F01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101.13±15.25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D44B4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0.83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67E0E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3FE92C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0.75</w:t>
            </w:r>
          </w:p>
        </w:tc>
      </w:tr>
      <w:tr w14:paraId="02B8A5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E6C085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  <w:t>HR_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std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75D1B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4.81±2.72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584F1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4.24±2.06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7AA037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4.24±1.87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FC6A79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0.08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69E982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8398B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0.83</w:t>
            </w:r>
          </w:p>
        </w:tc>
      </w:tr>
      <w:tr w14:paraId="623CCA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F66F5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spo2_mean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FFE1C9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96.20±1.87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CEFDA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96.53±1.58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C5AF1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96.76±1.54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B07689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1BE1F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0.05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16D97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0.49</w:t>
            </w:r>
          </w:p>
        </w:tc>
      </w:tr>
      <w:tr w14:paraId="4EE6C6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050C9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spo2_max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8A9A3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98.85±0.92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BDF6B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99.04±0.79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F8BDF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99.13±0.85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FAE8A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0.34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7A34E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0.08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54ED4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0.51</w:t>
            </w:r>
          </w:p>
        </w:tc>
      </w:tr>
      <w:tr w14:paraId="37B552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9868D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spo2_min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060D3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89.00±5.55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081095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89.60±5.84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CAF56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91.03±3.99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D9E80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0.44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728F0F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0.03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D76D7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0.29</w:t>
            </w:r>
          </w:p>
        </w:tc>
      </w:tr>
      <w:tr w14:paraId="1D50A1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ED93A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spo2_std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11C52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1.75±1.24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43C60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1.71±1.55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D40D6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1.41±0.78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4F17E3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2A546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0.15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491868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0.51</w:t>
            </w:r>
          </w:p>
        </w:tc>
      </w:tr>
      <w:tr w14:paraId="3C80D6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EB1149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spo2_dearea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44D465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2.80±1.87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2D521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2.47±1.58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D8765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2.24±1.54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2D415D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3204B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0.05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63DC8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0.49</w:t>
            </w:r>
          </w:p>
        </w:tc>
      </w:tr>
      <w:tr w14:paraId="17BC2E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29836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spo2_time_below80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C4F1E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0.23±1.13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B50D5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0.43±2.06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0A80E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0.07±0.59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25789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5F9F6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0.08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F87BCE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0.15</w:t>
            </w:r>
          </w:p>
        </w:tc>
      </w:tr>
      <w:tr w14:paraId="0D45F1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F9AF2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spo2_time_below85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2C9A7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0.73±2.39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448A2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0.71±2.93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A6CA7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0.12±0.77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7DD69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0.69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43B7A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0.03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65376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0.07</w:t>
            </w:r>
          </w:p>
        </w:tc>
      </w:tr>
      <w:tr w14:paraId="41AD37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614599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spo2_time_below90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085D5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3.19±8.55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49C61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2.06±5.51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D6A025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0.74±1.93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7D7D49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57CDA3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0.01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2156A8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0.16</w:t>
            </w:r>
          </w:p>
        </w:tc>
      </w:tr>
      <w:tr w14:paraId="1E6090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477838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spo2_time_below95</w:t>
            </w:r>
          </w:p>
        </w:tc>
        <w:tc>
          <w:tcPr>
            <w:tcW w:w="1603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F8BFC8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18.14±22.62</w:t>
            </w:r>
          </w:p>
        </w:tc>
        <w:tc>
          <w:tcPr>
            <w:tcW w:w="1691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198C97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13.59±20.38</w:t>
            </w:r>
          </w:p>
        </w:tc>
        <w:tc>
          <w:tcPr>
            <w:tcW w:w="1709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6984A5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14.90±20.20</w:t>
            </w:r>
          </w:p>
        </w:tc>
        <w:tc>
          <w:tcPr>
            <w:tcW w:w="916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16F3E8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0.48</w:t>
            </w:r>
          </w:p>
        </w:tc>
        <w:tc>
          <w:tcPr>
            <w:tcW w:w="1000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2D62F28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0.42</w:t>
            </w:r>
          </w:p>
        </w:tc>
        <w:tc>
          <w:tcPr>
            <w:tcW w:w="892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28972EC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0.67</w:t>
            </w:r>
          </w:p>
        </w:tc>
      </w:tr>
      <w:tr w14:paraId="070DE4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937" w:type="dxa"/>
            <w:gridSpan w:val="7"/>
            <w:tcBorders>
              <w:top w:val="single" w:color="auto" w:sz="8" w:space="0"/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64A05CD9"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left"/>
              <w:textAlignment w:val="bottom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</w:rPr>
              <w:t xml:space="preserve">Respiratory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C</w:t>
            </w:r>
            <w:r>
              <w:rPr>
                <w:rFonts w:hint="eastAsia" w:ascii="Times New Roman" w:hAnsi="Times New Roman" w:cs="Times New Roman"/>
              </w:rPr>
              <w:t xml:space="preserve">ycle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S</w:t>
            </w:r>
            <w:r>
              <w:rPr>
                <w:rFonts w:hint="eastAsia" w:ascii="Times New Roman" w:hAnsi="Times New Roman" w:cs="Times New Roman"/>
              </w:rPr>
              <w:t>tructure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parameters</w:t>
            </w:r>
          </w:p>
        </w:tc>
      </w:tr>
      <w:tr w14:paraId="50A5CF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93DB8B5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TE_mean</w:t>
            </w:r>
          </w:p>
        </w:tc>
        <w:tc>
          <w:tcPr>
            <w:tcW w:w="1603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3EF3D5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1.47±0.30</w:t>
            </w:r>
          </w:p>
        </w:tc>
        <w:tc>
          <w:tcPr>
            <w:tcW w:w="1691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F408A17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1.53±0.35</w:t>
            </w:r>
          </w:p>
        </w:tc>
        <w:tc>
          <w:tcPr>
            <w:tcW w:w="1709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EB4459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1.48±0.30</w:t>
            </w:r>
          </w:p>
        </w:tc>
        <w:tc>
          <w:tcPr>
            <w:tcW w:w="916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559D62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0.21</w:t>
            </w:r>
          </w:p>
        </w:tc>
        <w:tc>
          <w:tcPr>
            <w:tcW w:w="1000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C323D1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0.56</w:t>
            </w:r>
          </w:p>
        </w:tc>
        <w:tc>
          <w:tcPr>
            <w:tcW w:w="892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D29807D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</w:t>
            </w:r>
          </w:p>
        </w:tc>
      </w:tr>
      <w:tr w14:paraId="1177F2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9686B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TE_std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3D6C7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0.62±0.22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1467A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0.73±0.28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AB774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0.65±0.27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5525F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A795D8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0.57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FB5DF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0.03</w:t>
            </w:r>
          </w:p>
        </w:tc>
      </w:tr>
      <w:tr w14:paraId="0C349F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9884E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TE_cv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BE9D0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42.15±12.44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820EB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45.36±13.07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FE38B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44.25±15.26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5F5C7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4CDCE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0.52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1AC148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0.72</w:t>
            </w:r>
          </w:p>
        </w:tc>
      </w:tr>
      <w:tr w14:paraId="699F06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A5886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TI_mean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AAE49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1.22±0.19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CA85F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1.19±0.17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EEAED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1.17±0.16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0D04C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9C107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0.03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4D48A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</w:t>
            </w:r>
          </w:p>
        </w:tc>
      </w:tr>
      <w:tr w14:paraId="59881A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2AB34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TI_std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C782D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0.46±0.17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4AE74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0.46±0.15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14F937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0.44±0.15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7CD0E3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0.59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90E58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0.81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C05919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0.23</w:t>
            </w:r>
          </w:p>
        </w:tc>
      </w:tr>
      <w:tr w14:paraId="746C4F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211C7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TI_cv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7B0BA9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36.94±12.12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A323B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38.60±10.60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EAA09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37.41±11.40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6BA59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D4DE09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0.85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3B6AC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0.56</w:t>
            </w:r>
          </w:p>
        </w:tc>
      </w:tr>
      <w:tr w14:paraId="0FCD42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912BB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TE_ratio_mean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A9FE2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53.92±3.13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3DD75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55.14±3.72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1C7E49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54.54±3.12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C357D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559C4C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1119AC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0.17</w:t>
            </w:r>
          </w:p>
        </w:tc>
      </w:tr>
      <w:tr w14:paraId="629045F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337C753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TE_ratio_cv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6416370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18.11±4.99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3CA8DD9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19.30±5.35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1624471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18.44±5.97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0F148FC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7477A128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0.58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1B78301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0.22</w:t>
            </w:r>
          </w:p>
        </w:tc>
      </w:tr>
      <w:tr w14:paraId="027545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D8FAD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TI_ratio_mean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37C27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46.08±3.13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C7FA4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44.86±3.72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D1BEB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45.46±3.12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C23A93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1FA452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A60DE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0.17</w:t>
            </w:r>
          </w:p>
        </w:tc>
      </w:tr>
      <w:tr w14:paraId="68BC62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32C1C88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TI_ratio_cv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237DBA7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21.93±6.27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6482669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24.06±7.08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4AF529F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22.50±7.30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31DD938C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090809F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0.55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17C57A1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0.05</w:t>
            </w:r>
          </w:p>
        </w:tc>
      </w:tr>
      <w:tr w14:paraId="5CA2735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A133A8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RESP_AMP_cv</w:t>
            </w:r>
          </w:p>
        </w:tc>
        <w:tc>
          <w:tcPr>
            <w:tcW w:w="1603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55EAD5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82.20±29.45</w:t>
            </w:r>
          </w:p>
        </w:tc>
        <w:tc>
          <w:tcPr>
            <w:tcW w:w="1691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6A0E9EE7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71.46±26.82</w:t>
            </w:r>
          </w:p>
        </w:tc>
        <w:tc>
          <w:tcPr>
            <w:tcW w:w="1709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C0BFC1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77.20±27.72</w:t>
            </w:r>
          </w:p>
        </w:tc>
        <w:tc>
          <w:tcPr>
            <w:tcW w:w="916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52A0F8D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0.03</w:t>
            </w:r>
          </w:p>
        </w:tc>
        <w:tc>
          <w:tcPr>
            <w:tcW w:w="1000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05D0707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</w:t>
            </w:r>
          </w:p>
        </w:tc>
        <w:tc>
          <w:tcPr>
            <w:tcW w:w="892" w:type="dxa"/>
            <w:tcBorders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ADD277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0.11</w:t>
            </w:r>
          </w:p>
        </w:tc>
      </w:tr>
      <w:tr w14:paraId="7AF911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937" w:type="dxa"/>
            <w:gridSpan w:val="7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bottom"/>
          </w:tcPr>
          <w:p w14:paraId="0703BC08"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left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Respiratory Complexity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parameters</w:t>
            </w:r>
          </w:p>
        </w:tc>
      </w:tr>
      <w:tr w14:paraId="01D6C6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9A4C28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RESP_AMP_1</w:t>
            </w:r>
          </w:p>
        </w:tc>
        <w:tc>
          <w:tcPr>
            <w:tcW w:w="1603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65DF7687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0.59±0.37</w:t>
            </w:r>
          </w:p>
        </w:tc>
        <w:tc>
          <w:tcPr>
            <w:tcW w:w="1691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BF8A51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0.87±0.46</w:t>
            </w:r>
          </w:p>
        </w:tc>
        <w:tc>
          <w:tcPr>
            <w:tcW w:w="1709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45F1E5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0.73±0.41</w:t>
            </w:r>
          </w:p>
        </w:tc>
        <w:tc>
          <w:tcPr>
            <w:tcW w:w="916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9E1A1E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0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48FB0D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0.02</w:t>
            </w:r>
          </w:p>
        </w:tc>
        <w:tc>
          <w:tcPr>
            <w:tcW w:w="892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11F6CC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0.03</w:t>
            </w:r>
          </w:p>
        </w:tc>
      </w:tr>
      <w:tr w14:paraId="727FF6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03D0C7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RESP_AMP_2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D3454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0.61±0.38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F5533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0.88±0.44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661D4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0.72±0.40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2828B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98DD2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0.05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D6D4D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0.01</w:t>
            </w:r>
          </w:p>
        </w:tc>
      </w:tr>
      <w:tr w14:paraId="6818F0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F4C6D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RESP_AMP_3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315DC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0.62±0.38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50F37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0.86±0.41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F7879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0.73±0.41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CF1593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B0A1DC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0.06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A129A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0.04</w:t>
            </w:r>
          </w:p>
        </w:tc>
      </w:tr>
      <w:tr w14:paraId="428895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2B447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RESP_AMP_4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7535D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0.64±0.40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AFA289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0.83±0.38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F9D14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0.73±0.40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813B4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4C2768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FFEC2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0.08</w:t>
            </w:r>
          </w:p>
        </w:tc>
      </w:tr>
      <w:tr w14:paraId="22E15D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2312B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RESP_AMP_5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BDB30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0.64±0.37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73C36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0.82±0.37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5E6E8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0.75±0.41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DF5FD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E0135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BE6EF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0.22</w:t>
            </w:r>
          </w:p>
        </w:tc>
      </w:tr>
      <w:tr w14:paraId="74FD55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47459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RESP_AMP_area_1_5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294AF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3.10±1.86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28F3E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4.26±2.03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0EA7A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3.65±1.98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AFA19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841F32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0.05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F14188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0.04</w:t>
            </w:r>
          </w:p>
        </w:tc>
      </w:tr>
      <w:tr w14:paraId="4B8EA7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0E983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RESP_AMP_slope_1_5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B7CB65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0.01±0.04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2255D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-0.01±0.05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000F3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0.01±0.05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1AAF87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FD855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0.33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E6524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0.02</w:t>
            </w:r>
          </w:p>
        </w:tc>
      </w:tr>
      <w:tr w14:paraId="0CCBF4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7F2EA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BR_1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43992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0.82±0.24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3DB9D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0.88±0.21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62C31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0.84±0.20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182133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9716B9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0.51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C4493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</w:t>
            </w:r>
          </w:p>
        </w:tc>
      </w:tr>
      <w:tr w14:paraId="50380A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591EA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BR_2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EC85F7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0.99±0.34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E93447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1.10±0.29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2F577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1.05±0.32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BABC47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0.04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A38B8D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0.34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09AC9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0.28</w:t>
            </w:r>
          </w:p>
        </w:tc>
      </w:tr>
      <w:tr w14:paraId="37B4FE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D67DD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BR_3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88E62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1.05±0.36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73B63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1.17±0.30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3E82C9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1.12±0.34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BCCC8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0.04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2BC723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0.28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DAEAA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0.39</w:t>
            </w:r>
          </w:p>
        </w:tc>
      </w:tr>
      <w:tr w14:paraId="2CDE20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A6A03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BR_4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CC873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1.09±0.43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0B20B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1.26±0.35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F3CFC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1.16±0.36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61726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0.04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F8419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0.28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D5235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0.15</w:t>
            </w:r>
          </w:p>
        </w:tc>
      </w:tr>
      <w:tr w14:paraId="438B0A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193B6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BR_5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0802A7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1.09±0.39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86160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1.26±0.38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F1991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1.19±0.40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60295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4042C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0.07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5CC4DE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0.33</w:t>
            </w:r>
          </w:p>
        </w:tc>
      </w:tr>
      <w:tr w14:paraId="251321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6A152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BR_area_1_5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7F806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5.04±1.66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19986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5.67±1.38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4A9C0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5.37±1.51</w:t>
            </w:r>
          </w:p>
        </w:tc>
        <w:tc>
          <w:tcPr>
            <w:tcW w:w="916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EA6D8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F2670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0.26</w:t>
            </w:r>
          </w:p>
        </w:tc>
        <w:tc>
          <w:tcPr>
            <w:tcW w:w="892" w:type="dxa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F74EAF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0.25</w:t>
            </w:r>
          </w:p>
        </w:tc>
      </w:tr>
      <w:tr w14:paraId="039425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61606A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BR_slope_1_5</w:t>
            </w:r>
          </w:p>
        </w:tc>
        <w:tc>
          <w:tcPr>
            <w:tcW w:w="1603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66CFD6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0.06±0.07</w:t>
            </w:r>
          </w:p>
        </w:tc>
        <w:tc>
          <w:tcPr>
            <w:tcW w:w="1691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ABCD78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0.09±0.07</w:t>
            </w:r>
          </w:p>
        </w:tc>
        <w:tc>
          <w:tcPr>
            <w:tcW w:w="1709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EFD776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0.08±0.06</w:t>
            </w:r>
          </w:p>
        </w:tc>
        <w:tc>
          <w:tcPr>
            <w:tcW w:w="916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06ADE4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0.02</w:t>
            </w:r>
          </w:p>
        </w:tc>
        <w:tc>
          <w:tcPr>
            <w:tcW w:w="1000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5B71A2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0.05</w:t>
            </w:r>
          </w:p>
        </w:tc>
        <w:tc>
          <w:tcPr>
            <w:tcW w:w="892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982390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0.39</w:t>
            </w:r>
          </w:p>
        </w:tc>
      </w:tr>
      <w:tr w14:paraId="49CA0C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ACFACF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RRV_SD1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SD2</w:t>
            </w:r>
          </w:p>
        </w:tc>
        <w:tc>
          <w:tcPr>
            <w:tcW w:w="1603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636B0F8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0.38±0.09</w:t>
            </w:r>
          </w:p>
        </w:tc>
        <w:tc>
          <w:tcPr>
            <w:tcW w:w="1691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1097B2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0.40±0.10</w:t>
            </w:r>
          </w:p>
        </w:tc>
        <w:tc>
          <w:tcPr>
            <w:tcW w:w="1709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1C2671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0.39±0.09</w:t>
            </w:r>
          </w:p>
        </w:tc>
        <w:tc>
          <w:tcPr>
            <w:tcW w:w="916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C8037B2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</w:t>
            </w:r>
          </w:p>
        </w:tc>
        <w:tc>
          <w:tcPr>
            <w:tcW w:w="100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342D227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</w:t>
            </w:r>
          </w:p>
        </w:tc>
        <w:tc>
          <w:tcPr>
            <w:tcW w:w="892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5A8F7EC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0.17</w:t>
            </w:r>
          </w:p>
        </w:tc>
      </w:tr>
      <w:tr w14:paraId="3D8091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96317A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RRV_SD1</w:t>
            </w:r>
          </w:p>
        </w:tc>
        <w:tc>
          <w:tcPr>
            <w:tcW w:w="1603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0B3E75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2.18±1.11</w:t>
            </w:r>
          </w:p>
        </w:tc>
        <w:tc>
          <w:tcPr>
            <w:tcW w:w="1691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456AE1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2.61±1.30</w:t>
            </w:r>
          </w:p>
        </w:tc>
        <w:tc>
          <w:tcPr>
            <w:tcW w:w="1709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69FF739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2.40±1.14</w:t>
            </w:r>
          </w:p>
        </w:tc>
        <w:tc>
          <w:tcPr>
            <w:tcW w:w="916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0E1F1C3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0.01</w:t>
            </w:r>
          </w:p>
        </w:tc>
        <w:tc>
          <w:tcPr>
            <w:tcW w:w="100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B16239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0.09</w:t>
            </w:r>
          </w:p>
        </w:tc>
        <w:tc>
          <w:tcPr>
            <w:tcW w:w="892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AADD12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0.29</w:t>
            </w:r>
          </w:p>
        </w:tc>
      </w:tr>
      <w:tr w14:paraId="650F69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A3D36F5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RRV_SD2</w:t>
            </w:r>
          </w:p>
        </w:tc>
        <w:tc>
          <w:tcPr>
            <w:tcW w:w="1603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AE082B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5.91±2.73</w:t>
            </w:r>
          </w:p>
        </w:tc>
        <w:tc>
          <w:tcPr>
            <w:tcW w:w="1691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704A8D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6.35±2.50</w:t>
            </w:r>
          </w:p>
        </w:tc>
        <w:tc>
          <w:tcPr>
            <w:tcW w:w="1709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29DF53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6.25±2.51</w:t>
            </w:r>
          </w:p>
        </w:tc>
        <w:tc>
          <w:tcPr>
            <w:tcW w:w="916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9AE88EF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0.54</w:t>
            </w:r>
          </w:p>
        </w:tc>
        <w:tc>
          <w:tcPr>
            <w:tcW w:w="100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E50FED2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0.49</w:t>
            </w:r>
          </w:p>
        </w:tc>
        <w:tc>
          <w:tcPr>
            <w:tcW w:w="892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5471EA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0.83</w:t>
            </w:r>
          </w:p>
        </w:tc>
      </w:tr>
      <w:tr w14:paraId="72F0D9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D2E8E05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RRV_S</w:t>
            </w:r>
          </w:p>
        </w:tc>
        <w:tc>
          <w:tcPr>
            <w:tcW w:w="1603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D5983A5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41.61±31.66</w:t>
            </w:r>
          </w:p>
        </w:tc>
        <w:tc>
          <w:tcPr>
            <w:tcW w:w="1691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BE7D06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57.56±44.72</w:t>
            </w:r>
          </w:p>
        </w:tc>
        <w:tc>
          <w:tcPr>
            <w:tcW w:w="1709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812068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54.92±42.97</w:t>
            </w:r>
          </w:p>
        </w:tc>
        <w:tc>
          <w:tcPr>
            <w:tcW w:w="916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08375AC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0.03</w:t>
            </w:r>
          </w:p>
        </w:tc>
        <w:tc>
          <w:tcPr>
            <w:tcW w:w="1000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D1BA62F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0.04</w:t>
            </w:r>
          </w:p>
        </w:tc>
        <w:tc>
          <w:tcPr>
            <w:tcW w:w="892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009DEC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0.74</w:t>
            </w:r>
          </w:p>
        </w:tc>
      </w:tr>
      <w:tr w14:paraId="393D54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op w:val="nil"/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6F6E81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RRV_SampEn</w:t>
            </w:r>
          </w:p>
        </w:tc>
        <w:tc>
          <w:tcPr>
            <w:tcW w:w="1603" w:type="dxa"/>
            <w:tcBorders>
              <w:top w:val="nil"/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4B2C02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0.89±0.25</w:t>
            </w:r>
          </w:p>
        </w:tc>
        <w:tc>
          <w:tcPr>
            <w:tcW w:w="1691" w:type="dxa"/>
            <w:tcBorders>
              <w:top w:val="nil"/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ECC07B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0.96±0.18</w:t>
            </w:r>
          </w:p>
        </w:tc>
        <w:tc>
          <w:tcPr>
            <w:tcW w:w="1709" w:type="dxa"/>
            <w:tcBorders>
              <w:top w:val="nil"/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A73C61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0.93±0.23</w:t>
            </w:r>
          </w:p>
        </w:tc>
        <w:tc>
          <w:tcPr>
            <w:tcW w:w="916" w:type="dxa"/>
            <w:tcBorders>
              <w:top w:val="nil"/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6A6D36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  <w:tc>
          <w:tcPr>
            <w:tcW w:w="1000" w:type="dxa"/>
            <w:tcBorders>
              <w:top w:val="nil"/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7F665E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</w:t>
            </w:r>
          </w:p>
        </w:tc>
        <w:tc>
          <w:tcPr>
            <w:tcW w:w="892" w:type="dxa"/>
            <w:tcBorders>
              <w:top w:val="nil"/>
              <w:bottom w:val="single" w:color="auto" w:sz="8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ABA23AC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0.52</w:t>
            </w:r>
          </w:p>
        </w:tc>
      </w:tr>
      <w:tr w14:paraId="1270F6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8937" w:type="dxa"/>
            <w:gridSpan w:val="7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bottom"/>
          </w:tcPr>
          <w:p w14:paraId="03FB60EC"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left"/>
              <w:textAlignment w:val="bottom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H</w:t>
            </w:r>
            <w:r>
              <w:rPr>
                <w:rFonts w:hint="eastAsia" w:ascii="Times New Roman" w:hAnsi="Times New Roman" w:cs="Times New Roman"/>
              </w:rPr>
              <w:t xml:space="preserve">eart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</w:rPr>
              <w:t xml:space="preserve">ate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V</w:t>
            </w:r>
            <w:r>
              <w:rPr>
                <w:rFonts w:hint="eastAsia" w:ascii="Times New Roman" w:hAnsi="Times New Roman" w:cs="Times New Roman"/>
              </w:rPr>
              <w:t>ariability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(HRV)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parameters</w:t>
            </w:r>
          </w:p>
        </w:tc>
      </w:tr>
      <w:tr w14:paraId="6A4799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op w:val="single" w:color="auto" w:sz="8" w:space="0"/>
              <w:tl2br w:val="nil"/>
              <w:tr2bl w:val="nil"/>
            </w:tcBorders>
            <w:noWrap/>
            <w:vAlign w:val="bottom"/>
          </w:tcPr>
          <w:p w14:paraId="4EAAFF9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mean_nni</w:t>
            </w:r>
          </w:p>
        </w:tc>
        <w:tc>
          <w:tcPr>
            <w:tcW w:w="1603" w:type="dxa"/>
            <w:tcBorders>
              <w:top w:val="single" w:color="auto" w:sz="8" w:space="0"/>
              <w:tl2br w:val="nil"/>
              <w:tr2bl w:val="nil"/>
            </w:tcBorders>
            <w:noWrap/>
            <w:vAlign w:val="bottom"/>
          </w:tcPr>
          <w:p w14:paraId="69F7F41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750.55±121.99</w:t>
            </w:r>
          </w:p>
        </w:tc>
        <w:tc>
          <w:tcPr>
            <w:tcW w:w="1691" w:type="dxa"/>
            <w:tcBorders>
              <w:top w:val="single" w:color="auto" w:sz="8" w:space="0"/>
              <w:tl2br w:val="nil"/>
              <w:tr2bl w:val="nil"/>
            </w:tcBorders>
            <w:noWrap/>
            <w:vAlign w:val="bottom"/>
          </w:tcPr>
          <w:p w14:paraId="383902B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731.51±108.37</w:t>
            </w:r>
          </w:p>
        </w:tc>
        <w:tc>
          <w:tcPr>
            <w:tcW w:w="1709" w:type="dxa"/>
            <w:tcBorders>
              <w:top w:val="single" w:color="auto" w:sz="8" w:space="0"/>
              <w:tl2br w:val="nil"/>
              <w:tr2bl w:val="nil"/>
            </w:tcBorders>
            <w:noWrap/>
            <w:vAlign w:val="bottom"/>
          </w:tcPr>
          <w:p w14:paraId="4ED282F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734.43±105.66</w:t>
            </w:r>
          </w:p>
        </w:tc>
        <w:tc>
          <w:tcPr>
            <w:tcW w:w="916" w:type="dxa"/>
            <w:tcBorders>
              <w:top w:val="single" w:color="auto" w:sz="8" w:space="0"/>
              <w:tl2br w:val="nil"/>
              <w:tr2bl w:val="nil"/>
            </w:tcBorders>
            <w:noWrap/>
            <w:vAlign w:val="bottom"/>
          </w:tcPr>
          <w:p w14:paraId="3ED02ECC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0.02</w:t>
            </w:r>
          </w:p>
        </w:tc>
        <w:tc>
          <w:tcPr>
            <w:tcW w:w="1000" w:type="dxa"/>
            <w:tcBorders>
              <w:top w:val="single" w:color="auto" w:sz="8" w:space="0"/>
              <w:tl2br w:val="nil"/>
              <w:tr2bl w:val="nil"/>
            </w:tcBorders>
            <w:noWrap/>
            <w:vAlign w:val="bottom"/>
          </w:tcPr>
          <w:p w14:paraId="562130E7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0.08</w:t>
            </w:r>
          </w:p>
        </w:tc>
        <w:tc>
          <w:tcPr>
            <w:tcW w:w="892" w:type="dxa"/>
            <w:tcBorders>
              <w:top w:val="single" w:color="auto" w:sz="8" w:space="0"/>
              <w:tl2br w:val="nil"/>
              <w:tr2bl w:val="nil"/>
            </w:tcBorders>
            <w:noWrap/>
            <w:vAlign w:val="bottom"/>
          </w:tcPr>
          <w:p w14:paraId="78F80C7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0.56</w:t>
            </w:r>
          </w:p>
        </w:tc>
      </w:tr>
      <w:tr w14:paraId="00008D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7BB8755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pnni_20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36E5A939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4.35±5.39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14B059B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3.43±4.57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2DD0FE85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3.73±4.62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224D92B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0.07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0F146B7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0B15117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0.59</w:t>
            </w:r>
          </w:p>
        </w:tc>
      </w:tr>
      <w:tr w14:paraId="1B14E8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6C52DC4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pnni_50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598A76D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0.19±0.38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31F40EE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0.08±0.15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008CED0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0.09±0.16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4D0C227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0.03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7781DFA8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0.07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550ADB7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</w:t>
            </w:r>
          </w:p>
        </w:tc>
      </w:tr>
      <w:tr w14:paraId="68D9F5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3D52580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SDNN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7E2868A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42.10±22.46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72753A5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37.88±18.64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3DC3606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40.69±22.75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2DAC16B9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29A172ED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0.38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421A527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</w:t>
            </w:r>
          </w:p>
        </w:tc>
      </w:tr>
      <w:tr w14:paraId="229E67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41E784D9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RMSSD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173107D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11.14±5.15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16DA7D0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10.0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9±4.28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5CCE6AA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10.18±4.42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3F5AFFD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0.03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3A5D756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0.06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213E6B2D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0.82</w:t>
            </w:r>
          </w:p>
        </w:tc>
      </w:tr>
      <w:tr w14:paraId="7B6956F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62D589D5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HF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247D27A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21.01±21.12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57ECC59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15.81±12.25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4A4AFEA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16.60±15.35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35730D32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0.03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03C47E2C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0.02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1C36D70D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0.45</w:t>
            </w:r>
          </w:p>
        </w:tc>
      </w:tr>
      <w:tr w14:paraId="2C781A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526B7AB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  <w:t>LF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5DE0FCE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72.37±78.62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005DB9B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68.88±71.08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10D7201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66.18±72.55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06668C8D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07C244AC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3281D5DC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0.47</w:t>
            </w:r>
          </w:p>
        </w:tc>
      </w:tr>
      <w:tr w14:paraId="3FD031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274C440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  <w:t>LF/HF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4DFE035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3.40±2.12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6B5C5F9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3.13±2.00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7002FD0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3.80±2.62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79467059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61223698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0.24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24FF4AD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0.02</w:t>
            </w:r>
          </w:p>
        </w:tc>
      </w:tr>
      <w:tr w14:paraId="267666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3A36EFE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total_power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19F8D3A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345.88±342.59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4E20F23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281.74±269.52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7CB9208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264.03±244.45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07745DD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0.03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0D32E45F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0.01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4BA95447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0.72</w:t>
            </w:r>
          </w:p>
        </w:tc>
      </w:tr>
      <w:tr w14:paraId="65575D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7731D5D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v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  <w:t>LF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5D54C8A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247.67±237.42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62DDB14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209.38±201.92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40AFB9F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209.36±199.63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04AD8B8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0.07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62EFEF8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0.08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5D6ADDA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0.83</w:t>
            </w:r>
          </w:p>
        </w:tc>
      </w:tr>
      <w:tr w14:paraId="3A2A53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2848EC6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  <w:t>SD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4124900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7.88±3.64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57206C8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7.13±3.02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34EB0F6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7.20±3.12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093B7AA7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0.03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2B56474D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0.06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0527132C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0.82</w:t>
            </w:r>
          </w:p>
        </w:tc>
      </w:tr>
      <w:tr w14:paraId="0663BB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051A514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  <w:t>SD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6B2ACF0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58.40±31.21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4A4DD7C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52.30±25.37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0E1BEAE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56.29±31.00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4CE5728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04EE300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0.41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3296AE5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0.38</w:t>
            </w:r>
          </w:p>
        </w:tc>
      </w:tr>
      <w:tr w14:paraId="29A6B9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3B869817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  <w:t>SD1/SD2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r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24B2A48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6.93±3.25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7301BCF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5.99±2.56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539658B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6.98±3.09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4B3CD9E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0.05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1B352C8E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0.84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4175E75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0.02</w:t>
            </w:r>
          </w:p>
        </w:tc>
      </w:tr>
      <w:tr w14:paraId="1FF640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23823A2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ampen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4DDC02C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0.86±0.48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05A8747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0.91±0.41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441BEA4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0.80±0.43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448A6038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6737BA29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0.97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698F847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0.05</w:t>
            </w:r>
          </w:p>
        </w:tc>
      </w:tr>
      <w:tr w14:paraId="08E22B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4E77E44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  <w:t>CSI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55AF4AB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6.93±3.25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398A0D6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5.99±2.56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650A7A7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6.98±3.09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47111263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0.05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4CCBC3E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0.84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0A20AA7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0.02</w:t>
            </w:r>
          </w:p>
        </w:tc>
      </w:tr>
      <w:tr w14:paraId="152C1B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37EFEA8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triangular_index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23780EC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7.76±3.81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47385C4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6.61±2.51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5B9B113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7.03±3.27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3933BC97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0.03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67922007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0.18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2A7BCC0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0.45</w:t>
            </w:r>
          </w:p>
        </w:tc>
      </w:tr>
      <w:tr w14:paraId="3C4C45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0A574C5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_1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78603D0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0.71±0.43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4CC38CC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0.74±0.39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23B9216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0.66±0.38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174E53D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132CF91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0.97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13E178D2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0.11</w:t>
            </w:r>
          </w:p>
        </w:tc>
      </w:tr>
      <w:tr w14:paraId="6282BE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12D71FC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_2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6F25282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0.60±0.31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2A3B4E29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0.63±0.30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1D574CD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0.55±0.27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19E6ACE9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0.35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4EEEA2EF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0.56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40A7261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0.02</w:t>
            </w:r>
          </w:p>
        </w:tc>
      </w:tr>
      <w:tr w14:paraId="6591B7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13EBA35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_3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3A99B8D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0.57±0.26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62B87DE5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0.64±0.29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1EC1092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0.55±0.24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17DB500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0.14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05D4F76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0.76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4906EC4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0.03</w:t>
            </w:r>
          </w:p>
        </w:tc>
      </w:tr>
      <w:tr w14:paraId="51CDEA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46A7CBC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_4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0425346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0.62±0.28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64FBD5D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0.69±0.31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4BB3D98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0.60±0.26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53B36D1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525311A3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0.82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3286CC1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0.06</w:t>
            </w:r>
          </w:p>
        </w:tc>
      </w:tr>
      <w:tr w14:paraId="7ECD96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5544937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_5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73DD5492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0.65±0.28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0A5FD38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0.73±0.32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5B387197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0.63±0.26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568380F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0.19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005490B9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0.72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549E208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0.04</w:t>
            </w:r>
          </w:p>
        </w:tc>
      </w:tr>
      <w:tr w14:paraId="24C63C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5A52687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_6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70EE16C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0.69±0.28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483ACA8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0.79±0.35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12EFF4D5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0.68±0.28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74F16FE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0.09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05C88F4F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0.92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65BD17F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0.04</w:t>
            </w:r>
          </w:p>
        </w:tc>
      </w:tr>
      <w:tr w14:paraId="230C13E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6B655E8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_7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6F5A108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0.74±0.32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4EC8CBD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0.84±0.38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466C7FE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0.71±0.29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70DECC38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0.14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2114E67E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0.63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7E22F35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0.02</w:t>
            </w:r>
          </w:p>
        </w:tc>
      </w:tr>
      <w:tr w14:paraId="4AB188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6A842C87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_8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5F71D45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0.77±0.33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6CB7F28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0.85±0.36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5BDABA0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0.77±0.33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5E295B48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5CD5C753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0.94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71FD12D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0.12</w:t>
            </w:r>
          </w:p>
        </w:tc>
      </w:tr>
      <w:tr w14:paraId="4B7838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56AFACC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_9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0447F8A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0.82±0.35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45FD5E2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0.89±0.38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09E49CB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0.76±0.30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395682D8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0.24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6441189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0.32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22986EA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0.02</w:t>
            </w:r>
          </w:p>
        </w:tc>
      </w:tr>
      <w:tr w14:paraId="6122B95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43A6E289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_10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7FD2493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0.83±0.35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1B58663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0.91±0.38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716D9B65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0.80±0.33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2A3E6CDC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0.18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4003849D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0.74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6701294E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0.06</w:t>
            </w:r>
          </w:p>
        </w:tc>
      </w:tr>
      <w:tr w14:paraId="44E6E2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420CC07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_11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36B5BB7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0.83±0.35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5AE5517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0.91±0.37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2FB0C41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0.84±0.34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0FC1BE02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7104F0A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0.86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7DD73A3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0.24</w:t>
            </w:r>
          </w:p>
        </w:tc>
      </w:tr>
      <w:tr w14:paraId="34BE41E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72FB0B5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_12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662A4D1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0.84±0.34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683473F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0.93±0.37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1449F38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0.85±0.32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69C233AD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0643C122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0.91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6225FA7F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0.11</w:t>
            </w:r>
          </w:p>
        </w:tc>
      </w:tr>
      <w:tr w14:paraId="1427F8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182B2CB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_13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744972F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0.84±0.34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6B962B6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0.94±0.39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2CC8FC4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0.84±0.31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7744B16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7F05E3D5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0.92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2E8C6899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0.09</w:t>
            </w:r>
          </w:p>
        </w:tc>
      </w:tr>
      <w:tr w14:paraId="29998B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4A7DB17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_14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6C402E3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0.86±0.36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6ACF188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0.96±0.37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2A81546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0.87±0.34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5082138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0.15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3E1DCF38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0.91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235534A2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0.13</w:t>
            </w:r>
          </w:p>
        </w:tc>
      </w:tr>
      <w:tr w14:paraId="5C0270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4794110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_15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2C0D300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0.88±0.36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45674ED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0.96±0.38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2D5BCC79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0.88±0.34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3B6CDBF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0.26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08BA491F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087C95C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0.19</w:t>
            </w:r>
          </w:p>
        </w:tc>
      </w:tr>
      <w:tr w14:paraId="3BAF48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3DD5864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_16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75E24DA9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0.88±0.31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0305B2E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0.96±0.33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09C3BE51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0.92±0.34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324781EE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139B20D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0.59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440FF6EE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0.52</w:t>
            </w:r>
          </w:p>
        </w:tc>
      </w:tr>
      <w:tr w14:paraId="1075A99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144AF90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_17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5BE44D5F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0.88±0.31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6A70DC7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0.97±0.32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05D52BA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0.93±0.31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5DC1B10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0.04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5B1E70B3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0.35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108B247D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0.49</w:t>
            </w:r>
          </w:p>
        </w:tc>
      </w:tr>
      <w:tr w14:paraId="7A638C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40A7A7D7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_18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745AB3D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0.87±0.27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79AB576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0.97±0.33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4A5E56A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0.91±0.34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17CB8DB2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0.07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2F502A09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69534717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0.3</w:t>
            </w:r>
          </w:p>
        </w:tc>
      </w:tr>
      <w:tr w14:paraId="046108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58B9D44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_19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4058FE9E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0.91±0.31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3C36EE5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0.95±0.31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2F163F4A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0.92±0.31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7A073EDC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0.43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73A79DA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0.82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43362737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0.59</w:t>
            </w:r>
          </w:p>
        </w:tc>
      </w:tr>
      <w:tr w14:paraId="35B118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710EEC5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_20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59E8FA87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0.90±0.30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67DE0F09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0.97±0.32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03A2C2F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0.92±0.32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78C4D03F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0.27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6DA7B92A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0.76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00AA9F1B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0.48</w:t>
            </w:r>
          </w:p>
        </w:tc>
      </w:tr>
      <w:tr w14:paraId="3F53FC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4D849DA3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_area_1_5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627270B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3.13±1.44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279E466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3.45±1.52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1DC8235B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2.99±1.30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3F53D52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0.22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60022B4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4D17FBC6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0.05</w:t>
            </w:r>
          </w:p>
        </w:tc>
      </w:tr>
      <w:tr w14:paraId="230B77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76572FD4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_area_6_20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3ECD6C2C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11.98±4.31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4A3BF37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13.01±4.80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5A106B6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12.16±4.14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372A8461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0.21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4947EA14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0.82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25DBED88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0.26</w:t>
            </w:r>
          </w:p>
        </w:tc>
      </w:tr>
      <w:tr w14:paraId="215192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126" w:type="dxa"/>
            <w:tcBorders>
              <w:tl2br w:val="nil"/>
              <w:tr2bl w:val="nil"/>
            </w:tcBorders>
            <w:noWrap/>
            <w:vAlign w:val="bottom"/>
          </w:tcPr>
          <w:p w14:paraId="0D093CE0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HR_MSE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_slope_1_5</w:t>
            </w:r>
          </w:p>
        </w:tc>
        <w:tc>
          <w:tcPr>
            <w:tcW w:w="1603" w:type="dxa"/>
            <w:tcBorders>
              <w:tl2br w:val="nil"/>
              <w:tr2bl w:val="nil"/>
            </w:tcBorders>
            <w:noWrap/>
            <w:vAlign w:val="bottom"/>
          </w:tcPr>
          <w:p w14:paraId="23C13CD6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0.02±0.04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/>
            <w:vAlign w:val="bottom"/>
          </w:tcPr>
          <w:p w14:paraId="43F5E6C8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0.01±0.06</w:t>
            </w:r>
          </w:p>
        </w:tc>
        <w:tc>
          <w:tcPr>
            <w:tcW w:w="1709" w:type="dxa"/>
            <w:tcBorders>
              <w:tl2br w:val="nil"/>
              <w:tr2bl w:val="nil"/>
            </w:tcBorders>
            <w:noWrap/>
            <w:vAlign w:val="bottom"/>
          </w:tcPr>
          <w:p w14:paraId="2FD3A8FD">
            <w:pPr>
              <w:widowControl/>
              <w:jc w:val="lef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0.02±0.06</w:t>
            </w:r>
          </w:p>
        </w:tc>
        <w:tc>
          <w:tcPr>
            <w:tcW w:w="916" w:type="dxa"/>
            <w:tcBorders>
              <w:tl2br w:val="nil"/>
              <w:tr2bl w:val="nil"/>
            </w:tcBorders>
            <w:noWrap/>
            <w:vAlign w:val="bottom"/>
          </w:tcPr>
          <w:p w14:paraId="77A37A6D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0.76</w:t>
            </w:r>
          </w:p>
        </w:tc>
        <w:tc>
          <w:tcPr>
            <w:tcW w:w="1000" w:type="dxa"/>
            <w:tcBorders>
              <w:tl2br w:val="nil"/>
              <w:tr2bl w:val="nil"/>
            </w:tcBorders>
            <w:noWrap/>
            <w:vAlign w:val="bottom"/>
          </w:tcPr>
          <w:p w14:paraId="54E3CA0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0.98</w:t>
            </w:r>
          </w:p>
        </w:tc>
        <w:tc>
          <w:tcPr>
            <w:tcW w:w="892" w:type="dxa"/>
            <w:tcBorders>
              <w:tl2br w:val="nil"/>
              <w:tr2bl w:val="nil"/>
            </w:tcBorders>
            <w:noWrap/>
            <w:vAlign w:val="bottom"/>
          </w:tcPr>
          <w:p w14:paraId="606509C0">
            <w:pPr>
              <w:widowControl/>
              <w:jc w:val="right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0.52</w:t>
            </w:r>
          </w:p>
        </w:tc>
      </w:tr>
    </w:tbl>
    <w:p w14:paraId="20480D29">
      <w:pPr>
        <w:spacing w:line="360" w:lineRule="auto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Notes: T0, baseline; T1, training period; T2, recovery period. Data are presented as mean ± SD.</w:t>
      </w:r>
    </w:p>
    <w:p w14:paraId="77413C36">
      <w:pPr>
        <w:numPr>
          <w:ilvl w:val="0"/>
          <w:numId w:val="2"/>
        </w:numPr>
        <w:spacing w:line="360" w:lineRule="auto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Macro vital signs parameters reflect fundamental safety thresholds and gas exchange outcomes:</w:t>
      </w:r>
    </w:p>
    <w:p w14:paraId="7BE146EB">
      <w:pPr>
        <w:spacing w:line="360" w:lineRule="auto"/>
        <w:ind w:left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HR_mean/HR_max/HR_min: Mean/maximum/minimum heart rate</w:t>
      </w:r>
    </w:p>
    <w:p w14:paraId="49C5263B">
      <w:pPr>
        <w:spacing w:line="360" w:lineRule="auto"/>
        <w:ind w:left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BR_mean/BR_max/BR_min: Mean/maximum/minimum breath rate</w:t>
      </w:r>
    </w:p>
    <w:p w14:paraId="2EF47ADF">
      <w:pPr>
        <w:spacing w:line="360" w:lineRule="auto"/>
        <w:ind w:left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SpO₂_mean/SpO₂_max/SpO₂_min: Mean/maximum/minimum blood oxygen saturation</w:t>
      </w:r>
    </w:p>
    <w:p w14:paraId="1BFE2655">
      <w:pPr>
        <w:spacing w:line="360" w:lineRule="auto"/>
        <w:ind w:left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SpO₂_time_below80/85/90/95: Time spent below 80%/85%/90%/95% SpO₂ thresholds</w:t>
      </w:r>
    </w:p>
    <w:p w14:paraId="4D87AB05">
      <w:pPr>
        <w:spacing w:line="360" w:lineRule="auto"/>
        <w:ind w:left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spo2_dearea: Desaturation area (integrated hypoxia burden)</w:t>
      </w:r>
    </w:p>
    <w:p w14:paraId="19F68514">
      <w:pPr>
        <w:spacing w:line="360" w:lineRule="auto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B</w:t>
      </w:r>
      <w:r>
        <w:rPr>
          <w:rFonts w:hint="eastAsia" w:ascii="Times New Roman" w:hAnsi="Times New Roman" w:cs="Times New Roman"/>
        </w:rPr>
        <w:t>. Respiratory cycle structure parameters indicate respiratory cycle remodeling in response to upper airway resistance:</w:t>
      </w:r>
    </w:p>
    <w:p w14:paraId="59576F5E">
      <w:pPr>
        <w:spacing w:line="360" w:lineRule="auto"/>
        <w:ind w:left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TI_mean/TI_std/TI_cv: Inspiratory time (mean, standard deviation, coefficient of variation)</w:t>
      </w:r>
    </w:p>
    <w:p w14:paraId="59CAB178">
      <w:pPr>
        <w:spacing w:line="360" w:lineRule="auto"/>
        <w:ind w:left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TE_mean/TE_std/TE_cv: Expiratory time (mean, standard deviation, coefficient of variation)</w:t>
      </w:r>
    </w:p>
    <w:p w14:paraId="650C6F4D">
      <w:pPr>
        <w:spacing w:line="360" w:lineRule="auto"/>
        <w:ind w:left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TI_ratio_mean/TI_ratio_cv: Inspiratory time ratio (mean, coefficient of variation)</w:t>
      </w:r>
    </w:p>
    <w:p w14:paraId="4A14201B">
      <w:pPr>
        <w:spacing w:line="360" w:lineRule="auto"/>
        <w:ind w:left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TE_ratio_mean/TE_ratio_cv: Expiratory time ratio (mean, coefficient of variation)</w:t>
      </w:r>
    </w:p>
    <w:p w14:paraId="76F4D3E1">
      <w:pPr>
        <w:spacing w:line="360" w:lineRule="auto"/>
        <w:ind w:left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RESP_AMP_cv: Respiratory amplitude coefficient of variation</w:t>
      </w:r>
    </w:p>
    <w:p w14:paraId="42AC3559">
      <w:pPr>
        <w:spacing w:line="360" w:lineRule="auto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C</w:t>
      </w:r>
      <w:r>
        <w:rPr>
          <w:rFonts w:hint="eastAsia" w:ascii="Times New Roman" w:hAnsi="Times New Roman" w:cs="Times New Roman"/>
        </w:rPr>
        <w:t xml:space="preserve">. Respiratory </w:t>
      </w:r>
      <w:r>
        <w:rPr>
          <w:rFonts w:hint="eastAsia" w:ascii="Times New Roman" w:hAnsi="Times New Roman" w:cs="Times New Roman"/>
          <w:lang w:val="en-US" w:eastAsia="zh-CN"/>
        </w:rPr>
        <w:t>c</w:t>
      </w:r>
      <w:r>
        <w:rPr>
          <w:rFonts w:hint="eastAsia" w:ascii="Times New Roman" w:hAnsi="Times New Roman" w:cs="Times New Roman"/>
        </w:rPr>
        <w:t>omplexity parameters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</w:rPr>
        <w:t>evaluate central respiratory controller flexibility and compensatory reserve:</w:t>
      </w:r>
    </w:p>
    <w:p w14:paraId="59962C13">
      <w:pPr>
        <w:spacing w:line="360" w:lineRule="auto"/>
        <w:ind w:leftChars="20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</w:rPr>
        <w:t>RRV_SD1/RRV_SD2/RRV_SD1SD2</w:t>
      </w:r>
      <w:r>
        <w:rPr>
          <w:rFonts w:hint="eastAsia" w:ascii="Times New Roman" w:hAnsi="Times New Roman" w:cs="Times New Roman"/>
          <w:lang w:val="en-US" w:eastAsia="zh-CN"/>
        </w:rPr>
        <w:t>/</w:t>
      </w:r>
      <w:r>
        <w:rPr>
          <w:rFonts w:hint="eastAsia" w:ascii="Times New Roman" w:hAnsi="Times New Roman" w:cs="Times New Roman"/>
        </w:rPr>
        <w:t>RRV_S: Short - term/long standard deviations of the Poincaré plot;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ratio of SD1 to SD2; area of the Poincaré plot ellipse;</w:t>
      </w:r>
    </w:p>
    <w:p w14:paraId="5C202E51">
      <w:pPr>
        <w:spacing w:line="360" w:lineRule="auto"/>
        <w:ind w:left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RESP_AMP_</w:t>
      </w:r>
      <w:r>
        <w:rPr>
          <w:rFonts w:hint="eastAsia" w:ascii="Times New Roman" w:hAnsi="Times New Roman" w:cs="Times New Roman"/>
          <w:lang w:val="en-US" w:eastAsia="zh-CN"/>
        </w:rPr>
        <w:t xml:space="preserve">1 - </w:t>
      </w:r>
      <w:r>
        <w:rPr>
          <w:rFonts w:hint="eastAsia" w:ascii="Times New Roman" w:hAnsi="Times New Roman" w:cs="Times New Roman"/>
        </w:rPr>
        <w:t>RESP_AMP_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hint="eastAsia" w:ascii="Times New Roman" w:hAnsi="Times New Roman" w:cs="Times New Roman"/>
        </w:rPr>
        <w:t>: Respiratory amplitude multiscale entropy (scales 1 - 5)</w:t>
      </w:r>
    </w:p>
    <w:p w14:paraId="111E330C">
      <w:pPr>
        <w:spacing w:line="360" w:lineRule="auto"/>
        <w:ind w:left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BR</w:t>
      </w:r>
      <w:r>
        <w:rPr>
          <w:rFonts w:hint="eastAsia" w:ascii="Times New Roman" w:hAnsi="Times New Roman" w:cs="Times New Roman"/>
        </w:rPr>
        <w:t>_</w:t>
      </w:r>
      <w:r>
        <w:rPr>
          <w:rFonts w:hint="eastAsia" w:ascii="Times New Roman" w:hAnsi="Times New Roman" w:cs="Times New Roman"/>
          <w:lang w:val="en-US" w:eastAsia="zh-CN"/>
        </w:rPr>
        <w:t>1 - BR_5</w:t>
      </w:r>
      <w:r>
        <w:rPr>
          <w:rFonts w:hint="eastAsia" w:ascii="Times New Roman" w:hAnsi="Times New Roman" w:cs="Times New Roman"/>
        </w:rPr>
        <w:t xml:space="preserve">: </w:t>
      </w:r>
      <w:r>
        <w:rPr>
          <w:rFonts w:hint="eastAsia" w:ascii="Times New Roman" w:hAnsi="Times New Roman" w:cs="Times New Roman"/>
          <w:lang w:val="en-US" w:eastAsia="zh-CN"/>
        </w:rPr>
        <w:t>Breath</w:t>
      </w:r>
      <w:r>
        <w:rPr>
          <w:rFonts w:hint="eastAsia" w:ascii="Times New Roman" w:hAnsi="Times New Roman" w:cs="Times New Roman"/>
        </w:rPr>
        <w:t xml:space="preserve"> rate multiscale entropy (scales 1 - 5)</w:t>
      </w:r>
    </w:p>
    <w:p w14:paraId="532C6768">
      <w:pPr>
        <w:spacing w:line="360" w:lineRule="auto"/>
        <w:ind w:leftChars="200"/>
        <w:rPr>
          <w:rFonts w:hint="eastAsia" w:ascii="Times New Roman" w:hAnsi="Times New Roman" w:cs="Times New Roman"/>
          <w:lang w:val="en-US" w:eastAsia="zh-CN"/>
        </w:rPr>
      </w:pPr>
      <w:r>
        <w:rPr>
          <w:rStyle w:val="4"/>
          <w:rFonts w:hint="default" w:ascii="Times New Roman" w:hAnsi="Times New Roman" w:cs="Times New Roman" w:eastAsiaTheme="minorEastAsia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highlight w:val="none"/>
          <w:shd w:val="clear" w:fill="FFFFFF"/>
          <w:vertAlign w:val="baseline"/>
          <w:lang w:val="en-US" w:eastAsia="zh-CN" w:bidi="ar-SA"/>
          <w14:ligatures w14:val="standardContextual"/>
        </w:rPr>
        <w:t>RESP_AMP_area</w:t>
      </w:r>
      <w:r>
        <w:rPr>
          <w:rStyle w:val="4"/>
          <w:rFonts w:hint="eastAsia" w:ascii="Times New Roman" w:hAnsi="Times New Roman" w:cs="Times New Roman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highlight w:val="none"/>
          <w:shd w:val="clear" w:fill="FFFFFF"/>
          <w:vertAlign w:val="baseline"/>
          <w:lang w:val="en-US" w:eastAsia="zh-CN" w:bidi="ar-SA"/>
          <w14:ligatures w14:val="standardContextual"/>
        </w:rPr>
        <w:t>_1_5/BR</w:t>
      </w:r>
      <w:r>
        <w:rPr>
          <w:rStyle w:val="4"/>
          <w:rFonts w:hint="default" w:ascii="Times New Roman" w:hAnsi="Times New Roman" w:cs="Times New Roman" w:eastAsiaTheme="minorEastAsia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highlight w:val="none"/>
          <w:shd w:val="clear" w:fill="FFFFFF"/>
          <w:vertAlign w:val="baseline"/>
          <w:lang w:val="en-US" w:eastAsia="zh-CN" w:bidi="ar-SA"/>
          <w14:ligatures w14:val="standardContextual"/>
        </w:rPr>
        <w:t>_area</w:t>
      </w:r>
      <w:r>
        <w:rPr>
          <w:rStyle w:val="4"/>
          <w:rFonts w:hint="eastAsia" w:ascii="Times New Roman" w:hAnsi="Times New Roman" w:cs="Times New Roman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highlight w:val="none"/>
          <w:shd w:val="clear" w:fill="FFFFFF"/>
          <w:vertAlign w:val="baseline"/>
          <w:lang w:val="en-US" w:eastAsia="zh-CN" w:bidi="ar-SA"/>
          <w14:ligatures w14:val="standardContextual"/>
        </w:rPr>
        <w:t xml:space="preserve">_1_5: </w:t>
      </w:r>
      <w:r>
        <w:rPr>
          <w:rStyle w:val="4"/>
          <w:rFonts w:hint="default" w:ascii="Times New Roman" w:hAnsi="Times New Roman" w:cs="Times New Roman" w:eastAsiaTheme="minorEastAsia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shd w:val="clear" w:fill="FFFFFF"/>
          <w:vertAlign w:val="baseline"/>
          <w:lang w:val="en-US" w:eastAsia="zh-CN" w:bidi="ar-SA"/>
          <w14:ligatures w14:val="standardContextual"/>
        </w:rPr>
        <w:t>The area under the MSE curve for scales 1 to 5</w:t>
      </w:r>
    </w:p>
    <w:p w14:paraId="567C1E0D">
      <w:pPr>
        <w:spacing w:line="360" w:lineRule="auto"/>
        <w:ind w:leftChars="200"/>
        <w:rPr>
          <w:rFonts w:hint="default" w:ascii="Times New Roman" w:hAnsi="Times New Roman" w:cs="Times New Roman"/>
          <w:lang w:val="en-US"/>
        </w:rPr>
      </w:pPr>
      <w:r>
        <w:rPr>
          <w:rStyle w:val="4"/>
          <w:rFonts w:hint="default" w:ascii="Times New Roman" w:hAnsi="Times New Roman" w:cs="Times New Roman" w:eastAsiaTheme="minorEastAsia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highlight w:val="none"/>
          <w:shd w:val="clear" w:fill="FFFFFF"/>
          <w:vertAlign w:val="baseline"/>
          <w:lang w:val="en-US" w:eastAsia="zh-CN" w:bidi="ar-SA"/>
          <w14:ligatures w14:val="standardContextual"/>
        </w:rPr>
        <w:t>RESP_AMP_</w:t>
      </w:r>
      <w:r>
        <w:rPr>
          <w:rStyle w:val="4"/>
          <w:rFonts w:hint="eastAsia" w:ascii="Times New Roman" w:hAnsi="Times New Roman" w:cs="Times New Roman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highlight w:val="none"/>
          <w:shd w:val="clear" w:fill="FFFFFF"/>
          <w:vertAlign w:val="baseline"/>
          <w:lang w:val="en-US" w:eastAsia="zh-CN" w:bidi="ar-SA"/>
          <w14:ligatures w14:val="standardContextual"/>
        </w:rPr>
        <w:t>slope_1_5/BR</w:t>
      </w:r>
      <w:r>
        <w:rPr>
          <w:rStyle w:val="4"/>
          <w:rFonts w:hint="default" w:ascii="Times New Roman" w:hAnsi="Times New Roman" w:cs="Times New Roman" w:eastAsiaTheme="minorEastAsia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highlight w:val="none"/>
          <w:shd w:val="clear" w:fill="FFFFFF"/>
          <w:vertAlign w:val="baseline"/>
          <w:lang w:val="en-US" w:eastAsia="zh-CN" w:bidi="ar-SA"/>
          <w14:ligatures w14:val="standardContextual"/>
        </w:rPr>
        <w:t>_</w:t>
      </w:r>
      <w:r>
        <w:rPr>
          <w:rStyle w:val="4"/>
          <w:rFonts w:hint="eastAsia" w:ascii="Times New Roman" w:hAnsi="Times New Roman" w:cs="Times New Roman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highlight w:val="none"/>
          <w:shd w:val="clear" w:fill="FFFFFF"/>
          <w:vertAlign w:val="baseline"/>
          <w:lang w:val="en-US" w:eastAsia="zh-CN" w:bidi="ar-SA"/>
          <w14:ligatures w14:val="standardContextual"/>
        </w:rPr>
        <w:t xml:space="preserve">slope_1_5: </w:t>
      </w:r>
      <w:r>
        <w:rPr>
          <w:rStyle w:val="4"/>
          <w:rFonts w:hint="default" w:ascii="Times New Roman" w:hAnsi="Times New Roman" w:cs="Times New Roman" w:eastAsiaTheme="minorEastAsia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shd w:val="clear" w:fill="FFFFFF"/>
          <w:vertAlign w:val="baseline"/>
          <w:lang w:val="en-US" w:eastAsia="zh-CN" w:bidi="ar-SA"/>
          <w14:ligatures w14:val="standardContextual"/>
        </w:rPr>
        <w:t xml:space="preserve">The </w:t>
      </w:r>
      <w:r>
        <w:rPr>
          <w:rStyle w:val="4"/>
          <w:rFonts w:hint="eastAsia" w:ascii="Times New Roman" w:hAnsi="Times New Roman" w:cs="Times New Roman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shd w:val="clear" w:fill="FFFFFF"/>
          <w:vertAlign w:val="baseline"/>
          <w:lang w:val="en-US" w:eastAsia="zh-CN" w:bidi="ar-SA"/>
          <w14:ligatures w14:val="standardContextual"/>
        </w:rPr>
        <w:t>slope of</w:t>
      </w:r>
      <w:r>
        <w:rPr>
          <w:rStyle w:val="4"/>
          <w:rFonts w:hint="default" w:ascii="Times New Roman" w:hAnsi="Times New Roman" w:cs="Times New Roman" w:eastAsiaTheme="minorEastAsia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shd w:val="clear" w:fill="FFFFFF"/>
          <w:vertAlign w:val="baseline"/>
          <w:lang w:val="en-US" w:eastAsia="zh-CN" w:bidi="ar-SA"/>
          <w14:ligatures w14:val="standardContextual"/>
        </w:rPr>
        <w:t xml:space="preserve"> the MSE curve for scales 1 to 5</w:t>
      </w:r>
    </w:p>
    <w:p w14:paraId="1767A886">
      <w:pPr>
        <w:spacing w:line="360" w:lineRule="auto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Note: Higher MSE indicates richer dynamic repertoire for breath - to - breath micro - adjustments against resistance</w:t>
      </w:r>
    </w:p>
    <w:p w14:paraId="128BDD98">
      <w:pPr>
        <w:spacing w:line="360" w:lineRule="auto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D</w:t>
      </w:r>
      <w:r>
        <w:rPr>
          <w:rFonts w:hint="eastAsia" w:ascii="Times New Roman" w:hAnsi="Times New Roman" w:cs="Times New Roman"/>
        </w:rPr>
        <w:t xml:space="preserve">. </w:t>
      </w:r>
      <w:r>
        <w:rPr>
          <w:rFonts w:hint="eastAsia" w:ascii="Times New Roman" w:hAnsi="Times New Roman" w:cs="Times New Roman"/>
          <w:lang w:val="en-US" w:eastAsia="zh-CN"/>
        </w:rPr>
        <w:t>H</w:t>
      </w:r>
      <w:r>
        <w:rPr>
          <w:rFonts w:hint="eastAsia" w:ascii="Times New Roman" w:hAnsi="Times New Roman" w:cs="Times New Roman"/>
        </w:rPr>
        <w:t>eart rate variability(HRV) parameters assess cardiovascular stress response and sympathovagal balance:</w:t>
      </w:r>
    </w:p>
    <w:p w14:paraId="7A3AFDAC">
      <w:pPr>
        <w:spacing w:line="360" w:lineRule="auto"/>
        <w:ind w:left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Time-domain:</w:t>
      </w:r>
    </w:p>
    <w:p w14:paraId="73306D5B">
      <w:pPr>
        <w:spacing w:line="360" w:lineRule="auto"/>
        <w:ind w:leftChars="3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mean_nni: Mean of normal - to - normal RR intervals (average heart rate)</w:t>
      </w:r>
    </w:p>
    <w:p w14:paraId="30433E86">
      <w:pPr>
        <w:spacing w:line="360" w:lineRule="auto"/>
        <w:ind w:leftChars="3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pnni_20/pnni_50: Proportion of RR intervals differing by &gt;20ms/&gt;50ms from the previous interval (beat - to - beat variability)</w:t>
      </w:r>
    </w:p>
    <w:p w14:paraId="52750066">
      <w:pPr>
        <w:spacing w:line="360" w:lineRule="auto"/>
        <w:ind w:leftChars="3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SDNN: Standard deviation of all normal RR intervals (overall HRV)</w:t>
      </w:r>
    </w:p>
    <w:p w14:paraId="51765529">
      <w:pPr>
        <w:spacing w:line="360" w:lineRule="auto"/>
        <w:ind w:leftChars="3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RMSSD: Root mean square of successive differences (short - term HRV, vagal activity)</w:t>
      </w:r>
    </w:p>
    <w:p w14:paraId="0041488A">
      <w:pPr>
        <w:spacing w:line="360" w:lineRule="auto"/>
        <w:ind w:left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Frequency-domain parameters:</w:t>
      </w:r>
    </w:p>
    <w:p w14:paraId="36A795EE">
      <w:pPr>
        <w:spacing w:line="360" w:lineRule="auto"/>
        <w:ind w:leftChars="3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LF: Low - frequency power (0.04 - 0.15 Hz, mixed sympathetic/parasympathetic)</w:t>
      </w:r>
    </w:p>
    <w:p w14:paraId="4D5D922F">
      <w:pPr>
        <w:spacing w:line="360" w:lineRule="auto"/>
        <w:ind w:leftChars="3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HF: High - frequency power (0.15 - 0.4 Hz, vagal activity)</w:t>
      </w:r>
    </w:p>
    <w:p w14:paraId="280A3BF0">
      <w:pPr>
        <w:spacing w:line="360" w:lineRule="auto"/>
        <w:ind w:leftChars="3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LF/HF: Ratio of low - to - high frequency power (sympathovagal balance)</w:t>
      </w:r>
    </w:p>
    <w:p w14:paraId="7024B2B7">
      <w:pPr>
        <w:spacing w:line="360" w:lineRule="auto"/>
        <w:ind w:leftChars="3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total_power: Total spectral power (overall HRV)</w:t>
      </w:r>
    </w:p>
    <w:p w14:paraId="01A34487">
      <w:pPr>
        <w:spacing w:line="360" w:lineRule="auto"/>
        <w:ind w:leftChars="3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vLF: Very low - frequency power (&lt;0.04 Hz)</w:t>
      </w:r>
    </w:p>
    <w:p w14:paraId="25BCFFCF">
      <w:pPr>
        <w:spacing w:line="360" w:lineRule="auto"/>
        <w:ind w:left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Nonlinear parameters:</w:t>
      </w:r>
    </w:p>
    <w:p w14:paraId="12A4F195">
      <w:pPr>
        <w:spacing w:line="360" w:lineRule="auto"/>
        <w:ind w:leftChars="3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SD1: Short - term HRV (perpendicular dispersion in Poincaré plot, vagal activity)</w:t>
      </w:r>
    </w:p>
    <w:p w14:paraId="5EBECBD4">
      <w:pPr>
        <w:spacing w:line="360" w:lineRule="auto"/>
        <w:ind w:leftChars="3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SD2: Long - term HRV (longitudinal dispersion in Poincaré plot, sympathetic activity)</w:t>
      </w:r>
    </w:p>
    <w:p w14:paraId="5993DEA4">
      <w:pPr>
        <w:spacing w:line="360" w:lineRule="auto"/>
        <w:ind w:leftChars="300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eastAsia" w:ascii="Times New Roman" w:hAnsi="Times New Roman" w:cs="Times New Roman"/>
        </w:rPr>
        <w:t>SD1/SD2: Ratio of short - to - long term HRV (sympathovagal balance)</w:t>
      </w:r>
    </w:p>
    <w:p w14:paraId="0743A00C">
      <w:pPr>
        <w:spacing w:line="360" w:lineRule="auto"/>
        <w:ind w:leftChars="3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Sampen: Sample entropy (signal complexity)</w:t>
      </w:r>
    </w:p>
    <w:p w14:paraId="5D6B279B">
      <w:pPr>
        <w:spacing w:line="360" w:lineRule="auto"/>
        <w:ind w:leftChars="3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CSI: Cardiac sympathetic index (combined HRV metrics)</w:t>
      </w:r>
    </w:p>
    <w:p w14:paraId="704C32B7">
      <w:pPr>
        <w:spacing w:line="360" w:lineRule="auto"/>
        <w:ind w:leftChars="3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triangular_index: Triangular interpolation of RR interval histogram (HRV)</w:t>
      </w:r>
    </w:p>
    <w:p w14:paraId="44A385FD">
      <w:pPr>
        <w:spacing w:line="360" w:lineRule="auto"/>
        <w:ind w:leftChars="3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HR_</w:t>
      </w:r>
      <w:r>
        <w:rPr>
          <w:rFonts w:hint="eastAsia" w:ascii="Times New Roman" w:hAnsi="Times New Roman" w:cs="Times New Roman"/>
          <w:lang w:val="en-US" w:eastAsia="zh-CN"/>
        </w:rPr>
        <w:t xml:space="preserve">1 - </w:t>
      </w:r>
      <w:r>
        <w:rPr>
          <w:rFonts w:hint="eastAsia" w:ascii="Times New Roman" w:hAnsi="Times New Roman" w:cs="Times New Roman"/>
        </w:rPr>
        <w:t>HR_</w:t>
      </w:r>
      <w:r>
        <w:rPr>
          <w:rFonts w:hint="eastAsia" w:ascii="Times New Roman" w:hAnsi="Times New Roman" w:cs="Times New Roman"/>
          <w:lang w:val="en-US" w:eastAsia="zh-CN"/>
        </w:rPr>
        <w:t>20</w:t>
      </w:r>
      <w:r>
        <w:rPr>
          <w:rFonts w:hint="eastAsia" w:ascii="Times New Roman" w:hAnsi="Times New Roman" w:cs="Times New Roman"/>
        </w:rPr>
        <w:t>: Heart rate multiscale entropy (scales 1 - 20)</w:t>
      </w:r>
    </w:p>
    <w:p w14:paraId="7DF6E403">
      <w:pPr>
        <w:spacing w:line="360" w:lineRule="auto"/>
        <w:ind w:leftChars="300"/>
        <w:rPr>
          <w:rFonts w:hint="eastAsia" w:ascii="Times New Roman" w:hAnsi="Times New Roman" w:cs="Times New Roman"/>
          <w:lang w:val="en-US" w:eastAsia="zh-CN"/>
        </w:rPr>
      </w:pPr>
      <w:r>
        <w:rPr>
          <w:rStyle w:val="4"/>
          <w:rFonts w:hint="eastAsia" w:ascii="Times New Roman" w:hAnsi="Times New Roman" w:cs="Times New Roman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highlight w:val="none"/>
          <w:shd w:val="clear" w:fill="FFFFFF"/>
          <w:vertAlign w:val="baseline"/>
          <w:lang w:val="en-US" w:eastAsia="zh-CN" w:bidi="ar-SA"/>
          <w14:ligatures w14:val="standardContextual"/>
        </w:rPr>
        <w:t>HR</w:t>
      </w:r>
      <w:r>
        <w:rPr>
          <w:rStyle w:val="4"/>
          <w:rFonts w:hint="default" w:ascii="Times New Roman" w:hAnsi="Times New Roman" w:cs="Times New Roman" w:eastAsiaTheme="minorEastAsia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highlight w:val="none"/>
          <w:shd w:val="clear" w:fill="FFFFFF"/>
          <w:vertAlign w:val="baseline"/>
          <w:lang w:val="en-US" w:eastAsia="zh-CN" w:bidi="ar-SA"/>
          <w14:ligatures w14:val="standardContextual"/>
        </w:rPr>
        <w:t>_area</w:t>
      </w:r>
      <w:r>
        <w:rPr>
          <w:rStyle w:val="4"/>
          <w:rFonts w:hint="eastAsia" w:ascii="Times New Roman" w:hAnsi="Times New Roman" w:cs="Times New Roman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highlight w:val="none"/>
          <w:shd w:val="clear" w:fill="FFFFFF"/>
          <w:vertAlign w:val="baseline"/>
          <w:lang w:val="en-US" w:eastAsia="zh-CN" w:bidi="ar-SA"/>
          <w14:ligatures w14:val="standardContextual"/>
        </w:rPr>
        <w:t xml:space="preserve">_1_5: </w:t>
      </w:r>
      <w:r>
        <w:rPr>
          <w:rStyle w:val="4"/>
          <w:rFonts w:hint="default" w:ascii="Times New Roman" w:hAnsi="Times New Roman" w:cs="Times New Roman" w:eastAsiaTheme="minorEastAsia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shd w:val="clear" w:fill="FFFFFF"/>
          <w:vertAlign w:val="baseline"/>
          <w:lang w:val="en-US" w:eastAsia="zh-CN" w:bidi="ar-SA"/>
          <w14:ligatures w14:val="standardContextual"/>
        </w:rPr>
        <w:t>The area under the MSE curve for scales 1 to 5</w:t>
      </w:r>
    </w:p>
    <w:p w14:paraId="6322B4F6">
      <w:pPr>
        <w:spacing w:line="360" w:lineRule="auto"/>
        <w:ind w:leftChars="300"/>
        <w:rPr>
          <w:rFonts w:hint="default" w:ascii="Times New Roman" w:hAnsi="Times New Roman" w:cs="Times New Roman"/>
          <w:lang w:val="en-US"/>
        </w:rPr>
      </w:pPr>
      <w:r>
        <w:rPr>
          <w:rStyle w:val="4"/>
          <w:rFonts w:hint="eastAsia" w:ascii="Times New Roman" w:hAnsi="Times New Roman" w:cs="Times New Roman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highlight w:val="none"/>
          <w:shd w:val="clear" w:fill="FFFFFF"/>
          <w:vertAlign w:val="baseline"/>
          <w:lang w:val="en-US" w:eastAsia="zh-CN" w:bidi="ar-SA"/>
          <w14:ligatures w14:val="standardContextual"/>
        </w:rPr>
        <w:t>HR</w:t>
      </w:r>
      <w:r>
        <w:rPr>
          <w:rStyle w:val="4"/>
          <w:rFonts w:hint="default" w:ascii="Times New Roman" w:hAnsi="Times New Roman" w:cs="Times New Roman" w:eastAsiaTheme="minorEastAsia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highlight w:val="none"/>
          <w:shd w:val="clear" w:fill="FFFFFF"/>
          <w:vertAlign w:val="baseline"/>
          <w:lang w:val="en-US" w:eastAsia="zh-CN" w:bidi="ar-SA"/>
          <w14:ligatures w14:val="standardContextual"/>
        </w:rPr>
        <w:t>_</w:t>
      </w:r>
      <w:r>
        <w:rPr>
          <w:rStyle w:val="4"/>
          <w:rFonts w:hint="eastAsia" w:ascii="Times New Roman" w:hAnsi="Times New Roman" w:cs="Times New Roman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highlight w:val="none"/>
          <w:shd w:val="clear" w:fill="FFFFFF"/>
          <w:vertAlign w:val="baseline"/>
          <w:lang w:val="en-US" w:eastAsia="zh-CN" w:bidi="ar-SA"/>
          <w14:ligatures w14:val="standardContextual"/>
        </w:rPr>
        <w:t xml:space="preserve">slope_1_5: </w:t>
      </w:r>
      <w:r>
        <w:rPr>
          <w:rStyle w:val="4"/>
          <w:rFonts w:hint="default" w:ascii="Times New Roman" w:hAnsi="Times New Roman" w:cs="Times New Roman" w:eastAsiaTheme="minorEastAsia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shd w:val="clear" w:fill="FFFFFF"/>
          <w:vertAlign w:val="baseline"/>
          <w:lang w:val="en-US" w:eastAsia="zh-CN" w:bidi="ar-SA"/>
          <w14:ligatures w14:val="standardContextual"/>
        </w:rPr>
        <w:t xml:space="preserve">The </w:t>
      </w:r>
      <w:r>
        <w:rPr>
          <w:rStyle w:val="4"/>
          <w:rFonts w:hint="eastAsia" w:ascii="Times New Roman" w:hAnsi="Times New Roman" w:cs="Times New Roman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shd w:val="clear" w:fill="FFFFFF"/>
          <w:vertAlign w:val="baseline"/>
          <w:lang w:val="en-US" w:eastAsia="zh-CN" w:bidi="ar-SA"/>
          <w14:ligatures w14:val="standardContextual"/>
        </w:rPr>
        <w:t>slope of</w:t>
      </w:r>
      <w:r>
        <w:rPr>
          <w:rStyle w:val="4"/>
          <w:rFonts w:hint="default" w:ascii="Times New Roman" w:hAnsi="Times New Roman" w:cs="Times New Roman" w:eastAsiaTheme="minorEastAsia"/>
          <w:bCs/>
          <w:i w:val="0"/>
          <w:iCs w:val="0"/>
          <w:caps w:val="0"/>
          <w:color w:val="1A2029"/>
          <w:spacing w:val="0"/>
          <w:kern w:val="2"/>
          <w:sz w:val="21"/>
          <w:szCs w:val="24"/>
          <w:shd w:val="clear" w:fill="FFFFFF"/>
          <w:vertAlign w:val="baseline"/>
          <w:lang w:val="en-US" w:eastAsia="zh-CN" w:bidi="ar-SA"/>
          <w14:ligatures w14:val="standardContextual"/>
        </w:rPr>
        <w:t xml:space="preserve"> the MSE curve for scales 1 to 5</w:t>
      </w:r>
    </w:p>
    <w:p w14:paraId="12F5B579">
      <w:pPr>
        <w:spacing w:line="360" w:lineRule="auto"/>
        <w:ind w:leftChars="200"/>
        <w:rPr>
          <w:rFonts w:hint="eastAsia" w:ascii="Times New Roman" w:hAnsi="Times New Roman" w:cs="Times New Roman"/>
        </w:rPr>
      </w:pPr>
    </w:p>
    <w:p w14:paraId="7729CEF1">
      <w:pPr>
        <w:spacing w:line="360" w:lineRule="auto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 w14:paraId="5BE9440D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9DED7D"/>
    <w:multiLevelType w:val="singleLevel"/>
    <w:tmpl w:val="869DED7D"/>
    <w:lvl w:ilvl="0" w:tentative="0">
      <w:start w:val="1"/>
      <w:numFmt w:val="upperLetter"/>
      <w:suff w:val="space"/>
      <w:lvlText w:val="%1."/>
      <w:lvlJc w:val="left"/>
    </w:lvl>
  </w:abstractNum>
  <w:abstractNum w:abstractNumId="1">
    <w:nsid w:val="DD3886DB"/>
    <w:multiLevelType w:val="singleLevel"/>
    <w:tmpl w:val="DD3886DB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8A07B9"/>
    <w:rsid w:val="09A10930"/>
    <w:rsid w:val="216956DC"/>
    <w:rsid w:val="24A97ED4"/>
    <w:rsid w:val="34C272AB"/>
    <w:rsid w:val="358A07B9"/>
    <w:rsid w:val="53A61FF5"/>
    <w:rsid w:val="5D6905D8"/>
    <w:rsid w:val="77ED058D"/>
    <w:rsid w:val="7F53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1082</Words>
  <Characters>7301</Characters>
  <Lines>0</Lines>
  <Paragraphs>0</Paragraphs>
  <TotalTime>0</TotalTime>
  <ScaleCrop>false</ScaleCrop>
  <LinksUpToDate>false</LinksUpToDate>
  <CharactersWithSpaces>7717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2026-07-16T07:59:00Z</dcterms:created>
  <dc:creator>管理员</dc:creator>
  <cp:lastModifiedBy>管理员</cp:lastModifiedBy>
  <dcterms:modified xsi:type="dcterms:W3CDTF">2026-09-16T09:57:46Z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6282FD8BEB644FFB8F4CA97A29CF524B_11</vt:lpwstr>
  </property>
  <property fmtid="{D5CDD505-2E9C-101B-9397-08002B2CF9AE}" pid="4" name="KSOTemplateDocerSaveRecord">
    <vt:lpwstr>eyJoZGlkIjoiYmExMDcxZDMxOTI4ZTU4ODQ2YzIwN2U2NDcwY2U2OWYiLCJ1c2VySWQiOiI0NTk1MTM0NzgifQ==</vt:lpwstr>
  </property>
</Properties>
</file>