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77C7E1" w14:textId="5F70E449" w:rsidR="007A39A7" w:rsidRDefault="007A39A7" w:rsidP="00C910A8">
      <w:pPr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4A9714A4" w14:textId="6F40F10F" w:rsidR="00B87B4E" w:rsidRPr="0049193F" w:rsidRDefault="00B87B4E" w:rsidP="00B87B4E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>Supplementary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Table </w:t>
      </w:r>
      <w:r w:rsidR="00C910A8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>: Predictors for Readmission</w:t>
      </w:r>
    </w:p>
    <w:tbl>
      <w:tblPr>
        <w:tblW w:w="0" w:type="auto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3225"/>
        <w:gridCol w:w="2690"/>
        <w:gridCol w:w="1654"/>
      </w:tblGrid>
      <w:tr w:rsidR="00B87B4E" w:rsidRPr="004A50F5" w14:paraId="7B17A2F7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20FFA8A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2690" w:type="dxa"/>
            <w:vAlign w:val="center"/>
          </w:tcPr>
          <w:p w14:paraId="0AF5D6AD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Odds Ratio (95% CI)</w:t>
            </w:r>
          </w:p>
        </w:tc>
        <w:tc>
          <w:tcPr>
            <w:tcW w:w="1654" w:type="dxa"/>
            <w:vAlign w:val="center"/>
          </w:tcPr>
          <w:p w14:paraId="143973AE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B87B4E" w:rsidRPr="004A50F5" w14:paraId="5D8C8BF6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54D3C5E1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2690" w:type="dxa"/>
            <w:vAlign w:val="center"/>
          </w:tcPr>
          <w:p w14:paraId="5B5B3528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1.00 (0.99–1.01)</w:t>
            </w:r>
          </w:p>
        </w:tc>
        <w:tc>
          <w:tcPr>
            <w:tcW w:w="1654" w:type="dxa"/>
            <w:vAlign w:val="center"/>
          </w:tcPr>
          <w:p w14:paraId="5513395D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0.431</w:t>
            </w:r>
          </w:p>
        </w:tc>
      </w:tr>
      <w:tr w:rsidR="00B87B4E" w:rsidRPr="004A50F5" w14:paraId="46D2AEE0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73E23AC6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Gender</w:t>
            </w:r>
          </w:p>
        </w:tc>
        <w:tc>
          <w:tcPr>
            <w:tcW w:w="2690" w:type="dxa"/>
            <w:vAlign w:val="center"/>
          </w:tcPr>
          <w:p w14:paraId="48F5B909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1.23 (0.87–1.73)</w:t>
            </w:r>
          </w:p>
        </w:tc>
        <w:tc>
          <w:tcPr>
            <w:tcW w:w="1654" w:type="dxa"/>
            <w:vAlign w:val="center"/>
          </w:tcPr>
          <w:p w14:paraId="15C878E5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0.241</w:t>
            </w:r>
          </w:p>
        </w:tc>
      </w:tr>
      <w:tr w:rsidR="00B87B4E" w:rsidRPr="004A50F5" w14:paraId="6CDB71F8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1B8B9E5F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High CCI (≥7)</w:t>
            </w:r>
          </w:p>
        </w:tc>
        <w:tc>
          <w:tcPr>
            <w:tcW w:w="2690" w:type="dxa"/>
            <w:vAlign w:val="center"/>
          </w:tcPr>
          <w:p w14:paraId="56475191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1.69 (1.14–2.52)</w:t>
            </w:r>
          </w:p>
        </w:tc>
        <w:tc>
          <w:tcPr>
            <w:tcW w:w="1654" w:type="dxa"/>
            <w:vAlign w:val="center"/>
          </w:tcPr>
          <w:p w14:paraId="0911043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0.009</w:t>
            </w:r>
          </w:p>
        </w:tc>
      </w:tr>
      <w:tr w:rsidR="00B87B4E" w:rsidRPr="004A50F5" w14:paraId="67971EBA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39B01594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Metastatic disease</w:t>
            </w:r>
          </w:p>
        </w:tc>
        <w:tc>
          <w:tcPr>
            <w:tcW w:w="2690" w:type="dxa"/>
            <w:vAlign w:val="center"/>
          </w:tcPr>
          <w:p w14:paraId="3338AA8E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2.88 (0.90–9.19)</w:t>
            </w:r>
          </w:p>
        </w:tc>
        <w:tc>
          <w:tcPr>
            <w:tcW w:w="1654" w:type="dxa"/>
            <w:vAlign w:val="center"/>
          </w:tcPr>
          <w:p w14:paraId="1FF3D09F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0.074</w:t>
            </w:r>
          </w:p>
        </w:tc>
      </w:tr>
      <w:tr w:rsidR="00B87B4E" w:rsidRPr="004A50F5" w14:paraId="51FBF366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2B82C3E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Diabetes mellitus</w:t>
            </w:r>
          </w:p>
        </w:tc>
        <w:tc>
          <w:tcPr>
            <w:tcW w:w="2690" w:type="dxa"/>
            <w:vAlign w:val="center"/>
          </w:tcPr>
          <w:p w14:paraId="52A231D5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1.11 (0.80–1.56)</w:t>
            </w:r>
          </w:p>
        </w:tc>
        <w:tc>
          <w:tcPr>
            <w:tcW w:w="1654" w:type="dxa"/>
            <w:vAlign w:val="center"/>
          </w:tcPr>
          <w:p w14:paraId="335EAC12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0.529</w:t>
            </w:r>
          </w:p>
        </w:tc>
      </w:tr>
      <w:tr w:rsidR="00B87B4E" w:rsidRPr="004A50F5" w14:paraId="0B2A9D93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49B5671F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Chronic kidney disease</w:t>
            </w:r>
          </w:p>
        </w:tc>
        <w:tc>
          <w:tcPr>
            <w:tcW w:w="2690" w:type="dxa"/>
            <w:vAlign w:val="center"/>
          </w:tcPr>
          <w:p w14:paraId="4F41ECA6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1.36 (0.87–2.13)</w:t>
            </w:r>
          </w:p>
        </w:tc>
        <w:tc>
          <w:tcPr>
            <w:tcW w:w="1654" w:type="dxa"/>
            <w:vAlign w:val="center"/>
          </w:tcPr>
          <w:p w14:paraId="2F2074B9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0.176</w:t>
            </w:r>
          </w:p>
        </w:tc>
      </w:tr>
      <w:tr w:rsidR="00B87B4E" w:rsidRPr="004A50F5" w14:paraId="27BE69FC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7CEBC500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COPD</w:t>
            </w:r>
          </w:p>
        </w:tc>
        <w:tc>
          <w:tcPr>
            <w:tcW w:w="2690" w:type="dxa"/>
            <w:vAlign w:val="center"/>
          </w:tcPr>
          <w:p w14:paraId="7BF17E78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1.01 (0.56–1.82)</w:t>
            </w:r>
          </w:p>
        </w:tc>
        <w:tc>
          <w:tcPr>
            <w:tcW w:w="1654" w:type="dxa"/>
            <w:vAlign w:val="center"/>
          </w:tcPr>
          <w:p w14:paraId="7A8DA9F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0.986</w:t>
            </w:r>
          </w:p>
        </w:tc>
      </w:tr>
      <w:tr w:rsidR="00B87B4E" w:rsidRPr="004A50F5" w14:paraId="0C783A31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4EF4A8C3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Stroke</w:t>
            </w:r>
          </w:p>
        </w:tc>
        <w:tc>
          <w:tcPr>
            <w:tcW w:w="2690" w:type="dxa"/>
            <w:vAlign w:val="center"/>
          </w:tcPr>
          <w:p w14:paraId="1AFB0DDE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1.00 (0.09–11.15)</w:t>
            </w:r>
          </w:p>
        </w:tc>
        <w:tc>
          <w:tcPr>
            <w:tcW w:w="1654" w:type="dxa"/>
            <w:vAlign w:val="center"/>
          </w:tcPr>
          <w:p w14:paraId="2C4FCD00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0.997</w:t>
            </w:r>
          </w:p>
        </w:tc>
      </w:tr>
      <w:tr w:rsidR="00B87B4E" w:rsidRPr="004A50F5" w14:paraId="218FA8D4" w14:textId="77777777" w:rsidTr="00E51D55">
        <w:trPr>
          <w:trHeight w:val="300"/>
          <w:jc w:val="center"/>
        </w:trPr>
        <w:tc>
          <w:tcPr>
            <w:tcW w:w="3225" w:type="dxa"/>
            <w:vAlign w:val="center"/>
          </w:tcPr>
          <w:p w14:paraId="7B5D1E52" w14:textId="77777777" w:rsidR="00B87B4E" w:rsidRPr="0049193F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9193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Dementia</w:t>
            </w:r>
          </w:p>
        </w:tc>
        <w:tc>
          <w:tcPr>
            <w:tcW w:w="2690" w:type="dxa"/>
            <w:vAlign w:val="center"/>
          </w:tcPr>
          <w:p w14:paraId="3E613CA8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1.45 (0.45–4.62)</w:t>
            </w:r>
          </w:p>
        </w:tc>
        <w:tc>
          <w:tcPr>
            <w:tcW w:w="1654" w:type="dxa"/>
            <w:vAlign w:val="center"/>
          </w:tcPr>
          <w:p w14:paraId="3360BF17" w14:textId="77777777" w:rsidR="00B87B4E" w:rsidRPr="004A50F5" w:rsidRDefault="00B87B4E" w:rsidP="00E51D5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0.533</w:t>
            </w:r>
          </w:p>
        </w:tc>
      </w:tr>
    </w:tbl>
    <w:p w14:paraId="5FEAB7B9" w14:textId="77777777" w:rsidR="00B87B4E" w:rsidRPr="00B87B4E" w:rsidRDefault="00B87B4E" w:rsidP="007A39A7">
      <w:pPr>
        <w:spacing w:after="21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313BAC28" w14:textId="60B2C26F" w:rsidR="007A39A7" w:rsidRPr="004A50F5" w:rsidRDefault="007A39A7" w:rsidP="007A39A7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Table </w:t>
      </w:r>
      <w:r w:rsidR="00C910A8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2 </w:t>
      </w: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>: Factors Associated with Physical and Mental Quality of Life Outcomes after discharge</w:t>
      </w:r>
    </w:p>
    <w:tbl>
      <w:tblPr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1176"/>
        <w:gridCol w:w="2111"/>
        <w:gridCol w:w="1887"/>
        <w:gridCol w:w="971"/>
        <w:gridCol w:w="1701"/>
        <w:gridCol w:w="1150"/>
      </w:tblGrid>
      <w:tr w:rsidR="007A39A7" w:rsidRPr="004A50F5" w14:paraId="00D1FF1A" w14:textId="77777777" w:rsidTr="00AD00B5">
        <w:trPr>
          <w:trHeight w:val="300"/>
        </w:trPr>
        <w:tc>
          <w:tcPr>
            <w:tcW w:w="1189" w:type="dxa"/>
            <w:vAlign w:val="center"/>
          </w:tcPr>
          <w:p w14:paraId="5948590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Predictor</w:t>
            </w:r>
          </w:p>
        </w:tc>
        <w:tc>
          <w:tcPr>
            <w:tcW w:w="2214" w:type="dxa"/>
            <w:vAlign w:val="center"/>
          </w:tcPr>
          <w:p w14:paraId="478BCA2A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Level</w:t>
            </w:r>
          </w:p>
        </w:tc>
        <w:tc>
          <w:tcPr>
            <w:tcW w:w="1969" w:type="dxa"/>
            <w:vAlign w:val="center"/>
          </w:tcPr>
          <w:p w14:paraId="58D793AF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Physical QoL: Adjusted OR (95% CI)</w:t>
            </w:r>
          </w:p>
        </w:tc>
        <w:tc>
          <w:tcPr>
            <w:tcW w:w="998" w:type="dxa"/>
            <w:vAlign w:val="center"/>
          </w:tcPr>
          <w:p w14:paraId="61498607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  <w:tc>
          <w:tcPr>
            <w:tcW w:w="1766" w:type="dxa"/>
            <w:vAlign w:val="center"/>
          </w:tcPr>
          <w:p w14:paraId="5CA79222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Mental QoL: Adjusted OR (95% CI)</w:t>
            </w:r>
          </w:p>
        </w:tc>
        <w:tc>
          <w:tcPr>
            <w:tcW w:w="1194" w:type="dxa"/>
            <w:vAlign w:val="center"/>
          </w:tcPr>
          <w:p w14:paraId="239E0928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p-value</w:t>
            </w:r>
          </w:p>
        </w:tc>
      </w:tr>
      <w:tr w:rsidR="007A39A7" w:rsidRPr="004A50F5" w14:paraId="4857D116" w14:textId="77777777" w:rsidTr="00AD00B5">
        <w:trPr>
          <w:trHeight w:val="300"/>
        </w:trPr>
        <w:tc>
          <w:tcPr>
            <w:tcW w:w="1189" w:type="dxa"/>
            <w:vMerge w:val="restart"/>
            <w:vAlign w:val="center"/>
          </w:tcPr>
          <w:p w14:paraId="13344B6F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Age category</w:t>
            </w:r>
          </w:p>
        </w:tc>
        <w:tc>
          <w:tcPr>
            <w:tcW w:w="2214" w:type="dxa"/>
            <w:vAlign w:val="center"/>
          </w:tcPr>
          <w:p w14:paraId="583EA3A3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45–59 vs &lt;45</w:t>
            </w:r>
          </w:p>
        </w:tc>
        <w:tc>
          <w:tcPr>
            <w:tcW w:w="1969" w:type="dxa"/>
            <w:vAlign w:val="center"/>
          </w:tcPr>
          <w:p w14:paraId="76188009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1.26 (0.58–2.76)</w:t>
            </w:r>
          </w:p>
        </w:tc>
        <w:tc>
          <w:tcPr>
            <w:tcW w:w="998" w:type="dxa"/>
            <w:vAlign w:val="center"/>
          </w:tcPr>
          <w:p w14:paraId="24F4DD4C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0.558</w:t>
            </w:r>
          </w:p>
        </w:tc>
        <w:tc>
          <w:tcPr>
            <w:tcW w:w="1766" w:type="dxa"/>
            <w:vAlign w:val="center"/>
          </w:tcPr>
          <w:p w14:paraId="60DA622E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1.18 (0.52–2.67)</w:t>
            </w:r>
          </w:p>
        </w:tc>
        <w:tc>
          <w:tcPr>
            <w:tcW w:w="1194" w:type="dxa"/>
            <w:vAlign w:val="center"/>
          </w:tcPr>
          <w:p w14:paraId="34F57A0B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0.690</w:t>
            </w:r>
          </w:p>
        </w:tc>
      </w:tr>
      <w:tr w:rsidR="007A39A7" w:rsidRPr="004A50F5" w14:paraId="2BEC63F9" w14:textId="77777777" w:rsidTr="00AD00B5">
        <w:trPr>
          <w:trHeight w:val="300"/>
        </w:trPr>
        <w:tc>
          <w:tcPr>
            <w:tcW w:w="1189" w:type="dxa"/>
            <w:vMerge/>
            <w:vAlign w:val="center"/>
          </w:tcPr>
          <w:p w14:paraId="6BFD11B4" w14:textId="77777777" w:rsidR="007A39A7" w:rsidRPr="004A50F5" w:rsidRDefault="007A39A7" w:rsidP="00AD0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4" w:type="dxa"/>
            <w:vAlign w:val="center"/>
          </w:tcPr>
          <w:p w14:paraId="669D28FD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60–74 vs &lt;45</w:t>
            </w:r>
          </w:p>
        </w:tc>
        <w:tc>
          <w:tcPr>
            <w:tcW w:w="1969" w:type="dxa"/>
            <w:vAlign w:val="center"/>
          </w:tcPr>
          <w:p w14:paraId="363A62D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1.15 (0.52–2.56)</w:t>
            </w:r>
          </w:p>
        </w:tc>
        <w:tc>
          <w:tcPr>
            <w:tcW w:w="998" w:type="dxa"/>
            <w:vAlign w:val="center"/>
          </w:tcPr>
          <w:p w14:paraId="78EE2E96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0.731</w:t>
            </w:r>
          </w:p>
        </w:tc>
        <w:tc>
          <w:tcPr>
            <w:tcW w:w="1766" w:type="dxa"/>
            <w:vAlign w:val="center"/>
          </w:tcPr>
          <w:p w14:paraId="647E2CF2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0.95 (0.41–2.20)</w:t>
            </w:r>
          </w:p>
        </w:tc>
        <w:tc>
          <w:tcPr>
            <w:tcW w:w="1194" w:type="dxa"/>
            <w:vAlign w:val="center"/>
          </w:tcPr>
          <w:p w14:paraId="578F34E0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0.899</w:t>
            </w:r>
          </w:p>
        </w:tc>
      </w:tr>
      <w:tr w:rsidR="007A39A7" w:rsidRPr="004A50F5" w14:paraId="033AC19F" w14:textId="77777777" w:rsidTr="00AD00B5">
        <w:trPr>
          <w:trHeight w:val="300"/>
        </w:trPr>
        <w:tc>
          <w:tcPr>
            <w:tcW w:w="1189" w:type="dxa"/>
            <w:vMerge/>
            <w:vAlign w:val="center"/>
          </w:tcPr>
          <w:p w14:paraId="26C3FED5" w14:textId="77777777" w:rsidR="007A39A7" w:rsidRPr="004A50F5" w:rsidRDefault="007A39A7" w:rsidP="00AD0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4" w:type="dxa"/>
            <w:vAlign w:val="center"/>
          </w:tcPr>
          <w:p w14:paraId="4813EDC5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≥75 vs &lt;45</w:t>
            </w:r>
          </w:p>
        </w:tc>
        <w:tc>
          <w:tcPr>
            <w:tcW w:w="1969" w:type="dxa"/>
            <w:vAlign w:val="center"/>
          </w:tcPr>
          <w:p w14:paraId="3F9587D7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1.07 (0.40–2.82)</w:t>
            </w:r>
          </w:p>
        </w:tc>
        <w:tc>
          <w:tcPr>
            <w:tcW w:w="998" w:type="dxa"/>
            <w:vAlign w:val="center"/>
          </w:tcPr>
          <w:p w14:paraId="668924CF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0.894</w:t>
            </w:r>
          </w:p>
        </w:tc>
        <w:tc>
          <w:tcPr>
            <w:tcW w:w="1766" w:type="dxa"/>
            <w:vAlign w:val="center"/>
          </w:tcPr>
          <w:p w14:paraId="36561402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0.72 (0.26–2.01)</w:t>
            </w:r>
          </w:p>
        </w:tc>
        <w:tc>
          <w:tcPr>
            <w:tcW w:w="1194" w:type="dxa"/>
            <w:vAlign w:val="center"/>
          </w:tcPr>
          <w:p w14:paraId="1F4A5F67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0.534</w:t>
            </w:r>
          </w:p>
        </w:tc>
      </w:tr>
      <w:tr w:rsidR="007A39A7" w:rsidRPr="004A50F5" w14:paraId="4FF1AE18" w14:textId="77777777" w:rsidTr="00AD00B5">
        <w:trPr>
          <w:trHeight w:val="300"/>
        </w:trPr>
        <w:tc>
          <w:tcPr>
            <w:tcW w:w="1189" w:type="dxa"/>
            <w:vAlign w:val="center"/>
          </w:tcPr>
          <w:p w14:paraId="0022A40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Gender</w:t>
            </w:r>
          </w:p>
        </w:tc>
        <w:tc>
          <w:tcPr>
            <w:tcW w:w="2214" w:type="dxa"/>
            <w:vAlign w:val="center"/>
          </w:tcPr>
          <w:p w14:paraId="4BFAEA39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Male vs Female</w:t>
            </w:r>
          </w:p>
        </w:tc>
        <w:tc>
          <w:tcPr>
            <w:tcW w:w="1969" w:type="dxa"/>
            <w:vAlign w:val="center"/>
          </w:tcPr>
          <w:p w14:paraId="73F86317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1.10 (0.67–1.81)</w:t>
            </w:r>
          </w:p>
        </w:tc>
        <w:tc>
          <w:tcPr>
            <w:tcW w:w="998" w:type="dxa"/>
            <w:vAlign w:val="center"/>
          </w:tcPr>
          <w:p w14:paraId="1AFE69DC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0.706</w:t>
            </w:r>
          </w:p>
        </w:tc>
        <w:tc>
          <w:tcPr>
            <w:tcW w:w="1766" w:type="dxa"/>
            <w:vAlign w:val="center"/>
          </w:tcPr>
          <w:p w14:paraId="2D2FE42E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0.98 (0.58–1.65)</w:t>
            </w:r>
          </w:p>
        </w:tc>
        <w:tc>
          <w:tcPr>
            <w:tcW w:w="1194" w:type="dxa"/>
            <w:vAlign w:val="center"/>
          </w:tcPr>
          <w:p w14:paraId="21518896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0.939</w:t>
            </w:r>
          </w:p>
        </w:tc>
      </w:tr>
      <w:tr w:rsidR="007A39A7" w:rsidRPr="004A50F5" w14:paraId="13C083FE" w14:textId="77777777" w:rsidTr="00AD00B5">
        <w:trPr>
          <w:trHeight w:val="300"/>
        </w:trPr>
        <w:tc>
          <w:tcPr>
            <w:tcW w:w="1189" w:type="dxa"/>
            <w:vMerge w:val="restart"/>
            <w:vAlign w:val="center"/>
          </w:tcPr>
          <w:p w14:paraId="05B0B320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CCI risk group</w:t>
            </w:r>
          </w:p>
        </w:tc>
        <w:tc>
          <w:tcPr>
            <w:tcW w:w="2214" w:type="dxa"/>
            <w:vAlign w:val="center"/>
          </w:tcPr>
          <w:p w14:paraId="66D49562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Moderate (4–6) vs Low</w:t>
            </w:r>
          </w:p>
        </w:tc>
        <w:tc>
          <w:tcPr>
            <w:tcW w:w="1969" w:type="dxa"/>
            <w:vAlign w:val="center"/>
          </w:tcPr>
          <w:p w14:paraId="0473CABD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0.91 (0.46–1.79)</w:t>
            </w:r>
          </w:p>
        </w:tc>
        <w:tc>
          <w:tcPr>
            <w:tcW w:w="998" w:type="dxa"/>
            <w:vAlign w:val="center"/>
          </w:tcPr>
          <w:p w14:paraId="69356AFB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0.777</w:t>
            </w:r>
          </w:p>
        </w:tc>
        <w:tc>
          <w:tcPr>
            <w:tcW w:w="1766" w:type="dxa"/>
            <w:vAlign w:val="center"/>
          </w:tcPr>
          <w:p w14:paraId="41561379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1.14 (0.56–2.33)</w:t>
            </w:r>
          </w:p>
        </w:tc>
        <w:tc>
          <w:tcPr>
            <w:tcW w:w="1194" w:type="dxa"/>
            <w:vAlign w:val="center"/>
          </w:tcPr>
          <w:p w14:paraId="1E35DF3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0.716</w:t>
            </w:r>
          </w:p>
        </w:tc>
      </w:tr>
      <w:tr w:rsidR="007A39A7" w:rsidRPr="004A50F5" w14:paraId="60CB706C" w14:textId="77777777" w:rsidTr="00AD00B5">
        <w:trPr>
          <w:trHeight w:val="300"/>
        </w:trPr>
        <w:tc>
          <w:tcPr>
            <w:tcW w:w="1189" w:type="dxa"/>
            <w:vMerge/>
            <w:vAlign w:val="center"/>
          </w:tcPr>
          <w:p w14:paraId="5B94604B" w14:textId="77777777" w:rsidR="007A39A7" w:rsidRPr="004A50F5" w:rsidRDefault="007A39A7" w:rsidP="00AD00B5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4" w:type="dxa"/>
            <w:vAlign w:val="center"/>
          </w:tcPr>
          <w:p w14:paraId="663EFFDA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High (≥7) vs Low</w:t>
            </w:r>
          </w:p>
        </w:tc>
        <w:tc>
          <w:tcPr>
            <w:tcW w:w="1969" w:type="dxa"/>
            <w:vAlign w:val="center"/>
          </w:tcPr>
          <w:p w14:paraId="19EA2989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2.36 (1.02–5.47)</w:t>
            </w:r>
          </w:p>
        </w:tc>
        <w:tc>
          <w:tcPr>
            <w:tcW w:w="998" w:type="dxa"/>
            <w:vAlign w:val="center"/>
          </w:tcPr>
          <w:p w14:paraId="4748305B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0.046</w:t>
            </w:r>
          </w:p>
        </w:tc>
        <w:tc>
          <w:tcPr>
            <w:tcW w:w="1766" w:type="dxa"/>
            <w:vAlign w:val="center"/>
          </w:tcPr>
          <w:p w14:paraId="3773E6C1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sz w:val="20"/>
                <w:szCs w:val="20"/>
              </w:rPr>
              <w:t>3.52 (1.48–8.39)</w:t>
            </w:r>
          </w:p>
        </w:tc>
        <w:tc>
          <w:tcPr>
            <w:tcW w:w="1194" w:type="dxa"/>
            <w:vAlign w:val="center"/>
          </w:tcPr>
          <w:p w14:paraId="74684FD4" w14:textId="77777777" w:rsidR="007A39A7" w:rsidRPr="004A50F5" w:rsidRDefault="007A39A7" w:rsidP="00AD00B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A50F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0.004</w:t>
            </w:r>
          </w:p>
        </w:tc>
      </w:tr>
    </w:tbl>
    <w:p w14:paraId="47BDD49F" w14:textId="77777777" w:rsidR="007A39A7" w:rsidRPr="004A50F5" w:rsidRDefault="007A39A7" w:rsidP="007A39A7">
      <w:pPr>
        <w:spacing w:after="21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4CE6875D" w14:textId="77777777" w:rsidR="004A50F5" w:rsidRPr="004A50F5" w:rsidRDefault="004A50F5" w:rsidP="007A39A7">
      <w:pPr>
        <w:spacing w:after="21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5435BCC7" w14:textId="4EA3EACA" w:rsidR="004A50F5" w:rsidRPr="004A50F5" w:rsidRDefault="004A50F5" w:rsidP="004A50F5">
      <w:pPr>
        <w:keepNext/>
        <w:keepLines/>
        <w:spacing w:before="20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lastRenderedPageBreak/>
        <w:t xml:space="preserve">Supplementary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1.</w:t>
      </w:r>
      <w:r w:rsidRPr="004A50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Kaplan-Meier analysis - </w:t>
      </w:r>
      <w:r w:rsidRPr="004A50F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Mortality vs Age Group </w:t>
      </w:r>
    </w:p>
    <w:p w14:paraId="2C97EFAB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 wp14:anchorId="30976B8F" wp14:editId="3C060D17">
            <wp:extent cx="3513317" cy="2811780"/>
            <wp:effectExtent l="0" t="0" r="0" b="7620"/>
            <wp:docPr id="140383841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838415" name="Picture 140383841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8339" cy="2815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230A3" w14:textId="77777777" w:rsidR="004A50F5" w:rsidRPr="004A50F5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overall survival curves stratified according to age group (&lt;45, 45–59, 60–74, and ≥75 years). Tick marks denote censored observations. Survival distributions were compared using the log-rank test.</w:t>
      </w:r>
    </w:p>
    <w:p w14:paraId="29A0BBED" w14:textId="3A8BE556" w:rsidR="004A50F5" w:rsidRPr="004A50F5" w:rsidRDefault="004A50F5" w:rsidP="004A50F5">
      <w:pPr>
        <w:keepNext/>
        <w:keepLines/>
        <w:spacing w:before="200" w:line="360" w:lineRule="auto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2.</w:t>
      </w:r>
      <w:r w:rsidRPr="004A50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Kaplan-Meier analysis -</w:t>
      </w:r>
      <w:r w:rsidRPr="004A50F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 xml:space="preserve">Mortality vs CCI Risk Group </w:t>
      </w:r>
    </w:p>
    <w:p w14:paraId="16563D5B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 wp14:anchorId="4F30F16A" wp14:editId="23AA42FB">
            <wp:extent cx="3463290" cy="2308860"/>
            <wp:effectExtent l="0" t="0" r="3810" b="0"/>
            <wp:docPr id="33450780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507803" name="Picture 33450780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3290" cy="230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7C7FC3" w14:textId="77777777" w:rsidR="004A50F5" w:rsidRPr="004A50F5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 xml:space="preserve">Kaplan–Meier overall survival curves according to </w:t>
      </w:r>
      <w:proofErr w:type="spellStart"/>
      <w:r w:rsidRPr="004A50F5">
        <w:rPr>
          <w:rFonts w:ascii="Times New Roman" w:hAnsi="Times New Roman" w:cs="Times New Roman"/>
          <w:i/>
          <w:iCs/>
          <w:sz w:val="20"/>
          <w:szCs w:val="20"/>
        </w:rPr>
        <w:t>Charlson</w:t>
      </w:r>
      <w:proofErr w:type="spellEnd"/>
      <w:r w:rsidRPr="004A50F5">
        <w:rPr>
          <w:rFonts w:ascii="Times New Roman" w:hAnsi="Times New Roman" w:cs="Times New Roman"/>
          <w:i/>
          <w:iCs/>
          <w:sz w:val="20"/>
          <w:szCs w:val="20"/>
        </w:rPr>
        <w:t xml:space="preserve"> Comorbidity Index (CCI) risk categories (Low: CCI 0–3, Moderate: CCI 4–6, High: CCI ≥7). Tick marks indicate censored observations. Group differences were assessed using the log-rank test</w:t>
      </w:r>
    </w:p>
    <w:p w14:paraId="143E1C0E" w14:textId="77777777" w:rsidR="004A50F5" w:rsidRPr="004A50F5" w:rsidRDefault="004A50F5" w:rsidP="004A50F5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DC7121D" w14:textId="5C91049B" w:rsidR="004A50F5" w:rsidRPr="004A50F5" w:rsidRDefault="004A50F5" w:rsidP="004A50F5">
      <w:pP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Figure 3.</w:t>
      </w:r>
      <w:r w:rsidRPr="004A50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Kaplan-Meier analysis </w:t>
      </w:r>
      <w:r w:rsidRPr="004A50F5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 </w:t>
      </w:r>
      <w:r w:rsidRPr="004A50F5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Mortality vs Gender</w:t>
      </w:r>
    </w:p>
    <w:p w14:paraId="490EB1E2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  <w:lang w:eastAsia="en-IN"/>
        </w:rPr>
        <w:lastRenderedPageBreak/>
        <w:drawing>
          <wp:inline distT="0" distB="0" distL="0" distR="0" wp14:anchorId="55D857FF" wp14:editId="67B4B00B">
            <wp:extent cx="3863340" cy="2575560"/>
            <wp:effectExtent l="0" t="0" r="3810" b="0"/>
            <wp:docPr id="1992977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297738" name="Picture 19929773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3340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216A9" w14:textId="77777777" w:rsidR="00BA49CF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overall survival curves stratified by gender. Tick marks represent censored observations. Differences between groups were evaluated using the log-rank test</w:t>
      </w:r>
    </w:p>
    <w:p w14:paraId="53CB12A7" w14:textId="1DC4F9DB" w:rsidR="004A50F5" w:rsidRPr="004A50F5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bookmarkStart w:id="0" w:name="_GoBack"/>
      <w:bookmarkEnd w:id="0"/>
      <w:r w:rsidRPr="004A50F5">
        <w:rPr>
          <w:rFonts w:ascii="Times New Roman" w:hAnsi="Times New Roman" w:cs="Times New Roman"/>
          <w:i/>
          <w:iCs/>
          <w:sz w:val="20"/>
          <w:szCs w:val="20"/>
        </w:rPr>
        <w:t>.</w:t>
      </w:r>
    </w:p>
    <w:p w14:paraId="5B6BB413" w14:textId="77C3634A" w:rsidR="008B4FCF" w:rsidRPr="008B4FCF" w:rsidRDefault="008B4FCF" w:rsidP="008B4FC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8B4FC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8B4FCF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>
        <w:rPr>
          <w:rFonts w:ascii="Times New Roman" w:hAnsi="Times New Roman" w:cs="Times New Roman"/>
          <w:b/>
          <w:bCs/>
          <w:sz w:val="20"/>
          <w:szCs w:val="20"/>
        </w:rPr>
        <w:t>4</w:t>
      </w:r>
      <w:r w:rsidRPr="008B4FCF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8B4FCF">
        <w:rPr>
          <w:rFonts w:ascii="Times New Roman" w:hAnsi="Times New Roman" w:cs="Times New Roman"/>
          <w:sz w:val="20"/>
          <w:szCs w:val="20"/>
        </w:rPr>
        <w:t xml:space="preserve"> </w:t>
      </w:r>
      <w:r w:rsidRPr="008B4FCF">
        <w:rPr>
          <w:rFonts w:ascii="Times New Roman" w:hAnsi="Times New Roman" w:cs="Times New Roman"/>
          <w:b/>
          <w:bCs/>
          <w:sz w:val="20"/>
          <w:szCs w:val="20"/>
        </w:rPr>
        <w:t xml:space="preserve">Kaplan-Meier analysis </w:t>
      </w:r>
      <w:r w:rsidR="00BA49CF">
        <w:rPr>
          <w:rFonts w:ascii="Times New Roman" w:hAnsi="Times New Roman" w:cs="Times New Roman"/>
          <w:b/>
          <w:bCs/>
          <w:sz w:val="20"/>
          <w:szCs w:val="20"/>
        </w:rPr>
        <w:t>–</w:t>
      </w:r>
      <w:r w:rsidRPr="008B4FCF">
        <w:rPr>
          <w:rFonts w:ascii="Times New Roman" w:hAnsi="Times New Roman" w:cs="Times New Roman"/>
          <w:b/>
          <w:bCs/>
          <w:sz w:val="20"/>
          <w:szCs w:val="20"/>
        </w:rPr>
        <w:t xml:space="preserve"> Readmission</w:t>
      </w:r>
      <w:r w:rsidR="00BA49CF">
        <w:rPr>
          <w:rFonts w:ascii="Times New Roman" w:hAnsi="Times New Roman" w:cs="Times New Roman"/>
          <w:b/>
          <w:bCs/>
          <w:sz w:val="20"/>
          <w:szCs w:val="20"/>
        </w:rPr>
        <w:t xml:space="preserve"> vs CCI Risk Group</w:t>
      </w:r>
      <w:r w:rsidRPr="008B4FC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2E47D4C0" w14:textId="77777777" w:rsidR="00BA49CF" w:rsidRPr="004A50F5" w:rsidRDefault="00BA49CF" w:rsidP="00BA49CF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A50F5">
        <w:rPr>
          <w:rFonts w:ascii="Times New Roman" w:hAnsi="Times New Roman" w:cs="Times New Roman"/>
          <w:b/>
          <w:bCs/>
          <w:noProof/>
          <w:sz w:val="20"/>
          <w:szCs w:val="20"/>
          <w:lang w:eastAsia="en-IN"/>
        </w:rPr>
        <w:drawing>
          <wp:inline distT="0" distB="0" distL="0" distR="0" wp14:anchorId="2C16FF75" wp14:editId="0952FD08">
            <wp:extent cx="4221480" cy="3166110"/>
            <wp:effectExtent l="0" t="0" r="7620" b="0"/>
            <wp:docPr id="101319990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199903" name="Picture 101319990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480" cy="316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98459" w14:textId="77777777" w:rsidR="00BA49CF" w:rsidRPr="004A50F5" w:rsidRDefault="00BA49CF" w:rsidP="00BA49CF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 xml:space="preserve">Kaplan–Meier readmission-free survival curves according to </w:t>
      </w:r>
      <w:proofErr w:type="spellStart"/>
      <w:r w:rsidRPr="004A50F5">
        <w:rPr>
          <w:rFonts w:ascii="Times New Roman" w:hAnsi="Times New Roman" w:cs="Times New Roman"/>
          <w:i/>
          <w:iCs/>
          <w:sz w:val="20"/>
          <w:szCs w:val="20"/>
        </w:rPr>
        <w:t>Charlson</w:t>
      </w:r>
      <w:proofErr w:type="spellEnd"/>
      <w:r w:rsidRPr="004A50F5">
        <w:rPr>
          <w:rFonts w:ascii="Times New Roman" w:hAnsi="Times New Roman" w:cs="Times New Roman"/>
          <w:i/>
          <w:iCs/>
          <w:sz w:val="20"/>
          <w:szCs w:val="20"/>
        </w:rPr>
        <w:t xml:space="preserve"> Comorbidity Index (CCI) risk categories (Low: CCI 0–3, Moderate: CCI 4–6, High: CCI ≥7). Tick marks indicate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i/>
          <w:iCs/>
          <w:sz w:val="20"/>
          <w:szCs w:val="20"/>
        </w:rPr>
        <w:t>censored observations. Survival distributions were compared using the log-rank test (p = 0.0145).</w:t>
      </w:r>
    </w:p>
    <w:p w14:paraId="38529BF4" w14:textId="77777777" w:rsidR="004A50F5" w:rsidRPr="004A50F5" w:rsidRDefault="004A50F5" w:rsidP="007A39A7">
      <w:pPr>
        <w:spacing w:after="210" w:line="360" w:lineRule="auto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6CDC9A15" w14:textId="04C925CB" w:rsidR="004A50F5" w:rsidRPr="004A50F5" w:rsidRDefault="004A50F5" w:rsidP="004A50F5">
      <w:pPr>
        <w:rPr>
          <w:rFonts w:ascii="Times New Roman" w:hAnsi="Times New Roman" w:cs="Times New Roman"/>
          <w:noProof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8B4FCF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A50F5">
        <w:rPr>
          <w:rFonts w:ascii="Times New Roman" w:hAnsi="Times New Roman" w:cs="Times New Roman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Kaplan-Meier analysis Readmission vs Age </w:t>
      </w:r>
    </w:p>
    <w:p w14:paraId="66100ACB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  <w:lang w:eastAsia="en-IN"/>
        </w:rPr>
        <w:lastRenderedPageBreak/>
        <w:drawing>
          <wp:inline distT="0" distB="0" distL="0" distR="0" wp14:anchorId="023DF590" wp14:editId="1E023AA1">
            <wp:extent cx="4034790" cy="2689860"/>
            <wp:effectExtent l="0" t="0" r="3810" b="0"/>
            <wp:docPr id="126441285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412858" name="Picture 126441285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479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AEEA2" w14:textId="77777777" w:rsidR="004A50F5" w:rsidRPr="004A50F5" w:rsidRDefault="004A50F5" w:rsidP="004A50F5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readmission-free survival curves stratified according to age group (&lt;45, 45–59, 60–74, and ≥75 years). Tick marks indicate censored observations. Survival distributions were compared using the log-rank test (p = 0.270).</w:t>
      </w:r>
    </w:p>
    <w:p w14:paraId="57216B02" w14:textId="3BF7DF22" w:rsidR="004A50F5" w:rsidRPr="004A50F5" w:rsidRDefault="004A50F5" w:rsidP="004A50F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4A50F5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Supplementary 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Figure </w:t>
      </w:r>
      <w:r w:rsidR="008B4FCF">
        <w:rPr>
          <w:rFonts w:ascii="Times New Roman" w:hAnsi="Times New Roman" w:cs="Times New Roman"/>
          <w:b/>
          <w:bCs/>
          <w:sz w:val="20"/>
          <w:szCs w:val="20"/>
        </w:rPr>
        <w:t>6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Pr="004A50F5">
        <w:rPr>
          <w:rFonts w:ascii="Times New Roman" w:hAnsi="Times New Roman" w:cs="Times New Roman"/>
          <w:sz w:val="20"/>
          <w:szCs w:val="20"/>
        </w:rPr>
        <w:t xml:space="preserve"> </w:t>
      </w:r>
      <w:r w:rsidRPr="004A50F5">
        <w:rPr>
          <w:rFonts w:ascii="Times New Roman" w:hAnsi="Times New Roman" w:cs="Times New Roman"/>
          <w:b/>
          <w:bCs/>
          <w:sz w:val="20"/>
          <w:szCs w:val="20"/>
        </w:rPr>
        <w:t xml:space="preserve">Kaplan-Meier analysis Readmission vs Gender </w:t>
      </w:r>
    </w:p>
    <w:p w14:paraId="3813015F" w14:textId="77777777" w:rsidR="004A50F5" w:rsidRPr="004A50F5" w:rsidRDefault="004A50F5" w:rsidP="004A50F5">
      <w:pPr>
        <w:rPr>
          <w:rFonts w:ascii="Times New Roman" w:hAnsi="Times New Roman" w:cs="Times New Roman"/>
          <w:sz w:val="20"/>
          <w:szCs w:val="20"/>
        </w:rPr>
      </w:pPr>
      <w:r w:rsidRPr="004A50F5">
        <w:rPr>
          <w:rFonts w:ascii="Times New Roman" w:hAnsi="Times New Roman" w:cs="Times New Roman"/>
          <w:noProof/>
          <w:sz w:val="20"/>
          <w:szCs w:val="20"/>
          <w:lang w:eastAsia="en-IN"/>
        </w:rPr>
        <w:drawing>
          <wp:inline distT="0" distB="0" distL="0" distR="0" wp14:anchorId="568FF780" wp14:editId="6C16BF24">
            <wp:extent cx="3817995" cy="3055620"/>
            <wp:effectExtent l="0" t="0" r="0" b="0"/>
            <wp:docPr id="15986860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686089" name="Picture 159868608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6869" cy="3062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0F7BB" w14:textId="7C8E4073" w:rsidR="000254A1" w:rsidRPr="008B4FCF" w:rsidRDefault="004A50F5" w:rsidP="008B4FCF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4A50F5">
        <w:rPr>
          <w:rFonts w:ascii="Times New Roman" w:hAnsi="Times New Roman" w:cs="Times New Roman"/>
          <w:i/>
          <w:iCs/>
          <w:sz w:val="20"/>
          <w:szCs w:val="20"/>
        </w:rPr>
        <w:t>Kaplan–Meier readmission-free survival curves stratified by gender. Tick marks represent censored observations. Differences between groups were assessed using the log-rank test (p = 0.643).</w:t>
      </w:r>
    </w:p>
    <w:p w14:paraId="436310A3" w14:textId="77777777" w:rsidR="004B6BBE" w:rsidRDefault="004B6BB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7A14B8C4" w14:textId="77777777" w:rsidR="004B6BBE" w:rsidRDefault="004B6BB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30729138" w14:textId="77777777" w:rsidR="004B6BBE" w:rsidRDefault="004B6BB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6411FD80" w14:textId="77777777" w:rsidR="004B6BBE" w:rsidRDefault="004B6BB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53FAC698" w14:textId="77777777" w:rsidR="004B6BBE" w:rsidRDefault="004B6BB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1260FCF0" w14:textId="77777777" w:rsidR="004B6BBE" w:rsidRDefault="004B6BBE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p w14:paraId="092592D2" w14:textId="4F608DD9" w:rsidR="000254A1" w:rsidRDefault="000254A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  <w:lang w:val="en-US"/>
        </w:rPr>
        <w:lastRenderedPageBreak/>
        <w:t>Supplementary</w:t>
      </w:r>
      <w:r w:rsidR="004B6BBE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Table 3:</w:t>
      </w:r>
      <w:r w:rsidRPr="000254A1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CRF for Quality of Life</w:t>
      </w:r>
    </w:p>
    <w:p w14:paraId="7BA92F90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Long-Term Outcome of Sepsis Survivors (LOSS Study)</w:t>
      </w:r>
    </w:p>
    <w:p w14:paraId="2492A053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Patient Information</w:t>
      </w:r>
    </w:p>
    <w:p w14:paraId="281D511E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sz w:val="20"/>
          <w:szCs w:val="20"/>
        </w:rPr>
        <w:t>1. Patient ID Number (Sepsis Registry ID): ________________________</w:t>
      </w:r>
    </w:p>
    <w:p w14:paraId="07BDB1E3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sz w:val="20"/>
          <w:szCs w:val="20"/>
        </w:rPr>
        <w:t>2. Hospital Name: ________________________</w:t>
      </w:r>
    </w:p>
    <w:p w14:paraId="135DF79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sz w:val="20"/>
          <w:szCs w:val="20"/>
        </w:rPr>
        <w:t>3. Principal Investigator Name: ________________________</w:t>
      </w:r>
    </w:p>
    <w:p w14:paraId="2C25BA8F" w14:textId="5A0BE4BD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sz w:val="20"/>
          <w:szCs w:val="20"/>
        </w:rPr>
        <w:t>4. Date of Interview: ____ / ____ / ______</w:t>
      </w:r>
    </w:p>
    <w:p w14:paraId="3E72D837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Patient Mortality</w:t>
      </w:r>
    </w:p>
    <w:p w14:paraId="56DD8EC5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5. Current status of patient</w:t>
      </w:r>
    </w:p>
    <w:p w14:paraId="0CBAFEC6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Survived</w:t>
      </w:r>
    </w:p>
    <w:p w14:paraId="7CCCB849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Died</w:t>
      </w:r>
    </w:p>
    <w:p w14:paraId="54C6B7DD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6. If died, date of death: ____ / ____ / ______</w:t>
      </w:r>
    </w:p>
    <w:p w14:paraId="66887020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7. If known, cause of death: _______________________________________</w:t>
      </w:r>
    </w:p>
    <w:p w14:paraId="1B426979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8. Place of death</w:t>
      </w:r>
    </w:p>
    <w:p w14:paraId="5DD5055F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Hospital</w:t>
      </w:r>
    </w:p>
    <w:p w14:paraId="13D5CF7D" w14:textId="77777777" w:rsid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Home</w:t>
      </w:r>
    </w:p>
    <w:p w14:paraId="0DFF9560" w14:textId="1851C3EB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Readmission</w:t>
      </w:r>
    </w:p>
    <w:p w14:paraId="21124032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9. Any history of readmission</w:t>
      </w:r>
    </w:p>
    <w:p w14:paraId="54357A1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Yes</w:t>
      </w:r>
    </w:p>
    <w:p w14:paraId="229A43A3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No</w:t>
      </w:r>
    </w:p>
    <w:p w14:paraId="1321984A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10. Number of readmissions: ________________________</w:t>
      </w:r>
    </w:p>
    <w:p w14:paraId="0ADBFAB8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11. Cause(s) of readmission: _______________________________________</w:t>
      </w:r>
    </w:p>
    <w:p w14:paraId="342E2249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12. Timing of readmission since discharge: ___________________________</w:t>
      </w:r>
    </w:p>
    <w:p w14:paraId="68E62242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13. Readmitted to the same hospital</w:t>
      </w:r>
    </w:p>
    <w:p w14:paraId="5FBD32B7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Yes</w:t>
      </w:r>
    </w:p>
    <w:p w14:paraId="784F702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No</w:t>
      </w:r>
    </w:p>
    <w:p w14:paraId="1A8F0BB9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14. Readmitted to the same ICU</w:t>
      </w:r>
    </w:p>
    <w:p w14:paraId="7CC17379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Yes</w:t>
      </w:r>
    </w:p>
    <w:p w14:paraId="2477DCCC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No</w:t>
      </w:r>
    </w:p>
    <w:p w14:paraId="255E510F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15. Outcome of readmission</w:t>
      </w:r>
    </w:p>
    <w:p w14:paraId="2E5862D9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Survived</w:t>
      </w:r>
    </w:p>
    <w:p w14:paraId="0FD4F3B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Died</w:t>
      </w:r>
    </w:p>
    <w:p w14:paraId="75CF7B22" w14:textId="7CBD3D5A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lastRenderedPageBreak/>
        <w:t>Quality of Life</w:t>
      </w:r>
    </w:p>
    <w:p w14:paraId="33B3C9A7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 xml:space="preserve">16. Which of the following quality-of-life domains are affected? </w:t>
      </w:r>
      <w:r w:rsidRPr="000254A1">
        <w:rPr>
          <w:rFonts w:ascii="Times New Roman" w:hAnsi="Times New Roman" w:cs="Times New Roman"/>
          <w:b/>
          <w:bCs/>
          <w:i/>
          <w:iCs/>
          <w:sz w:val="20"/>
          <w:szCs w:val="20"/>
        </w:rPr>
        <w:t>(Check all that apply)</w:t>
      </w:r>
    </w:p>
    <w:p w14:paraId="134BE0B7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Limitations in physical activities because of health problems</w:t>
      </w:r>
    </w:p>
    <w:p w14:paraId="60F8862C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Limitations in social activities because of physical or emotional problems</w:t>
      </w:r>
    </w:p>
    <w:p w14:paraId="394040F1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Limitations in usual role activities because of physical health problems</w:t>
      </w:r>
    </w:p>
    <w:p w14:paraId="71083A29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Bodily pain</w:t>
      </w:r>
    </w:p>
    <w:p w14:paraId="63AC2437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General mental health (psychological distress and well-being)</w:t>
      </w:r>
    </w:p>
    <w:p w14:paraId="5DF62C6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Limitations in usual role activities because of emotional problems</w:t>
      </w:r>
    </w:p>
    <w:p w14:paraId="4812E7ED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Vitality (energy and fatigue)</w:t>
      </w:r>
    </w:p>
    <w:p w14:paraId="18584DE2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General health perceptions</w:t>
      </w:r>
    </w:p>
    <w:p w14:paraId="0EB0A854" w14:textId="3D270E7D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17. Any new medical complication since discharge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_________</w:t>
      </w:r>
    </w:p>
    <w:p w14:paraId="005ED5AD" w14:textId="08CEFD2B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18. Compared with before discharge, how does the patient rate his/her physical quality of life?</w:t>
      </w:r>
    </w:p>
    <w:p w14:paraId="5137F0FD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Better</w:t>
      </w:r>
    </w:p>
    <w:p w14:paraId="6A24FB04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Same</w:t>
      </w:r>
    </w:p>
    <w:p w14:paraId="27BEC044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Worse</w:t>
      </w:r>
    </w:p>
    <w:p w14:paraId="5BE2B530" w14:textId="77777777" w:rsidR="000254A1" w:rsidRPr="000254A1" w:rsidRDefault="000254A1" w:rsidP="000254A1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254A1">
        <w:rPr>
          <w:rFonts w:ascii="Times New Roman" w:hAnsi="Times New Roman" w:cs="Times New Roman"/>
          <w:b/>
          <w:bCs/>
          <w:sz w:val="20"/>
          <w:szCs w:val="20"/>
        </w:rPr>
        <w:t>19. Compared with before discharge, how does the patient rate his/her mental quality of life?</w:t>
      </w:r>
    </w:p>
    <w:p w14:paraId="234DCD07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Better</w:t>
      </w:r>
    </w:p>
    <w:p w14:paraId="7ABF502B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Same</w:t>
      </w:r>
    </w:p>
    <w:p w14:paraId="18737E88" w14:textId="77777777" w:rsidR="000254A1" w:rsidRPr="000254A1" w:rsidRDefault="000254A1" w:rsidP="000254A1">
      <w:pPr>
        <w:rPr>
          <w:rFonts w:ascii="Times New Roman" w:hAnsi="Times New Roman" w:cs="Times New Roman"/>
          <w:sz w:val="20"/>
          <w:szCs w:val="20"/>
        </w:rPr>
      </w:pPr>
      <w:r w:rsidRPr="000254A1">
        <w:rPr>
          <w:rFonts w:ascii="Segoe UI Symbol" w:hAnsi="Segoe UI Symbol" w:cs="Segoe UI Symbol"/>
          <w:sz w:val="20"/>
          <w:szCs w:val="20"/>
        </w:rPr>
        <w:t>☐</w:t>
      </w:r>
      <w:r w:rsidRPr="000254A1">
        <w:rPr>
          <w:rFonts w:ascii="Times New Roman" w:hAnsi="Times New Roman" w:cs="Times New Roman"/>
          <w:sz w:val="20"/>
          <w:szCs w:val="20"/>
        </w:rPr>
        <w:t xml:space="preserve"> Worse</w:t>
      </w:r>
    </w:p>
    <w:p w14:paraId="63085885" w14:textId="77777777" w:rsidR="000254A1" w:rsidRPr="000254A1" w:rsidRDefault="000254A1">
      <w:pPr>
        <w:rPr>
          <w:rFonts w:ascii="Times New Roman" w:hAnsi="Times New Roman" w:cs="Times New Roman"/>
          <w:b/>
          <w:bCs/>
          <w:sz w:val="20"/>
          <w:szCs w:val="20"/>
          <w:lang w:val="en-US"/>
        </w:rPr>
      </w:pPr>
    </w:p>
    <w:sectPr w:rsidR="000254A1" w:rsidRPr="000254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9A7"/>
    <w:rsid w:val="000254A1"/>
    <w:rsid w:val="00043F5A"/>
    <w:rsid w:val="00052883"/>
    <w:rsid w:val="002D32BA"/>
    <w:rsid w:val="002F5E96"/>
    <w:rsid w:val="004A50F5"/>
    <w:rsid w:val="004B6BBE"/>
    <w:rsid w:val="00790C43"/>
    <w:rsid w:val="007A39A7"/>
    <w:rsid w:val="008B4FCF"/>
    <w:rsid w:val="00B87B4E"/>
    <w:rsid w:val="00BA49CF"/>
    <w:rsid w:val="00C501DC"/>
    <w:rsid w:val="00C910A8"/>
    <w:rsid w:val="00CC3D64"/>
    <w:rsid w:val="00E10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09049B"/>
  <w15:chartTrackingRefBased/>
  <w15:docId w15:val="{0233B4DA-A6D1-431E-9645-2CC38531B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39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39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39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39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39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39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39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39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39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39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39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39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39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39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39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39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39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39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39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39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39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39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39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39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39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39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39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39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39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681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Surya Prakash</dc:creator>
  <cp:keywords/>
  <dc:description/>
  <cp:lastModifiedBy>Library [MH-Dhakuria]</cp:lastModifiedBy>
  <cp:revision>8</cp:revision>
  <dcterms:created xsi:type="dcterms:W3CDTF">2026-07-30T07:25:00Z</dcterms:created>
  <dcterms:modified xsi:type="dcterms:W3CDTF">2026-08-18T11:20:00Z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7df4c05c-057a-4622-8f4a-46d138f09146</vt:lpwstr>
  </property>
</Properties>
</file>