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714A4" w14:textId="3EF33EE7" w:rsidR="00B87B4E" w:rsidRPr="0049193F" w:rsidRDefault="00B87B4E" w:rsidP="00B87B4E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Table </w:t>
      </w:r>
      <w:r w:rsidR="00377481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>: Predictors for Readmission</w:t>
      </w:r>
    </w:p>
    <w:tbl>
      <w:tblPr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3225"/>
        <w:gridCol w:w="2690"/>
        <w:gridCol w:w="1654"/>
      </w:tblGrid>
      <w:tr w:rsidR="00B87B4E" w:rsidRPr="004A50F5" w14:paraId="7B17A2F7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20FFA8A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2690" w:type="dxa"/>
            <w:vAlign w:val="center"/>
          </w:tcPr>
          <w:p w14:paraId="0AF5D6AD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Odds Ratio (95% CI)</w:t>
            </w:r>
          </w:p>
        </w:tc>
        <w:tc>
          <w:tcPr>
            <w:tcW w:w="1654" w:type="dxa"/>
            <w:vAlign w:val="center"/>
          </w:tcPr>
          <w:p w14:paraId="143973AE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B87B4E" w:rsidRPr="004A50F5" w14:paraId="5D8C8BF6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54D3C5E1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2690" w:type="dxa"/>
            <w:vAlign w:val="center"/>
          </w:tcPr>
          <w:p w14:paraId="5B5B3528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1.00 (0.99–1.01)</w:t>
            </w:r>
          </w:p>
        </w:tc>
        <w:tc>
          <w:tcPr>
            <w:tcW w:w="1654" w:type="dxa"/>
            <w:vAlign w:val="center"/>
          </w:tcPr>
          <w:p w14:paraId="5513395D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0.431</w:t>
            </w:r>
          </w:p>
        </w:tc>
      </w:tr>
      <w:tr w:rsidR="00B87B4E" w:rsidRPr="004A50F5" w14:paraId="46D2AEE0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73E23AC6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2690" w:type="dxa"/>
            <w:vAlign w:val="center"/>
          </w:tcPr>
          <w:p w14:paraId="48F5B909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1.23 (0.87–1.73)</w:t>
            </w:r>
          </w:p>
        </w:tc>
        <w:tc>
          <w:tcPr>
            <w:tcW w:w="1654" w:type="dxa"/>
            <w:vAlign w:val="center"/>
          </w:tcPr>
          <w:p w14:paraId="15C878E5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0.241</w:t>
            </w:r>
          </w:p>
        </w:tc>
      </w:tr>
      <w:tr w:rsidR="00B87B4E" w:rsidRPr="004A50F5" w14:paraId="6CDB71F8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1B8B9E5F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High CCI (≥7)</w:t>
            </w:r>
          </w:p>
        </w:tc>
        <w:tc>
          <w:tcPr>
            <w:tcW w:w="2690" w:type="dxa"/>
            <w:vAlign w:val="center"/>
          </w:tcPr>
          <w:p w14:paraId="56475191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1.69 (1.14–2.52)</w:t>
            </w:r>
          </w:p>
        </w:tc>
        <w:tc>
          <w:tcPr>
            <w:tcW w:w="1654" w:type="dxa"/>
            <w:vAlign w:val="center"/>
          </w:tcPr>
          <w:p w14:paraId="0911043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</w:tr>
      <w:tr w:rsidR="00B87B4E" w:rsidRPr="004A50F5" w14:paraId="67971EBA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39B01594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Metastatic disease</w:t>
            </w:r>
          </w:p>
        </w:tc>
        <w:tc>
          <w:tcPr>
            <w:tcW w:w="2690" w:type="dxa"/>
            <w:vAlign w:val="center"/>
          </w:tcPr>
          <w:p w14:paraId="3338AA8E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2.88 (0.90–9.19)</w:t>
            </w:r>
          </w:p>
        </w:tc>
        <w:tc>
          <w:tcPr>
            <w:tcW w:w="1654" w:type="dxa"/>
            <w:vAlign w:val="center"/>
          </w:tcPr>
          <w:p w14:paraId="1FF3D09F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0.074</w:t>
            </w:r>
          </w:p>
        </w:tc>
      </w:tr>
      <w:tr w:rsidR="00B87B4E" w:rsidRPr="004A50F5" w14:paraId="51FBF366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2B82C3E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Diabetes mellitus</w:t>
            </w:r>
          </w:p>
        </w:tc>
        <w:tc>
          <w:tcPr>
            <w:tcW w:w="2690" w:type="dxa"/>
            <w:vAlign w:val="center"/>
          </w:tcPr>
          <w:p w14:paraId="52A231D5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1.11 (0.80–1.56)</w:t>
            </w:r>
          </w:p>
        </w:tc>
        <w:tc>
          <w:tcPr>
            <w:tcW w:w="1654" w:type="dxa"/>
            <w:vAlign w:val="center"/>
          </w:tcPr>
          <w:p w14:paraId="335EAC12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0.529</w:t>
            </w:r>
          </w:p>
        </w:tc>
      </w:tr>
      <w:tr w:rsidR="00B87B4E" w:rsidRPr="004A50F5" w14:paraId="0B2A9D93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49B5671F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Chronic kidney disease</w:t>
            </w:r>
          </w:p>
        </w:tc>
        <w:tc>
          <w:tcPr>
            <w:tcW w:w="2690" w:type="dxa"/>
            <w:vAlign w:val="center"/>
          </w:tcPr>
          <w:p w14:paraId="4F41ECA6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1.36 (0.87–2.13)</w:t>
            </w:r>
          </w:p>
        </w:tc>
        <w:tc>
          <w:tcPr>
            <w:tcW w:w="1654" w:type="dxa"/>
            <w:vAlign w:val="center"/>
          </w:tcPr>
          <w:p w14:paraId="2F2074B9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0.176</w:t>
            </w:r>
          </w:p>
        </w:tc>
      </w:tr>
      <w:tr w:rsidR="00B87B4E" w:rsidRPr="004A50F5" w14:paraId="27BE69FC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7CEBC500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COPD</w:t>
            </w:r>
          </w:p>
        </w:tc>
        <w:tc>
          <w:tcPr>
            <w:tcW w:w="2690" w:type="dxa"/>
            <w:vAlign w:val="center"/>
          </w:tcPr>
          <w:p w14:paraId="7BF17E78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1.01 (0.56–1.82)</w:t>
            </w:r>
          </w:p>
        </w:tc>
        <w:tc>
          <w:tcPr>
            <w:tcW w:w="1654" w:type="dxa"/>
            <w:vAlign w:val="center"/>
          </w:tcPr>
          <w:p w14:paraId="7A8DA9F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0.986</w:t>
            </w:r>
          </w:p>
        </w:tc>
      </w:tr>
      <w:tr w:rsidR="00B87B4E" w:rsidRPr="004A50F5" w14:paraId="0C783A31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4EF4A8C3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Stroke</w:t>
            </w:r>
          </w:p>
        </w:tc>
        <w:tc>
          <w:tcPr>
            <w:tcW w:w="2690" w:type="dxa"/>
            <w:vAlign w:val="center"/>
          </w:tcPr>
          <w:p w14:paraId="1AFB0DDE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1.00 (0.09–11.15)</w:t>
            </w:r>
          </w:p>
        </w:tc>
        <w:tc>
          <w:tcPr>
            <w:tcW w:w="1654" w:type="dxa"/>
            <w:vAlign w:val="center"/>
          </w:tcPr>
          <w:p w14:paraId="2C4FCD00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</w:tr>
      <w:tr w:rsidR="00B87B4E" w:rsidRPr="004A50F5" w14:paraId="218FA8D4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7B5D1E52" w14:textId="77777777" w:rsidR="00B87B4E" w:rsidRPr="0049193F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1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Dementia</w:t>
            </w:r>
          </w:p>
        </w:tc>
        <w:tc>
          <w:tcPr>
            <w:tcW w:w="2690" w:type="dxa"/>
            <w:vAlign w:val="center"/>
          </w:tcPr>
          <w:p w14:paraId="3E613CA8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1.45 (0.45–4.62)</w:t>
            </w:r>
          </w:p>
        </w:tc>
        <w:tc>
          <w:tcPr>
            <w:tcW w:w="1654" w:type="dxa"/>
            <w:vAlign w:val="center"/>
          </w:tcPr>
          <w:p w14:paraId="3360BF1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0.533</w:t>
            </w:r>
          </w:p>
        </w:tc>
      </w:tr>
    </w:tbl>
    <w:p w14:paraId="5FEAB7B9" w14:textId="77777777" w:rsidR="00B87B4E" w:rsidRPr="00B87B4E" w:rsidRDefault="00B87B4E" w:rsidP="007A39A7">
      <w:pPr>
        <w:spacing w:after="21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313BAC28" w14:textId="71819956" w:rsidR="007A39A7" w:rsidRPr="004A50F5" w:rsidRDefault="007A39A7" w:rsidP="007A39A7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Table </w:t>
      </w:r>
      <w:r w:rsidR="00377481">
        <w:rPr>
          <w:rFonts w:ascii="Times New Roman" w:eastAsia="Times New Roman" w:hAnsi="Times New Roman" w:cs="Times New Roman"/>
          <w:b/>
          <w:bCs/>
          <w:sz w:val="20"/>
          <w:szCs w:val="20"/>
        </w:rPr>
        <w:t>2</w:t>
      </w: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>: Factors Associated with Physical and Mental Quality of Life Outcomes after discharge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1176"/>
        <w:gridCol w:w="2111"/>
        <w:gridCol w:w="1887"/>
        <w:gridCol w:w="971"/>
        <w:gridCol w:w="1701"/>
        <w:gridCol w:w="1150"/>
      </w:tblGrid>
      <w:tr w:rsidR="007A39A7" w:rsidRPr="004A50F5" w14:paraId="00D1FF1A" w14:textId="77777777" w:rsidTr="00AD00B5">
        <w:trPr>
          <w:trHeight w:val="300"/>
        </w:trPr>
        <w:tc>
          <w:tcPr>
            <w:tcW w:w="1189" w:type="dxa"/>
            <w:vAlign w:val="center"/>
          </w:tcPr>
          <w:p w14:paraId="5948590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2214" w:type="dxa"/>
            <w:vAlign w:val="center"/>
          </w:tcPr>
          <w:p w14:paraId="478BCA2A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Level</w:t>
            </w:r>
          </w:p>
        </w:tc>
        <w:tc>
          <w:tcPr>
            <w:tcW w:w="1969" w:type="dxa"/>
            <w:vAlign w:val="center"/>
          </w:tcPr>
          <w:p w14:paraId="58D793AF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Physical QoL: Adjusted OR (95% CI)</w:t>
            </w:r>
          </w:p>
        </w:tc>
        <w:tc>
          <w:tcPr>
            <w:tcW w:w="998" w:type="dxa"/>
            <w:vAlign w:val="center"/>
          </w:tcPr>
          <w:p w14:paraId="61498607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766" w:type="dxa"/>
            <w:vAlign w:val="center"/>
          </w:tcPr>
          <w:p w14:paraId="5CA79222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Mental QoL: Adjusted OR (95% CI)</w:t>
            </w:r>
          </w:p>
        </w:tc>
        <w:tc>
          <w:tcPr>
            <w:tcW w:w="1194" w:type="dxa"/>
            <w:vAlign w:val="center"/>
          </w:tcPr>
          <w:p w14:paraId="239E0928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7A39A7" w:rsidRPr="004A50F5" w14:paraId="4857D116" w14:textId="77777777" w:rsidTr="00AD00B5">
        <w:trPr>
          <w:trHeight w:val="300"/>
        </w:trPr>
        <w:tc>
          <w:tcPr>
            <w:tcW w:w="1189" w:type="dxa"/>
            <w:vMerge w:val="restart"/>
            <w:vAlign w:val="center"/>
          </w:tcPr>
          <w:p w14:paraId="13344B6F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Age category</w:t>
            </w:r>
          </w:p>
        </w:tc>
        <w:tc>
          <w:tcPr>
            <w:tcW w:w="2214" w:type="dxa"/>
            <w:vAlign w:val="center"/>
          </w:tcPr>
          <w:p w14:paraId="583EA3A3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45–59 vs &lt;45</w:t>
            </w:r>
          </w:p>
        </w:tc>
        <w:tc>
          <w:tcPr>
            <w:tcW w:w="1969" w:type="dxa"/>
            <w:vAlign w:val="center"/>
          </w:tcPr>
          <w:p w14:paraId="76188009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1.26 (0.58–2.76)</w:t>
            </w:r>
          </w:p>
        </w:tc>
        <w:tc>
          <w:tcPr>
            <w:tcW w:w="998" w:type="dxa"/>
            <w:vAlign w:val="center"/>
          </w:tcPr>
          <w:p w14:paraId="24F4DD4C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1766" w:type="dxa"/>
            <w:vAlign w:val="center"/>
          </w:tcPr>
          <w:p w14:paraId="60DA622E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1.18 (0.52–2.67)</w:t>
            </w:r>
          </w:p>
        </w:tc>
        <w:tc>
          <w:tcPr>
            <w:tcW w:w="1194" w:type="dxa"/>
            <w:vAlign w:val="center"/>
          </w:tcPr>
          <w:p w14:paraId="34F57A0B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0.690</w:t>
            </w:r>
          </w:p>
        </w:tc>
      </w:tr>
      <w:tr w:rsidR="007A39A7" w:rsidRPr="004A50F5" w14:paraId="2BEC63F9" w14:textId="77777777" w:rsidTr="00AD00B5">
        <w:trPr>
          <w:trHeight w:val="300"/>
        </w:trPr>
        <w:tc>
          <w:tcPr>
            <w:tcW w:w="1189" w:type="dxa"/>
            <w:vMerge/>
            <w:vAlign w:val="center"/>
          </w:tcPr>
          <w:p w14:paraId="6BFD11B4" w14:textId="77777777" w:rsidR="007A39A7" w:rsidRPr="004A50F5" w:rsidRDefault="007A39A7" w:rsidP="00AD00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4" w:type="dxa"/>
            <w:vAlign w:val="center"/>
          </w:tcPr>
          <w:p w14:paraId="669D28FD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60–74 vs &lt;45</w:t>
            </w:r>
          </w:p>
        </w:tc>
        <w:tc>
          <w:tcPr>
            <w:tcW w:w="1969" w:type="dxa"/>
            <w:vAlign w:val="center"/>
          </w:tcPr>
          <w:p w14:paraId="363A62D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1.15 (0.52–2.56)</w:t>
            </w:r>
          </w:p>
        </w:tc>
        <w:tc>
          <w:tcPr>
            <w:tcW w:w="998" w:type="dxa"/>
            <w:vAlign w:val="center"/>
          </w:tcPr>
          <w:p w14:paraId="78EE2E96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0.731</w:t>
            </w:r>
          </w:p>
        </w:tc>
        <w:tc>
          <w:tcPr>
            <w:tcW w:w="1766" w:type="dxa"/>
            <w:vAlign w:val="center"/>
          </w:tcPr>
          <w:p w14:paraId="647E2CF2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0.95 (0.41–2.20)</w:t>
            </w:r>
          </w:p>
        </w:tc>
        <w:tc>
          <w:tcPr>
            <w:tcW w:w="1194" w:type="dxa"/>
            <w:vAlign w:val="center"/>
          </w:tcPr>
          <w:p w14:paraId="578F34E0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0.899</w:t>
            </w:r>
          </w:p>
        </w:tc>
      </w:tr>
      <w:tr w:rsidR="007A39A7" w:rsidRPr="004A50F5" w14:paraId="033AC19F" w14:textId="77777777" w:rsidTr="00AD00B5">
        <w:trPr>
          <w:trHeight w:val="300"/>
        </w:trPr>
        <w:tc>
          <w:tcPr>
            <w:tcW w:w="1189" w:type="dxa"/>
            <w:vMerge/>
            <w:vAlign w:val="center"/>
          </w:tcPr>
          <w:p w14:paraId="26C3FED5" w14:textId="77777777" w:rsidR="007A39A7" w:rsidRPr="004A50F5" w:rsidRDefault="007A39A7" w:rsidP="00AD00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4" w:type="dxa"/>
            <w:vAlign w:val="center"/>
          </w:tcPr>
          <w:p w14:paraId="4813EDC5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≥75 vs &lt;45</w:t>
            </w:r>
          </w:p>
        </w:tc>
        <w:tc>
          <w:tcPr>
            <w:tcW w:w="1969" w:type="dxa"/>
            <w:vAlign w:val="center"/>
          </w:tcPr>
          <w:p w14:paraId="3F9587D7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1.07 (0.40–2.82)</w:t>
            </w:r>
          </w:p>
        </w:tc>
        <w:tc>
          <w:tcPr>
            <w:tcW w:w="998" w:type="dxa"/>
            <w:vAlign w:val="center"/>
          </w:tcPr>
          <w:p w14:paraId="668924CF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1766" w:type="dxa"/>
            <w:vAlign w:val="center"/>
          </w:tcPr>
          <w:p w14:paraId="36561402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0.72 (0.26–2.01)</w:t>
            </w:r>
          </w:p>
        </w:tc>
        <w:tc>
          <w:tcPr>
            <w:tcW w:w="1194" w:type="dxa"/>
            <w:vAlign w:val="center"/>
          </w:tcPr>
          <w:p w14:paraId="1F4A5F67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0.534</w:t>
            </w:r>
          </w:p>
        </w:tc>
      </w:tr>
      <w:tr w:rsidR="007A39A7" w:rsidRPr="004A50F5" w14:paraId="4FF1AE18" w14:textId="77777777" w:rsidTr="00AD00B5">
        <w:trPr>
          <w:trHeight w:val="300"/>
        </w:trPr>
        <w:tc>
          <w:tcPr>
            <w:tcW w:w="1189" w:type="dxa"/>
            <w:vAlign w:val="center"/>
          </w:tcPr>
          <w:p w14:paraId="0022A40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2214" w:type="dxa"/>
            <w:vAlign w:val="center"/>
          </w:tcPr>
          <w:p w14:paraId="4BFAEA39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Male vs Female</w:t>
            </w:r>
          </w:p>
        </w:tc>
        <w:tc>
          <w:tcPr>
            <w:tcW w:w="1969" w:type="dxa"/>
            <w:vAlign w:val="center"/>
          </w:tcPr>
          <w:p w14:paraId="73F86317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1.10 (0.67–1.81)</w:t>
            </w:r>
          </w:p>
        </w:tc>
        <w:tc>
          <w:tcPr>
            <w:tcW w:w="998" w:type="dxa"/>
            <w:vAlign w:val="center"/>
          </w:tcPr>
          <w:p w14:paraId="1AFE69DC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0.706</w:t>
            </w:r>
          </w:p>
        </w:tc>
        <w:tc>
          <w:tcPr>
            <w:tcW w:w="1766" w:type="dxa"/>
            <w:vAlign w:val="center"/>
          </w:tcPr>
          <w:p w14:paraId="2D2FE42E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0.98 (0.58–1.65)</w:t>
            </w:r>
          </w:p>
        </w:tc>
        <w:tc>
          <w:tcPr>
            <w:tcW w:w="1194" w:type="dxa"/>
            <w:vAlign w:val="center"/>
          </w:tcPr>
          <w:p w14:paraId="21518896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0.939</w:t>
            </w:r>
          </w:p>
        </w:tc>
      </w:tr>
      <w:tr w:rsidR="007A39A7" w:rsidRPr="004A50F5" w14:paraId="13C083FE" w14:textId="77777777" w:rsidTr="00AD00B5">
        <w:trPr>
          <w:trHeight w:val="300"/>
        </w:trPr>
        <w:tc>
          <w:tcPr>
            <w:tcW w:w="1189" w:type="dxa"/>
            <w:vMerge w:val="restart"/>
            <w:vAlign w:val="center"/>
          </w:tcPr>
          <w:p w14:paraId="05B0B320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CCI risk group</w:t>
            </w:r>
          </w:p>
        </w:tc>
        <w:tc>
          <w:tcPr>
            <w:tcW w:w="2214" w:type="dxa"/>
            <w:vAlign w:val="center"/>
          </w:tcPr>
          <w:p w14:paraId="66D49562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Moderate (4–6) vs Low</w:t>
            </w:r>
          </w:p>
        </w:tc>
        <w:tc>
          <w:tcPr>
            <w:tcW w:w="1969" w:type="dxa"/>
            <w:vAlign w:val="center"/>
          </w:tcPr>
          <w:p w14:paraId="0473CABD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0.91 (0.46–1.79)</w:t>
            </w:r>
          </w:p>
        </w:tc>
        <w:tc>
          <w:tcPr>
            <w:tcW w:w="998" w:type="dxa"/>
            <w:vAlign w:val="center"/>
          </w:tcPr>
          <w:p w14:paraId="69356AFB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0.777</w:t>
            </w:r>
          </w:p>
        </w:tc>
        <w:tc>
          <w:tcPr>
            <w:tcW w:w="1766" w:type="dxa"/>
            <w:vAlign w:val="center"/>
          </w:tcPr>
          <w:p w14:paraId="41561379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1.14 (0.56–2.33)</w:t>
            </w:r>
          </w:p>
        </w:tc>
        <w:tc>
          <w:tcPr>
            <w:tcW w:w="1194" w:type="dxa"/>
            <w:vAlign w:val="center"/>
          </w:tcPr>
          <w:p w14:paraId="1E35DF3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0.716</w:t>
            </w:r>
          </w:p>
        </w:tc>
      </w:tr>
      <w:tr w:rsidR="007A39A7" w:rsidRPr="004A50F5" w14:paraId="60CB706C" w14:textId="77777777" w:rsidTr="00AD00B5">
        <w:trPr>
          <w:trHeight w:val="300"/>
        </w:trPr>
        <w:tc>
          <w:tcPr>
            <w:tcW w:w="1189" w:type="dxa"/>
            <w:vMerge/>
            <w:vAlign w:val="center"/>
          </w:tcPr>
          <w:p w14:paraId="5B94604B" w14:textId="77777777" w:rsidR="007A39A7" w:rsidRPr="004A50F5" w:rsidRDefault="007A39A7" w:rsidP="00AD00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4" w:type="dxa"/>
            <w:vAlign w:val="center"/>
          </w:tcPr>
          <w:p w14:paraId="663EFFDA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High (≥7) vs Low</w:t>
            </w:r>
          </w:p>
        </w:tc>
        <w:tc>
          <w:tcPr>
            <w:tcW w:w="1969" w:type="dxa"/>
            <w:vAlign w:val="center"/>
          </w:tcPr>
          <w:p w14:paraId="19EA2989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2.36 (1.02–5.47)</w:t>
            </w:r>
          </w:p>
        </w:tc>
        <w:tc>
          <w:tcPr>
            <w:tcW w:w="998" w:type="dxa"/>
            <w:vAlign w:val="center"/>
          </w:tcPr>
          <w:p w14:paraId="4748305B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0.046</w:t>
            </w:r>
          </w:p>
        </w:tc>
        <w:tc>
          <w:tcPr>
            <w:tcW w:w="1766" w:type="dxa"/>
            <w:vAlign w:val="center"/>
          </w:tcPr>
          <w:p w14:paraId="3773E6C1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3.52 (1.48–8.39)</w:t>
            </w:r>
          </w:p>
        </w:tc>
        <w:tc>
          <w:tcPr>
            <w:tcW w:w="1194" w:type="dxa"/>
            <w:vAlign w:val="center"/>
          </w:tcPr>
          <w:p w14:paraId="74684FD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</w:tr>
    </w:tbl>
    <w:p w14:paraId="47BDD49F" w14:textId="77777777" w:rsidR="007A39A7" w:rsidRPr="004A50F5" w:rsidRDefault="007A39A7" w:rsidP="007A39A7">
      <w:pPr>
        <w:spacing w:after="210"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4CE6875D" w14:textId="77777777" w:rsidR="004A50F5" w:rsidRPr="004A50F5" w:rsidRDefault="004A50F5" w:rsidP="007A39A7">
      <w:pPr>
        <w:spacing w:after="210"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5435BCC7" w14:textId="4EA3EACA" w:rsidR="004A50F5" w:rsidRPr="004A50F5" w:rsidRDefault="004A50F5" w:rsidP="004A50F5">
      <w:pPr>
        <w:keepNext/>
        <w:keepLines/>
        <w:spacing w:before="20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1.</w:t>
      </w:r>
      <w:r w:rsidRPr="004A50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Kaplan-Meier analysis - </w:t>
      </w:r>
      <w:r w:rsidRPr="004A50F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Mortality vs Age Group </w:t>
      </w:r>
    </w:p>
    <w:p w14:paraId="2C97EFAB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0976B8F" wp14:editId="3C060D17">
            <wp:extent cx="3513317" cy="2811780"/>
            <wp:effectExtent l="0" t="0" r="0" b="7620"/>
            <wp:docPr id="14038384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838415" name="Picture 140383841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8339" cy="281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230A3" w14:textId="77777777" w:rsidR="004A50F5" w:rsidRPr="004A50F5" w:rsidRDefault="004A50F5" w:rsidP="004A50F5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>Kaplan–Meier overall survival curves stratified according to age group (&lt;45, 45–59, 60–74, and ≥75 years). Tick marks denote censored observations. Survival distributions were compared using the log-rank test.</w:t>
      </w:r>
    </w:p>
    <w:p w14:paraId="29A0BBED" w14:textId="3A8BE556" w:rsidR="004A50F5" w:rsidRPr="004A50F5" w:rsidRDefault="004A50F5" w:rsidP="004A50F5">
      <w:pPr>
        <w:keepNext/>
        <w:keepLines/>
        <w:spacing w:before="20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2.</w:t>
      </w:r>
      <w:r w:rsidRPr="004A50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Kaplan-Meier analysis -</w:t>
      </w:r>
      <w:r w:rsidRPr="004A50F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Mortality vs CCI Risk Group </w:t>
      </w:r>
    </w:p>
    <w:p w14:paraId="16563D5B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F30F16A" wp14:editId="23AA42FB">
            <wp:extent cx="3463290" cy="2308860"/>
            <wp:effectExtent l="0" t="0" r="3810" b="0"/>
            <wp:docPr id="3345078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507803" name="Picture 3345078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29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C7FC3" w14:textId="77777777" w:rsidR="004A50F5" w:rsidRPr="004A50F5" w:rsidRDefault="004A50F5" w:rsidP="004A50F5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>Kaplan–Meier overall survival curves according to Charlson Comorbidity Index (CCI) risk categories (Low: CCI 0–3, Moderate: CCI 4–6, High: CCI ≥7). Tick marks indicate censored observations. Group differences were assessed using the log-rank test</w:t>
      </w:r>
    </w:p>
    <w:p w14:paraId="143E1C0E" w14:textId="77777777" w:rsidR="004A50F5" w:rsidRPr="004A50F5" w:rsidRDefault="004A50F5" w:rsidP="004A50F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C7121D" w14:textId="5C91049B" w:rsidR="004A50F5" w:rsidRPr="004A50F5" w:rsidRDefault="004A50F5" w:rsidP="004A50F5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3.</w:t>
      </w:r>
      <w:r w:rsidRPr="004A50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Kaplan-Meier analysis </w:t>
      </w:r>
      <w:r w:rsidRPr="004A50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</w:t>
      </w:r>
      <w:r w:rsidRPr="004A50F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Mortality vs Gender</w:t>
      </w:r>
    </w:p>
    <w:p w14:paraId="490EB1E2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5D857FF" wp14:editId="67B4B00B">
            <wp:extent cx="3863340" cy="2575560"/>
            <wp:effectExtent l="0" t="0" r="3810" b="0"/>
            <wp:docPr id="1992977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97738" name="Picture 1992977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B12A7" w14:textId="77777777" w:rsidR="004A50F5" w:rsidRPr="004A50F5" w:rsidRDefault="004A50F5" w:rsidP="004A50F5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>Kaplan–Meier overall survival curves stratified by gender. Tick marks represent censored observations. Differences between groups were evaluated using the log-rank test.</w:t>
      </w:r>
    </w:p>
    <w:p w14:paraId="38529BF4" w14:textId="77777777" w:rsidR="004A50F5" w:rsidRPr="004A50F5" w:rsidRDefault="004A50F5" w:rsidP="007A39A7">
      <w:pPr>
        <w:spacing w:after="210"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6CDC9A15" w14:textId="1574D3D6" w:rsidR="004A50F5" w:rsidRPr="004A50F5" w:rsidRDefault="004A50F5" w:rsidP="004A50F5">
      <w:pPr>
        <w:rPr>
          <w:rFonts w:ascii="Times New Roman" w:hAnsi="Times New Roman" w:cs="Times New Roman"/>
          <w:noProof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377481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4A50F5">
        <w:rPr>
          <w:rFonts w:ascii="Times New Roman" w:hAnsi="Times New Roman" w:cs="Times New Roman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 xml:space="preserve">Kaplan-Meier analysis Readmission vs Age </w:t>
      </w:r>
    </w:p>
    <w:p w14:paraId="66100ACB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23DF590" wp14:editId="1E023AA1">
            <wp:extent cx="4034790" cy="2689860"/>
            <wp:effectExtent l="0" t="0" r="3810" b="0"/>
            <wp:docPr id="126441285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412858" name="Picture 12644128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79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AEEA2" w14:textId="77777777" w:rsidR="004A50F5" w:rsidRPr="004A50F5" w:rsidRDefault="004A50F5" w:rsidP="004A50F5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>Kaplan–Meier readmission-free survival curves stratified according to age group (&lt;45, 45–59, 60–74, and ≥75 years). Tick marks indicate censored observations. Survival distributions were compared using the log-rank test (p = 0.270).</w:t>
      </w:r>
    </w:p>
    <w:p w14:paraId="57216B02" w14:textId="277E9657" w:rsidR="004A50F5" w:rsidRPr="004A50F5" w:rsidRDefault="004A50F5" w:rsidP="004A50F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377481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4A50F5">
        <w:rPr>
          <w:rFonts w:ascii="Times New Roman" w:hAnsi="Times New Roman" w:cs="Times New Roman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 xml:space="preserve">Kaplan-Meier analysis Readmission vs Gender </w:t>
      </w:r>
    </w:p>
    <w:p w14:paraId="3813015F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68FF780" wp14:editId="6C16BF24">
            <wp:extent cx="3817995" cy="3055620"/>
            <wp:effectExtent l="0" t="0" r="0" b="0"/>
            <wp:docPr id="1598686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86089" name="Picture 15986860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6869" cy="306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0F7BB" w14:textId="7C8E4073" w:rsidR="000254A1" w:rsidRDefault="004A50F5" w:rsidP="008B4FCF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>Kaplan–Meier readmission-free survival curves stratified by gender. Tick marks represent censored observations. Differences between groups were assessed using the log-rank test (p = 0.643).</w:t>
      </w:r>
    </w:p>
    <w:p w14:paraId="04749B0A" w14:textId="77777777" w:rsidR="00394DCD" w:rsidRDefault="00394DCD" w:rsidP="008B4FCF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407E064" w14:textId="35DDFA98" w:rsidR="00394DCD" w:rsidRPr="00394DCD" w:rsidRDefault="00394DCD" w:rsidP="008B4FC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Figure 6 : Kaplan - Meier Analysis of Readmission free survival and Charlson Comorbidity index </w:t>
      </w:r>
    </w:p>
    <w:p w14:paraId="797E5190" w14:textId="77777777" w:rsidR="00394DCD" w:rsidRDefault="00394DCD" w:rsidP="008B4FCF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B5E50D3" w14:textId="5C4F838B" w:rsidR="00394DCD" w:rsidRPr="008B4FCF" w:rsidRDefault="00394DCD" w:rsidP="008B4FCF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717663FA" wp14:editId="65E67105">
            <wp:extent cx="5029636" cy="3353091"/>
            <wp:effectExtent l="0" t="0" r="0" b="0"/>
            <wp:docPr id="117197465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974656" name="Picture 117197465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636" cy="335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592D2" w14:textId="78498356" w:rsidR="000254A1" w:rsidRDefault="000254A1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</w:t>
      </w:r>
      <w:r w:rsidR="0037748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File </w:t>
      </w:r>
      <w:r w:rsidR="00394DCD">
        <w:rPr>
          <w:rFonts w:ascii="Times New Roman" w:hAnsi="Times New Roman" w:cs="Times New Roman"/>
          <w:b/>
          <w:bCs/>
          <w:sz w:val="20"/>
          <w:szCs w:val="20"/>
          <w:lang w:val="en-US"/>
        </w:rPr>
        <w:t>7</w:t>
      </w:r>
      <w:r w:rsidR="0037748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0254A1">
        <w:rPr>
          <w:rFonts w:ascii="Times New Roman" w:hAnsi="Times New Roman" w:cs="Times New Roman"/>
          <w:b/>
          <w:bCs/>
          <w:sz w:val="20"/>
          <w:szCs w:val="20"/>
          <w:lang w:val="en-US"/>
        </w:rPr>
        <w:t>CRF for Quality of Life</w:t>
      </w:r>
    </w:p>
    <w:p w14:paraId="7BA92F90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Long-Term Outcome of Sepsis Survivors (LOSS Study)</w:t>
      </w:r>
    </w:p>
    <w:p w14:paraId="2492A053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Patient Information</w:t>
      </w:r>
    </w:p>
    <w:p w14:paraId="281D511E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sz w:val="20"/>
          <w:szCs w:val="20"/>
        </w:rPr>
        <w:lastRenderedPageBreak/>
        <w:t>1. Patient ID Number (Sepsis Registry ID): ________________________</w:t>
      </w:r>
    </w:p>
    <w:p w14:paraId="07BDB1E3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sz w:val="20"/>
          <w:szCs w:val="20"/>
        </w:rPr>
        <w:t>2. Hospital Name: ________________________</w:t>
      </w:r>
    </w:p>
    <w:p w14:paraId="135DF79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sz w:val="20"/>
          <w:szCs w:val="20"/>
        </w:rPr>
        <w:t>3. Principal Investigator Name: ________________________</w:t>
      </w:r>
    </w:p>
    <w:p w14:paraId="2C25BA8F" w14:textId="5A0BE4BD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sz w:val="20"/>
          <w:szCs w:val="20"/>
        </w:rPr>
        <w:t>4. Date of Interview: ____ / ____ / ______</w:t>
      </w:r>
    </w:p>
    <w:p w14:paraId="3E72D837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Patient Mortality</w:t>
      </w:r>
    </w:p>
    <w:p w14:paraId="56DD8EC5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5. Current status of patient</w:t>
      </w:r>
    </w:p>
    <w:p w14:paraId="0CBAFEC6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Survived</w:t>
      </w:r>
    </w:p>
    <w:p w14:paraId="7CCCB849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Died</w:t>
      </w:r>
    </w:p>
    <w:p w14:paraId="54C6B7DD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6. If died, date of death: ____ / ____ / ______</w:t>
      </w:r>
    </w:p>
    <w:p w14:paraId="66887020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7. If known, cause of death: _______________________________________</w:t>
      </w:r>
    </w:p>
    <w:p w14:paraId="1B426979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8. Place of death</w:t>
      </w:r>
    </w:p>
    <w:p w14:paraId="5DD5055F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Hospital</w:t>
      </w:r>
    </w:p>
    <w:p w14:paraId="13D5CF7D" w14:textId="77777777" w:rsid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Home</w:t>
      </w:r>
    </w:p>
    <w:p w14:paraId="0DFF9560" w14:textId="1851C3EB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Readmission</w:t>
      </w:r>
    </w:p>
    <w:p w14:paraId="21124032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9. Any history of readmission</w:t>
      </w:r>
    </w:p>
    <w:p w14:paraId="54357A1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Yes</w:t>
      </w:r>
    </w:p>
    <w:p w14:paraId="229A43A3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No</w:t>
      </w:r>
    </w:p>
    <w:p w14:paraId="1321984A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10. Number of readmissions: ________________________</w:t>
      </w:r>
    </w:p>
    <w:p w14:paraId="0ADBFAB8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11. Cause(s) of readmission: _______________________________________</w:t>
      </w:r>
    </w:p>
    <w:p w14:paraId="342E2249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12. Timing of readmission since discharge: ___________________________</w:t>
      </w:r>
    </w:p>
    <w:p w14:paraId="68E62242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13. Readmitted to the same hospital</w:t>
      </w:r>
    </w:p>
    <w:p w14:paraId="5FBD32B7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Yes</w:t>
      </w:r>
    </w:p>
    <w:p w14:paraId="784F702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No</w:t>
      </w:r>
    </w:p>
    <w:p w14:paraId="1A8F0BB9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14. Readmitted to the same ICU</w:t>
      </w:r>
    </w:p>
    <w:p w14:paraId="7CC17379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Yes</w:t>
      </w:r>
    </w:p>
    <w:p w14:paraId="2477DCCC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No</w:t>
      </w:r>
    </w:p>
    <w:p w14:paraId="255E510F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15. Outcome of readmission</w:t>
      </w:r>
    </w:p>
    <w:p w14:paraId="2E5862D9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Survived</w:t>
      </w:r>
    </w:p>
    <w:p w14:paraId="0FD4F3B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Died</w:t>
      </w:r>
    </w:p>
    <w:p w14:paraId="75CF7B22" w14:textId="7CBD3D5A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Quality of Life</w:t>
      </w:r>
    </w:p>
    <w:p w14:paraId="33B3C9A7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 xml:space="preserve">16. Which of the following quality-of-life domains are affected? </w:t>
      </w:r>
      <w:r w:rsidRPr="000254A1">
        <w:rPr>
          <w:rFonts w:ascii="Times New Roman" w:hAnsi="Times New Roman" w:cs="Times New Roman"/>
          <w:b/>
          <w:bCs/>
          <w:i/>
          <w:iCs/>
          <w:sz w:val="20"/>
          <w:szCs w:val="20"/>
        </w:rPr>
        <w:t>(Check all that apply)</w:t>
      </w:r>
    </w:p>
    <w:p w14:paraId="134BE0B7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Limitations in physical activities because of health problems</w:t>
      </w:r>
    </w:p>
    <w:p w14:paraId="60F8862C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Limitations in social activities because of physical or emotional problems</w:t>
      </w:r>
    </w:p>
    <w:p w14:paraId="394040F1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Limitations in usual role activities because of physical health problems</w:t>
      </w:r>
    </w:p>
    <w:p w14:paraId="71083A29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Bodily pain</w:t>
      </w:r>
    </w:p>
    <w:p w14:paraId="63AC2437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General mental health (psychological distress and well-being)</w:t>
      </w:r>
    </w:p>
    <w:p w14:paraId="5DF62C6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Limitations in usual role activities because of emotional problems</w:t>
      </w:r>
    </w:p>
    <w:p w14:paraId="4812E7ED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Vitality (energy and fatigue)</w:t>
      </w:r>
    </w:p>
    <w:p w14:paraId="18584DE2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General health perceptions</w:t>
      </w:r>
    </w:p>
    <w:p w14:paraId="0EB0A854" w14:textId="3D270E7D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17. Any new medical complication since discharge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_________</w:t>
      </w:r>
    </w:p>
    <w:p w14:paraId="005ED5AD" w14:textId="08CEFD2B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18. Compared with before discharge, how does the patient rate his/her physical quality of life?</w:t>
      </w:r>
    </w:p>
    <w:p w14:paraId="5137F0FD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Better</w:t>
      </w:r>
    </w:p>
    <w:p w14:paraId="6A24FB04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Same</w:t>
      </w:r>
    </w:p>
    <w:p w14:paraId="27BEC044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Worse</w:t>
      </w:r>
    </w:p>
    <w:p w14:paraId="5BE2B530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19. Compared with before discharge, how does the patient rate his/her mental quality of life?</w:t>
      </w:r>
    </w:p>
    <w:p w14:paraId="234DCD07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Better</w:t>
      </w:r>
    </w:p>
    <w:p w14:paraId="7ABF502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Same</w:t>
      </w:r>
    </w:p>
    <w:p w14:paraId="18737E88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Worse</w:t>
      </w:r>
    </w:p>
    <w:p w14:paraId="63085885" w14:textId="77777777" w:rsidR="000254A1" w:rsidRPr="000254A1" w:rsidRDefault="000254A1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sectPr w:rsidR="000254A1" w:rsidRPr="00025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9A7"/>
    <w:rsid w:val="000254A1"/>
    <w:rsid w:val="00043F5A"/>
    <w:rsid w:val="00052883"/>
    <w:rsid w:val="002D32BA"/>
    <w:rsid w:val="002F5E96"/>
    <w:rsid w:val="00377481"/>
    <w:rsid w:val="00394DCD"/>
    <w:rsid w:val="004A50F5"/>
    <w:rsid w:val="00790C43"/>
    <w:rsid w:val="007A39A7"/>
    <w:rsid w:val="008B4FCF"/>
    <w:rsid w:val="00B87B4E"/>
    <w:rsid w:val="00B90D2A"/>
    <w:rsid w:val="00C501DC"/>
    <w:rsid w:val="00CC3D64"/>
    <w:rsid w:val="00D11CFE"/>
    <w:rsid w:val="00E1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9049B"/>
  <w15:chartTrackingRefBased/>
  <w15:docId w15:val="{0233B4DA-A6D1-431E-9645-2CC38531B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9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9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9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9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9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644</Words>
  <Characters>3670</Characters>
  <Application>Microsoft Office Word</Application>
  <DocSecurity>0</DocSecurity>
  <Lines>166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Surya Prakash</dc:creator>
  <cp:keywords/>
  <dc:description/>
  <cp:lastModifiedBy>subhash todi</cp:lastModifiedBy>
  <cp:revision>8</cp:revision>
  <dcterms:created xsi:type="dcterms:W3CDTF">2026-07-30T07:25:00Z</dcterms:created>
  <dcterms:modified xsi:type="dcterms:W3CDTF">2026-10-14T06:41:00Z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7df4c05c-057a-4622-8f4a-46d138f09146</vt:lpwstr>
  </property>
</Properties>
</file>